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5A" w:rsidRDefault="000E0B5A" w:rsidP="00AA605F">
      <w:pPr>
        <w:rPr>
          <w:sz w:val="24"/>
          <w:szCs w:val="24"/>
        </w:rPr>
      </w:pPr>
    </w:p>
    <w:p w:rsidR="00AA605F" w:rsidRPr="00986165" w:rsidRDefault="00AA605F" w:rsidP="00AA605F">
      <w:pPr>
        <w:rPr>
          <w:sz w:val="24"/>
          <w:szCs w:val="24"/>
        </w:rPr>
      </w:pPr>
      <w:r w:rsidRPr="00986165">
        <w:rPr>
          <w:sz w:val="24"/>
          <w:szCs w:val="24"/>
        </w:rPr>
        <w:t xml:space="preserve">Overlevering av NOU 2011: 18 </w:t>
      </w:r>
      <w:r w:rsidRPr="00986165">
        <w:rPr>
          <w:i/>
          <w:sz w:val="24"/>
          <w:szCs w:val="24"/>
        </w:rPr>
        <w:t>Struktur for likestilling</w:t>
      </w:r>
      <w:r w:rsidRPr="00986165">
        <w:rPr>
          <w:sz w:val="24"/>
          <w:szCs w:val="24"/>
        </w:rPr>
        <w:t xml:space="preserve"> </w:t>
      </w:r>
    </w:p>
    <w:p w:rsidR="00AA605F" w:rsidRPr="00986165" w:rsidRDefault="00AA605F" w:rsidP="00AA605F">
      <w:pPr>
        <w:rPr>
          <w:sz w:val="24"/>
          <w:szCs w:val="24"/>
        </w:rPr>
      </w:pPr>
      <w:r w:rsidRPr="00986165">
        <w:rPr>
          <w:sz w:val="24"/>
          <w:szCs w:val="24"/>
        </w:rPr>
        <w:t xml:space="preserve">Fra Likestillingsutvalget ved utvalgsleder Hege </w:t>
      </w:r>
      <w:proofErr w:type="spellStart"/>
      <w:r w:rsidRPr="00986165">
        <w:rPr>
          <w:sz w:val="24"/>
          <w:szCs w:val="24"/>
        </w:rPr>
        <w:t>Skjeie</w:t>
      </w:r>
      <w:proofErr w:type="spellEnd"/>
      <w:r w:rsidRPr="00986165">
        <w:rPr>
          <w:sz w:val="24"/>
          <w:szCs w:val="24"/>
        </w:rPr>
        <w:t xml:space="preserve">. </w:t>
      </w:r>
    </w:p>
    <w:p w:rsidR="00AA605F" w:rsidRDefault="00AA605F" w:rsidP="00AA605F">
      <w:pPr>
        <w:rPr>
          <w:sz w:val="24"/>
          <w:szCs w:val="24"/>
        </w:rPr>
      </w:pPr>
    </w:p>
    <w:p w:rsidR="00AA605F" w:rsidRPr="00986165" w:rsidRDefault="00AA605F" w:rsidP="00AA605F">
      <w:pPr>
        <w:rPr>
          <w:sz w:val="24"/>
          <w:szCs w:val="24"/>
        </w:rPr>
      </w:pPr>
      <w:r w:rsidRPr="00986165">
        <w:rPr>
          <w:sz w:val="24"/>
          <w:szCs w:val="24"/>
        </w:rPr>
        <w:t>Presentasjon ved pressekonferanse 15.11.2011</w:t>
      </w:r>
    </w:p>
    <w:p w:rsidR="00AA605F" w:rsidRPr="00986165" w:rsidRDefault="00AA605F" w:rsidP="00AA605F">
      <w:pPr>
        <w:rPr>
          <w:i/>
          <w:sz w:val="24"/>
          <w:szCs w:val="24"/>
        </w:rPr>
      </w:pPr>
    </w:p>
    <w:p w:rsidR="00AA605F" w:rsidRPr="00200E68" w:rsidRDefault="00AA605F" w:rsidP="00AA605F">
      <w:pPr>
        <w:rPr>
          <w:b/>
          <w:i/>
          <w:sz w:val="28"/>
          <w:szCs w:val="28"/>
        </w:rPr>
      </w:pPr>
      <w:r w:rsidRPr="00200E68">
        <w:rPr>
          <w:b/>
          <w:i/>
          <w:sz w:val="28"/>
          <w:szCs w:val="28"/>
        </w:rPr>
        <w:t>Struktur for likestilling</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Offentlige myndigheter har høye ambisjoner i likestillingspolitikken. Likestilling beskrives som en samfunnsmessig grunnverdi. Og innsats for å fremme likestilling anerkjennes som en menneskerettslig forpliktelse. Samtidig fremheves det ofte at aktivt likestillingsarbeid er god økonomisk politikk, at ”likestilling lønner seg”.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Store ambisjoner krever en god iverksettingsstruktur. I oktober i fjor ble Likestillingsutvalget bedt om å gjennomføre en særskilt vurdering av de organisatoriske rammene for det offentlige likestillingsarbeidet i Norge. Oppdraget omfattet virkemiddelapparatet på sentralt, regionalt og lokalt nivå, og flere sider ved Likestillings- og diskrimineringsombudets (LDO) og Likestillings- og diskrimineringsnemndas (LDN) virksomhet. Utvalget ble også bedt om – eventuelt - å fremme forslag som kan videreutvikle og styrke den offentlige innsatsen.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Det gjør vi herved. I utredningen </w:t>
      </w:r>
      <w:r w:rsidRPr="00986165">
        <w:rPr>
          <w:i/>
          <w:sz w:val="24"/>
          <w:szCs w:val="24"/>
        </w:rPr>
        <w:t>Struktur for likestilling</w:t>
      </w:r>
      <w:r w:rsidRPr="00986165">
        <w:rPr>
          <w:sz w:val="24"/>
          <w:szCs w:val="24"/>
        </w:rPr>
        <w:t xml:space="preserve"> gjennomfører vi to sett av vurderinger, og gir to hovedtyper av råd. Det ene angår organiseringen av offentlig likestillingsarbeid i stort, det andre angår håndhevingen av diskrimineringsvernet. Jeg skal legge vekt på fire hovedpunkter i innstillingen. Totalt fremmer vi 18 forslag.</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Neste høst presenterer utvalget utredning nummer to, om status og utfordringer for likestilling på en rekke levekårsområder.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Vi legger i dag fram en enstemmig innstilling. Det gir ekstra tyngde til anbefalingene.</w:t>
      </w:r>
    </w:p>
    <w:p w:rsidR="00AA605F" w:rsidRPr="00986165" w:rsidRDefault="00AA605F" w:rsidP="00AA605F">
      <w:pPr>
        <w:rPr>
          <w:sz w:val="24"/>
          <w:szCs w:val="24"/>
        </w:rPr>
      </w:pPr>
    </w:p>
    <w:p w:rsidR="00AA605F" w:rsidRDefault="00AA605F" w:rsidP="00AA605F">
      <w:pPr>
        <w:rPr>
          <w:sz w:val="24"/>
          <w:szCs w:val="24"/>
        </w:rPr>
      </w:pPr>
      <w:r w:rsidRPr="00986165">
        <w:rPr>
          <w:sz w:val="24"/>
          <w:szCs w:val="24"/>
        </w:rPr>
        <w:t xml:space="preserve">Utredningen bygger på en serie kartlegginger som er gjennomført i utvalgets regi. Disse er fra i dag tilgjengelige på utvalgets nettside hos BLD. </w:t>
      </w:r>
    </w:p>
    <w:p w:rsidR="00AA605F" w:rsidRPr="00986165" w:rsidRDefault="00AA605F" w:rsidP="00AA605F">
      <w:pPr>
        <w:rPr>
          <w:b/>
          <w:sz w:val="24"/>
          <w:szCs w:val="24"/>
        </w:rPr>
      </w:pPr>
    </w:p>
    <w:p w:rsidR="00AA605F" w:rsidRPr="00986165" w:rsidRDefault="00AA605F" w:rsidP="00AA605F">
      <w:pPr>
        <w:rPr>
          <w:b/>
          <w:sz w:val="24"/>
          <w:szCs w:val="24"/>
        </w:rPr>
      </w:pPr>
      <w:r w:rsidRPr="00986165">
        <w:rPr>
          <w:b/>
          <w:sz w:val="24"/>
          <w:szCs w:val="24"/>
        </w:rPr>
        <w:t>Kort om utgangspunkter</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Vi har i dette arbeidet tatt utgangspunkt i likestillingsloven. Den inneholder både vern mot diskriminering, og såkalte </w:t>
      </w:r>
      <w:proofErr w:type="spellStart"/>
      <w:r w:rsidRPr="00986165">
        <w:rPr>
          <w:sz w:val="24"/>
          <w:szCs w:val="24"/>
        </w:rPr>
        <w:t>proaktive</w:t>
      </w:r>
      <w:proofErr w:type="spellEnd"/>
      <w:r w:rsidRPr="00986165">
        <w:rPr>
          <w:sz w:val="24"/>
          <w:szCs w:val="24"/>
        </w:rPr>
        <w:t xml:space="preserve"> plikter.  Mens diskrimineringsvernet er en rettighet på individnivå, er det </w:t>
      </w:r>
      <w:proofErr w:type="spellStart"/>
      <w:r w:rsidRPr="00986165">
        <w:rPr>
          <w:sz w:val="24"/>
          <w:szCs w:val="24"/>
        </w:rPr>
        <w:t>proaktive</w:t>
      </w:r>
      <w:proofErr w:type="spellEnd"/>
      <w:r w:rsidRPr="00986165">
        <w:rPr>
          <w:sz w:val="24"/>
          <w:szCs w:val="24"/>
        </w:rPr>
        <w:t xml:space="preserve"> arbeidet en plikt som virksomheter og institusjoner har. Stortinget har bestemt at både stat og kommune skal ha slike plikter som offentlig myndighet, dvs. i rollen som myndighetsutøvere og tjenesteytere. Alle arbeidsgivere har også plikt til å drive et aktivt, målrettet og planmessig likestillingsarbeid innenfor rammen av sine virksomheter. Det samme har organisasjonene i arbeidslivet. Slike aktivitetsplikter har vært nedfelt i likestillingsloven siden 2002. </w:t>
      </w:r>
    </w:p>
    <w:p w:rsidR="00AA605F" w:rsidRPr="00986165" w:rsidRDefault="00AA605F" w:rsidP="00AA605F">
      <w:pPr>
        <w:pStyle w:val="NormalWeb"/>
        <w:rPr>
          <w:rFonts w:ascii="Times New Roman" w:hAnsi="Times New Roman" w:cs="Times New Roman"/>
          <w:sz w:val="24"/>
          <w:szCs w:val="24"/>
        </w:rPr>
      </w:pPr>
      <w:r w:rsidRPr="00986165">
        <w:rPr>
          <w:rFonts w:ascii="Times New Roman" w:hAnsi="Times New Roman" w:cs="Times New Roman"/>
          <w:sz w:val="24"/>
          <w:szCs w:val="24"/>
        </w:rPr>
        <w:t xml:space="preserve">I 2009 ble det innført tilsvarende plikter når det gjelder nedsatt funksjonsevne gjennom diskriminerings- og tilgjengelighetsloven og for </w:t>
      </w:r>
      <w:proofErr w:type="spellStart"/>
      <w:r w:rsidRPr="00986165">
        <w:rPr>
          <w:rFonts w:ascii="Times New Roman" w:hAnsi="Times New Roman" w:cs="Times New Roman"/>
          <w:sz w:val="24"/>
          <w:szCs w:val="24"/>
        </w:rPr>
        <w:t>etnisitet</w:t>
      </w:r>
      <w:proofErr w:type="spellEnd"/>
      <w:r w:rsidRPr="00986165">
        <w:rPr>
          <w:rFonts w:ascii="Times New Roman" w:hAnsi="Times New Roman" w:cs="Times New Roman"/>
          <w:sz w:val="24"/>
          <w:szCs w:val="24"/>
        </w:rPr>
        <w:t xml:space="preserve"> og religion gjennom diskrimineringsloven. </w:t>
      </w:r>
    </w:p>
    <w:p w:rsidR="00AA605F" w:rsidRPr="00986165" w:rsidRDefault="00AA605F" w:rsidP="00AA605F">
      <w:pPr>
        <w:pStyle w:val="NormalWeb"/>
        <w:rPr>
          <w:rFonts w:ascii="Times New Roman" w:hAnsi="Times New Roman" w:cs="Times New Roman"/>
          <w:sz w:val="24"/>
          <w:szCs w:val="24"/>
        </w:rPr>
      </w:pPr>
      <w:r w:rsidRPr="00986165">
        <w:rPr>
          <w:rFonts w:ascii="Times New Roman" w:hAnsi="Times New Roman" w:cs="Times New Roman"/>
          <w:sz w:val="24"/>
          <w:szCs w:val="24"/>
        </w:rPr>
        <w:lastRenderedPageBreak/>
        <w:t xml:space="preserve">Utvalget har tatt hensyn også til dette nye lovgrunnlaget. Utredningen har dermed et flerdimensjonalt perspektiv på likestilling: arbeid for kjønnslikestilling må også involvere andre dimensjoner som er egnet til å skape urettmessig forskjell mellom folk. </w:t>
      </w:r>
    </w:p>
    <w:p w:rsidR="00AA605F" w:rsidRPr="00986165" w:rsidRDefault="00AA605F" w:rsidP="00AA605F">
      <w:pPr>
        <w:pStyle w:val="NormalWeb"/>
        <w:rPr>
          <w:rFonts w:ascii="Times New Roman" w:hAnsi="Times New Roman" w:cs="Times New Roman"/>
          <w:sz w:val="24"/>
          <w:szCs w:val="24"/>
        </w:rPr>
      </w:pPr>
      <w:r w:rsidRPr="00986165">
        <w:rPr>
          <w:rFonts w:ascii="Times New Roman" w:hAnsi="Times New Roman" w:cs="Times New Roman"/>
          <w:sz w:val="24"/>
          <w:szCs w:val="24"/>
        </w:rPr>
        <w:t>Det høres kanskje selvsagt ut, men dette er samtidig en ny stor utfordring i likestillingspolitikken. Den reises parallelt i en rekke europeiske land, som gjennom det siste tiåret har gjennomført store utvidelser av diskrimineringsvernet. I mange land diskuterer menneskerettsjurister nå hvordan lovgivning mot diskriminering også kan gi et vern mot diskriminering på flere, samtidige, grunnlag. Utvalget anbefaler at de norske diskrimineringslovene nå får eksplisitte forbud mot slik sammensatt diskriminering.</w:t>
      </w:r>
    </w:p>
    <w:p w:rsidR="00AA605F" w:rsidRPr="00986165" w:rsidRDefault="00AA605F" w:rsidP="00AA605F">
      <w:pPr>
        <w:rPr>
          <w:sz w:val="24"/>
          <w:szCs w:val="24"/>
        </w:rPr>
      </w:pPr>
      <w:r w:rsidRPr="00986165">
        <w:rPr>
          <w:sz w:val="24"/>
          <w:szCs w:val="24"/>
        </w:rPr>
        <w:t>Offentlig likestillingsarbeid baserer seg ellers på en såkalt integreringsstrategi – kanskje best kjent i engelsk språkvariant: ”</w:t>
      </w:r>
      <w:proofErr w:type="spellStart"/>
      <w:r w:rsidRPr="00986165">
        <w:rPr>
          <w:sz w:val="24"/>
          <w:szCs w:val="24"/>
        </w:rPr>
        <w:t>mainstreaming</w:t>
      </w:r>
      <w:proofErr w:type="spellEnd"/>
      <w:r w:rsidRPr="00986165">
        <w:rPr>
          <w:sz w:val="24"/>
          <w:szCs w:val="24"/>
        </w:rPr>
        <w:t>”. I Norge har en slik strategi vært lagt til grunn for offentlig likestillingsarbeid helt siden midten av 1980-tallet</w:t>
      </w:r>
      <w:r>
        <w:rPr>
          <w:sz w:val="24"/>
          <w:szCs w:val="24"/>
        </w:rPr>
        <w:t>.</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Utvalget har vurdert hvordan integreringsstrategien fungerer i praksis. Jeg kan spissformulere: integrering av likestilling skjer fortsatt - i altfor stor grad - på følgende vis: Når noen er interessert i å integrere et likestillingshensyn, gjør de det. Hvis det ikke er noen som er interessert, skjer det lite.</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Dette er ikke et særnorsk fenomen. Samme type undersøkelser i flere europeiske land viser nå det samme: Integreringsstrategien må støttes av faglige ferdigheter, av tilsyn og veiledning, og av øremerkede ressurser til likestillingsarbeid. </w:t>
      </w:r>
    </w:p>
    <w:p w:rsidR="00AA605F" w:rsidRPr="00986165" w:rsidRDefault="00AA605F" w:rsidP="00AA605F">
      <w:pPr>
        <w:rPr>
          <w:color w:val="000000"/>
          <w:sz w:val="24"/>
          <w:szCs w:val="24"/>
        </w:rPr>
      </w:pPr>
    </w:p>
    <w:p w:rsidR="00AA605F" w:rsidRPr="00986165" w:rsidRDefault="00AA605F" w:rsidP="00AA605F">
      <w:pPr>
        <w:rPr>
          <w:sz w:val="24"/>
          <w:szCs w:val="24"/>
        </w:rPr>
      </w:pPr>
      <w:r w:rsidRPr="00986165">
        <w:rPr>
          <w:sz w:val="24"/>
          <w:szCs w:val="24"/>
        </w:rPr>
        <w:t xml:space="preserve">Når Norge regelmessig oppnår toppscorer i internasjonale kåringer av ”mest likestilte land”, skyldes dette først og fremst ganske god kjønnsbalanse i høyere utdanning, i sysselsetting, og i administrative og politiske lederverv. Jenter under utdanning og småbarnsmødre i lønnsarbeid bidrar til å føre Norge til toppen av statistikkene. </w:t>
      </w:r>
    </w:p>
    <w:p w:rsidR="00AA605F" w:rsidRDefault="00AA605F" w:rsidP="00AA605F">
      <w:pPr>
        <w:rPr>
          <w:sz w:val="24"/>
          <w:szCs w:val="24"/>
        </w:rPr>
      </w:pPr>
    </w:p>
    <w:p w:rsidR="00AA605F" w:rsidRPr="00986165" w:rsidRDefault="00AA605F" w:rsidP="00AA605F">
      <w:pPr>
        <w:rPr>
          <w:sz w:val="24"/>
          <w:szCs w:val="24"/>
        </w:rPr>
      </w:pPr>
      <w:r w:rsidRPr="00986165">
        <w:rPr>
          <w:sz w:val="24"/>
          <w:szCs w:val="24"/>
        </w:rPr>
        <w:t xml:space="preserve">Statistikkene sier ingen ting om arbeidsmiljøet i bedriftene, om rekrutteringspraksiser i omsorgsektoren, om utsatthet for vold eller om omfanget av kjønnsstereotypier i skole og barnehage. I forhold til slike problemkomplekser har likevel myndigheter og arbeidsgivere plikt til stadig forebygging, og aktivt likestillingsarbeid, på sine respektive ansvarsområder.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Enkelt sagt: </w:t>
      </w:r>
    </w:p>
    <w:p w:rsidR="00AA605F" w:rsidRPr="00986165" w:rsidRDefault="00AA605F" w:rsidP="00AA605F">
      <w:pPr>
        <w:rPr>
          <w:sz w:val="24"/>
          <w:szCs w:val="24"/>
        </w:rPr>
      </w:pPr>
      <w:r w:rsidRPr="00986165">
        <w:rPr>
          <w:sz w:val="24"/>
          <w:szCs w:val="24"/>
        </w:rPr>
        <w:t>Skal seksuell trakassering bekjempes blant ungdom, er det viktig at alle landets videregående skoler lærer gode tiltak av hverandre. Skal deltidsproblemet i det kommunale helse- og omsorgsarbeidet bli løst, må alle typer av sykehjem, omsorgsboliger og</w:t>
      </w:r>
      <w:r w:rsidRPr="00986165">
        <w:rPr>
          <w:i/>
          <w:sz w:val="24"/>
          <w:szCs w:val="24"/>
        </w:rPr>
        <w:t xml:space="preserve"> </w:t>
      </w:r>
      <w:r w:rsidRPr="00986165">
        <w:rPr>
          <w:sz w:val="24"/>
          <w:szCs w:val="24"/>
        </w:rPr>
        <w:t xml:space="preserve">hjemmetjenester ta ansvar. Skal kvinner og menn med etnisk minoritetsbakgrunn delta i arbeidslivet på lik linje med majoriteten, må det utvikles konkrete rekrutteringspraksiser i ulike typer lokale virksomheter. Aktivt likestillingsarbeid er langsiktig hverdagsarbeid, i kommunestyrer, i kommunale tjenester og i lokalt næringsliv. </w:t>
      </w:r>
    </w:p>
    <w:p w:rsidR="00AA605F" w:rsidRPr="00986165" w:rsidRDefault="00AA605F" w:rsidP="00AA605F">
      <w:pPr>
        <w:rPr>
          <w:b/>
          <w:sz w:val="24"/>
          <w:szCs w:val="24"/>
        </w:rPr>
      </w:pPr>
    </w:p>
    <w:p w:rsidR="00AA605F" w:rsidRPr="00986165" w:rsidRDefault="00AA605F" w:rsidP="00AA605F">
      <w:pPr>
        <w:rPr>
          <w:b/>
          <w:sz w:val="24"/>
          <w:szCs w:val="24"/>
        </w:rPr>
      </w:pPr>
      <w:r w:rsidRPr="00986165">
        <w:rPr>
          <w:b/>
          <w:sz w:val="24"/>
          <w:szCs w:val="24"/>
        </w:rPr>
        <w:t>Anbefalinger</w:t>
      </w:r>
    </w:p>
    <w:p w:rsidR="00AA605F" w:rsidRPr="00986165" w:rsidRDefault="00AA605F" w:rsidP="00AA605F">
      <w:pPr>
        <w:rPr>
          <w:sz w:val="24"/>
          <w:szCs w:val="24"/>
        </w:rPr>
      </w:pPr>
      <w:r w:rsidRPr="00986165">
        <w:rPr>
          <w:sz w:val="24"/>
          <w:szCs w:val="24"/>
        </w:rPr>
        <w:t xml:space="preserve">Utredningen </w:t>
      </w:r>
      <w:r w:rsidRPr="00986165">
        <w:rPr>
          <w:i/>
          <w:sz w:val="24"/>
          <w:szCs w:val="24"/>
        </w:rPr>
        <w:t>Struktur for likestilling</w:t>
      </w:r>
      <w:r w:rsidRPr="00986165">
        <w:rPr>
          <w:sz w:val="24"/>
          <w:szCs w:val="24"/>
        </w:rPr>
        <w:t xml:space="preserve"> er ikke helt lystelig lesning for de som er opptatt av gjennomføringsevne. Det er klare svakheter ved dagens iverksettingsstruktur.</w:t>
      </w:r>
    </w:p>
    <w:p w:rsidR="00AA605F" w:rsidRPr="00986165" w:rsidRDefault="00AA605F" w:rsidP="00AA605F">
      <w:pPr>
        <w:rPr>
          <w:sz w:val="24"/>
          <w:szCs w:val="24"/>
        </w:rPr>
      </w:pPr>
      <w:r w:rsidRPr="00986165">
        <w:rPr>
          <w:sz w:val="24"/>
          <w:szCs w:val="24"/>
        </w:rPr>
        <w:t xml:space="preserve"> Det er ingen sterk lenke mellom stat og kommune på likestillingsfeltet. Det er ganske langt mellom de kommunene som driver et aktivt og målrettet likestillingsarbeid. Særlig gjelder det pliktene som offentlige tjenesteytere. Faktisk kan det være ganske så vanskelig for kommunene å forstå hva disse pliktene i lovverket egentlig betyr, og hvilke prosesser og tiltak de innebærer. Staten hjelper i liten grad kommuner til å forstå dette bedre.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lastRenderedPageBreak/>
        <w:t>Det er med andre ord nødvendig å styrke innsatsen. Politikere klager ganske ofte over at «verktøykassa er tom». På likestillingsfeltet ser det ut til at selve kassa mangler.</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Utvalget foreslår en tredelt satsning: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Vi anbefaler at regjeringen etablerer et fagorgan for gjennomføring av likestillingspolitikk og for tilsyn med offentlige myndigheters aktivitetsplikt. Eller om vi vil – skaffer seg en verktøykasse. Den konkrete organisasjonsformen vi anbefaler, er et direktorat under Barne- likestillings- og inkluderingsdepartementet, med i alt fem regionkontorer.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Det er BLD som har det overordnede ansvaret for likestillingspolitikken, og departementets myndighet og gjennomføringsevne bør styrkes. Fram til i dag har forvaltningsoppgaver på likestillingsfeltet gjerne blitt satt ut til uavhengige organer, som Likestillings- og diskrimineringsombudet, eller til enkelte private stiftelser. Fylkesmennene er bedt om å bidra, Barne-, ungdoms- og familiedirektoratet har noen oppgaver, Integ</w:t>
      </w:r>
      <w:r>
        <w:rPr>
          <w:sz w:val="24"/>
          <w:szCs w:val="24"/>
        </w:rPr>
        <w:t>r</w:t>
      </w:r>
      <w:r w:rsidRPr="00986165">
        <w:rPr>
          <w:sz w:val="24"/>
          <w:szCs w:val="24"/>
        </w:rPr>
        <w:t xml:space="preserve">erings- og mangfoldsdirektoratet har enkelte andre. Men likestillingsfeltet, som sådan, mangler en egen fagetat, under departementets instruksjonsmyndighet.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Vi ser dette som en stor mangel. Framtidig likestillingsarbeid bør ikke baseres på at departementet holder en armlengdes avstand til gjennomføringen.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Direktoratet for likestilling bør omfatte alle grunnlag som har et lovfestet diskrimineringsvern. Vi foreslår at direktoratet forvalter et tiårig utviklingsprogram for lokalt likestillingsarbeid.  Parallelt anbefaler vi at pliktene til aktivt likestillingsarbeid blir konkretisert i lovverket. Det gjelder både pliktene som offentlige myndigheter har, og aktivitets- og redegjørelsesplikten for arbeidsgivere. De som skal etterleve loven, må vite hva aktivitetsplikten faktisk betyr. Eller om vi vil, vite hva verktøyet er.</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Det som i dag finnes av statlige tilskudd til aktivt likestillingsarbeid i kommuner og fylker er gjerne kortvarige satsninger og prosjektstøtte. Forvaltningen av midlene er spredt på ulike departementer, og utvalget kan ikke se at det er etablert noe effektivt system for å samle inn og spre erfaringer fra slike enkeltprosjekter.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Vi anbefaler en langsiktig og konsentrert innsats. Forslaget om et </w:t>
      </w:r>
      <w:proofErr w:type="spellStart"/>
      <w:r w:rsidRPr="00986165">
        <w:rPr>
          <w:sz w:val="24"/>
          <w:szCs w:val="24"/>
        </w:rPr>
        <w:t>ti-årig</w:t>
      </w:r>
      <w:proofErr w:type="spellEnd"/>
      <w:r w:rsidRPr="00986165">
        <w:rPr>
          <w:sz w:val="24"/>
          <w:szCs w:val="24"/>
        </w:rPr>
        <w:t xml:space="preserve"> utviklingsprogram for lokalt likestillingsarbeid er inspirert av den svenske likestillingssatsningen som er gjennomført under regjeringen </w:t>
      </w:r>
      <w:proofErr w:type="spellStart"/>
      <w:r w:rsidRPr="00986165">
        <w:rPr>
          <w:sz w:val="24"/>
          <w:szCs w:val="24"/>
        </w:rPr>
        <w:t>Reinfeldt</w:t>
      </w:r>
      <w:proofErr w:type="spellEnd"/>
      <w:r w:rsidRPr="00986165">
        <w:rPr>
          <w:sz w:val="24"/>
          <w:szCs w:val="24"/>
        </w:rPr>
        <w:t xml:space="preserve">. Her har den svenske regjeringen bevilget imponerende 1.6 milliarder friske svenske kroner til arbeid for å fremme kjønnslikestilling i perioden 2007-2010. Utvalget mener den svenske satsningen bør følges av en norsk. Slik kan det også etableres en helt ny plattform for langsiktig nordisk samarbeid om utvikling av likestillingsarbeid.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I den norske modellen målrettes midlene mot lokalt og regionalt initierte prosjekter. De kan organiseres innenfor virksomheter, på tvers av virksomheter, i samarbeid mellom kommuner, i regi av partene, i regi av likestillingssentre eller under KS-paraply. De kan omhandle offentlig tjenesteyting, arbeidsgiveroppgaver, adressere skole og utdanning, helse og omsorg, entreprenørskap eller ungdomspolitikk. Likestillingsdirektoratet skal forvalte midlene, og ha ansvar for evaluering, oppfølging og – etter hvert – en landsdekkende veiledning i godt likestillingsarbeid.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Utvalget anbefaler </w:t>
      </w:r>
      <w:r w:rsidRPr="00986165">
        <w:rPr>
          <w:i/>
          <w:sz w:val="24"/>
          <w:szCs w:val="24"/>
        </w:rPr>
        <w:t>ikke</w:t>
      </w:r>
      <w:r w:rsidRPr="00986165">
        <w:rPr>
          <w:sz w:val="24"/>
          <w:szCs w:val="24"/>
        </w:rPr>
        <w:t xml:space="preserve"> at det opprettes nye avdelinger med ansvar for likestilling innenfor den eksisterende direktoratstrukturen, eller at midler til utviklingsarbeid stadig spres tynt utover flere departementers budsjettposter. Utvalgets analyser klargjør at det offentlige </w:t>
      </w:r>
      <w:r w:rsidRPr="00986165">
        <w:rPr>
          <w:sz w:val="24"/>
          <w:szCs w:val="24"/>
        </w:rPr>
        <w:lastRenderedPageBreak/>
        <w:t xml:space="preserve">likestillingsarbeidet i Norge både trenger en sterkere faglig basis, en tydelig prioritering og en helhetlig gjennomføring – som da strekker seg fra det sentrale til de lokale forvaltningsnivåene. </w:t>
      </w:r>
    </w:p>
    <w:p w:rsidR="00AA605F" w:rsidRPr="00986165" w:rsidRDefault="00AA605F" w:rsidP="00AA605F">
      <w:pPr>
        <w:rPr>
          <w:sz w:val="24"/>
          <w:szCs w:val="24"/>
        </w:rPr>
      </w:pPr>
    </w:p>
    <w:p w:rsidR="00AA605F" w:rsidRPr="00986165" w:rsidRDefault="00AA605F" w:rsidP="00AA605F">
      <w:pPr>
        <w:rPr>
          <w:b/>
          <w:sz w:val="24"/>
          <w:szCs w:val="24"/>
        </w:rPr>
      </w:pPr>
      <w:r w:rsidRPr="00986165">
        <w:rPr>
          <w:b/>
          <w:sz w:val="24"/>
          <w:szCs w:val="24"/>
        </w:rPr>
        <w:t>LDO/LDN</w:t>
      </w:r>
    </w:p>
    <w:p w:rsidR="00AA605F" w:rsidRPr="00986165" w:rsidRDefault="00AA605F" w:rsidP="00AA605F">
      <w:pPr>
        <w:rPr>
          <w:sz w:val="24"/>
          <w:szCs w:val="24"/>
        </w:rPr>
      </w:pPr>
      <w:r w:rsidRPr="00986165">
        <w:rPr>
          <w:sz w:val="24"/>
          <w:szCs w:val="24"/>
        </w:rPr>
        <w:t xml:space="preserve">Utvalget anbefaler heller ikke å endre organisasjonsformen for Likestillings- og diskrimineringsombudet og likestillings- og diskrimineringsnemnda. Ombud og nemnd har ansvar for å håndheve diskrimineringsvernet, som et lavterskeltilbud og et alternativ til domstolene.  De er uavhengige forvaltningsorganer, som ikke kan instrueres av regjering og departement. Norge er internasjonalt forpliktet til å ha slike uavhengige organer på likestillings- og diskrimineringsfeltet. Utvalget kan ikke se at det er behov for å etablere nye organisatoriske løsninger her.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Ombudet fører også tilsyn med FNs kvinnediskrimineringskonvensjon og FNs rasediskrimineringskonvensjon. Dette er viktige tilsynsoppgaver, om enn med klare forbedringspunkter, som vi også gjennomgår.</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Vi er bedt om å vurdere forholdet mellom Likestillings- og </w:t>
      </w:r>
      <w:proofErr w:type="gramStart"/>
      <w:r w:rsidRPr="00986165">
        <w:rPr>
          <w:sz w:val="24"/>
          <w:szCs w:val="24"/>
        </w:rPr>
        <w:t>diskrimineringsombudets  pådriver</w:t>
      </w:r>
      <w:proofErr w:type="gramEnd"/>
      <w:r w:rsidRPr="00986165">
        <w:rPr>
          <w:sz w:val="24"/>
          <w:szCs w:val="24"/>
        </w:rPr>
        <w:t xml:space="preserve">- og lovhåndheveroppgaver, forholdet mellom ombud og nemnd, og gjennomslagskraft i offentligheten. Det har vi gjort. Hovedproblemet i denne ordningen er </w:t>
      </w:r>
      <w:r w:rsidRPr="00986165">
        <w:rPr>
          <w:i/>
          <w:sz w:val="24"/>
          <w:szCs w:val="24"/>
        </w:rPr>
        <w:t>ikke</w:t>
      </w:r>
      <w:r w:rsidRPr="00986165">
        <w:rPr>
          <w:sz w:val="24"/>
          <w:szCs w:val="24"/>
        </w:rPr>
        <w:t xml:space="preserve"> at ombudet driver både lovhåndheving og pådriverarbeid. Kompetansedelingen mellom ombud og nemnd er rimelig, og </w:t>
      </w:r>
      <w:r w:rsidRPr="00986165">
        <w:rPr>
          <w:i/>
          <w:sz w:val="24"/>
          <w:szCs w:val="24"/>
        </w:rPr>
        <w:t>ikke</w:t>
      </w:r>
      <w:r w:rsidRPr="00986165">
        <w:rPr>
          <w:sz w:val="24"/>
          <w:szCs w:val="24"/>
        </w:rPr>
        <w:t xml:space="preserve"> i seg selv et problem. Hovedproblemet i denne ordningen er at nemndas myndighet er for begrenset. Det er nemnda som fatter vedtak i diskrimineringssaker. Men nemnda kan ikke tilkjenne oppreisning til ofre for diskriminering. Det er det bare domstolene som kan.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Stortinget har lagt stor vekt på at ordningen med ombud og nemnd skal være et lavterskeltilbud for den som mener seg diskriminert. Det betyr at tilbudet skal være tilgjengelig for alle, landsdekkende, og tilby gratis veiledning og klagesaksbehandling. Ombudet har mer enn 1500 </w:t>
      </w:r>
      <w:proofErr w:type="spellStart"/>
      <w:r w:rsidRPr="00986165">
        <w:rPr>
          <w:sz w:val="24"/>
          <w:szCs w:val="24"/>
        </w:rPr>
        <w:t>veiledningsaker</w:t>
      </w:r>
      <w:proofErr w:type="spellEnd"/>
      <w:r w:rsidRPr="00986165">
        <w:rPr>
          <w:sz w:val="24"/>
          <w:szCs w:val="24"/>
        </w:rPr>
        <w:t xml:space="preserve">, og behandler om lag 300 klagesaker, per år.  Nemnda behandler mellom 40 og 60 saker per år. Ombud og nemnd skal være et </w:t>
      </w:r>
      <w:r w:rsidRPr="00986165">
        <w:rPr>
          <w:i/>
          <w:sz w:val="24"/>
          <w:szCs w:val="24"/>
        </w:rPr>
        <w:t xml:space="preserve">reelt </w:t>
      </w:r>
      <w:r w:rsidRPr="00986165">
        <w:rPr>
          <w:sz w:val="24"/>
          <w:szCs w:val="24"/>
        </w:rPr>
        <w:t>alternativ til domstolene. Men innenfor denne ordningen er kompensasjon for diskriminering bare mulig som en frivillig løsning. Hvis ikke partene selv blir enige, må klageren gå til domstolene for å få kompensasjon. Da skal hele saken opp på nytt. Og det er ikke fri rettshjelp i diskrimineringssaker.</w:t>
      </w:r>
    </w:p>
    <w:p w:rsidR="00AA605F" w:rsidRPr="00986165" w:rsidRDefault="00AA605F" w:rsidP="00AA605F">
      <w:pPr>
        <w:rPr>
          <w:sz w:val="24"/>
          <w:szCs w:val="24"/>
        </w:rPr>
      </w:pPr>
      <w:r w:rsidRPr="00986165">
        <w:rPr>
          <w:sz w:val="24"/>
          <w:szCs w:val="24"/>
        </w:rPr>
        <w:t xml:space="preserve">  </w:t>
      </w:r>
    </w:p>
    <w:p w:rsidR="00AA605F" w:rsidRPr="00986165" w:rsidRDefault="00AA605F" w:rsidP="00AA605F">
      <w:pPr>
        <w:rPr>
          <w:sz w:val="24"/>
          <w:szCs w:val="24"/>
        </w:rPr>
      </w:pPr>
      <w:r w:rsidRPr="00986165">
        <w:rPr>
          <w:sz w:val="24"/>
          <w:szCs w:val="24"/>
        </w:rPr>
        <w:t xml:space="preserve">Vi kaller dette et </w:t>
      </w:r>
      <w:proofErr w:type="spellStart"/>
      <w:r w:rsidRPr="00986165">
        <w:rPr>
          <w:sz w:val="24"/>
          <w:szCs w:val="24"/>
        </w:rPr>
        <w:t>to-spors-opplegg</w:t>
      </w:r>
      <w:proofErr w:type="spellEnd"/>
      <w:r w:rsidRPr="00986165">
        <w:rPr>
          <w:sz w:val="24"/>
          <w:szCs w:val="24"/>
        </w:rPr>
        <w:t xml:space="preserve"> for behandling av diskrimineringssaker. Lavterskelsporet er ombud- og </w:t>
      </w:r>
      <w:proofErr w:type="spellStart"/>
      <w:r w:rsidRPr="00986165">
        <w:rPr>
          <w:sz w:val="24"/>
          <w:szCs w:val="24"/>
        </w:rPr>
        <w:t>nemnd-behandling</w:t>
      </w:r>
      <w:proofErr w:type="spellEnd"/>
      <w:r w:rsidRPr="00986165">
        <w:rPr>
          <w:sz w:val="24"/>
          <w:szCs w:val="24"/>
        </w:rPr>
        <w:t>: det innebærer ingen økonomisk risiko for klageren, men garanterer heller ikke økonomisk kompensasjon.</w:t>
      </w:r>
      <w:r>
        <w:rPr>
          <w:sz w:val="24"/>
          <w:szCs w:val="24"/>
        </w:rPr>
        <w:t xml:space="preserve"> </w:t>
      </w:r>
      <w:r w:rsidRPr="00986165">
        <w:rPr>
          <w:sz w:val="24"/>
          <w:szCs w:val="24"/>
        </w:rPr>
        <w:t>Høyterskelsporet er domstolsbehandling: det innebærer stor økonomisk risiko for klageren, men samtidig, mulighet for økonomisk kompensasjon.</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Ordningen gir dermed, om vi vil, nok en variant av Matteus-effekten. Den der er meget </w:t>
      </w:r>
      <w:proofErr w:type="spellStart"/>
      <w:r w:rsidRPr="00986165">
        <w:rPr>
          <w:sz w:val="24"/>
          <w:szCs w:val="24"/>
        </w:rPr>
        <w:t>givet</w:t>
      </w:r>
      <w:proofErr w:type="spellEnd"/>
      <w:r w:rsidRPr="00986165">
        <w:rPr>
          <w:sz w:val="24"/>
          <w:szCs w:val="24"/>
        </w:rPr>
        <w:t xml:space="preserve">, kan meget få.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Likestillingsutvalget foreslår en enkel løsning: Nemnda får oppreisningsmyndighet.</w:t>
      </w:r>
    </w:p>
    <w:p w:rsidR="00AA605F" w:rsidRPr="00986165" w:rsidRDefault="00AA605F" w:rsidP="00AA605F">
      <w:pPr>
        <w:rPr>
          <w:i/>
          <w:sz w:val="24"/>
          <w:szCs w:val="24"/>
        </w:rPr>
      </w:pPr>
      <w:r w:rsidRPr="00986165">
        <w:rPr>
          <w:sz w:val="24"/>
          <w:szCs w:val="24"/>
        </w:rPr>
        <w:t>Vi føyer til at dersom dette ikke gjennomføres, bør hele nemndordningen revurderes, og departementet bør utrede et system etter svensk mønster der ombudet fører klagesaker direkte for domstolene.</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Utvalget foreslår også å presisere forskriften om ombudets pådrivervirksomhet. Det er for å tydeliggjøre kjerneoppgavene: Dokumentasjon og kunnskapsproduksjon, veiledning og </w:t>
      </w:r>
      <w:r w:rsidRPr="00986165">
        <w:rPr>
          <w:sz w:val="24"/>
          <w:szCs w:val="24"/>
        </w:rPr>
        <w:lastRenderedPageBreak/>
        <w:t>informasjon. Ombudet skal dokumentere art og omfang av diskriminering. Ombudet skal også dokumentere og analysere egne veilednings- og klagesaker. For LDO har klare utfordringer som lavterskeltilbud. Dette har vi identifisert i et samarbeid med ombudet, der LDO har kartlagt sine egne klagesaker. Kartleggingen viser geografiske skjevheter, skjevheter i klagesaker etter diskrimineringsgrunnlag, og skjevheter med hensyn til klagernes bakgrunn.</w:t>
      </w:r>
    </w:p>
    <w:p w:rsidR="00AA605F" w:rsidRPr="00986165" w:rsidRDefault="00AA605F" w:rsidP="00AA605F">
      <w:pPr>
        <w:pStyle w:val="NormalWeb"/>
        <w:rPr>
          <w:rFonts w:ascii="Times New Roman" w:hAnsi="Times New Roman" w:cs="Times New Roman"/>
          <w:sz w:val="24"/>
          <w:szCs w:val="24"/>
        </w:rPr>
      </w:pPr>
      <w:r w:rsidRPr="00986165">
        <w:rPr>
          <w:rFonts w:ascii="Times New Roman" w:hAnsi="Times New Roman" w:cs="Times New Roman"/>
          <w:sz w:val="24"/>
          <w:szCs w:val="24"/>
        </w:rPr>
        <w:t xml:space="preserve">Det er ombud og nemnd som fører tilsyn med aktivitets- og redegjørelsesplikten for arbeidsgivere. Ombudets kontroller med redegjørelsesplikten har avdekket at dette er en vanskelig oppgave både for kommuner og for statlige virksomheter. Mange kommuner får ikke godkjent sin likestillingsredegjørelse ved førstegangskontroll. Det får heller ikke flertallet av de departementer og forskningsinstitusjoner som har vært kontrollert. </w:t>
      </w:r>
    </w:p>
    <w:p w:rsidR="00AA605F" w:rsidRDefault="00AA605F" w:rsidP="00AA605F">
      <w:pPr>
        <w:rPr>
          <w:sz w:val="24"/>
          <w:szCs w:val="24"/>
        </w:rPr>
      </w:pPr>
      <w:r w:rsidRPr="00986165">
        <w:rPr>
          <w:sz w:val="24"/>
          <w:szCs w:val="24"/>
        </w:rPr>
        <w:t xml:space="preserve">Utvalget foreslår at aktivitetsplikten for arbeidsgivere blir konkretisert når det gjelder innholdet. Det skal fremgå av loven at aktivitetsplikten omfatter rekruttering, lønns- og arbeidsvilkår, arbeidstid, utviklingsmuligheter og beskyttelse mot trakassering.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Det drives i dag i praksis ikke tilsyn med private arbeidsgiveres likestillingsarbeid. Ombudet må åpenbart prioritere dette arbeidet høyere.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Utvalget fremmer også forslag som berører kontakten mellom sivilsamfunn og myndigheter. Vi forslår en fast struktur for dialog og kontakt med likestillingsminister og likestillingsorganisasjoner, og mellom minister og partene i arbeidslivet: Et kontaktutvalg til organisasjonene, og et forum for likestilling i arbeidslivet.</w:t>
      </w:r>
    </w:p>
    <w:p w:rsidR="00AA605F" w:rsidRPr="00986165" w:rsidRDefault="00AA605F" w:rsidP="00AA605F">
      <w:pPr>
        <w:rPr>
          <w:sz w:val="24"/>
          <w:szCs w:val="24"/>
        </w:rPr>
      </w:pPr>
    </w:p>
    <w:p w:rsidR="00AA605F" w:rsidRPr="00986165" w:rsidRDefault="00AA605F" w:rsidP="00AA605F">
      <w:pPr>
        <w:rPr>
          <w:b/>
          <w:sz w:val="24"/>
          <w:szCs w:val="24"/>
        </w:rPr>
      </w:pPr>
      <w:r w:rsidRPr="00986165">
        <w:rPr>
          <w:b/>
          <w:sz w:val="24"/>
          <w:szCs w:val="24"/>
        </w:rPr>
        <w:t>Avslutning</w:t>
      </w:r>
    </w:p>
    <w:p w:rsidR="00AA605F" w:rsidRDefault="00AA605F" w:rsidP="00AA605F">
      <w:pPr>
        <w:rPr>
          <w:sz w:val="24"/>
          <w:szCs w:val="24"/>
        </w:rPr>
      </w:pPr>
      <w:r w:rsidRPr="00986165">
        <w:rPr>
          <w:sz w:val="24"/>
          <w:szCs w:val="24"/>
        </w:rPr>
        <w:t xml:space="preserve">Utvalgets samlede forslag har en prislapp; 350 millioner kroner per år. Utviklingsprogrammet bør representere et krafttak, og etter utvalgets forslag ha en størrelsesorden på 200 millioner kroner per år.  Kostnadsberegningen for direktoratet er 130 millioner kroner per år.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Ved inngangen til 1990-tallet ble det, i vanskelige økonomiske tider for landet, tatt et likestillingspolitisk krafttak ved å bygge ut foreldrepermisjonen. I dag er overføringene til foreldrepengeordningen om lag 15 milliarder kroner per år. Ordningen har utvilsomt bidratt til at Norge i dag har svært høy yrkesdeltakelse, også blant småbarnsmødre. Vi kan kalle den en infrastruktur for likestilling i familien. Nå er det altså infrastrukturen for offentlig likestillingsarbeid som står for tur.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Utvalget konkluderer i </w:t>
      </w:r>
      <w:r w:rsidRPr="00986165">
        <w:rPr>
          <w:i/>
          <w:sz w:val="24"/>
          <w:szCs w:val="24"/>
        </w:rPr>
        <w:t>Struktur for likestilling</w:t>
      </w:r>
      <w:r w:rsidRPr="00986165">
        <w:rPr>
          <w:sz w:val="24"/>
          <w:szCs w:val="24"/>
        </w:rPr>
        <w:t xml:space="preserve"> at viktige forvaltningsoppgaver på likestillingsfeltet ikke blir ivaretatt på en systematisk måte i dag. Det gjelder analyse og kunnskapsutvikling, tilsyn og veiledning, og samarbeid på tvers av ansvarsområder. På andre viktige samfunnsområder – det være seg bosetting og integrering av flyktninger, barnevern, eller naturforvaltning, klima og forurensning, har staten sterke apparater i form av egne forvaltningsorganer som gir faglige råd, bygger kompetanse, forvalter tilskudd, og gir veiledning.  Men altså ikke på likestillingsfeltet. </w:t>
      </w:r>
    </w:p>
    <w:p w:rsidR="00AA605F" w:rsidRPr="00986165" w:rsidRDefault="00AA605F" w:rsidP="00AA605F">
      <w:pPr>
        <w:rPr>
          <w:sz w:val="24"/>
          <w:szCs w:val="24"/>
        </w:rPr>
      </w:pPr>
    </w:p>
    <w:p w:rsidR="00AA605F" w:rsidRPr="00986165" w:rsidRDefault="00AA605F" w:rsidP="00AA605F">
      <w:pPr>
        <w:rPr>
          <w:sz w:val="24"/>
          <w:szCs w:val="24"/>
        </w:rPr>
      </w:pPr>
      <w:r w:rsidRPr="00986165">
        <w:rPr>
          <w:sz w:val="24"/>
          <w:szCs w:val="24"/>
        </w:rPr>
        <w:t xml:space="preserve">Det offentlige likestillingsansvaret er kraftig utvidet de siste årene. Det er i dag et bredt diskrimineringsvern som skal ivaretas, og mange grunnlag som trenger aktivt likestillingsarbeid. Utvalget har helt konkrete anbefalinger om hva som er de beste rammene for et slikt framtidsrettet arbeid. De overleveres herved. </w:t>
      </w:r>
    </w:p>
    <w:p w:rsidR="00E03675" w:rsidRDefault="00E03675" w:rsidP="00B323AF">
      <w:pPr>
        <w:pStyle w:val="Tekst"/>
        <w:tabs>
          <w:tab w:val="left" w:pos="6237"/>
        </w:tabs>
        <w:spacing w:line="240" w:lineRule="exact"/>
      </w:pPr>
    </w:p>
    <w:p w:rsidR="00B323AF" w:rsidRDefault="00B323AF" w:rsidP="00B323AF">
      <w:pPr>
        <w:pStyle w:val="Tekst"/>
        <w:tabs>
          <w:tab w:val="left" w:pos="6237"/>
        </w:tabs>
        <w:spacing w:line="240" w:lineRule="exact"/>
      </w:pPr>
      <w:r>
        <w:tab/>
      </w:r>
    </w:p>
    <w:p w:rsidR="00E34307" w:rsidRDefault="00E34307" w:rsidP="00B323AF">
      <w:pPr>
        <w:pStyle w:val="Tekst"/>
        <w:tabs>
          <w:tab w:val="left" w:pos="6237"/>
        </w:tabs>
        <w:spacing w:line="240" w:lineRule="exact"/>
      </w:pPr>
    </w:p>
    <w:sectPr w:rsidR="00E34307" w:rsidSect="003B17BD">
      <w:headerReference w:type="first" r:id="rId6"/>
      <w:footerReference w:type="first" r:id="rId7"/>
      <w:pgSz w:w="11906" w:h="16838" w:code="9"/>
      <w:pgMar w:top="851" w:right="1418" w:bottom="1418" w:left="1418" w:header="567" w:footer="45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5A" w:rsidRDefault="000E0B5A" w:rsidP="00C566EA">
      <w:r>
        <w:separator/>
      </w:r>
    </w:p>
  </w:endnote>
  <w:endnote w:type="continuationSeparator" w:id="0">
    <w:p w:rsidR="000E0B5A" w:rsidRDefault="000E0B5A" w:rsidP="00C56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75" w:rsidRDefault="00E03675" w:rsidP="00306AB8">
    <w:pPr>
      <w:tabs>
        <w:tab w:val="left" w:pos="1843"/>
        <w:tab w:val="left" w:pos="1985"/>
      </w:tabs>
      <w:jc w:val="center"/>
      <w:rPr>
        <w:color w:val="000000"/>
      </w:rPr>
    </w:pPr>
    <w:r>
      <w:rPr>
        <w:color w:val="000000"/>
      </w:rPr>
      <w:t>Likestillingsutvalget</w:t>
    </w:r>
  </w:p>
  <w:p w:rsidR="00E03675" w:rsidRPr="00306AB8" w:rsidRDefault="00E03675" w:rsidP="00306AB8">
    <w:pPr>
      <w:tabs>
        <w:tab w:val="left" w:pos="1843"/>
        <w:tab w:val="left" w:pos="1985"/>
      </w:tabs>
      <w:jc w:val="center"/>
      <w:rPr>
        <w:color w:val="000000"/>
      </w:rPr>
    </w:pPr>
    <w:proofErr w:type="spellStart"/>
    <w:proofErr w:type="gramStart"/>
    <w:r>
      <w:t>Barne,-</w:t>
    </w:r>
    <w:proofErr w:type="spellEnd"/>
    <w:proofErr w:type="gramEnd"/>
    <w:r>
      <w:t xml:space="preserve"> likestillings- og inkluderingsdepartementet,</w:t>
    </w:r>
  </w:p>
  <w:p w:rsidR="00E03675" w:rsidRDefault="00E03675" w:rsidP="00306AB8">
    <w:pPr>
      <w:jc w:val="center"/>
    </w:pPr>
    <w:r>
      <w:t xml:space="preserve">Postboks 8036 Dep, 0030 OSLO </w:t>
    </w:r>
  </w:p>
  <w:p w:rsidR="00E03675" w:rsidRPr="00306AB8" w:rsidRDefault="00E03675" w:rsidP="00306AB8">
    <w:pPr>
      <w:jc w:val="center"/>
    </w:pPr>
    <w:r>
      <w:t xml:space="preserve">Tel. 22 24 90 </w:t>
    </w:r>
    <w:proofErr w:type="spellStart"/>
    <w:r>
      <w:t>90</w:t>
    </w:r>
    <w:proofErr w:type="spellEnd"/>
    <w:r>
      <w:t xml:space="preserve"> </w:t>
    </w:r>
    <w:proofErr w:type="spellStart"/>
    <w:r>
      <w:t>E.post</w:t>
    </w:r>
    <w:proofErr w:type="spellEnd"/>
    <w:r>
      <w:t>: postmottak@bld.dep.no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5A" w:rsidRDefault="000E0B5A" w:rsidP="00C566EA">
      <w:r>
        <w:separator/>
      </w:r>
    </w:p>
  </w:footnote>
  <w:footnote w:type="continuationSeparator" w:id="0">
    <w:p w:rsidR="000E0B5A" w:rsidRDefault="000E0B5A" w:rsidP="00C56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5A" w:rsidRDefault="000E0B5A" w:rsidP="000E0B5A">
    <w:pPr>
      <w:pStyle w:val="Topptekst"/>
      <w:spacing w:after="120"/>
      <w:jc w:val="center"/>
      <w:rPr>
        <w:b/>
        <w:bCs/>
        <w:spacing w:val="40"/>
        <w:sz w:val="32"/>
      </w:rPr>
    </w:pPr>
    <w:r>
      <w:rPr>
        <w:b/>
        <w:bCs/>
        <w:spacing w:val="40"/>
        <w:sz w:val="32"/>
      </w:rPr>
      <w:t>LIKESTILLINGSUTVALGET</w:t>
    </w:r>
  </w:p>
  <w:p w:rsidR="00E03675" w:rsidRPr="000E0B5A" w:rsidRDefault="000E0B5A" w:rsidP="000E0B5A">
    <w:pPr>
      <w:pStyle w:val="Topptekst"/>
      <w:spacing w:after="220"/>
      <w:jc w:val="center"/>
      <w:rPr>
        <w:rFonts w:ascii="Arial" w:hAnsi="Arial" w:cs="Arial"/>
        <w:spacing w:val="20"/>
        <w:sz w:val="18"/>
      </w:rPr>
    </w:pPr>
    <w:proofErr w:type="gramStart"/>
    <w:r>
      <w:rPr>
        <w:rFonts w:ascii="Arial" w:hAnsi="Arial" w:cs="Arial"/>
        <w:spacing w:val="20"/>
        <w:sz w:val="18"/>
        <w:szCs w:val="22"/>
      </w:rPr>
      <w:t>opprettet ved kgl.res.</w:t>
    </w:r>
    <w:proofErr w:type="gramEnd"/>
    <w:r>
      <w:rPr>
        <w:rFonts w:ascii="Arial" w:hAnsi="Arial" w:cs="Arial"/>
        <w:spacing w:val="20"/>
        <w:sz w:val="18"/>
        <w:szCs w:val="22"/>
      </w:rPr>
      <w:t xml:space="preserve"> 12. februar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5C67BD"/>
    <w:rsid w:val="000E0B5A"/>
    <w:rsid w:val="001117A2"/>
    <w:rsid w:val="00214B72"/>
    <w:rsid w:val="00255407"/>
    <w:rsid w:val="00306AB8"/>
    <w:rsid w:val="00325F70"/>
    <w:rsid w:val="003B17BD"/>
    <w:rsid w:val="003E1CA0"/>
    <w:rsid w:val="005A278B"/>
    <w:rsid w:val="005B1216"/>
    <w:rsid w:val="005C67BD"/>
    <w:rsid w:val="005D71C9"/>
    <w:rsid w:val="005E3585"/>
    <w:rsid w:val="00696668"/>
    <w:rsid w:val="006E5596"/>
    <w:rsid w:val="006F6894"/>
    <w:rsid w:val="00797579"/>
    <w:rsid w:val="00A24C72"/>
    <w:rsid w:val="00AA605F"/>
    <w:rsid w:val="00AC4BE2"/>
    <w:rsid w:val="00B13EE3"/>
    <w:rsid w:val="00B2148C"/>
    <w:rsid w:val="00B323AF"/>
    <w:rsid w:val="00B51C0F"/>
    <w:rsid w:val="00C566EA"/>
    <w:rsid w:val="00C86A56"/>
    <w:rsid w:val="00CB76F3"/>
    <w:rsid w:val="00D12008"/>
    <w:rsid w:val="00E03675"/>
    <w:rsid w:val="00E34307"/>
    <w:rsid w:val="00E53200"/>
    <w:rsid w:val="00F9051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E2"/>
  </w:style>
  <w:style w:type="paragraph" w:styleId="Overskrift1">
    <w:name w:val="heading 1"/>
    <w:basedOn w:val="Normal"/>
    <w:next w:val="Normal"/>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paragraph" w:styleId="NormalWeb">
    <w:name w:val="Normal (Web)"/>
    <w:basedOn w:val="Normal"/>
    <w:uiPriority w:val="99"/>
    <w:unhideWhenUsed/>
    <w:rsid w:val="00AA605F"/>
    <w:pPr>
      <w:spacing w:before="100" w:beforeAutospacing="1" w:after="100" w:afterAutospacing="1"/>
    </w:pPr>
    <w:rPr>
      <w:rFonts w:ascii="Arial" w:hAnsi="Arial" w:cs="Arial"/>
      <w:color w:val="000000"/>
      <w:sz w:val="18"/>
      <w:szCs w:val="18"/>
    </w:rPr>
  </w:style>
  <w:style w:type="character" w:customStyle="1" w:styleId="TopptekstTegn">
    <w:name w:val="Topptekst Tegn"/>
    <w:basedOn w:val="Standardskriftforavsnitt"/>
    <w:link w:val="Topptekst"/>
    <w:rsid w:val="000E0B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2191</Words>
  <Characters>14145</Characters>
  <Application>Microsoft Office Word</Application>
  <DocSecurity>4</DocSecurity>
  <Lines>117</Lines>
  <Paragraphs>32</Paragraphs>
  <ScaleCrop>false</ScaleCrop>
  <HeadingPairs>
    <vt:vector size="2" baseType="variant">
      <vt:variant>
        <vt:lpstr>Tittel</vt:lpstr>
      </vt:variant>
      <vt:variant>
        <vt:i4>1</vt:i4>
      </vt:variant>
    </vt:vector>
  </HeadingPairs>
  <TitlesOfParts>
    <vt:vector size="1" baseType="lpstr">
      <vt:lpstr>Adresse</vt:lpstr>
    </vt:vector>
  </TitlesOfParts>
  <Company>Statens Forvaltningstjeneste</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BLD1357</dc:creator>
  <cp:keywords/>
  <dc:description/>
  <cp:lastModifiedBy>bld1355</cp:lastModifiedBy>
  <cp:revision>2</cp:revision>
  <cp:lastPrinted>2010-05-12T11:50:00Z</cp:lastPrinted>
  <dcterms:created xsi:type="dcterms:W3CDTF">2011-11-29T15:44:00Z</dcterms:created>
  <dcterms:modified xsi:type="dcterms:W3CDTF">2011-11-29T15:44:00Z</dcterms:modified>
</cp:coreProperties>
</file>