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28C93" w14:textId="6E5A29C9" w:rsidR="006A6AFC" w:rsidRPr="006A6AFC" w:rsidRDefault="006A6AFC" w:rsidP="006A6AFC">
      <w:pPr>
        <w:pStyle w:val="PublTittel"/>
      </w:pPr>
      <w:r w:rsidRPr="006A6AFC">
        <w:t>Veileder for utenrikstjenestens arbeid med tros- og livssynsfrihet</w:t>
      </w:r>
    </w:p>
    <w:p w14:paraId="1492AB24" w14:textId="2157B25E" w:rsidR="00000000" w:rsidRPr="006A6AFC" w:rsidRDefault="00691445" w:rsidP="006A6AFC">
      <w:pPr>
        <w:pStyle w:val="UnOverskrift1"/>
      </w:pPr>
      <w:r w:rsidRPr="006A6AFC">
        <w:t>Forord</w:t>
      </w:r>
    </w:p>
    <w:p w14:paraId="6FFB94F4" w14:textId="7047AE83" w:rsidR="00572B1C" w:rsidRDefault="00572B1C" w:rsidP="006A6AFC">
      <w:r>
        <w:rPr>
          <w:noProof/>
        </w:rPr>
        <w:drawing>
          <wp:inline distT="0" distB="0" distL="0" distR="0" wp14:anchorId="61B34228" wp14:editId="2F28AC6E">
            <wp:extent cx="5438775" cy="2905125"/>
            <wp:effectExtent l="0" t="0" r="9525" b="9525"/>
            <wp:docPr id="21" name="Bilde 21"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Dekorativ illustrasj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8775" cy="2905125"/>
                    </a:xfrm>
                    <a:prstGeom prst="rect">
                      <a:avLst/>
                    </a:prstGeom>
                    <a:noFill/>
                    <a:ln>
                      <a:noFill/>
                    </a:ln>
                  </pic:spPr>
                </pic:pic>
              </a:graphicData>
            </a:graphic>
          </wp:inline>
        </w:drawing>
      </w:r>
    </w:p>
    <w:p w14:paraId="59BC3B13" w14:textId="7486BC88" w:rsidR="00000000" w:rsidRPr="006A6AFC" w:rsidRDefault="00691445" w:rsidP="006A6AFC">
      <w:r w:rsidRPr="006A6AFC">
        <w:t>I mange land verden over diskrimineres mennesker på grunn av sin tro eller sitt livssyn. Dette er en utvikling vi ser på med stor bekymring.</w:t>
      </w:r>
    </w:p>
    <w:p w14:paraId="25332E2E" w14:textId="66F0F7CC" w:rsidR="00000000" w:rsidRPr="006A6AFC" w:rsidRDefault="00691445" w:rsidP="006A6AFC">
      <w:r w:rsidRPr="006A6AFC">
        <w:t>En veileder for utenrikstjenestens arbeid med tros- og livssyns</w:t>
      </w:r>
      <w:r w:rsidRPr="006A6AFC">
        <w:t>minoriteters rettigheter ble lagt fram av Utenriksd</w:t>
      </w:r>
      <w:r w:rsidRPr="006A6AFC">
        <w:t>epartementet i 2013. Veilederen ble møtt med stor interesse og la grunnlaget for et nært samarbeid med engasjerte miljøer i inn- og utland. I det tiåret som snart har gått siden den gang har det internasjonale engasjementet på området vokst i takt med øken</w:t>
      </w:r>
      <w:r w:rsidRPr="006A6AFC">
        <w:t>de utfordringer.</w:t>
      </w:r>
    </w:p>
    <w:p w14:paraId="377F723A" w14:textId="77777777" w:rsidR="00000000" w:rsidRPr="006A6AFC" w:rsidRDefault="00691445" w:rsidP="006A6AFC">
      <w:r w:rsidRPr="006A6AFC">
        <w:t>Regjeringen vil arbeide for folkestyret og menneskerettighetene og det skal legges særlig vekt på ytringsfrihet, forsamlingsfrihet og tros- og livssynsfrihet. Denne oppdaterte veilederen løfter frem to områder på tros- og livssynsfeltet hv</w:t>
      </w:r>
      <w:r w:rsidRPr="006A6AFC">
        <w:t>or det er behov for ytterligere innsats. Dette gjelder betydningen av kjønn og likestilling i arbeidet med tros- og livssynsfrihet. Det gjelder også for ytringsfrihetens møte med tros- og livssynsfrihet.</w:t>
      </w:r>
    </w:p>
    <w:p w14:paraId="2F4DFAE8" w14:textId="77777777" w:rsidR="00000000" w:rsidRPr="006A6AFC" w:rsidRDefault="00691445" w:rsidP="006A6AFC">
      <w:r w:rsidRPr="006A6AFC">
        <w:t xml:space="preserve">Mens den første veilederen i større grad satte </w:t>
      </w:r>
      <w:proofErr w:type="gramStart"/>
      <w:r w:rsidRPr="006A6AFC">
        <w:t>fokus</w:t>
      </w:r>
      <w:proofErr w:type="gramEnd"/>
      <w:r w:rsidRPr="006A6AFC">
        <w:t xml:space="preserve"> på tros- og livssynsminoriteters rettigheter, gir den nye veilederen mer oppmerksomhet til tros- og livssynsfrihet for </w:t>
      </w:r>
      <w:r w:rsidRPr="006A6AFC">
        <w:rPr>
          <w:rStyle w:val="kursiv"/>
        </w:rPr>
        <w:t>alle</w:t>
      </w:r>
      <w:r w:rsidRPr="006A6AFC">
        <w:t>, ikke kun minoriteter. Vi ser samtidig at det fortsatt er mange eksempler på at tros- og livssynsminoriteter diskrimineres og forfø</w:t>
      </w:r>
      <w:r w:rsidRPr="006A6AFC">
        <w:t>lges verden over.</w:t>
      </w:r>
    </w:p>
    <w:p w14:paraId="5D9F55F8" w14:textId="77777777" w:rsidR="00000000" w:rsidRPr="006A6AFC" w:rsidRDefault="00691445" w:rsidP="006A6AFC">
      <w:r w:rsidRPr="006A6AFC">
        <w:t xml:space="preserve">Det at religion brukes i politisk mobilisering er ikke noe nytt. Religiøs tro, doktriner, tradisjoner og praksis har i hundrevis av år blitt brukt til å rettferdiggjøre diskriminering og ekskludering av jenter, kvinner, og skeive. Det er </w:t>
      </w:r>
      <w:r w:rsidRPr="006A6AFC">
        <w:t>viktig å understreke at menneskerettighetene er for alle, uavhengig av tro, seksuell orientering eller kjønnsidentitet. Dette er spørsmål vi har viet et eget kapittel i veilederen.</w:t>
      </w:r>
    </w:p>
    <w:p w14:paraId="44B1F411" w14:textId="77777777" w:rsidR="00000000" w:rsidRPr="006A6AFC" w:rsidRDefault="00691445" w:rsidP="006A6AFC">
      <w:r w:rsidRPr="006A6AFC">
        <w:t>Gode kår for ytringsfrihet betinger politikk som fremmer inkludering, toler</w:t>
      </w:r>
      <w:r w:rsidRPr="006A6AFC">
        <w:t>anse og mangfold. Tros- og livssynsfrihet beskytter enkeltpersoner, men kan ikke brukes som et argument mot kritikk av religiøs tro eller praksis. Religionskritikk skal være tillatt. Vi ser samtidig at det i skjæringspunktet mellom ytringsfrihet og tros- o</w:t>
      </w:r>
      <w:r w:rsidRPr="006A6AFC">
        <w:t>g livssynsfrihet oppstår uenighet. Det er derfor behov for god kunnskap og nyanserte budskap og vi har viet et eget kapittel til disse spørsmålene.</w:t>
      </w:r>
    </w:p>
    <w:p w14:paraId="79ED1C5E" w14:textId="72EF55B3" w:rsidR="00000000" w:rsidRPr="006A6AFC" w:rsidRDefault="00691445" w:rsidP="006A6AFC">
      <w:r w:rsidRPr="006A6AFC">
        <w:t>Tros- og livssynsfrihet har betydning for vårt arbeid for å virkeliggjøre FNs bærekraftsmål og sikre at inge</w:t>
      </w:r>
      <w:r w:rsidRPr="006A6AFC">
        <w:t>n utelates. Tros- og livssyns</w:t>
      </w:r>
      <w:r w:rsidRPr="006A6AFC">
        <w:t>minoriteter lever ofte i ytterkanten av samfunnet uten å få oppfylt sine rettigheter. Vi understreker at diskriminering på bakgrunn av tros- eller livssyn bryter med menneskerettighetene, og fastholder at tros- og livssyns</w:t>
      </w:r>
      <w:r w:rsidRPr="006A6AFC">
        <w:t>fri</w:t>
      </w:r>
      <w:r w:rsidRPr="006A6AFC">
        <w:t>het er en rettighet som må sees i nær sammenheng med andre menneskerettigheter.</w:t>
      </w:r>
    </w:p>
    <w:p w14:paraId="18664D71" w14:textId="77777777" w:rsidR="00000000" w:rsidRPr="006A6AFC" w:rsidRDefault="00691445" w:rsidP="006A6AFC">
      <w:r w:rsidRPr="006A6AFC">
        <w:lastRenderedPageBreak/>
        <w:t>Det er viktig å ha kunnskap om hvilke utfordringer vi selv har stått i, og fortsatt står i, i internasjonale samtaler om disse spørsmålene. Denne veilederen inneholder derfor o</w:t>
      </w:r>
      <w:r w:rsidRPr="006A6AFC">
        <w:t>gså et eget kapittel om vår egen historie og erfaringer på tros- og livssynsområdet i Norge.</w:t>
      </w:r>
    </w:p>
    <w:p w14:paraId="27B5B54E" w14:textId="77777777" w:rsidR="00000000" w:rsidRPr="006A6AFC" w:rsidRDefault="00691445" w:rsidP="006A6AFC">
      <w:r w:rsidRPr="006A6AFC">
        <w:t>Formålet med den oppdaterte veilederen er å gjøre utenrikstjenesten bedre i stand til å støtte opp om den innsatsen som gjøres for å fremme tros- og livssynsfrihet</w:t>
      </w:r>
      <w:r w:rsidRPr="006A6AFC">
        <w:t xml:space="preserve"> basert på menneskerettighetene. Vi håper denne veilederen vil være et nyttig bidrag til utenrikstjenestens arbeid på feltet.</w:t>
      </w:r>
    </w:p>
    <w:p w14:paraId="00F92F3B" w14:textId="3A9519F2" w:rsidR="00000000" w:rsidRPr="006A6AFC" w:rsidRDefault="00BF3AD8" w:rsidP="006A6AFC">
      <w:r>
        <w:rPr>
          <w:noProof/>
        </w:rPr>
        <w:drawing>
          <wp:inline distT="0" distB="0" distL="0" distR="0" wp14:anchorId="3F86688C" wp14:editId="6F2E7FB5">
            <wp:extent cx="1771650" cy="190500"/>
            <wp:effectExtent l="0" t="0" r="0" b="0"/>
            <wp:docPr id="10" name="Bilde 10" descr="Signatur, Anniken Huitfel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Signatur, Anniken Huitfeld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190500"/>
                    </a:xfrm>
                    <a:prstGeom prst="rect">
                      <a:avLst/>
                    </a:prstGeom>
                    <a:noFill/>
                    <a:ln>
                      <a:noFill/>
                    </a:ln>
                  </pic:spPr>
                </pic:pic>
              </a:graphicData>
            </a:graphic>
          </wp:inline>
        </w:drawing>
      </w:r>
    </w:p>
    <w:p w14:paraId="72959F41" w14:textId="77777777" w:rsidR="00000000" w:rsidRPr="006A6AFC" w:rsidRDefault="00691445" w:rsidP="006A6AFC">
      <w:r w:rsidRPr="006A6AFC">
        <w:t>Anniken Huitfeldt</w:t>
      </w:r>
      <w:r w:rsidRPr="006A6AFC">
        <w:br/>
      </w:r>
      <w:r w:rsidRPr="006A6AFC">
        <w:rPr>
          <w:rStyle w:val="kursiv"/>
        </w:rPr>
        <w:t>Utenriksminister</w:t>
      </w:r>
    </w:p>
    <w:p w14:paraId="710B82FD" w14:textId="7DB1ACE8" w:rsidR="00000000" w:rsidRPr="006A6AFC" w:rsidRDefault="00BF3AD8" w:rsidP="006A6AFC">
      <w:r>
        <w:rPr>
          <w:noProof/>
        </w:rPr>
        <w:drawing>
          <wp:inline distT="0" distB="0" distL="0" distR="0" wp14:anchorId="08DEA227" wp14:editId="573EBBF6">
            <wp:extent cx="1924050" cy="314325"/>
            <wp:effectExtent l="0" t="0" r="0" b="9525"/>
            <wp:docPr id="11" name="Bilde 11" descr="Signatur, Anne Beathe Tvinnere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Signatur, Anne Beathe Tvinnere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050" cy="314325"/>
                    </a:xfrm>
                    <a:prstGeom prst="rect">
                      <a:avLst/>
                    </a:prstGeom>
                    <a:noFill/>
                    <a:ln>
                      <a:noFill/>
                    </a:ln>
                  </pic:spPr>
                </pic:pic>
              </a:graphicData>
            </a:graphic>
          </wp:inline>
        </w:drawing>
      </w:r>
    </w:p>
    <w:p w14:paraId="61AD0B62" w14:textId="77777777" w:rsidR="00000000" w:rsidRPr="006A6AFC" w:rsidRDefault="00691445" w:rsidP="006A6AFC">
      <w:r w:rsidRPr="006A6AFC">
        <w:t>Anne Beathe Tvinnereim</w:t>
      </w:r>
      <w:r w:rsidRPr="006A6AFC">
        <w:t xml:space="preserve"> </w:t>
      </w:r>
      <w:r w:rsidRPr="006A6AFC">
        <w:br/>
      </w:r>
      <w:r w:rsidRPr="006A6AFC">
        <w:rPr>
          <w:rStyle w:val="kursiv"/>
        </w:rPr>
        <w:t>Utviklingsminister</w:t>
      </w:r>
    </w:p>
    <w:p w14:paraId="469AA8F6" w14:textId="77777777" w:rsidR="00000000" w:rsidRPr="006A6AFC" w:rsidRDefault="00691445" w:rsidP="006A6AFC">
      <w:pPr>
        <w:pStyle w:val="Overskrift1"/>
      </w:pPr>
      <w:r w:rsidRPr="006A6AFC">
        <w:t>Introduksjon til arbeidet med tros- og livssynsfrihet</w:t>
      </w:r>
    </w:p>
    <w:p w14:paraId="3650B099" w14:textId="77777777" w:rsidR="00000000" w:rsidRPr="006A6AFC" w:rsidRDefault="00691445" w:rsidP="006A6AFC">
      <w:r w:rsidRPr="006A6AFC">
        <w:t>Tros- og livssynsfriheten gir alle mennesker rett til å utøve sin religion eller overbevisning, alene eller sammen med andre, offentlig eller privat. Tros- og livssynsfriheten er te</w:t>
      </w:r>
      <w:r w:rsidRPr="006A6AFC">
        <w:t>tt forbundet med organisasjons- og foreningsfriheten. Det individuelle og det kollektive henger med andre ord tett sammen.</w:t>
      </w:r>
    </w:p>
    <w:p w14:paraId="50939F25" w14:textId="77777777" w:rsidR="00000000" w:rsidRPr="006A6AFC" w:rsidRDefault="00691445" w:rsidP="006A6AFC">
      <w:r w:rsidRPr="006A6AFC">
        <w:t xml:space="preserve">Friheten til tanke, samvittighet, religion og overbevisning er noe av det mest grunnleggende for et menneske. Å ha en religiøs eller </w:t>
      </w:r>
      <w:r w:rsidRPr="006A6AFC">
        <w:t>ikke-religiøs overbevisning, og å skifte religion eller overbevisning, er derfor også en rettighet det ikke skal gjøres inngrep i. Adgangen til å gi uttrykk for sin religion eller sitt livssyn, alene eller sammen med andre, kan derimot begrenses, blant ann</w:t>
      </w:r>
      <w:r w:rsidRPr="006A6AFC">
        <w:t xml:space="preserve">et for å sikre andres rettigheter og friheter. Tros- og livssynsfriheten er ikke </w:t>
      </w:r>
      <w:proofErr w:type="gramStart"/>
      <w:r w:rsidRPr="006A6AFC">
        <w:t>absolutt</w:t>
      </w:r>
      <w:proofErr w:type="gramEnd"/>
      <w:r w:rsidRPr="006A6AFC">
        <w:t xml:space="preserve"> og den gir ikke rett til å diskriminere andre. Det gis en mer utførlig omtale av det normative grunnlaget for retten til tros- og livssynsfrihet i vedlegg 1.</w:t>
      </w:r>
    </w:p>
    <w:p w14:paraId="4A4D25CF" w14:textId="77777777" w:rsidR="00000000" w:rsidRPr="006A6AFC" w:rsidRDefault="00691445" w:rsidP="006A6AFC">
      <w:r w:rsidRPr="006A6AFC">
        <w:t xml:space="preserve">I mange </w:t>
      </w:r>
      <w:r w:rsidRPr="006A6AFC">
        <w:t xml:space="preserve">land blir henvisning til religion og religiøse argumenter ofte brukt som et virkemiddel i politikken eller for å rekruttere til religiøse grupper som fremmer tolkninger av hellige skrifter som kan forsvare diskriminering og voldsbruk. Dette utfordrer våre </w:t>
      </w:r>
      <w:r w:rsidRPr="006A6AFC">
        <w:t xml:space="preserve">verdier knyttet til blant annet likestilling, ytringsfrihet og rettigheter for etniske, språklige og religiøse minoriteter, seksuelle minoriteter og kjønnsminoriteter. Grunnleggende prinsipper som ikke-diskriminering og likhet for loven blir truet og både </w:t>
      </w:r>
      <w:r w:rsidRPr="006A6AFC">
        <w:t>majoriteter og minoriteter i et samfunn kan bli rammet.</w:t>
      </w:r>
    </w:p>
    <w:p w14:paraId="0CB04819" w14:textId="77777777" w:rsidR="00000000" w:rsidRPr="006A6AFC" w:rsidRDefault="00691445" w:rsidP="006A6AFC">
      <w:r w:rsidRPr="006A6AFC">
        <w:t>Diskusjonene om tros- og livssynsfrihet er preget av motstridende interesser og maktrelasjoner, enten det gjelder stater, frivillige organisasjoner, religiøse eller ikke-religiøse aktører. Det bør ikk</w:t>
      </w:r>
      <w:r w:rsidRPr="006A6AFC">
        <w:t>e brukes argumentasjon om sannhetsinnholdet i den enkelte religion eller livssyn, men argumentere for individets grunnleggende verdier og retten til fritt å velge et tros- eller livssyn, alene eller i felleskap.</w:t>
      </w:r>
    </w:p>
    <w:p w14:paraId="61CAAF03" w14:textId="62B7A47E" w:rsidR="00000000" w:rsidRPr="006A6AFC" w:rsidRDefault="00691445" w:rsidP="006A6AFC">
      <w:r w:rsidRPr="006A6AFC">
        <w:lastRenderedPageBreak/>
        <w:t>Regjeringen vil arbeide mot innskrenkning av</w:t>
      </w:r>
      <w:r w:rsidRPr="006A6AFC">
        <w:t xml:space="preserve"> folkestyre og menneskerettighets</w:t>
      </w:r>
      <w:r w:rsidRPr="006A6AFC">
        <w:t>brudd uansett hvor de måtte bli begått, med særlig vekt på å beskytte og fremme ytrings-, tros- og forsamlingsfrihet.</w:t>
      </w:r>
    </w:p>
    <w:p w14:paraId="37A8EE51" w14:textId="77777777" w:rsidR="00000000" w:rsidRPr="006A6AFC" w:rsidRDefault="00691445" w:rsidP="006A6AFC">
      <w:r w:rsidRPr="006A6AFC">
        <w:t>Målsettingene for arbeidet med tros- og livssynsfrihet innebærer (i) at enkeltindivider og grupper har r</w:t>
      </w:r>
      <w:r w:rsidRPr="006A6AFC">
        <w:t>ettsvern og lik tilgang til velferdstjenester, slik at ingen diskrimineres på grunnlag av sin tro eller sitt livssyn. Det innebærer videre (ii) at sivilt samfunn har handlingsrom til å fremme tros- og livssynsfrihet, (iii) at nasjonale myndigheter og priva</w:t>
      </w:r>
      <w:r w:rsidRPr="006A6AFC">
        <w:t>te aktører støtter opp om tros- og livssynsfrihet i lov og praksis, (iv) og at internasjonale aktører utfordrer og stiller nasjonale myndigheter til ansvar, med hensyn til tros- og livssynsfrihet og religiøse minoriteters rettigheter.</w:t>
      </w:r>
    </w:p>
    <w:p w14:paraId="66CB664D" w14:textId="3A2E6857" w:rsidR="00000000" w:rsidRPr="006A6AFC" w:rsidRDefault="00691445" w:rsidP="006A6AFC">
      <w:r w:rsidRPr="006A6AFC">
        <w:t>For sivile samfunnsak</w:t>
      </w:r>
      <w:r w:rsidRPr="006A6AFC">
        <w:t>tører handler det om å sikre at grupper og individer har kunnskap og bevissthet om trosfrihet, at de kan dokumentere og formidle brudd på tros- og livssynsfriheten, og drive påvirkningsarbeid for å inkludere tros- og livssynsfrihet i lovverket og sikre gje</w:t>
      </w:r>
      <w:r w:rsidRPr="006A6AFC">
        <w:t>nnom</w:t>
      </w:r>
      <w:r w:rsidRPr="006A6AFC">
        <w:t>føringen av disse. For internasjonale aktører, som FN og andre multilaterale og regionale organisasjoner, dreier det seg om å stille krav til nasjonale myndigheter om å oppfylle deres internasjonale menneskerettighetsforpliktelser, herunder overholdel</w:t>
      </w:r>
      <w:r w:rsidRPr="006A6AFC">
        <w:t>se av tros- og livssynsfriheten.</w:t>
      </w:r>
    </w:p>
    <w:p w14:paraId="24207FC0" w14:textId="2165A108" w:rsidR="00000000" w:rsidRPr="006A6AFC" w:rsidRDefault="00691445" w:rsidP="006A6AFC">
      <w:r w:rsidRPr="006A6AFC">
        <w:t>Seksjon for demokrati, menneskerettigheter og likestilling i Multilateral avdeling har et tematisk ansvar for Utenrikstjenestens arbeid med tros- og livssynsfrihet, men samarbeider nært med geografiseksjonene om spørsmål so</w:t>
      </w:r>
      <w:r w:rsidRPr="006A6AFC">
        <w:t>m berører enkeltland. Arbeidet ledes av en spesial</w:t>
      </w:r>
      <w:r w:rsidRPr="006A6AFC">
        <w:t>representant som også forvalter økonomisk støtte til norske og internasjonale samarbeidspartnere. Direktoratet for utviklingssamarbeid (Norad) støtter også arbeid med tros- og livssynsfrihet innenfor ramme</w:t>
      </w:r>
      <w:r w:rsidRPr="006A6AFC">
        <w:t>n av samarbeidet med sivilt samfunn.</w:t>
      </w:r>
    </w:p>
    <w:p w14:paraId="0DD1B22F" w14:textId="52DF7810" w:rsidR="00000000" w:rsidRPr="006A6AFC" w:rsidRDefault="00691445" w:rsidP="006A6AFC">
      <w:r w:rsidRPr="006A6AFC">
        <w:t xml:space="preserve">Oppdaterte budskapspunkter på norsk og engelsk er </w:t>
      </w:r>
      <w:r w:rsidRPr="006A6AFC">
        <w:t>tilgjengelig på budskapsplattformen på UD-</w:t>
      </w:r>
      <w:proofErr w:type="spellStart"/>
      <w:r w:rsidRPr="006A6AFC">
        <w:t>intra</w:t>
      </w:r>
      <w:proofErr w:type="spellEnd"/>
      <w:r w:rsidRPr="006A6AFC">
        <w:t xml:space="preserve"> som ligger under arbeidsstøtte og ressurser. Seksjon for menneskerettigheter, demokrati og likestilling er tilgjengelig </w:t>
      </w:r>
      <w:r w:rsidRPr="006A6AFC">
        <w:t xml:space="preserve">for spørsmål om avklaringer av norske posisjoner på feltet og kan kontaktes på følgende e-post: </w:t>
      </w:r>
      <w:hyperlink r:id="rId10" w:history="1">
        <w:r w:rsidRPr="006A6AFC">
          <w:rPr>
            <w:rStyle w:val="Hyperkobling"/>
          </w:rPr>
          <w:t>seksjon.for.menneskerettigheter.demokrati.og.likestilling@mfa.no</w:t>
        </w:r>
      </w:hyperlink>
    </w:p>
    <w:p w14:paraId="40AD68DA" w14:textId="77777777" w:rsidR="00000000" w:rsidRPr="006A6AFC" w:rsidRDefault="00691445" w:rsidP="006A6AFC">
      <w:pPr>
        <w:pStyle w:val="UnOverskrift2"/>
      </w:pPr>
      <w:r w:rsidRPr="006A6AFC">
        <w:t>Hva kan utenrikstjenesten gjøre?</w:t>
      </w:r>
    </w:p>
    <w:p w14:paraId="579C3A60" w14:textId="77777777" w:rsidR="00000000" w:rsidRPr="006A6AFC" w:rsidRDefault="00691445" w:rsidP="006A6AFC">
      <w:pPr>
        <w:pStyle w:val="Listebombe"/>
      </w:pPr>
      <w:r w:rsidRPr="006A6AFC">
        <w:t>Ha kunnskap om situasjonen for tros- og livssynsfriheten i tjenestelandet, med vekt på både rettslige og faktiske begrensninger slik disse i noen land kan bli definert av myndigheter, familie, lokalsamfunn eller ekstremi</w:t>
      </w:r>
      <w:r w:rsidRPr="006A6AFC">
        <w:t>stgrupper.</w:t>
      </w:r>
    </w:p>
    <w:p w14:paraId="1F786425" w14:textId="620DD494" w:rsidR="00000000" w:rsidRPr="006A6AFC" w:rsidRDefault="00691445" w:rsidP="006A6AFC">
      <w:pPr>
        <w:pStyle w:val="Listebombe"/>
      </w:pPr>
      <w:r w:rsidRPr="006A6AFC">
        <w:t>Å ha direkte kontakt med religiøse grupperinger og represen</w:t>
      </w:r>
      <w:r w:rsidRPr="006A6AFC">
        <w:t xml:space="preserve">tanter for ulike minoritetsgrupper, inkludert interreligiøse forum som fremmer tros- og livssynsfrihet basert på respekt for menneskerettighetene. </w:t>
      </w:r>
    </w:p>
    <w:p w14:paraId="68A6AF2A" w14:textId="3CF04B82" w:rsidR="00000000" w:rsidRPr="006A6AFC" w:rsidRDefault="00691445" w:rsidP="006A6AFC">
      <w:pPr>
        <w:pStyle w:val="Listebombe"/>
      </w:pPr>
      <w:r w:rsidRPr="006A6AFC">
        <w:t>Gjøre seg kjent med mål</w:t>
      </w:r>
      <w:r w:rsidRPr="006A6AFC">
        <w:t xml:space="preserve">hierarkiet for Norges arbeid med tros- og livssynsfrihet og sikre at tiltak på feltet er i tråd med målhierarkiet </w:t>
      </w:r>
      <w:r w:rsidRPr="006A6AFC">
        <w:rPr>
          <w:rStyle w:val="kursiv"/>
        </w:rPr>
        <w:t>(Vedlegg 3</w:t>
      </w:r>
      <w:r w:rsidRPr="006A6AFC">
        <w:rPr>
          <w:rStyle w:val="kursiv"/>
        </w:rPr>
        <w:t>)</w:t>
      </w:r>
      <w:r w:rsidRPr="006A6AFC">
        <w:t>.</w:t>
      </w:r>
    </w:p>
    <w:p w14:paraId="5D9AC249" w14:textId="47A118A4" w:rsidR="00000000" w:rsidRPr="006A6AFC" w:rsidRDefault="00691445" w:rsidP="006A6AFC">
      <w:pPr>
        <w:pStyle w:val="Listebombe"/>
      </w:pPr>
      <w:r w:rsidRPr="006A6AFC">
        <w:t xml:space="preserve">Vurdere om utfordringer knyttet til tros- og livssynsfrihet bør </w:t>
      </w:r>
      <w:proofErr w:type="gramStart"/>
      <w:r w:rsidRPr="006A6AFC">
        <w:t>integreres</w:t>
      </w:r>
      <w:proofErr w:type="gramEnd"/>
      <w:r w:rsidRPr="006A6AFC">
        <w:t xml:space="preserve"> i utviklingssamarbeidet, og</w:t>
      </w:r>
      <w:r w:rsidRPr="006A6AFC">
        <w:t xml:space="preserve"> vurdere å gi finansiell eller faglig støtte til særlig relevante myndighetsinstitusjoner eller sivilsamfunns</w:t>
      </w:r>
      <w:r w:rsidRPr="006A6AFC">
        <w:t>aktører som arbeider med tros- og livssynsfrihet.</w:t>
      </w:r>
    </w:p>
    <w:p w14:paraId="151C572B" w14:textId="77777777" w:rsidR="00000000" w:rsidRPr="006A6AFC" w:rsidRDefault="00691445" w:rsidP="006A6AFC">
      <w:pPr>
        <w:pStyle w:val="Listebombe"/>
      </w:pPr>
      <w:r w:rsidRPr="006A6AFC">
        <w:t>Jobbe for å hindre at enkelte minoritetsgrupper systematisk ekskluderes fra støtteordninger i ut</w:t>
      </w:r>
      <w:r w:rsidRPr="006A6AFC">
        <w:t>viklingssamarbeidet på grunn av rådende religiøse og kulturelle holdninger i tjenestelandet.</w:t>
      </w:r>
    </w:p>
    <w:p w14:paraId="7B48CEA1" w14:textId="77777777" w:rsidR="00000000" w:rsidRPr="006A6AFC" w:rsidRDefault="00691445" w:rsidP="006A6AFC">
      <w:pPr>
        <w:pStyle w:val="Listebombe"/>
      </w:pPr>
      <w:r w:rsidRPr="006A6AFC">
        <w:lastRenderedPageBreak/>
        <w:t>Tilegne seg informasjon om hvorvidt den gjeldende stat er tilsluttet FN-konvensjonen om sivile og politiske rettigheter og om den har reservert seg mot relevante p</w:t>
      </w:r>
      <w:r w:rsidRPr="006A6AFC">
        <w:t>aragrafer.</w:t>
      </w:r>
    </w:p>
    <w:p w14:paraId="332BF7AA" w14:textId="77777777" w:rsidR="00000000" w:rsidRPr="006A6AFC" w:rsidRDefault="00691445" w:rsidP="006A6AFC">
      <w:pPr>
        <w:pStyle w:val="Listebombe"/>
      </w:pPr>
      <w:r w:rsidRPr="006A6AFC">
        <w:t xml:space="preserve">Bidra til utformingen av norske anbefalinger på tros- og livssynsfeltet overfor enkeltland i Universal </w:t>
      </w:r>
      <w:proofErr w:type="spellStart"/>
      <w:r w:rsidRPr="006A6AFC">
        <w:t>Periodic</w:t>
      </w:r>
      <w:proofErr w:type="spellEnd"/>
      <w:r w:rsidRPr="006A6AFC">
        <w:t xml:space="preserve"> </w:t>
      </w:r>
      <w:proofErr w:type="spellStart"/>
      <w:r w:rsidRPr="006A6AFC">
        <w:t>Review</w:t>
      </w:r>
      <w:proofErr w:type="spellEnd"/>
      <w:r w:rsidRPr="006A6AFC">
        <w:t xml:space="preserve"> (UPR) i FNs menneskerettighetsråd.</w:t>
      </w:r>
    </w:p>
    <w:p w14:paraId="38C9144B" w14:textId="77777777" w:rsidR="00000000" w:rsidRPr="006A6AFC" w:rsidRDefault="00691445" w:rsidP="006A6AFC">
      <w:pPr>
        <w:pStyle w:val="Listebombe"/>
      </w:pPr>
      <w:r w:rsidRPr="006A6AFC">
        <w:t>Vurdere å støtte dialog mellom myndigheter og sivilt samfunn for å bidra til større åpenhet</w:t>
      </w:r>
      <w:r w:rsidRPr="006A6AFC">
        <w:t>en rundt tros- og livssynsfrihet.</w:t>
      </w:r>
    </w:p>
    <w:p w14:paraId="151C4B6E" w14:textId="77777777" w:rsidR="00000000" w:rsidRPr="006A6AFC" w:rsidRDefault="00691445" w:rsidP="006A6AFC">
      <w:pPr>
        <w:pStyle w:val="Listebombe"/>
      </w:pPr>
      <w:r w:rsidRPr="006A6AFC">
        <w:t xml:space="preserve">Inkludere tros- og livssynsfrihet som del av dialogen med myndigheter og sivilt samfunn på landnivå der utfordringer er identifisert. Det åpner muligheten for bevisstgjøring om tematikkens betydning og oppfølging av norsk </w:t>
      </w:r>
      <w:r w:rsidRPr="006A6AFC">
        <w:t>politikk på området.</w:t>
      </w:r>
    </w:p>
    <w:p w14:paraId="798667B1" w14:textId="77777777" w:rsidR="00000000" w:rsidRPr="006A6AFC" w:rsidRDefault="00691445" w:rsidP="006A6AFC">
      <w:pPr>
        <w:pStyle w:val="Listebombe"/>
      </w:pPr>
      <w:r w:rsidRPr="006A6AFC">
        <w:t>Identifisere samarbeidspartnere, både norske og internasjonale som jobber på tvers av trosfrihets- og likestillingsfeltet og være i dialog med disse.</w:t>
      </w:r>
    </w:p>
    <w:p w14:paraId="3444DC00" w14:textId="41D58010" w:rsidR="00000000" w:rsidRDefault="00691445" w:rsidP="006A6AFC">
      <w:pPr>
        <w:pStyle w:val="Listebombe"/>
      </w:pPr>
      <w:r w:rsidRPr="006A6AFC">
        <w:t>Samarbeide med nærstående land, inkludert innen rammen av den mellomstatlige trosfrih</w:t>
      </w:r>
      <w:r w:rsidRPr="006A6AFC">
        <w:t xml:space="preserve">etsalliansen «International </w:t>
      </w:r>
      <w:proofErr w:type="spellStart"/>
      <w:r w:rsidRPr="006A6AFC">
        <w:t>Religious</w:t>
      </w:r>
      <w:proofErr w:type="spellEnd"/>
      <w:r w:rsidRPr="006A6AFC">
        <w:t xml:space="preserve"> </w:t>
      </w:r>
      <w:proofErr w:type="spellStart"/>
      <w:r w:rsidRPr="006A6AFC">
        <w:t>Freedom</w:t>
      </w:r>
      <w:proofErr w:type="spellEnd"/>
      <w:r w:rsidRPr="006A6AFC">
        <w:t xml:space="preserve"> or </w:t>
      </w:r>
      <w:proofErr w:type="spellStart"/>
      <w:r w:rsidRPr="006A6AFC">
        <w:t>Belief</w:t>
      </w:r>
      <w:proofErr w:type="spellEnd"/>
      <w:r w:rsidRPr="006A6AFC">
        <w:t xml:space="preserve"> Alliance (IRFBA)». Alliansen som Norge er en del av består av om lag 40 land som har utviklet felles posisjoner på sentrale spørsmål. Samarbeid på landnivå med landene i alliansen vil kunne være nytti</w:t>
      </w:r>
      <w:r w:rsidRPr="006A6AFC">
        <w:t xml:space="preserve">g, selv om politikken på noen områder kan være ulik </w:t>
      </w:r>
      <w:r w:rsidRPr="006A6AFC">
        <w:rPr>
          <w:rStyle w:val="kursiv"/>
        </w:rPr>
        <w:t>(Vedlegg 4)</w:t>
      </w:r>
      <w:r w:rsidRPr="006A6AFC">
        <w:t xml:space="preserve">. </w:t>
      </w:r>
    </w:p>
    <w:p w14:paraId="369EAD38" w14:textId="1B55C24F" w:rsidR="00572B1C" w:rsidRPr="006A6AFC" w:rsidRDefault="00572B1C" w:rsidP="00572B1C">
      <w:r>
        <w:rPr>
          <w:noProof/>
        </w:rPr>
        <w:drawing>
          <wp:inline distT="0" distB="0" distL="0" distR="0" wp14:anchorId="28DC10A7" wp14:editId="50169257">
            <wp:extent cx="5438775" cy="2847975"/>
            <wp:effectExtent l="0" t="0" r="9525" b="9525"/>
            <wp:docPr id="20" name="Bilde 20"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Dekorativ illustrasj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8775" cy="2847975"/>
                    </a:xfrm>
                    <a:prstGeom prst="rect">
                      <a:avLst/>
                    </a:prstGeom>
                    <a:noFill/>
                    <a:ln>
                      <a:noFill/>
                    </a:ln>
                  </pic:spPr>
                </pic:pic>
              </a:graphicData>
            </a:graphic>
          </wp:inline>
        </w:drawing>
      </w:r>
    </w:p>
    <w:p w14:paraId="50B8B8A7" w14:textId="77777777" w:rsidR="00000000" w:rsidRPr="006A6AFC" w:rsidRDefault="00691445" w:rsidP="006A6AFC">
      <w:pPr>
        <w:pStyle w:val="Overskrift1"/>
      </w:pPr>
      <w:r w:rsidRPr="006A6AFC">
        <w:t>Norsk historie og erfaringer</w:t>
      </w:r>
      <w:r w:rsidRPr="006A6AFC">
        <w:rPr>
          <w:rStyle w:val="Fotnotereferanse"/>
        </w:rPr>
        <w:footnoteReference w:id="1"/>
      </w:r>
    </w:p>
    <w:p w14:paraId="5990B18A" w14:textId="77777777" w:rsidR="00000000" w:rsidRPr="006A6AFC" w:rsidRDefault="00691445" w:rsidP="006A6AFC">
      <w:r w:rsidRPr="006A6AFC">
        <w:t>Representanter for andre stater vil ofte være kjent med det tidligere statskirkesystemet i Norg</w:t>
      </w:r>
      <w:r w:rsidRPr="006A6AFC">
        <w:t xml:space="preserve">e. Denne kunnskapen om statskirkesystemet kan bli brukt mot våre argumenter for religionsfrihet og et mangfoldig og liberalt samfunn. En viss bakgrunnskunnskap om norsk </w:t>
      </w:r>
      <w:proofErr w:type="spellStart"/>
      <w:r w:rsidRPr="006A6AFC">
        <w:t>religionspolitisk</w:t>
      </w:r>
      <w:proofErr w:type="spellEnd"/>
      <w:r w:rsidRPr="006A6AFC">
        <w:t xml:space="preserve"> historie og utviklingen fra religionshegemoni til dagens livssynsåpne</w:t>
      </w:r>
      <w:r w:rsidRPr="006A6AFC">
        <w:t xml:space="preserve"> og mangfoldige samfunn vil derfor være nyttig i slike samtaler.</w:t>
      </w:r>
    </w:p>
    <w:p w14:paraId="1EF7D0EE" w14:textId="77777777" w:rsidR="00000000" w:rsidRPr="006A6AFC" w:rsidRDefault="00691445" w:rsidP="006A6AFC">
      <w:pPr>
        <w:pStyle w:val="UnOverskrift2"/>
      </w:pPr>
      <w:r w:rsidRPr="006A6AFC">
        <w:t xml:space="preserve">Norsk </w:t>
      </w:r>
      <w:proofErr w:type="spellStart"/>
      <w:r w:rsidRPr="006A6AFC">
        <w:t>religionspolitisk</w:t>
      </w:r>
      <w:proofErr w:type="spellEnd"/>
      <w:r w:rsidRPr="006A6AFC">
        <w:t xml:space="preserve"> historie</w:t>
      </w:r>
    </w:p>
    <w:p w14:paraId="2416ED1D" w14:textId="0A3B347B" w:rsidR="00000000" w:rsidRPr="006A6AFC" w:rsidRDefault="00691445" w:rsidP="006A6AFC">
      <w:r w:rsidRPr="006A6AFC">
        <w:t xml:space="preserve">Den lutherske reformasjonen ble innført i Norge ved en kongelig </w:t>
      </w:r>
      <w:r w:rsidRPr="006A6AFC">
        <w:t>resolusjon i 1537. Kongen ble kirkens overhode og kongens tro skulle være borgernes tro. Borg</w:t>
      </w:r>
      <w:r w:rsidRPr="006A6AFC">
        <w:t xml:space="preserve">ere som fortsatte med katolsk </w:t>
      </w:r>
      <w:proofErr w:type="gramStart"/>
      <w:r w:rsidRPr="006A6AFC">
        <w:t>praksis</w:t>
      </w:r>
      <w:proofErr w:type="gramEnd"/>
      <w:r w:rsidRPr="006A6AFC">
        <w:t xml:space="preserve"> ble utsatt for represalier. Innvandrere til Norge måtte bekjenne seg til den lutherske lære i tråd med </w:t>
      </w:r>
      <w:proofErr w:type="spellStart"/>
      <w:r w:rsidRPr="006A6AFC">
        <w:t>Fremmedartiklene</w:t>
      </w:r>
      <w:proofErr w:type="spellEnd"/>
      <w:r w:rsidRPr="006A6AFC">
        <w:t xml:space="preserve"> av 1569. Utlendinger med en annen tro kunne få midlertidig opphold i landet dersom de hadde kompet</w:t>
      </w:r>
      <w:r w:rsidRPr="006A6AFC">
        <w:t>anse som landet trengte, men da med misjoneringsforbud.</w:t>
      </w:r>
    </w:p>
    <w:p w14:paraId="1E934349" w14:textId="1C59118D" w:rsidR="00000000" w:rsidRPr="006A6AFC" w:rsidRDefault="00691445" w:rsidP="006A6AFC">
      <w:r w:rsidRPr="006A6AFC">
        <w:t>Grunnloven av 1814 videreførte enevoldstidens religionsmonopol, med grunnlovsfestet dåps- og oppdragerplikt, og plikt for kongen til å bekjenne seg til statsreligionen og beskytte denne. Grunnloven ne</w:t>
      </w:r>
      <w:r w:rsidRPr="006A6AFC">
        <w:t>ktet jøder og katolske munkeordener adgang til riket. Kvekertroen kom til Norge i 1814 gjennom nordmenn som hadde blitt omvendt til kvekertro under krigs</w:t>
      </w:r>
      <w:r w:rsidRPr="006A6AFC">
        <w:t>fangenskap i England. Kvekerne utfordret religionsmonopolet ved å nekte å betale kirkeskatt, nekte å g</w:t>
      </w:r>
      <w:r w:rsidRPr="006A6AFC">
        <w:t>jøre militærtjeneste, unnlate å døpe barna sine og ved å inngå ekteskap uten medvirkende prest. De ble nektet å begrave sine døde i vigslet jord, ble bøtelagt og fikk eiendom konfiskert. Enkelte kvekere emigrerte i 1825 til Nord-Amerika som religiøse flykt</w:t>
      </w:r>
      <w:r w:rsidRPr="006A6AFC">
        <w:t xml:space="preserve">ninger. Gjennom sin virksomhet som lekmannspredikant stod Hans Nielsen Hauge </w:t>
      </w:r>
      <w:r w:rsidRPr="006A6AFC">
        <w:lastRenderedPageBreak/>
        <w:t>(1771–1824) bak en omfattende religiøs bevegelse og fornyelse, som utfordret statskirken og prestenes rolle som embetsmenn. Samtidig forble Hauge medlem av statskirken hele livet.</w:t>
      </w:r>
      <w:r w:rsidRPr="006A6AFC">
        <w:t xml:space="preserve"> Kvekersaken og lekmannsbevegelsen skapte en politisk debatt som banet vei for opphevelsen av Konventikkelplakaten i 1842. Den hadde siden 1741 gitt prester forkynnelsesmonopol og dermed også kontroll over private religiøse samlinger.</w:t>
      </w:r>
    </w:p>
    <w:p w14:paraId="12890184" w14:textId="77777777" w:rsidR="00000000" w:rsidRPr="006A6AFC" w:rsidRDefault="00691445" w:rsidP="006A6AFC">
      <w:r w:rsidRPr="006A6AFC">
        <w:t>Det mest epokegjørend</w:t>
      </w:r>
      <w:r w:rsidRPr="006A6AFC">
        <w:t>e for denne perioden var innføring av den første Dissenterloven (1845). Senere kom flere lovreformer som gradvis trakk Norge i retning av mindre religiøs diskriminering og større aksept for mangfold. Dissenterloven av 1845 gav kristne trosretninger anledni</w:t>
      </w:r>
      <w:r w:rsidRPr="006A6AFC">
        <w:t>ng til å organisere seg i Norge og en generell rett for nordmenn til å melde seg ut av statskirken. Til tross for dette var kristne dissentere og andre som ikke var medlemmer av statskirken utelukket fra deltakelse på flere samfunnsområder. Dette ble gradv</w:t>
      </w:r>
      <w:r w:rsidRPr="006A6AFC">
        <w:t>is lempet på sent på 1800-tallet og utover på 1900-tallet. Religionsfrihet ble først skrevet inn i Grunnloven i 1964.</w:t>
      </w:r>
    </w:p>
    <w:p w14:paraId="2D0BEF0F" w14:textId="77777777" w:rsidR="00000000" w:rsidRPr="006A6AFC" w:rsidRDefault="00691445" w:rsidP="006A6AFC">
      <w:pPr>
        <w:rPr>
          <w:rStyle w:val="kursiv"/>
        </w:rPr>
      </w:pPr>
      <w:r w:rsidRPr="006A6AFC">
        <w:t>22. mai 2012 ble statskirkebestemmelsene i Grunnloven opphevet og vi fikk en ny § 16 som omhandler både religionsfrihet og statens forhold</w:t>
      </w:r>
      <w:r w:rsidRPr="006A6AFC">
        <w:t xml:space="preserve"> til Den norske kirke og andre tros- og livssynssamfunn. Paragrafen sier at </w:t>
      </w:r>
      <w:r w:rsidRPr="006A6AFC">
        <w:rPr>
          <w:rStyle w:val="kursiv"/>
        </w:rPr>
        <w:t>«Alle innbyggere i riket har fri religionsutøvelse. Den norske kirke, en evangelisk-luthersk kirke, forblir Norges folkekirke og understøttes som sådan av staten. Nærmere bestemmel</w:t>
      </w:r>
      <w:r w:rsidRPr="006A6AFC">
        <w:rPr>
          <w:rStyle w:val="kursiv"/>
        </w:rPr>
        <w:t>ser om Kirkens ordning fastsettes ved Lov. Alle tros- og livssynssamfunn skal understøttes på lik linje».</w:t>
      </w:r>
    </w:p>
    <w:p w14:paraId="3DDEDE94" w14:textId="65D50138" w:rsidR="00000000" w:rsidRPr="006A6AFC" w:rsidRDefault="00691445" w:rsidP="006A6AFC">
      <w:r w:rsidRPr="006A6AFC">
        <w:t>I 2013 kom et offentlig utvalg, Stålsett-utvalget, om det livssynsåpne samfunn med en rekke anbefalinger for tros- og livssynspolitikken. Den norske k</w:t>
      </w:r>
      <w:r w:rsidRPr="006A6AFC">
        <w:t>irke ble et selvstendig rettssubjekt 1. januar 2017 og en ny samlet lov om tros- og livssynssamfunn «trossamfunnsloven» trådte i kraft 1. januar 2021. Den nye loven, som gjelder for alle tros- og livssynssamfunn har et eget kapittel som bare gjelder for De</w:t>
      </w:r>
      <w:r w:rsidRPr="006A6AFC">
        <w:t>n norske kirke. Dette kapitlet fungerer som en rammelov for kirken. For tros- og livssynssamfunn utenfor Den norske kirke innebærer den nye loven en tydeliggjøring av grunnlag for å nekte tilskudd, og med rapporteringskrav knyttet til kjønnslikestilling, d</w:t>
      </w:r>
      <w:r w:rsidRPr="006A6AFC">
        <w:t xml:space="preserve">iskrimineringsgrunnlag og aktiviteter for barn og unge. Offentlige tilskudd kan også nektes hvis samfunnene </w:t>
      </w:r>
      <w:r w:rsidRPr="006A6AFC">
        <w:t xml:space="preserve">mottar økonomisk støtte fra stater som ikke respekterer retten til tros- og livssynsfrihet. Disse vurderingene gjøres av statsforvalteren etter et </w:t>
      </w:r>
      <w:r w:rsidRPr="006A6AFC">
        <w:t>sett detaljerte kriterier. Den norske kirke mottar fremdeles bevilgninger etter søknad over statlige og kommunale budsjetter, mens tros- og livssyns</w:t>
      </w:r>
      <w:r w:rsidRPr="006A6AFC">
        <w:t>samfunn utenom Den norske kirke kun mottar statstilskudd. Loven viderefører bestemmelsen om at barns religi</w:t>
      </w:r>
      <w:r w:rsidRPr="006A6AFC">
        <w:t>øse myndighetsalder er 15 år. Denne har vært uforandret siden revideringen av Dissenter</w:t>
      </w:r>
      <w:r w:rsidRPr="006A6AFC">
        <w:t>loven i 1891.</w:t>
      </w:r>
    </w:p>
    <w:p w14:paraId="2A0D9C39" w14:textId="77777777" w:rsidR="00000000" w:rsidRPr="006A6AFC" w:rsidRDefault="00691445" w:rsidP="006A6AFC">
      <w:pPr>
        <w:pStyle w:val="UnOverskrift2"/>
      </w:pPr>
      <w:r w:rsidRPr="006A6AFC">
        <w:t>Utfordringer og muligheter i et livssynsåpent samfunn</w:t>
      </w:r>
    </w:p>
    <w:p w14:paraId="4A723D26" w14:textId="3CE2354A" w:rsidR="00572B1C" w:rsidRDefault="00572B1C" w:rsidP="006A6AFC">
      <w:r>
        <w:rPr>
          <w:noProof/>
        </w:rPr>
        <w:drawing>
          <wp:inline distT="0" distB="0" distL="0" distR="0" wp14:anchorId="3258550A" wp14:editId="36604E78">
            <wp:extent cx="4067175" cy="4333875"/>
            <wp:effectExtent l="0" t="0" r="9525" b="9525"/>
            <wp:docPr id="23" name="Bilde 23"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Dekorativ illustrasj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7175" cy="4333875"/>
                    </a:xfrm>
                    <a:prstGeom prst="rect">
                      <a:avLst/>
                    </a:prstGeom>
                    <a:noFill/>
                    <a:ln>
                      <a:noFill/>
                    </a:ln>
                  </pic:spPr>
                </pic:pic>
              </a:graphicData>
            </a:graphic>
          </wp:inline>
        </w:drawing>
      </w:r>
    </w:p>
    <w:p w14:paraId="672F02FB" w14:textId="1F3EE209" w:rsidR="00000000" w:rsidRPr="006A6AFC" w:rsidRDefault="00691445" w:rsidP="006A6AFC">
      <w:r w:rsidRPr="006A6AFC">
        <w:t>Et voksende livssynsmangfold i Norge har skapt både spenninger, dialog og nytt samarbeid som inklude</w:t>
      </w:r>
      <w:r w:rsidRPr="006A6AFC">
        <w:t xml:space="preserve">rer både juridiske og praktiske </w:t>
      </w:r>
      <w:r w:rsidRPr="006A6AFC">
        <w:t>utfordringer og muligheter.</w:t>
      </w:r>
    </w:p>
    <w:p w14:paraId="119253F1" w14:textId="11E27EBE" w:rsidR="00000000" w:rsidRPr="006A6AFC" w:rsidRDefault="00691445" w:rsidP="006A6AFC">
      <w:r w:rsidRPr="006A6AFC">
        <w:rPr>
          <w:rStyle w:val="halvfet"/>
        </w:rPr>
        <w:t>Arbeid for endring innenfra.</w:t>
      </w:r>
      <w:r w:rsidRPr="006A6AFC">
        <w:t xml:space="preserve"> Arbeidet for kvinners og skeives likestilling og rettigheter i Den norske kirke har blitt ført av enkelt</w:t>
      </w:r>
      <w:r w:rsidRPr="006A6AFC">
        <w:t>personer og grupperinger innenfor kirken. Norges KFUK og nors</w:t>
      </w:r>
      <w:r w:rsidRPr="006A6AFC">
        <w:t xml:space="preserve">k kvinnelig teologforening ble viktige drivkrefter for kvinners likestilling og stemmerett både innenfor kirken, politikken og i samfunnet </w:t>
      </w:r>
      <w:proofErr w:type="gramStart"/>
      <w:r w:rsidRPr="006A6AFC">
        <w:t>for øvrig</w:t>
      </w:r>
      <w:proofErr w:type="gramEnd"/>
      <w:r w:rsidRPr="006A6AFC">
        <w:t xml:space="preserve">. Ingrid Bjerkås ble </w:t>
      </w:r>
      <w:proofErr w:type="gramStart"/>
      <w:r w:rsidRPr="006A6AFC">
        <w:t>Norges første kvinnelig prest</w:t>
      </w:r>
      <w:proofErr w:type="gramEnd"/>
      <w:r w:rsidRPr="006A6AFC">
        <w:t xml:space="preserve"> i 1961, og Rosemarie Køhn ble Nordens første kvinnelig bi</w:t>
      </w:r>
      <w:r w:rsidRPr="006A6AFC">
        <w:t xml:space="preserve">skop i 1993. I 1976 etablerte lesbiske og homofile kristne Åpen </w:t>
      </w:r>
      <w:r w:rsidRPr="006A6AFC">
        <w:lastRenderedPageBreak/>
        <w:t>Kirkegruppe (ÅK). ÅK ble en sentral pådriver for endringene som har skjedd i Den norske kirke, helt frem til Åpen Folkekirke i 2014 ble etablert som en kirkepolitisk gruppering med kirkelig vi</w:t>
      </w:r>
      <w:r w:rsidRPr="006A6AFC">
        <w:t>gsel for likekjønnede par som sin hovedsak.</w:t>
      </w:r>
    </w:p>
    <w:p w14:paraId="35AB0896" w14:textId="71A3AD7A" w:rsidR="00000000" w:rsidRPr="006A6AFC" w:rsidRDefault="00691445" w:rsidP="006A6AFC">
      <w:r w:rsidRPr="006A6AFC">
        <w:rPr>
          <w:rStyle w:val="halvfet"/>
        </w:rPr>
        <w:t>KRLE-faget</w:t>
      </w:r>
      <w:r w:rsidRPr="006A6AFC">
        <w:t>. Det tidligere kristendomsfaget og det alternative livssyns</w:t>
      </w:r>
      <w:r w:rsidRPr="006A6AFC">
        <w:t>faget ble i 1997 erstattet av det obligatoriske fellesfaget KRL (Kristendomskunnskap med religions- og livssynsorientering). Det nye faget sk</w:t>
      </w:r>
      <w:r w:rsidRPr="006A6AFC">
        <w:t>ulle samle elever fra alle trosretninger og livssyn for å formidle kunnskap og skape grunnlag for dialog og toleranse. Uklarheter omkring praktisering av fagets begrensede fritaksrett bidro til å sende saken gjennom rettssystemet helt til Den europeiske me</w:t>
      </w:r>
      <w:r w:rsidRPr="006A6AFC">
        <w:t>nneskerettighetsdomstolen (EMD). I 2007 konkluderte EMD med at faget var i strid med menneskerettig</w:t>
      </w:r>
      <w:r w:rsidRPr="006A6AFC">
        <w:t>hetene. FNs menneskerettighetskomité hadde i 2004 kommet til samme konklusjon. Skolens daværende kristne formåls</w:t>
      </w:r>
      <w:r w:rsidRPr="006A6AFC">
        <w:t>paragraf, mangelfulle fritaksbestemmelser o</w:t>
      </w:r>
      <w:r w:rsidRPr="006A6AFC">
        <w:t>g hensynet til foreldreretten var avgjørende elementer i saken. Saken medførte endringer i faget som i dag heter KRLE (Kristendom, religion, livssyn og etikk).</w:t>
      </w:r>
    </w:p>
    <w:p w14:paraId="7D7539A1" w14:textId="77777777" w:rsidR="00000000" w:rsidRPr="006A6AFC" w:rsidRDefault="00691445" w:rsidP="006A6AFC">
      <w:r w:rsidRPr="006A6AFC">
        <w:rPr>
          <w:rStyle w:val="halvfet"/>
        </w:rPr>
        <w:t>Bønnerop fra moskeer.</w:t>
      </w:r>
      <w:r w:rsidRPr="006A6AFC">
        <w:t xml:space="preserve"> Et politisk forslag om å forby bønnerop fra moskeer ble av Justisdeparteme</w:t>
      </w:r>
      <w:r w:rsidRPr="006A6AFC">
        <w:t>ntets lovavdeling i 2000 vurdert å stride mot retten til religionsutøvelse. Bønnerop forekommer i liten grad fra norske moskeer og om det finner sted, må det skje innenfor rammen av støyforskriften.</w:t>
      </w:r>
    </w:p>
    <w:p w14:paraId="1530DF36" w14:textId="2F4316F6" w:rsidR="00000000" w:rsidRPr="006A6AFC" w:rsidRDefault="00691445" w:rsidP="006A6AFC">
      <w:r w:rsidRPr="006A6AFC">
        <w:rPr>
          <w:rStyle w:val="halvfet"/>
        </w:rPr>
        <w:t>Passfoto og religiøst begrunnede hodeplagg mv.:</w:t>
      </w:r>
      <w:r w:rsidRPr="006A6AFC">
        <w:t xml:space="preserve"> Norge og </w:t>
      </w:r>
      <w:r w:rsidRPr="006A6AFC">
        <w:t>Frankrike hadde som eneste europeiske land et krav om synlige ører på passfoto og nasjonale identitetskort. Det skapte særlige utfordringer for sikher som var blitt nektet å fornye sine pass med mindre de tok foto uten turban. Også enkelte muslimske kvinne</w:t>
      </w:r>
      <w:r w:rsidRPr="006A6AFC">
        <w:t>r var berørt av kravet. Pass</w:t>
      </w:r>
      <w:r w:rsidRPr="006A6AFC">
        <w:t>forskriften ble endret i 2020.</w:t>
      </w:r>
    </w:p>
    <w:p w14:paraId="0EEFC8B4" w14:textId="29A43A69" w:rsidR="00000000" w:rsidRPr="006A6AFC" w:rsidRDefault="00691445" w:rsidP="006A6AFC">
      <w:r w:rsidRPr="006A6AFC">
        <w:rPr>
          <w:rStyle w:val="halvfet"/>
        </w:rPr>
        <w:t>Ansiktsdekkende plagg og hijab:</w:t>
      </w:r>
      <w:r w:rsidRPr="006A6AFC">
        <w:t xml:space="preserve"> I 2018 vedtok Stortinget et forbud mot ansiktsdekkende plagg i barnehager, skoler, høyere utdanning og ved opplæring av nyankomne innvandrere etter introduksjonslov</w:t>
      </w:r>
      <w:r w:rsidRPr="006A6AFC">
        <w:t>en. Forbudet er ikke generelt og gjelder bare i undervisnings</w:t>
      </w:r>
      <w:r w:rsidRPr="006A6AFC">
        <w:t xml:space="preserve">situasjonen. Spørsmålet om </w:t>
      </w:r>
      <w:r w:rsidRPr="006A6AFC">
        <w:rPr>
          <w:rStyle w:val="kursiv"/>
        </w:rPr>
        <w:t xml:space="preserve">hijab </w:t>
      </w:r>
      <w:r w:rsidRPr="006A6AFC">
        <w:t>har vært en del av samfunns</w:t>
      </w:r>
      <w:r w:rsidRPr="006A6AFC">
        <w:t>debatten. Det har også vært en debatt om å endre politiets uniforms</w:t>
      </w:r>
      <w:r w:rsidRPr="006A6AFC">
        <w:t>reglement, slik at kvinner i politiet kan bære en særskilt utvikl</w:t>
      </w:r>
      <w:r w:rsidRPr="006A6AFC">
        <w:t xml:space="preserve">et </w:t>
      </w:r>
      <w:r w:rsidRPr="006A6AFC">
        <w:rPr>
          <w:rStyle w:val="kursiv"/>
        </w:rPr>
        <w:t xml:space="preserve">hijab, </w:t>
      </w:r>
      <w:r w:rsidRPr="006A6AFC">
        <w:t xml:space="preserve">etter modell fra England. Det endte med et reglement som fastsetter at man fortsatt ønsker å ha et politi som fremstår nøytralt uten noe som kan oppfattes som </w:t>
      </w:r>
      <w:proofErr w:type="spellStart"/>
      <w:r w:rsidRPr="006A6AFC">
        <w:t>livssynsmessig</w:t>
      </w:r>
      <w:proofErr w:type="spellEnd"/>
      <w:r w:rsidRPr="006A6AFC">
        <w:t xml:space="preserve"> markør.</w:t>
      </w:r>
    </w:p>
    <w:p w14:paraId="1FF349B4" w14:textId="1C61987A" w:rsidR="00000000" w:rsidRPr="006A6AFC" w:rsidRDefault="00691445" w:rsidP="006A6AFC">
      <w:r w:rsidRPr="006A6AFC">
        <w:rPr>
          <w:rStyle w:val="halvfet"/>
        </w:rPr>
        <w:t>Oppholdstillatelse for religiøse ledere:</w:t>
      </w:r>
      <w:r w:rsidRPr="006A6AFC">
        <w:t xml:space="preserve"> Utdanning på mastergrad</w:t>
      </w:r>
      <w:r w:rsidRPr="006A6AFC">
        <w:t xml:space="preserve">snivå eller et lønnsnivå som tilsvarte lønnsnivået for personer med tilsvarende utdanning i Norge, var et krav som møtte utenlandske religiøse ledere som skulle arbeide i Norge for å motta økonomisk støtte. Buddhister, hinduer og enkelte </w:t>
      </w:r>
      <w:r w:rsidRPr="006A6AFC">
        <w:t>afrikanske kirkes</w:t>
      </w:r>
      <w:r w:rsidRPr="006A6AFC">
        <w:t>amfunn har en tradisjonsbundet utdanning. Utdanningen er ofte av mer praktisk karakter ment for seremonielle formål eller en mindre omfangsrik teoretisk utdanning kjent fra lekmannsbevegelser her hjemme. Enkelte forsørges helt og holdent av menigheten uten</w:t>
      </w:r>
      <w:r w:rsidRPr="006A6AFC">
        <w:t xml:space="preserve"> å motta fast lønn, mens andre trossamfunn har en kultur for et lønnsnivå som var langt lavere enn forskriftskravet. Forskriftene er nå omformulert slik at det etter søknad er mulig å få dispensasjon.</w:t>
      </w:r>
    </w:p>
    <w:p w14:paraId="535F4D97" w14:textId="67233AFD" w:rsidR="00000000" w:rsidRPr="006A6AFC" w:rsidRDefault="00691445" w:rsidP="006A6AFC">
      <w:r w:rsidRPr="006A6AFC">
        <w:rPr>
          <w:rStyle w:val="halvfet"/>
        </w:rPr>
        <w:t xml:space="preserve">Åndelig betjening i offentlige institusjoner </w:t>
      </w:r>
      <w:proofErr w:type="spellStart"/>
      <w:r w:rsidRPr="006A6AFC">
        <w:rPr>
          <w:rStyle w:val="halvfet"/>
        </w:rPr>
        <w:t>m.v</w:t>
      </w:r>
      <w:proofErr w:type="spellEnd"/>
      <w:r w:rsidRPr="006A6AFC">
        <w:rPr>
          <w:rStyle w:val="halvfet"/>
        </w:rPr>
        <w:t>.:</w:t>
      </w:r>
      <w:r w:rsidRPr="006A6AFC">
        <w:t xml:space="preserve"> Offe</w:t>
      </w:r>
      <w:r w:rsidRPr="006A6AFC">
        <w:t>ntlige sykehus og institusjoner innenfor eldreomsorg, kriminalomsorg og forsvaret har historisk hatt ansatte prester fra Den norske kirke. Det har lenge vært samarbeid mellom helseforetakene og tros- og livssynssamfunnene om å utvikle tjenester som også ti</w:t>
      </w:r>
      <w:r w:rsidRPr="006A6AFC">
        <w:t>lgodeser mennesker med tilknytning til andre tros- eller livssyns</w:t>
      </w:r>
      <w:r w:rsidRPr="006A6AFC">
        <w:t xml:space="preserve">samfunn. Flere forsøk ved </w:t>
      </w:r>
      <w:r w:rsidRPr="006A6AFC">
        <w:lastRenderedPageBreak/>
        <w:t xml:space="preserve">de store sykehusene er gjennomført. Kriminalomsorgen har utviklet en praksis for samarbeid med religiøse ledere utenfor Den norske kirke. Forsvaret har etablert et </w:t>
      </w:r>
      <w:r w:rsidRPr="006A6AFC">
        <w:t>korps av veiledere fra ulike tros- og livssynssamfunn. Videre har man i forsvaret erstattet tidligere praksis med kristen «bønn på linje» med en mer allmenn etisk appell. Alle som er avhengige av kommunale helse- og omsorgstjenester har i forbindelse med u</w:t>
      </w:r>
      <w:r w:rsidRPr="006A6AFC">
        <w:t>tarbeidelse av såkalt «individuell plan» rett til å få tilrettelegging og bistand for å kunne utøve sin tro og sitt livssyn. Det innebærer blant annet en plikt for støttekontakter til å følge brukere til religiøse samlinger.</w:t>
      </w:r>
    </w:p>
    <w:p w14:paraId="0A307379" w14:textId="4D9ADE5E" w:rsidR="00000000" w:rsidRPr="006A6AFC" w:rsidRDefault="00691445" w:rsidP="006A6AFC">
      <w:r w:rsidRPr="006A6AFC">
        <w:rPr>
          <w:rStyle w:val="halvfet"/>
        </w:rPr>
        <w:t xml:space="preserve">Nasjonale minoriteters rettigheter: </w:t>
      </w:r>
      <w:r w:rsidRPr="006A6AFC">
        <w:t>Norge er forpliktet av Europa</w:t>
      </w:r>
      <w:r w:rsidRPr="006A6AFC">
        <w:t xml:space="preserve">rådets rammekonvensjon fra 1999 om beskyttelse av nasjonale minoriteter og en egen nasjonal handlingsplan på dette området forvaltes av Kommunal- og </w:t>
      </w:r>
      <w:proofErr w:type="spellStart"/>
      <w:r w:rsidRPr="006A6AFC">
        <w:t>distriktsdepartementet</w:t>
      </w:r>
      <w:proofErr w:type="spellEnd"/>
      <w:r w:rsidRPr="006A6AFC">
        <w:t>. Norske myndighete</w:t>
      </w:r>
      <w:r w:rsidRPr="006A6AFC">
        <w:t>r førte fra midten av forrige århundre en politikk hvor målet var fornorsking og assimilering av samer og minoriteter. I senere år er det enighet om å gjøre opp for den urett som fornorskingspolitikken representerte. Det fant sted en grunnlovsendring i 198</w:t>
      </w:r>
      <w:r w:rsidRPr="006A6AFC">
        <w:t xml:space="preserve">8, og H.M. Kong Harald ga ved Sametingets åpning i 1997 en unnskyldning for den urett som var begått. En Sannhets- og forsoningskommisjon «Kommisjonen for å granske fornorskningspolitikk og urett mot samer, kvener og norskfinner» skal </w:t>
      </w:r>
      <w:proofErr w:type="gramStart"/>
      <w:r w:rsidRPr="006A6AFC">
        <w:t>avgi</w:t>
      </w:r>
      <w:proofErr w:type="gramEnd"/>
      <w:r w:rsidRPr="006A6AFC">
        <w:t xml:space="preserve"> sin rapport i 20</w:t>
      </w:r>
      <w:r w:rsidRPr="006A6AFC">
        <w:t>23. Under den Internasjonale Holocaustdagen i 2012 ga daværende statsminister Jens Stoltenberg regjeringens unnskyldning for den urett som ble gjort mot norske jøder i forbindelse med Holocaust. Bygd på Tater- og romaniutvalgets rapport beklaget regjeringe</w:t>
      </w:r>
      <w:r w:rsidRPr="006A6AFC">
        <w:t>n i 2015 sterkt den lidelsen som disse gruppene og enkeltmenneskene var blitt påført.</w:t>
      </w:r>
    </w:p>
    <w:p w14:paraId="2E123D0A" w14:textId="27AF26F0" w:rsidR="00572B1C" w:rsidRPr="006A6AFC" w:rsidRDefault="00691445" w:rsidP="006A6AFC">
      <w:r w:rsidRPr="006A6AFC">
        <w:rPr>
          <w:rStyle w:val="halvfet"/>
        </w:rPr>
        <w:t>Skeives rettigheter</w:t>
      </w:r>
      <w:r w:rsidRPr="006A6AFC">
        <w:t xml:space="preserve">: Regjeringens handlingsplan for kjønns- og seksualitetsmangfold (2023–2026) har et særlig </w:t>
      </w:r>
      <w:proofErr w:type="gramStart"/>
      <w:r w:rsidRPr="006A6AFC">
        <w:t>fokus</w:t>
      </w:r>
      <w:proofErr w:type="gramEnd"/>
      <w:r w:rsidRPr="006A6AFC">
        <w:t xml:space="preserve"> på å styrke aksepten for kjønns- og seksualitetsmangfo</w:t>
      </w:r>
      <w:r w:rsidRPr="006A6AFC">
        <w:t>ld i minoritetsmiljøer og religiøse samfunn. Mange skeive i Norge har et forhold til tros- og livssyns</w:t>
      </w:r>
      <w:r w:rsidRPr="006A6AFC">
        <w:t>samfunn, og noen opplever utfordringer på grunn av tros</w:t>
      </w:r>
      <w:r w:rsidRPr="006A6AFC">
        <w:t>samfunnets syn på kjønn og seksualitet. Forskning viser at det å tilhøre ulike minoriteter kan by</w:t>
      </w:r>
      <w:r w:rsidRPr="006A6AFC">
        <w:t xml:space="preserve"> på særskilte utfordringer og innebære en opp</w:t>
      </w:r>
      <w:r w:rsidRPr="006A6AFC">
        <w:t>levelse av sammensatt eller dobbel diskriminering.</w:t>
      </w:r>
    </w:p>
    <w:p w14:paraId="1C448FF6" w14:textId="77777777" w:rsidR="00000000" w:rsidRPr="006A6AFC" w:rsidRDefault="00691445" w:rsidP="006A6AFC">
      <w:pPr>
        <w:pStyle w:val="UnOverskrift2"/>
      </w:pPr>
      <w:r w:rsidRPr="006A6AFC">
        <w:t>Hva kan utenrikstjenesten gjøre?</w:t>
      </w:r>
    </w:p>
    <w:p w14:paraId="0D539D9F" w14:textId="77777777" w:rsidR="00000000" w:rsidRPr="006A6AFC" w:rsidRDefault="00691445" w:rsidP="006A6AFC">
      <w:pPr>
        <w:pStyle w:val="Listebombe"/>
      </w:pPr>
      <w:r w:rsidRPr="006A6AFC">
        <w:t>Være kjent med utviklingen av et demokratisk og livssynsmangfoldig norsk samfunn og benytte denne kunnskapen i dialogen med an</w:t>
      </w:r>
      <w:r w:rsidRPr="006A6AFC">
        <w:t>dre lands myndigheter og organisasjoner.</w:t>
      </w:r>
    </w:p>
    <w:p w14:paraId="5BD29AA7" w14:textId="77777777" w:rsidR="00000000" w:rsidRPr="006A6AFC" w:rsidRDefault="00691445" w:rsidP="006A6AFC">
      <w:pPr>
        <w:pStyle w:val="Listebombe"/>
      </w:pPr>
      <w:r w:rsidRPr="006A6AFC">
        <w:t xml:space="preserve">Vise til norske erfaringer i overgangen fra </w:t>
      </w:r>
      <w:proofErr w:type="gramStart"/>
      <w:r w:rsidRPr="006A6AFC">
        <w:t>et statskirkesystemet</w:t>
      </w:r>
      <w:proofErr w:type="gramEnd"/>
      <w:r w:rsidRPr="006A6AFC">
        <w:t xml:space="preserve"> til dagens livssynsåpne og inkluderende samfunn i samtaler med andre lands representanter.</w:t>
      </w:r>
    </w:p>
    <w:p w14:paraId="3983D3DB" w14:textId="59FDCFE2" w:rsidR="00000000" w:rsidRPr="006A6AFC" w:rsidRDefault="00691445" w:rsidP="006A6AFC">
      <w:pPr>
        <w:pStyle w:val="Listebombe"/>
      </w:pPr>
      <w:r w:rsidRPr="006A6AFC">
        <w:t>Være bevisst våre egne utfordringer knyttet til majoritets</w:t>
      </w:r>
      <w:r w:rsidRPr="006A6AFC">
        <w:t>samfunnets forhold til etniske og religiøse minoriteter, og vise til hvilke tiltak som er truffet gjennom de senere årene for å bedre inkluderingen.</w:t>
      </w:r>
    </w:p>
    <w:p w14:paraId="11635493" w14:textId="77777777" w:rsidR="00000000" w:rsidRPr="006A6AFC" w:rsidRDefault="00691445" w:rsidP="006A6AFC">
      <w:pPr>
        <w:pStyle w:val="Listebombe"/>
      </w:pPr>
      <w:r w:rsidRPr="006A6AFC">
        <w:t>Være kjent med den norske handlingsplanen mot rasisme og diskriminering basert på etnisitet og religion, s</w:t>
      </w:r>
      <w:r w:rsidRPr="006A6AFC">
        <w:t>amt handlingsplanene mot antisemittisme, hat mot muslimer og for kjønns- og seksualitetsmangfold.</w:t>
      </w:r>
    </w:p>
    <w:p w14:paraId="2AB040FA" w14:textId="77777777" w:rsidR="00000000" w:rsidRPr="006A6AFC" w:rsidRDefault="00691445" w:rsidP="006A6AFC">
      <w:pPr>
        <w:pStyle w:val="Listebombe"/>
      </w:pPr>
      <w:r w:rsidRPr="006A6AFC">
        <w:t>Være kjent med i hvilken grad landet en tjenestegjør i respekterer og beskytter retten til tros- og livssynsfrihet.</w:t>
      </w:r>
    </w:p>
    <w:p w14:paraId="46B98BCA" w14:textId="77777777" w:rsidR="00000000" w:rsidRPr="006A6AFC" w:rsidRDefault="00691445" w:rsidP="006A6AFC">
      <w:pPr>
        <w:pStyle w:val="Overskrift1"/>
      </w:pPr>
      <w:r w:rsidRPr="006A6AFC">
        <w:lastRenderedPageBreak/>
        <w:t>Kjønn og likestilling i arbeidet med tros-</w:t>
      </w:r>
      <w:r w:rsidRPr="006A6AFC">
        <w:t xml:space="preserve"> og livssynsfrihet</w:t>
      </w:r>
    </w:p>
    <w:p w14:paraId="1649C62F" w14:textId="13927BDA" w:rsidR="00603526" w:rsidRDefault="00603526" w:rsidP="006A6AFC">
      <w:r>
        <w:rPr>
          <w:noProof/>
        </w:rPr>
        <w:drawing>
          <wp:inline distT="0" distB="0" distL="0" distR="0" wp14:anchorId="10D1C9AD" wp14:editId="57B0ACAA">
            <wp:extent cx="5438775" cy="7772400"/>
            <wp:effectExtent l="0" t="0" r="9525" b="0"/>
            <wp:docPr id="24" name="Bilde 24"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Dekorativ illustrasj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8775" cy="7772400"/>
                    </a:xfrm>
                    <a:prstGeom prst="rect">
                      <a:avLst/>
                    </a:prstGeom>
                    <a:noFill/>
                    <a:ln>
                      <a:noFill/>
                    </a:ln>
                  </pic:spPr>
                </pic:pic>
              </a:graphicData>
            </a:graphic>
          </wp:inline>
        </w:drawing>
      </w:r>
    </w:p>
    <w:p w14:paraId="57349D79" w14:textId="3B7F1B5E" w:rsidR="00000000" w:rsidRPr="006A6AFC" w:rsidRDefault="00691445" w:rsidP="006A6AFC">
      <w:r w:rsidRPr="006A6AFC">
        <w:t>Tros- og livssynsfrihet gir enkeltindivider og grupper rett til å tolke sin religion i tråd med sin overbevisning. Religion kan ikke legitimere kjønnsbasert diskriminering og undertrykking. Diskriminering på bakgrunn av kjønn og seksuali</w:t>
      </w:r>
      <w:r w:rsidRPr="006A6AFC">
        <w:t>tet har likevel en lang historie og kjønnslikestilling er et omstridt tema innen religionene. Over hele verden blir mennesker påvirket av restriktive kjønnsnormer og andre strukturelle barrierer. Religiøst begrunnede kjønnsrollemønstre begrenser kvinners o</w:t>
      </w:r>
      <w:r w:rsidRPr="006A6AFC">
        <w:t>g skeives rettigheter og muligheter til deltakelse i samfunnet. Seksuell og reproduktiv helse og rettigheter og skeives likeverd og menneskerettigheter er særlig omstridt. Økt innsats mot diskriminering og overgrep på grunnlag av kjønn, seksuell orienterin</w:t>
      </w:r>
      <w:r w:rsidRPr="006A6AFC">
        <w:t xml:space="preserve">g, kjønnsidentitet og kjønnsuttrykk er nødvendig for å oppnå likestilling for alle. I all innsats må vi sikre at vi ikke bidrar til å gjøre skade. </w:t>
      </w:r>
    </w:p>
    <w:p w14:paraId="188A03AD" w14:textId="77777777" w:rsidR="00000000" w:rsidRPr="006A6AFC" w:rsidRDefault="00691445" w:rsidP="006A6AFC">
      <w:r w:rsidRPr="006A6AFC">
        <w:t xml:space="preserve">For best å kunne bekjempe kjønnsbasert diskriminering og fremme menneskerettighetene må vi kjenne og forstå </w:t>
      </w:r>
      <w:r w:rsidRPr="006A6AFC">
        <w:t>den religiøse og kulturelle konteksten. Dette gjelder også kunnskap om at ulike kjønnsidentiteter og uttrykk eksisterer i kulturer og tradisjoner i alle deler av verden. Kvinner og skeive kan være en del av de samme trossamfunnene som motarbeider deres ret</w:t>
      </w:r>
      <w:r w:rsidRPr="006A6AFC">
        <w:t>tigheter. Derfor må også retten til en fortolkning som inkluderer kjønnslikestilling og kjønns- og seksualitetsmangfold forsvares ut ifra tros- og livssynsfriheten, og likeledes retten til å samles for å uttrykke sin tro ut ifra forsamlingsfriheten.</w:t>
      </w:r>
    </w:p>
    <w:p w14:paraId="01BBB9BA" w14:textId="791CE624" w:rsidR="00000000" w:rsidRPr="006A6AFC" w:rsidRDefault="00691445" w:rsidP="006A6AFC">
      <w:r w:rsidRPr="006A6AFC">
        <w:t>Samarb</w:t>
      </w:r>
      <w:r w:rsidRPr="006A6AFC">
        <w:t>eide med religiøse aktører vil være viktig for å oppnå kjønns</w:t>
      </w:r>
      <w:r w:rsidRPr="006A6AFC">
        <w:t>likestilling. I flere sammenhenger kan religiøse ledere være positive og konstruktive aktører som bruker sin innflytelse til å understreke at brudd på kvinners og skeives rettigheter ikke kan be</w:t>
      </w:r>
      <w:r w:rsidRPr="006A6AFC">
        <w:t>grunnes med religion. For enkelte religiøse ledere vil imidlertid spørsmål om SRHR og skeives rettigheter være vanskelig. Selv om kjønn og likestilling behandles under ett i denne veilederen, betyr ikke det at utenrikstjenestens representanter må ta opp di</w:t>
      </w:r>
      <w:r w:rsidRPr="006A6AFC">
        <w:t>sse spørsmålene samtidig. Den lokale konteksten bør avgjøre hvordan disse spørsmålene tas opp i møte med lokale aktører.</w:t>
      </w:r>
    </w:p>
    <w:p w14:paraId="19D0B8B0" w14:textId="77777777" w:rsidR="00000000" w:rsidRPr="006A6AFC" w:rsidRDefault="00691445" w:rsidP="006A6AFC">
      <w:pPr>
        <w:pStyle w:val="UnOverskrift2"/>
      </w:pPr>
      <w:r w:rsidRPr="006A6AFC">
        <w:t>Kjønnslikestilling</w:t>
      </w:r>
    </w:p>
    <w:p w14:paraId="774A008B" w14:textId="64B5F97F" w:rsidR="00000000" w:rsidRPr="006A6AFC" w:rsidRDefault="00691445" w:rsidP="006A6AFC">
      <w:r w:rsidRPr="006A6AFC">
        <w:t>Flere religioner er forbundet med tradisjonelle patriarkalske tradisjoner som på den ene siden anerkjenner mannen og</w:t>
      </w:r>
      <w:r w:rsidRPr="006A6AFC">
        <w:t xml:space="preserve"> kvinnen som verdifulle og skapt av gud, men som på den andre siden fremmer kjønnede makt</w:t>
      </w:r>
      <w:r w:rsidRPr="006A6AFC">
        <w:t xml:space="preserve">strukturer som går i kvinners og skeives disfavør. </w:t>
      </w:r>
    </w:p>
    <w:p w14:paraId="6D03C5B6" w14:textId="77777777" w:rsidR="00000000" w:rsidRPr="006A6AFC" w:rsidRDefault="00691445" w:rsidP="006A6AFC">
      <w:r w:rsidRPr="006A6AFC">
        <w:t>Kjønnslikestilling er nødvendig for inkluderende og bærekraftig utvikling, og retten til tros- og livssynsfrihet e</w:t>
      </w:r>
      <w:r w:rsidRPr="006A6AFC">
        <w:t xml:space="preserve">r en grunnleggende frihet. Likevel er det en utbredt oppfatning om at retten til tros- og livssynsfrihet og kvinners og skeives menneskerettigheter er i konflikt. Kjønnslikestilling er blitt en kamp som også gjelder retten til tros- og livssynsfrihet. </w:t>
      </w:r>
    </w:p>
    <w:tbl>
      <w:tblPr>
        <w:tblStyle w:val="StandardBoks"/>
        <w:tblW w:w="0" w:type="auto"/>
        <w:tblLayout w:type="fixed"/>
        <w:tblLook w:val="04A0" w:firstRow="1" w:lastRow="0" w:firstColumn="1" w:lastColumn="0" w:noHBand="0" w:noVBand="1"/>
      </w:tblPr>
      <w:tblGrid>
        <w:gridCol w:w="6463"/>
      </w:tblGrid>
      <w:tr w:rsidR="00000000" w:rsidRPr="006A6AFC" w14:paraId="4B6BDA3B" w14:textId="77777777" w:rsidTr="006A6AFC">
        <w:trPr>
          <w:trHeight w:val="60"/>
        </w:trPr>
        <w:tc>
          <w:tcPr>
            <w:tcW w:w="6463" w:type="dxa"/>
          </w:tcPr>
          <w:p w14:paraId="3A1C122D" w14:textId="64DD149B" w:rsidR="00BF3AD8" w:rsidRDefault="00603526" w:rsidP="006A6AFC">
            <w:r>
              <w:rPr>
                <w:noProof/>
              </w:rPr>
              <w:drawing>
                <wp:inline distT="0" distB="0" distL="0" distR="0" wp14:anchorId="62F8BF4F" wp14:editId="576439A1">
                  <wp:extent cx="3886200" cy="257175"/>
                  <wp:effectExtent l="0" t="0" r="0" b="9525"/>
                  <wp:docPr id="25" name="Bilde 25"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Dekorativ illustrasj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0" cy="257175"/>
                          </a:xfrm>
                          <a:prstGeom prst="rect">
                            <a:avLst/>
                          </a:prstGeom>
                          <a:noFill/>
                          <a:ln>
                            <a:noFill/>
                          </a:ln>
                        </pic:spPr>
                      </pic:pic>
                    </a:graphicData>
                  </a:graphic>
                </wp:inline>
              </w:drawing>
            </w:r>
          </w:p>
          <w:p w14:paraId="44C4C2A4" w14:textId="49A78166" w:rsidR="00000000" w:rsidRPr="006A6AFC" w:rsidRDefault="00691445" w:rsidP="006A6AFC">
            <w:r w:rsidRPr="006A6AFC">
              <w:t xml:space="preserve">Det mobiliseres fra konservativt politisk og religiøst hold mot økt kjønnslikestilling. Aksept for kjønns- og </w:t>
            </w:r>
            <w:r w:rsidRPr="006A6AFC">
              <w:lastRenderedPageBreak/>
              <w:t>seksualitetsmangfold fremstilles som en trussel mot familie, tradisjon og nasjon. Ofte med referanse til religiøs</w:t>
            </w:r>
            <w:r w:rsidRPr="006A6AFC">
              <w:t>e skrifter eller doktriner. Disse kreftene omtales som «anti-</w:t>
            </w:r>
            <w:proofErr w:type="spellStart"/>
            <w:r w:rsidRPr="006A6AFC">
              <w:t>gender</w:t>
            </w:r>
            <w:proofErr w:type="spellEnd"/>
            <w:r w:rsidRPr="006A6AFC">
              <w:t xml:space="preserve"> bevegelsen». Anti-</w:t>
            </w:r>
            <w:proofErr w:type="spellStart"/>
            <w:r w:rsidRPr="006A6AFC">
              <w:t>gender</w:t>
            </w:r>
            <w:proofErr w:type="spellEnd"/>
            <w:r w:rsidRPr="006A6AFC">
              <w:t xml:space="preserve"> bevegelsen har hatt negativ innvirkning på kvinners og skeives rettigheter i mange land. Konservative og religiøse grupper viser ofte til tradisjonelle familieverd</w:t>
            </w:r>
            <w:r w:rsidRPr="006A6AFC">
              <w:t xml:space="preserve">ier for å markere motstand til det som fremstilles som vestlige sekulære verdier. Et særlig mål for denne bevegelsen er å begrense kvinners rett til seksuell og reproduktiv helse, å opprettholde eller innføre forbud mot likekjønnede seksuelle relasjoner å </w:t>
            </w:r>
            <w:r w:rsidRPr="006A6AFC">
              <w:t>kjempe mot homofiles og lesbiske personers rett til å stifte familie og transpersoners rett til å definere sin kjønns</w:t>
            </w:r>
            <w:r w:rsidRPr="006A6AFC">
              <w:t>identitet. Konservative kristne, jødiske og muslimske grupperinger har til tider stått sammen om slike synspunkt.</w:t>
            </w:r>
          </w:p>
        </w:tc>
      </w:tr>
    </w:tbl>
    <w:p w14:paraId="039FDC4F" w14:textId="77777777" w:rsidR="00000000" w:rsidRPr="006A6AFC" w:rsidRDefault="00691445" w:rsidP="006A6AFC"/>
    <w:p w14:paraId="26D37221" w14:textId="77777777" w:rsidR="00000000" w:rsidRPr="006A6AFC" w:rsidRDefault="00691445" w:rsidP="006A6AFC">
      <w:r w:rsidRPr="006A6AFC">
        <w:t>Kvinnerettighetsorganisasjoner har gjerne vært relativt sekulære og ofte gitt mindre oppmerksomhet til religion. Samtidig finnes det også flere eksempler på kvinner og andre som bruker sin tro til å kjempe for like rettigheter med bakgrunn i religion og tr</w:t>
      </w:r>
      <w:r w:rsidRPr="006A6AFC">
        <w:t xml:space="preserve">o. </w:t>
      </w:r>
    </w:p>
    <w:p w14:paraId="18CE3501" w14:textId="77777777" w:rsidR="00000000" w:rsidRPr="006A6AFC" w:rsidRDefault="00691445" w:rsidP="006A6AFC">
      <w:r w:rsidRPr="006A6AFC">
        <w:t xml:space="preserve">Flere land der den muslimske befolkningen er i flertall har reservert seg mot artikler i Kvinnekonvensjonen med henvisning til </w:t>
      </w:r>
      <w:proofErr w:type="spellStart"/>
      <w:r w:rsidRPr="006A6AFC">
        <w:t>shari’a</w:t>
      </w:r>
      <w:proofErr w:type="spellEnd"/>
      <w:r w:rsidRPr="006A6AFC">
        <w:t xml:space="preserve">. Dette gjelder særlig paragraf 16 om avskaffelse av diskriminering mot kvinner i alle saker som gjelder ekteskap. Av </w:t>
      </w:r>
      <w:r w:rsidRPr="006A6AFC">
        <w:t xml:space="preserve">vestlige land er det kun USA som ikke har ratifisert konvensjonen. </w:t>
      </w:r>
    </w:p>
    <w:p w14:paraId="39D4391C" w14:textId="77777777" w:rsidR="00000000" w:rsidRPr="006A6AFC" w:rsidRDefault="00691445" w:rsidP="006A6AFC">
      <w:r w:rsidRPr="006A6AFC">
        <w:t>Prioriteringer for norsk innsats for kjønnslikestilling er nedfelt i Handlingsplanen for kvinners rettigheter og kjønnslikestilling i utenriks- og utviklingspolitikken «En rettferdig verde</w:t>
      </w:r>
      <w:r w:rsidRPr="006A6AFC">
        <w:t>n er en likestilt verden», som vil bli lansert høsten 2023. Den legger vekt på å bekjempe patriarkalske maktstrukturer og restriktive kjønnsnormer, basert på bl.a. kulturelle og religiøse tradisjoner. Endring av normer og maktrelasjoner og styrking av kvin</w:t>
      </w:r>
      <w:r w:rsidRPr="006A6AFC">
        <w:t>ners individuelle og kollektive påvirkningskraft og beslutningsmyndighet ligger til grunn. Dialog og samarbeid med religiøse ledere og trosbaserte organisasjoner og nettverk som kan bidra til å fremme progressive stemmer som arbeider for kjønnslikestilling</w:t>
      </w:r>
      <w:r w:rsidRPr="006A6AFC">
        <w:t>, vil være viktig for å nå målene i handlingsplanen.</w:t>
      </w:r>
    </w:p>
    <w:p w14:paraId="1D9FC788" w14:textId="77777777" w:rsidR="00000000" w:rsidRPr="006A6AFC" w:rsidRDefault="00691445" w:rsidP="006A6AFC">
      <w:pPr>
        <w:pStyle w:val="UnOverskrift2"/>
      </w:pPr>
      <w:r w:rsidRPr="006A6AFC">
        <w:t>Seksuell og reproduktiv helse og rettigheter</w:t>
      </w:r>
    </w:p>
    <w:p w14:paraId="15B67683" w14:textId="77777777" w:rsidR="00000000" w:rsidRPr="006A6AFC" w:rsidRDefault="00691445" w:rsidP="006A6AFC">
      <w:r w:rsidRPr="006A6AFC">
        <w:t>Alle har rett til å bestemme over sin egen kropp og seksualitet, og til å få realisert sine seksuelle- og reproduktive rettigheter. Det handler om frihet og v</w:t>
      </w:r>
      <w:r w:rsidRPr="006A6AFC">
        <w:t>erdighet. Retten til selvbestemmelse over egen kropp og seksualitet handler også om selvbestemmelse av eget kjønn, som er grunnleggende for personlig frihet og identitet.</w:t>
      </w:r>
    </w:p>
    <w:p w14:paraId="13ED4BB8" w14:textId="68DECD12" w:rsidR="00000000" w:rsidRPr="006A6AFC" w:rsidRDefault="00691445" w:rsidP="006A6AFC">
      <w:r w:rsidRPr="006A6AFC">
        <w:lastRenderedPageBreak/>
        <w:t>I det internasjonale likestillingsarbeidet prioriterer Norge alles rett til å bestemm</w:t>
      </w:r>
      <w:r w:rsidRPr="006A6AFC">
        <w:t>e over egen kropp. Globalt arbeider vi for å beskytte og styrke det normative rammeverket for seksuell og reproduktiv helse og rettigheter (SRHR) og at det ikke skal diskrimineres i tilgangen til helsetjenester. SRHR er en del av FNs bærekraftsmål 3.7 om k</w:t>
      </w:r>
      <w:r w:rsidRPr="006A6AFC">
        <w:t>jønns</w:t>
      </w:r>
      <w:r w:rsidRPr="006A6AFC">
        <w:t>likestilling og myndiggjøring av alle kvinner og jenter. Sentralt i arbeidet med SRHR er seksualitetsundervisning, familieplanlegging, prevensjon, trygge fødsler og trygg abort. Tilbud om SRHR kan bidra til å forhindre uønskede graviditeter, og unødv</w:t>
      </w:r>
      <w:r w:rsidRPr="006A6AFC">
        <w:t xml:space="preserve">endig smerte og død under svangerskap. </w:t>
      </w:r>
    </w:p>
    <w:p w14:paraId="117E9A4D" w14:textId="77777777" w:rsidR="00000000" w:rsidRPr="006A6AFC" w:rsidRDefault="00691445" w:rsidP="006A6AFC">
      <w:r w:rsidRPr="006A6AFC">
        <w:t>I senere år har motstanden mot SRHR-arbeidet økt. Motstanden begrunnes med at SRHR truer familieverdier, kultur og moral. Det vil være viktig å være klar over myndigheters og religiøse lederes bruk av maktpolitikk fo</w:t>
      </w:r>
      <w:r w:rsidRPr="006A6AFC">
        <w:t>r å motarbeide fremgang på dette området.</w:t>
      </w:r>
    </w:p>
    <w:p w14:paraId="1FBCADE0" w14:textId="7E6CC014" w:rsidR="00603526" w:rsidRPr="006A6AFC" w:rsidRDefault="00691445" w:rsidP="006A6AFC">
      <w:r w:rsidRPr="006A6AFC">
        <w:t xml:space="preserve">Det er samtidig sterke motsetninger internasjonalt mellom retten til å beskytte det ufødte liv og retten til trygg abort. Retten til selvbestemt og trygg abort utfordres i flere land gjennom restriktiv lovgivning, </w:t>
      </w:r>
      <w:r w:rsidRPr="006A6AFC">
        <w:t>forbud og stigmatisering. Dette skjer på tross av at forbud mot abort ikke minsker antall aborter, men gjør at flere kvinner, spesielt yngre kvinner, dør som følge av utrygge aborter. Fra norsk side er vi opptatt av at kvinners rett til SRHR og trygg abort</w:t>
      </w:r>
      <w:r w:rsidRPr="006A6AFC">
        <w:t xml:space="preserve"> ikke kan begrenses med henvisning til religiøse tradisjoner.</w:t>
      </w:r>
    </w:p>
    <w:p w14:paraId="29CA95A5" w14:textId="77777777" w:rsidR="00000000" w:rsidRPr="006A6AFC" w:rsidRDefault="00691445" w:rsidP="006A6AFC">
      <w:pPr>
        <w:pStyle w:val="UnOverskrift2"/>
      </w:pPr>
      <w:r w:rsidRPr="006A6AFC">
        <w:t>Kjønnsbasert vold</w:t>
      </w:r>
    </w:p>
    <w:p w14:paraId="5BDB9EFA" w14:textId="07805884" w:rsidR="00000000" w:rsidRPr="006A6AFC" w:rsidRDefault="00691445" w:rsidP="006A6AFC">
      <w:r w:rsidRPr="006A6AFC">
        <w:t>Kjønnslemlestelse, barne- og tvangsekteskap, vold i nære relasjoner og æresdrap hindrer kjønnslikestilling. Barn, særlig jenter, verden over er særlig sårbare for diskriminerin</w:t>
      </w:r>
      <w:r w:rsidRPr="006A6AFC">
        <w:t xml:space="preserve">g og skadelige skikker. Arbeidet mot kjønnsbasert vold er nedfelt i FNs bærekraftsmål 5. I enkelte samfunn legitimeres voldelige </w:t>
      </w:r>
      <w:proofErr w:type="spellStart"/>
      <w:r w:rsidRPr="006A6AFC">
        <w:t>æreskulturer</w:t>
      </w:r>
      <w:proofErr w:type="spellEnd"/>
      <w:r w:rsidRPr="006A6AFC">
        <w:t xml:space="preserve"> med henvisning til religion. I henhold til menneskerettighetene gir religion verken anledning til å diskriminere e</w:t>
      </w:r>
      <w:r w:rsidRPr="006A6AFC">
        <w:t xml:space="preserve">ller tillate vold og skadelige skikker. Slike holdninger skal bekjempes. I alt </w:t>
      </w:r>
      <w:proofErr w:type="gramStart"/>
      <w:r w:rsidRPr="006A6AFC">
        <w:t>vår arbeid</w:t>
      </w:r>
      <w:proofErr w:type="gramEnd"/>
      <w:r w:rsidRPr="006A6AFC">
        <w:t xml:space="preserve"> skal vi sikre at vi ikke bidrar til brudd på menneske</w:t>
      </w:r>
      <w:r w:rsidRPr="006A6AFC">
        <w:t>rettighetene. Dette er en del av operasjonaliseringen av menneske</w:t>
      </w:r>
      <w:r w:rsidRPr="006A6AFC">
        <w:t>rettigheter og likestilling som et tverrgående</w:t>
      </w:r>
      <w:r w:rsidRPr="006A6AFC">
        <w:t xml:space="preserve"> hensyn.</w:t>
      </w:r>
    </w:p>
    <w:tbl>
      <w:tblPr>
        <w:tblStyle w:val="StandardBoks"/>
        <w:tblW w:w="0" w:type="auto"/>
        <w:tblLayout w:type="fixed"/>
        <w:tblLook w:val="04A0" w:firstRow="1" w:lastRow="0" w:firstColumn="1" w:lastColumn="0" w:noHBand="0" w:noVBand="1"/>
      </w:tblPr>
      <w:tblGrid>
        <w:gridCol w:w="6463"/>
      </w:tblGrid>
      <w:tr w:rsidR="00000000" w:rsidRPr="006A6AFC" w14:paraId="389A8D9A" w14:textId="77777777" w:rsidTr="006A6AFC">
        <w:trPr>
          <w:trHeight w:val="60"/>
        </w:trPr>
        <w:tc>
          <w:tcPr>
            <w:tcW w:w="6463" w:type="dxa"/>
          </w:tcPr>
          <w:p w14:paraId="0F4692FD" w14:textId="72DD554C" w:rsidR="00BF3AD8" w:rsidRDefault="00603526" w:rsidP="006A6AFC">
            <w:r>
              <w:rPr>
                <w:noProof/>
              </w:rPr>
              <w:drawing>
                <wp:inline distT="0" distB="0" distL="0" distR="0" wp14:anchorId="301E366D" wp14:editId="121ACA25">
                  <wp:extent cx="3886200" cy="257175"/>
                  <wp:effectExtent l="0" t="0" r="0" b="9525"/>
                  <wp:docPr id="26" name="Bilde 26"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Dekorativ illustrasj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0" cy="257175"/>
                          </a:xfrm>
                          <a:prstGeom prst="rect">
                            <a:avLst/>
                          </a:prstGeom>
                          <a:noFill/>
                          <a:ln>
                            <a:noFill/>
                          </a:ln>
                        </pic:spPr>
                      </pic:pic>
                    </a:graphicData>
                  </a:graphic>
                </wp:inline>
              </w:drawing>
            </w:r>
          </w:p>
          <w:p w14:paraId="136EB3F7" w14:textId="03592E01" w:rsidR="00000000" w:rsidRPr="006A6AFC" w:rsidRDefault="00691445" w:rsidP="006A6AFC">
            <w:r w:rsidRPr="006A6AFC">
              <w:t>Europarådets Istanbulkonvensjon er den mest omfattende internasjonale traktaten for å forebygge og bekjempe vold mot kvinner og vold i nære relasjoner. Konvensjonen ivaretar ikke-</w:t>
            </w:r>
            <w:r w:rsidRPr="006A6AFC">
              <w:t>diskriminering på grunnlag av b</w:t>
            </w:r>
            <w:r w:rsidRPr="006A6AFC">
              <w:t xml:space="preserve">åde kjønn, seksuell orientering og kjønnsidentitet. Konvensjonen anerkjenner at vold mot kvinner er en krenkelse av menneskerettigheter. </w:t>
            </w:r>
          </w:p>
          <w:p w14:paraId="18FAC7BA" w14:textId="77777777" w:rsidR="00000000" w:rsidRPr="006A6AFC" w:rsidRDefault="00691445" w:rsidP="006A6AFC">
            <w:r w:rsidRPr="006A6AFC">
              <w:t xml:space="preserve">Forebygging av vold, beskyttelse av ofre og straffeforfølgelse av overgripere er konvensjonens hjørnesteiner. Den har </w:t>
            </w:r>
            <w:r w:rsidRPr="006A6AFC">
              <w:t xml:space="preserve">også som mål å endre holdninger. Vold mot kvinner har dype røtter i ulik maktbalanse mellom kvinner og menn i </w:t>
            </w:r>
            <w:r w:rsidRPr="006A6AFC">
              <w:lastRenderedPageBreak/>
              <w:t>samfunnet. I enkelte religiøse miljøer er kvinner i stor grad henvist til hjemmet, og vold i nære relasjoner er forhold som er skjult, og som anse</w:t>
            </w:r>
            <w:r w:rsidRPr="006A6AFC">
              <w:t xml:space="preserve">es som interne familieanliggender. Det gjør det vanskeligere for kvinner å få den beskyttelse de har krav på. </w:t>
            </w:r>
          </w:p>
          <w:p w14:paraId="67CCD880" w14:textId="77777777" w:rsidR="00000000" w:rsidRPr="006A6AFC" w:rsidRDefault="00691445" w:rsidP="006A6AFC">
            <w:r w:rsidRPr="006A6AFC">
              <w:t xml:space="preserve">Istanbulkonvensjonen underbygger FNs </w:t>
            </w:r>
            <w:proofErr w:type="spellStart"/>
            <w:r w:rsidRPr="006A6AFC">
              <w:t>bærekraftmål</w:t>
            </w:r>
            <w:proofErr w:type="spellEnd"/>
            <w:r w:rsidRPr="006A6AFC">
              <w:t xml:space="preserve"> 5 om kjønnslikestilling og myndiggjøring av alle kvinner og jenter, særlig undermål 2 og 3, som</w:t>
            </w:r>
            <w:r w:rsidRPr="006A6AFC">
              <w:t xml:space="preserve"> omhandler avskaffelse av alle former for vold mot kvinner og jenter. Istanbulkonvensjonen er bindende for alle land som har sluttet seg til den og til inspirasjon for andre land.</w:t>
            </w:r>
          </w:p>
        </w:tc>
      </w:tr>
    </w:tbl>
    <w:p w14:paraId="1C372464" w14:textId="77777777" w:rsidR="00000000" w:rsidRPr="006A6AFC" w:rsidRDefault="00691445" w:rsidP="006A6AFC">
      <w:pPr>
        <w:pStyle w:val="UnOverskrift2"/>
      </w:pPr>
      <w:r w:rsidRPr="006A6AFC">
        <w:lastRenderedPageBreak/>
        <w:t>Seksuell orientering, kjønnsidentitet og kjønnsuttrykk</w:t>
      </w:r>
    </w:p>
    <w:p w14:paraId="0A7BC2D5" w14:textId="77777777" w:rsidR="00000000" w:rsidRPr="006A6AFC" w:rsidRDefault="00691445" w:rsidP="006A6AFC">
      <w:r w:rsidRPr="006A6AFC">
        <w:t>Tros- og livssynsfri</w:t>
      </w:r>
      <w:r w:rsidRPr="006A6AFC">
        <w:t>het i et likestillingsperspektiv handler om like rettigheter for alle, uavhengig av seksuell orientering, kjønnsidentitet og kjønnsuttrykk. FNs menneskerettighetsråd vedtok i 2011 en resolusjon om beskyttelse mot vold og diskriminering på grunn av seksuell</w:t>
      </w:r>
      <w:r w:rsidRPr="006A6AFC">
        <w:t xml:space="preserve"> orientering og kjønnsidentitet, og opprettet i 2016 et mandat for en uavhengig ekspert på temaet. Mandatet har vært viktig for å dokumentere diskriminering og overgrep mot skeive, og for å gi anbefalinger til medlemslandene om beskyttelse av skeive og der</w:t>
      </w:r>
      <w:r w:rsidRPr="006A6AFC">
        <w:t xml:space="preserve">es rettigheter. I løpet av 2023 vil FNs uavhengige ekspert legge frem en egen rapport om religions- og trosfrihet relatert til seksuell orientering og kjønnsidentitet. </w:t>
      </w:r>
    </w:p>
    <w:p w14:paraId="48EE2930" w14:textId="77777777" w:rsidR="00000000" w:rsidRPr="006A6AFC" w:rsidRDefault="00691445" w:rsidP="006A6AFC">
      <w:r w:rsidRPr="006A6AFC">
        <w:t>Vold mot og diskriminering av personer på grunn av deres seksuelle orientering, kjønnsi</w:t>
      </w:r>
      <w:r w:rsidRPr="006A6AFC">
        <w:t>dentitet eller kjønnsuttrykk er et stort problem i mange land verden over. Mange land har lover som kriminaliserer like-kjønnede relasjoner. I enkelte land kan likekjønnede relasjoner medføre dødsstraff. Skeive opplever generelt en økt risiko for fysisk og</w:t>
      </w:r>
      <w:r w:rsidRPr="006A6AFC">
        <w:t xml:space="preserve"> seksuell vold, og for å bli utsatt for konverteringsterapi, eksorsisme og andre handlinger som har til hensikt å få personer til å endre, fornekte eller undertrykke sin identitet. Stigmatisering, mishandling og utstøting skjer både i den enkeltes familie </w:t>
      </w:r>
      <w:r w:rsidRPr="006A6AFC">
        <w:t>og i lokalsamfunnet med livslang negativ konsekvens for den enkeltes fysiske og mentale helse og livskvalitet. FNs spesialrapportør for tros- og livssynsfrihet la i 2020 frem anbefalinger knyttet til kjønnsbasert diskriminering og vold, inkludert mot lesbi</w:t>
      </w:r>
      <w:r w:rsidRPr="006A6AFC">
        <w:t xml:space="preserve">ske, homofile, bifile og transpersoner. </w:t>
      </w:r>
    </w:p>
    <w:p w14:paraId="73AEFF09" w14:textId="77777777" w:rsidR="00000000" w:rsidRPr="006A6AFC" w:rsidRDefault="00691445" w:rsidP="006A6AFC">
      <w:r w:rsidRPr="006A6AFC">
        <w:t xml:space="preserve">I mange land argumenterer religiøse grupper for at religiøs lære forbyr seksuelle relasjoner mellom likekjønnede, og fastholder et standpunkt om at kjønn kun er forankret i biologi. Med henvisning til behovet for å </w:t>
      </w:r>
      <w:r w:rsidRPr="006A6AFC">
        <w:t>beskytte religiøse og tradisjonelle verdier, avviser både religiøse ledere, myndighetspersoner og andre skeives likeverd og menneskerettigheter. Økende motstand mot seksualitetsundervisning i skolen er et uttrykk for den brede mobiliseringen mot rettighete</w:t>
      </w:r>
      <w:r w:rsidRPr="006A6AFC">
        <w:t>ne til skeive personer og kjønnslikestilling vi ser.</w:t>
      </w:r>
    </w:p>
    <w:p w14:paraId="1B7AEBFD" w14:textId="14311CEA" w:rsidR="00000000" w:rsidRPr="006A6AFC" w:rsidRDefault="00691445" w:rsidP="006A6AFC">
      <w:r w:rsidRPr="006A6AFC">
        <w:t>Religion og livssyn er for mange av eksistensiell betydning. Personer som ekskluderes fra tros</w:t>
      </w:r>
      <w:r w:rsidRPr="006A6AFC">
        <w:t>fellesskap på grunn av sin seksuelle orientering eller kjønnsidentitet, kan både forhindres fra å praktisere</w:t>
      </w:r>
      <w:r w:rsidRPr="006A6AFC">
        <w:t xml:space="preserve"> sin tro og utsettes for skadelig konverteringsterapi. Både FNs høykommissær for menneskerettigheter </w:t>
      </w:r>
      <w:r w:rsidRPr="006A6AFC">
        <w:lastRenderedPageBreak/>
        <w:t>og andre FN-organer har anbefalt statene å iverksette tiltak for å forby eller avskaffe konverteringsterapi.</w:t>
      </w:r>
    </w:p>
    <w:p w14:paraId="55BC1C28" w14:textId="42444F01" w:rsidR="00000000" w:rsidRDefault="00691445" w:rsidP="006A6AFC">
      <w:r w:rsidRPr="006A6AFC">
        <w:t xml:space="preserve">Norge ligger langt fremme i arbeidet mot diskriminering og overgrep på grunn av seksuell orientering, kjønnsidentitet og kjønnsuttrykk. Norges nasjonale handlingsplan for kjønns- og seksualitetsmangfold (2023-2026) har </w:t>
      </w:r>
      <w:proofErr w:type="gramStart"/>
      <w:r w:rsidRPr="006A6AFC">
        <w:t>fokus</w:t>
      </w:r>
      <w:proofErr w:type="gramEnd"/>
      <w:r w:rsidRPr="006A6AFC">
        <w:t xml:space="preserve"> på blant annet skeive i religiø</w:t>
      </w:r>
      <w:r w:rsidRPr="006A6AFC">
        <w:t>se samfunn. Handlingsplanen inkluderer også tiltak for internasjonal innsats, deriblant for seksuell og reproduktiv helse og rettigheter for alle.</w:t>
      </w:r>
    </w:p>
    <w:p w14:paraId="5197BA78" w14:textId="5C1C2F2E" w:rsidR="00603526" w:rsidRPr="006A6AFC" w:rsidRDefault="00603526" w:rsidP="006A6AFC">
      <w:r>
        <w:rPr>
          <w:noProof/>
        </w:rPr>
        <w:drawing>
          <wp:inline distT="0" distB="0" distL="0" distR="0" wp14:anchorId="29B922F2" wp14:editId="0F18C1CC">
            <wp:extent cx="4514850" cy="4514850"/>
            <wp:effectExtent l="0" t="0" r="0" b="0"/>
            <wp:docPr id="33" name="Bilde 33"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descr="Dekorativ illustrasj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4850" cy="4514850"/>
                    </a:xfrm>
                    <a:prstGeom prst="rect">
                      <a:avLst/>
                    </a:prstGeom>
                    <a:noFill/>
                    <a:ln>
                      <a:noFill/>
                    </a:ln>
                  </pic:spPr>
                </pic:pic>
              </a:graphicData>
            </a:graphic>
          </wp:inline>
        </w:drawing>
      </w:r>
    </w:p>
    <w:p w14:paraId="2C90FCCE" w14:textId="77777777" w:rsidR="00000000" w:rsidRPr="006A6AFC" w:rsidRDefault="00691445" w:rsidP="006A6AFC">
      <w:pPr>
        <w:pStyle w:val="UnOverskrift2"/>
      </w:pPr>
      <w:r w:rsidRPr="006A6AFC">
        <w:t>Hva kan utenrikstjenesten gjøre?</w:t>
      </w:r>
    </w:p>
    <w:p w14:paraId="513F2F3F" w14:textId="77777777" w:rsidR="00000000" w:rsidRPr="006A6AFC" w:rsidRDefault="00691445" w:rsidP="006A6AFC">
      <w:pPr>
        <w:pStyle w:val="Listebombe"/>
      </w:pPr>
      <w:r w:rsidRPr="006A6AFC">
        <w:t>Styrke interaksjonen mellom grupper som arbeider for tros- og livssynsfrihet</w:t>
      </w:r>
      <w:r w:rsidRPr="006A6AFC">
        <w:t xml:space="preserve"> og de som arbeider for kjønnslikestilling og kjønns- og seksualitetsmangfold, lokalt, nasjonalt og internasjonalt, inkludert med utenrikstjenestens strategiske samarbeidspartnere på feltet. (Se vedlegg 4 i den elektroniske utgaven). </w:t>
      </w:r>
    </w:p>
    <w:p w14:paraId="00045783" w14:textId="77777777" w:rsidR="00000000" w:rsidRPr="006A6AFC" w:rsidRDefault="00691445" w:rsidP="006A6AFC">
      <w:pPr>
        <w:pStyle w:val="Listebombe"/>
      </w:pPr>
      <w:r w:rsidRPr="006A6AFC">
        <w:t>Støtte opp om interna</w:t>
      </w:r>
      <w:r w:rsidRPr="006A6AFC">
        <w:t>sjonale tiltak, inkludert i samarbeid med FNs høykommissær for menneskerettigheter (OHCHR) for å bekjempe religiøst motivert kjønnsbasert vold.</w:t>
      </w:r>
    </w:p>
    <w:p w14:paraId="419DE4FA" w14:textId="77777777" w:rsidR="00000000" w:rsidRPr="006A6AFC" w:rsidRDefault="00691445" w:rsidP="006A6AFC">
      <w:pPr>
        <w:pStyle w:val="Listebombe"/>
      </w:pPr>
      <w:r w:rsidRPr="006A6AFC">
        <w:t xml:space="preserve">Bidra til utforming av norske posisjoner og anbefalinger til Universal </w:t>
      </w:r>
      <w:proofErr w:type="spellStart"/>
      <w:r w:rsidRPr="006A6AFC">
        <w:t>Periodic</w:t>
      </w:r>
      <w:proofErr w:type="spellEnd"/>
      <w:r w:rsidRPr="006A6AFC">
        <w:t xml:space="preserve"> </w:t>
      </w:r>
      <w:proofErr w:type="spellStart"/>
      <w:r w:rsidRPr="006A6AFC">
        <w:t>Review</w:t>
      </w:r>
      <w:proofErr w:type="spellEnd"/>
      <w:r w:rsidRPr="006A6AFC">
        <w:t xml:space="preserve"> (UPR) i FNs menneskeretti</w:t>
      </w:r>
      <w:r w:rsidRPr="006A6AFC">
        <w:t>ghetsråd som løfter tros- og livssynsfriheten på en måte som sikrer kvinners og skeives rettigheter.</w:t>
      </w:r>
    </w:p>
    <w:p w14:paraId="616620FD" w14:textId="77777777" w:rsidR="00000000" w:rsidRPr="006A6AFC" w:rsidRDefault="00691445" w:rsidP="006A6AFC">
      <w:pPr>
        <w:pStyle w:val="Listebombe"/>
      </w:pPr>
      <w:r w:rsidRPr="006A6AFC">
        <w:t>Styrke kjønnslikestilling og kvinners rett til deltakelse og medbestemmelse gjennom å etablere dialog og samarbeid med religiøse ledere og trosbaserte orga</w:t>
      </w:r>
      <w:r w:rsidRPr="006A6AFC">
        <w:t>nisasjoner.</w:t>
      </w:r>
    </w:p>
    <w:p w14:paraId="260C6D44" w14:textId="77777777" w:rsidR="00000000" w:rsidRPr="006A6AFC" w:rsidRDefault="00691445" w:rsidP="006A6AFC">
      <w:pPr>
        <w:pStyle w:val="Listebombe"/>
      </w:pPr>
      <w:r w:rsidRPr="006A6AFC">
        <w:t>Styrke retten til selvbestemmelse over egen kropp og seksualitet. Forsterke norsk innsats, etablere nye allianser med trosbaserte organisasjoner og øke støtten til familieplanlegging, prevensjon, trygge aborter, og til SRHR for alle.</w:t>
      </w:r>
    </w:p>
    <w:p w14:paraId="45C89DFF" w14:textId="77777777" w:rsidR="00000000" w:rsidRPr="006A6AFC" w:rsidRDefault="00691445" w:rsidP="006A6AFC">
      <w:pPr>
        <w:pStyle w:val="Listebombe"/>
      </w:pPr>
      <w:r w:rsidRPr="006A6AFC">
        <w:t xml:space="preserve">Bidra til </w:t>
      </w:r>
      <w:r w:rsidRPr="006A6AFC">
        <w:t>dialog på tros- og livssynsfeltet for å sikre kvinner tilgang til trygg abort og søke samarbeid med progressive krefter. Bruke bistand til å fremme trygg abort i land der samarbeid med lokale aktører er mulig.</w:t>
      </w:r>
    </w:p>
    <w:p w14:paraId="3C6226BD" w14:textId="77777777" w:rsidR="00000000" w:rsidRPr="006A6AFC" w:rsidRDefault="00691445" w:rsidP="006A6AFC">
      <w:pPr>
        <w:pStyle w:val="Listebombe"/>
      </w:pPr>
      <w:r w:rsidRPr="006A6AFC">
        <w:t>Vektlegge at retten til tros- og livssynsfrihe</w:t>
      </w:r>
      <w:r w:rsidRPr="006A6AFC">
        <w:t>t ikke kan begrense kvinners og skeives rett til å få realisert sine menneskerettigheter, inkludert deres seksuelle og reproduktive helse og rettigheter.</w:t>
      </w:r>
    </w:p>
    <w:p w14:paraId="1C74F81B" w14:textId="77777777" w:rsidR="00000000" w:rsidRPr="006A6AFC" w:rsidRDefault="00691445" w:rsidP="006A6AFC">
      <w:pPr>
        <w:pStyle w:val="Listebombe"/>
      </w:pPr>
      <w:r w:rsidRPr="006A6AFC">
        <w:t>Understreke at likestilling krever at alle kvinner får realisert sine rettigheter, inkludert sine seks</w:t>
      </w:r>
      <w:r w:rsidRPr="006A6AFC">
        <w:t>uelle og reproduktive rettigheter og påpeke at SRHR gjør det mulig for kvinner å ta utdanning og delta i arbeidslivet, samt at det også hindrer unødvendig smerte og død under svangerskap.</w:t>
      </w:r>
    </w:p>
    <w:p w14:paraId="4E5ED64F" w14:textId="77777777" w:rsidR="00000000" w:rsidRPr="006A6AFC" w:rsidRDefault="00691445" w:rsidP="006A6AFC">
      <w:pPr>
        <w:pStyle w:val="Listebombe"/>
      </w:pPr>
      <w:r w:rsidRPr="006A6AFC">
        <w:t>Identifisere og mobilisere utradisjonelle aktører, inkludert liberal</w:t>
      </w:r>
      <w:r w:rsidRPr="006A6AFC">
        <w:t xml:space="preserve">e trosbaserte organisasjoner, for å fremme arbeidet med kjønn og likestilling. </w:t>
      </w:r>
    </w:p>
    <w:p w14:paraId="27507EE0" w14:textId="77777777" w:rsidR="00000000" w:rsidRPr="006A6AFC" w:rsidRDefault="00691445" w:rsidP="006A6AFC">
      <w:pPr>
        <w:pStyle w:val="Listebombe"/>
      </w:pPr>
      <w:r w:rsidRPr="006A6AFC">
        <w:t>Bekjempe religiøst motivert forfølgelse og diskriminering av mennesker basert på seksuell orientering og kjønnsidentitet. Legge til rette for trygge møteplasser og dialog mello</w:t>
      </w:r>
      <w:r w:rsidRPr="006A6AFC">
        <w:t xml:space="preserve">m religiøse ledere, kvinneorganisasjoner og skeives organisasjoner. </w:t>
      </w:r>
    </w:p>
    <w:p w14:paraId="5620199C" w14:textId="77777777" w:rsidR="00000000" w:rsidRPr="006A6AFC" w:rsidRDefault="00691445" w:rsidP="006A6AFC">
      <w:pPr>
        <w:pStyle w:val="Listebombe"/>
      </w:pPr>
      <w:r w:rsidRPr="006A6AFC">
        <w:t>Påse at samarbeidspartnere som mottar finansiell støtte for fremme av tros- og livssynsfrihet ikke motarbeider Norges innsats for kjønnslikestilling og menneskerettigheter.</w:t>
      </w:r>
    </w:p>
    <w:p w14:paraId="28836564" w14:textId="77777777" w:rsidR="00000000" w:rsidRPr="006A6AFC" w:rsidRDefault="00691445" w:rsidP="006A6AFC">
      <w:pPr>
        <w:pStyle w:val="Listebombe"/>
      </w:pPr>
      <w:r w:rsidRPr="006A6AFC">
        <w:t>Bidra til kunn</w:t>
      </w:r>
      <w:r w:rsidRPr="006A6AFC">
        <w:t>skapsbygging for å støtte opp om lokalt tilpassede tiltak mot diskriminering og skadelige skikker rettet mot kvinner, barn og skeive.</w:t>
      </w:r>
    </w:p>
    <w:p w14:paraId="53D5807F" w14:textId="77777777" w:rsidR="00000000" w:rsidRPr="006A6AFC" w:rsidRDefault="00691445" w:rsidP="006A6AFC">
      <w:pPr>
        <w:pStyle w:val="Overskrift1"/>
      </w:pPr>
      <w:r w:rsidRPr="006A6AFC">
        <w:lastRenderedPageBreak/>
        <w:t>Ytringsfrihet i møte med tros- og livssynsfrihet</w:t>
      </w:r>
    </w:p>
    <w:p w14:paraId="67A6A2CB" w14:textId="2B19D770" w:rsidR="00603526" w:rsidRDefault="00603526" w:rsidP="006A6AFC">
      <w:r>
        <w:rPr>
          <w:noProof/>
        </w:rPr>
        <w:drawing>
          <wp:inline distT="0" distB="0" distL="0" distR="0" wp14:anchorId="67F407F1" wp14:editId="2A91C848">
            <wp:extent cx="5429250" cy="7762875"/>
            <wp:effectExtent l="0" t="0" r="0" b="9525"/>
            <wp:docPr id="34" name="Bilde 34"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4" descr="Dekorativ illustrasj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0" cy="7762875"/>
                    </a:xfrm>
                    <a:prstGeom prst="rect">
                      <a:avLst/>
                    </a:prstGeom>
                    <a:noFill/>
                    <a:ln>
                      <a:noFill/>
                    </a:ln>
                  </pic:spPr>
                </pic:pic>
              </a:graphicData>
            </a:graphic>
          </wp:inline>
        </w:drawing>
      </w:r>
    </w:p>
    <w:p w14:paraId="40AF79CE" w14:textId="5F8AB74B" w:rsidR="00000000" w:rsidRPr="006A6AFC" w:rsidRDefault="00691445" w:rsidP="006A6AFC">
      <w:r w:rsidRPr="006A6AFC">
        <w:t>I likhet med tros- og livssynsfriheten gir retten til menings- og ytrings</w:t>
      </w:r>
      <w:r w:rsidRPr="006A6AFC">
        <w:t>frihet individet mulighet til å skaffe seg ny innsikt og utvikle egne meninger, og til å ha, endre eller åpent kommunisere om egen overbevisning. Det er grundig redegjort for dette i Utenriksdepartementets Strategi for ytringsfrihet i utenriks- og utvikli</w:t>
      </w:r>
      <w:r w:rsidRPr="006A6AFC">
        <w:t>ngspolitikken (2021).</w:t>
      </w:r>
    </w:p>
    <w:p w14:paraId="26E09C5E" w14:textId="77777777" w:rsidR="00000000" w:rsidRPr="006A6AFC" w:rsidRDefault="00691445" w:rsidP="006A6AFC">
      <w:r w:rsidRPr="006A6AFC">
        <w:t xml:space="preserve">Ytringsfrihet er en forutsetning for tros- og livssynsfriheten. Det å bære bestemte klesplagg eller overholde spesielle diettregler kan være et viktig uttrykk for individets tro eller livssyn (se kapittel 2 </w:t>
      </w:r>
      <w:proofErr w:type="spellStart"/>
      <w:r w:rsidRPr="006A6AFC">
        <w:t>on</w:t>
      </w:r>
      <w:proofErr w:type="spellEnd"/>
      <w:r w:rsidRPr="006A6AFC">
        <w:t xml:space="preserve"> norske erfaringer). Slik</w:t>
      </w:r>
      <w:r w:rsidRPr="006A6AFC">
        <w:t xml:space="preserve"> sett er ytringsfriheten en forutsetning for at de praktiske konsekvensene av individets religiøse tro eller livssyn kan gjennomføres i alle aspekter av dagliglivet. Selv om de to rettighetene kan ha ulike funksjoner, beskytter begge individets integritet </w:t>
      </w:r>
      <w:r w:rsidRPr="006A6AFC">
        <w:t>i dannelsen av egne meninger og overbevisninger.</w:t>
      </w:r>
    </w:p>
    <w:p w14:paraId="11DB9566" w14:textId="77777777" w:rsidR="00000000" w:rsidRPr="006A6AFC" w:rsidRDefault="00691445" w:rsidP="006A6AFC">
      <w:r w:rsidRPr="006A6AFC">
        <w:t>Ytringsfriheten handler også om retten til å kunne gi uttrykk for sin religion eller sitt livssyn, inkludert å drive forkynnelse, som er sentralt for mange tros- og livssynssamfunn. Ytringsfrihet handler ogs</w:t>
      </w:r>
      <w:r w:rsidRPr="006A6AFC">
        <w:t>å om å kunne ytre seg kritisk til andres religion eller livssyn. Denne rettigheten kan imidlertid begrenses, blant annet for å sikre andres rettigheter og friheter og for å forhindre hatefulle ytringer.</w:t>
      </w:r>
    </w:p>
    <w:p w14:paraId="2FFF15F7" w14:textId="77777777" w:rsidR="00000000" w:rsidRPr="006A6AFC" w:rsidRDefault="00691445" w:rsidP="006A6AFC">
      <w:r w:rsidRPr="006A6AFC">
        <w:t>Ytringsfriheten er forankret i Menneskerettighetserkl</w:t>
      </w:r>
      <w:r w:rsidRPr="006A6AFC">
        <w:t>æringen artikkel 19 og i FN-konvensjonen om sivile og politiske rettigheter (SP) artikkel 19.</w:t>
      </w:r>
    </w:p>
    <w:tbl>
      <w:tblPr>
        <w:tblStyle w:val="StandardBoks"/>
        <w:tblW w:w="0" w:type="auto"/>
        <w:tblLayout w:type="fixed"/>
        <w:tblLook w:val="04A0" w:firstRow="1" w:lastRow="0" w:firstColumn="1" w:lastColumn="0" w:noHBand="0" w:noVBand="1"/>
      </w:tblPr>
      <w:tblGrid>
        <w:gridCol w:w="6463"/>
      </w:tblGrid>
      <w:tr w:rsidR="00000000" w:rsidRPr="006A6AFC" w14:paraId="4F582C1C" w14:textId="77777777" w:rsidTr="006A6AFC">
        <w:trPr>
          <w:trHeight w:val="60"/>
        </w:trPr>
        <w:tc>
          <w:tcPr>
            <w:tcW w:w="6463" w:type="dxa"/>
          </w:tcPr>
          <w:p w14:paraId="234C08E6" w14:textId="72581D64" w:rsidR="00BF3AD8" w:rsidRDefault="00603526" w:rsidP="006A6AFC">
            <w:r>
              <w:rPr>
                <w:noProof/>
              </w:rPr>
              <w:drawing>
                <wp:inline distT="0" distB="0" distL="0" distR="0" wp14:anchorId="396C8D2D" wp14:editId="1470B6F7">
                  <wp:extent cx="3886200" cy="257175"/>
                  <wp:effectExtent l="0" t="0" r="0" b="9525"/>
                  <wp:docPr id="27" name="Bilde 27"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Dekorativ illustrasj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0" cy="257175"/>
                          </a:xfrm>
                          <a:prstGeom prst="rect">
                            <a:avLst/>
                          </a:prstGeom>
                          <a:noFill/>
                          <a:ln>
                            <a:noFill/>
                          </a:ln>
                        </pic:spPr>
                      </pic:pic>
                    </a:graphicData>
                  </a:graphic>
                </wp:inline>
              </w:drawing>
            </w:r>
          </w:p>
          <w:p w14:paraId="67FA6923" w14:textId="4E11FE0D" w:rsidR="00000000" w:rsidRPr="006A6AFC" w:rsidRDefault="00691445" w:rsidP="006A6AFC">
            <w:r w:rsidRPr="006A6AFC">
              <w:t>I FN-konvensjonen om sivile og politiske rettigheter artikkel 19 heter det at:</w:t>
            </w:r>
          </w:p>
          <w:p w14:paraId="0CA05DB4" w14:textId="77777777" w:rsidR="00000000" w:rsidRPr="006A6AFC" w:rsidRDefault="00691445" w:rsidP="006A6AFC">
            <w:pPr>
              <w:pStyle w:val="Nummerertliste"/>
            </w:pPr>
            <w:r w:rsidRPr="006A6AFC">
              <w:t>Enhver skal ha rett til meningsfrihet uten inngr</w:t>
            </w:r>
            <w:r w:rsidRPr="006A6AFC">
              <w:t>ep.</w:t>
            </w:r>
          </w:p>
          <w:p w14:paraId="7F376AC6" w14:textId="77777777" w:rsidR="00000000" w:rsidRPr="006A6AFC" w:rsidRDefault="00691445" w:rsidP="006A6AFC">
            <w:pPr>
              <w:pStyle w:val="Nummerertliste"/>
            </w:pPr>
            <w:r w:rsidRPr="006A6AFC">
              <w:t>Enhver skal ha rett til ytringsfrihet; denne rett omfatter frihet til å søke, motta og meddele opplysninger og tanker av alle slag, uten hensyn til landegrenser, enten i muntlig, skriftlig eller trykt form, eller ved kunstneriske eller andre uttrykksmi</w:t>
            </w:r>
            <w:r w:rsidRPr="006A6AFC">
              <w:t>dler etter eget valg.</w:t>
            </w:r>
          </w:p>
          <w:p w14:paraId="0C082A77" w14:textId="77777777" w:rsidR="00000000" w:rsidRPr="006A6AFC" w:rsidRDefault="00691445" w:rsidP="006A6AFC">
            <w:pPr>
              <w:pStyle w:val="Nummerertliste"/>
            </w:pPr>
            <w:r w:rsidRPr="006A6AFC">
              <w:t>Utøvelsen av de rettigheter som er fastsatt i denne artikkels paragraf 2 medfører særlige forpliktelser og et særlig ansvar. Den kan derfor gjøres til gjenstand for visse begrensninger, som dog må være fastsatt ved lov, og være nødven</w:t>
            </w:r>
            <w:r w:rsidRPr="006A6AFC">
              <w:t>dige av hensyn til:</w:t>
            </w:r>
          </w:p>
          <w:p w14:paraId="3051C683" w14:textId="77777777" w:rsidR="00000000" w:rsidRPr="006A6AFC" w:rsidRDefault="00691445" w:rsidP="006A6AFC">
            <w:pPr>
              <w:pStyle w:val="alfaliste2"/>
            </w:pPr>
            <w:r w:rsidRPr="006A6AFC">
              <w:t>Respekten for andres rettigheter eller omdømme.</w:t>
            </w:r>
          </w:p>
          <w:p w14:paraId="4C395AAB" w14:textId="77777777" w:rsidR="00000000" w:rsidRPr="006A6AFC" w:rsidRDefault="00691445" w:rsidP="006A6AFC">
            <w:pPr>
              <w:pStyle w:val="alfaliste2"/>
            </w:pPr>
            <w:r w:rsidRPr="006A6AFC">
              <w:t>Beskyttelsen av den nasjonale sikkerhet, den alminnelige samfunnsorden, eller den offentlige helse eller moral.</w:t>
            </w:r>
          </w:p>
        </w:tc>
      </w:tr>
    </w:tbl>
    <w:p w14:paraId="04A10DC9" w14:textId="77777777" w:rsidR="00000000" w:rsidRPr="006A6AFC" w:rsidRDefault="00691445" w:rsidP="006A6AFC">
      <w:pPr>
        <w:pStyle w:val="UnOverskrift2"/>
      </w:pPr>
      <w:r w:rsidRPr="006A6AFC">
        <w:lastRenderedPageBreak/>
        <w:t>Blasfemi og apostasi</w:t>
      </w:r>
    </w:p>
    <w:p w14:paraId="319A82CE" w14:textId="77777777" w:rsidR="00000000" w:rsidRPr="006A6AFC" w:rsidRDefault="00691445" w:rsidP="006A6AFC">
      <w:r w:rsidRPr="006A6AFC">
        <w:t>Forholdet mellom tros- og livssynsfrihet og ytringsfrihet har i perioder vært satt på prøve. Organisasjonen for islamsk samarbeid (OIC) fremmet i perioden 1999–2010 en resolusjon i FN for å bekjempe «ærekrenkelse av religion».</w:t>
      </w:r>
    </w:p>
    <w:p w14:paraId="0F98E7D0" w14:textId="77777777" w:rsidR="00000000" w:rsidRPr="006A6AFC" w:rsidRDefault="00691445" w:rsidP="006A6AFC">
      <w:r w:rsidRPr="006A6AFC">
        <w:t>Kontroversene nådde sitt høyd</w:t>
      </w:r>
      <w:r w:rsidRPr="006A6AFC">
        <w:t>epunkt under striden om de danske karikaturtegningene i 2005–2006. Resolusjonen tok til orde for at religioner, og særlig islam, fortjente rettslig beskyttelse. Dette stod i motsetning til både tros- og livssynsfrihet og ytringsfriheten.</w:t>
      </w:r>
    </w:p>
    <w:p w14:paraId="7801DB45" w14:textId="77777777" w:rsidR="00000000" w:rsidRPr="006A6AFC" w:rsidRDefault="00691445" w:rsidP="006A6AFC">
      <w:r w:rsidRPr="006A6AFC">
        <w:t xml:space="preserve">I 2011 vedtok FNs </w:t>
      </w:r>
      <w:r w:rsidRPr="006A6AFC">
        <w:t xml:space="preserve">menneskerettighetsråd en resolusjon </w:t>
      </w:r>
      <w:r w:rsidRPr="006A6AFC">
        <w:rPr>
          <w:rStyle w:val="kursiv"/>
        </w:rPr>
        <w:t>om bekjempelse av intoleranse, negative stereotypisering og diskriminering av mennesker på bakgrunn av tro eller livssyn</w:t>
      </w:r>
      <w:r w:rsidRPr="006A6AFC">
        <w:t xml:space="preserve"> (HRC res. 16/18).</w:t>
      </w:r>
    </w:p>
    <w:p w14:paraId="7A45D58E" w14:textId="77777777" w:rsidR="00000000" w:rsidRPr="006A6AFC" w:rsidRDefault="00691445" w:rsidP="006A6AFC">
      <w:r w:rsidRPr="006A6AFC">
        <w:t>Med denne resolusjonen ble det skapt en ramme for drøfting av vanskelige kulturel</w:t>
      </w:r>
      <w:r w:rsidRPr="006A6AFC">
        <w:t xml:space="preserve">le, religiøse, politiske og rettslige spørsmål i en mellomstatlig møteserie, som omtales som Istanbulprosessen. </w:t>
      </w:r>
    </w:p>
    <w:tbl>
      <w:tblPr>
        <w:tblStyle w:val="StandardBoks"/>
        <w:tblW w:w="0" w:type="auto"/>
        <w:tblLayout w:type="fixed"/>
        <w:tblLook w:val="04A0" w:firstRow="1" w:lastRow="0" w:firstColumn="1" w:lastColumn="0" w:noHBand="0" w:noVBand="1"/>
      </w:tblPr>
      <w:tblGrid>
        <w:gridCol w:w="6463"/>
      </w:tblGrid>
      <w:tr w:rsidR="00000000" w:rsidRPr="006A6AFC" w14:paraId="08DC0C83" w14:textId="77777777" w:rsidTr="006A6AFC">
        <w:trPr>
          <w:trHeight w:val="60"/>
        </w:trPr>
        <w:tc>
          <w:tcPr>
            <w:tcW w:w="6463" w:type="dxa"/>
          </w:tcPr>
          <w:p w14:paraId="05663756" w14:textId="681BD731" w:rsidR="00BF3AD8" w:rsidRDefault="00603526" w:rsidP="006A6AFC">
            <w:r>
              <w:rPr>
                <w:noProof/>
              </w:rPr>
              <w:drawing>
                <wp:inline distT="0" distB="0" distL="0" distR="0" wp14:anchorId="0F1B5290" wp14:editId="263B1709">
                  <wp:extent cx="3886200" cy="257175"/>
                  <wp:effectExtent l="0" t="0" r="0" b="9525"/>
                  <wp:docPr id="28" name="Bilde 28"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Dekorativ illustrasj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0" cy="257175"/>
                          </a:xfrm>
                          <a:prstGeom prst="rect">
                            <a:avLst/>
                          </a:prstGeom>
                          <a:noFill/>
                          <a:ln>
                            <a:noFill/>
                          </a:ln>
                        </pic:spPr>
                      </pic:pic>
                    </a:graphicData>
                  </a:graphic>
                </wp:inline>
              </w:drawing>
            </w:r>
          </w:p>
          <w:p w14:paraId="641EB393" w14:textId="52B503F9" w:rsidR="00000000" w:rsidRPr="006A6AFC" w:rsidRDefault="00691445" w:rsidP="006A6AFC">
            <w:r w:rsidRPr="006A6AFC">
              <w:t xml:space="preserve">Istanbulprosessen oppmuntrer til gjennomføring av resolusjon 16/18 fra menneskerettighetsrådet, men møtene </w:t>
            </w:r>
            <w:r w:rsidRPr="006A6AFC">
              <w:t>avdekket stor uenighet. FNs spesialrapportør for tros- og livssynsfrihet har senere pekt på betydningen av å knytte gjennomføringen av resolusjonen til andre relevante rammeverk, som Rabat-handlingsplanen om forbudet mot å fremme hat basert på nasjonalitet</w:t>
            </w:r>
            <w:r w:rsidRPr="006A6AFC">
              <w:t>, rase eller religion som innebærer en tilskyndelse til diskriminering, fiendskap eller vold. Handlingsplanen gir statene veiledning i hvordan balansere hensynet til ytringsfrihet (art. 19) opp mot forbudet mot visse hatefulle ytringer (art. 20) i FNs menn</w:t>
            </w:r>
            <w:r w:rsidRPr="006A6AFC">
              <w:t xml:space="preserve">eskerettighetserklæring. </w:t>
            </w:r>
          </w:p>
        </w:tc>
      </w:tr>
    </w:tbl>
    <w:p w14:paraId="7CD8A599" w14:textId="77777777" w:rsidR="00000000" w:rsidRPr="006A6AFC" w:rsidRDefault="00691445" w:rsidP="006A6AFC"/>
    <w:p w14:paraId="1E55DEA3" w14:textId="12035FC6" w:rsidR="00000000" w:rsidRPr="006A6AFC" w:rsidRDefault="00691445" w:rsidP="006A6AFC">
      <w:r w:rsidRPr="006A6AFC">
        <w:t>I perioden 2011–2012 la FNs høykommissær for menneskerettigheter til rette for internasjonal drøfting av hat mot religiøse grupper. Dette resulterte i Rabat-handlingsplanen. Mens handlingsplanen anerkjenner statenes mulighet til</w:t>
      </w:r>
      <w:r w:rsidRPr="006A6AFC">
        <w:t xml:space="preserve"> å begrense ytringsfriheten og gjøre det ulovlig å fremsette ytringer som innebærer en oppfordring til hat, diskriminering og vold, er terskelen for slike restriksjoner høy og bør baseres på en rekke kontekstuelle vurderinger. Videre oppfordrer Rabat-handl</w:t>
      </w:r>
      <w:r w:rsidRPr="006A6AFC">
        <w:t>ings</w:t>
      </w:r>
      <w:r w:rsidRPr="006A6AFC">
        <w:t>planen til ikke-restriktive tiltak for å motvirke intoleranse, stigmatisering og hat. Mulige tiltak inkluderer tverrkulturell dialog og utdanning for å fremme toleranse og mangfold, samt tiltak og politikk som fremmer og beskytter minoriteters og urfo</w:t>
      </w:r>
      <w:r w:rsidRPr="006A6AFC">
        <w:t>lks ytringsfrihet.</w:t>
      </w:r>
    </w:p>
    <w:p w14:paraId="5F4AD706" w14:textId="267DF5E3" w:rsidR="00000000" w:rsidRPr="006A6AFC" w:rsidRDefault="00691445" w:rsidP="006A6AFC">
      <w:r w:rsidRPr="006A6AFC">
        <w:t xml:space="preserve">Diskusjoner om blasfemi (gudsbespottelse) og blasfemilovgivning er stadig relevant og viser hvordan religiøse aktører setter tros- og livssynsfrihet og ytringsfrihet opp mot hverandre. Særlig i diskusjoner </w:t>
      </w:r>
      <w:r w:rsidRPr="006A6AFC">
        <w:lastRenderedPageBreak/>
        <w:t>om «blasfemisk» kritikk av reli</w:t>
      </w:r>
      <w:r w:rsidRPr="006A6AFC">
        <w:t xml:space="preserve">gion blir det ofte antatt at de to rettighetene representerer ulike interesser. Mens ytringsfriheten gjerne fremstilles som selve symbolet på liberale friheter fordi den gir rom for politisk </w:t>
      </w:r>
      <w:r w:rsidRPr="006A6AFC">
        <w:t>kritikk og provokasjon, kunstneriske eksperimenter, og religions</w:t>
      </w:r>
      <w:r w:rsidRPr="006A6AFC">
        <w:t>kritikk, er det en utbredt oppfatning at tros- og livssynsfriheten bidrar til nettopp å minske dette rommet. Tros- og livssynsfriheten anses dermed å være en «mindre liberal» rettighet.</w:t>
      </w:r>
    </w:p>
    <w:p w14:paraId="5527E9C7" w14:textId="77777777" w:rsidR="00000000" w:rsidRPr="006A6AFC" w:rsidRDefault="00691445" w:rsidP="006A6AFC">
      <w:r w:rsidRPr="006A6AFC">
        <w:t>Lover mot apostasi (frafall fra religion) gjelder fortsatt i mange lan</w:t>
      </w:r>
      <w:r w:rsidRPr="006A6AFC">
        <w:t>d og kan gi strenge straffer. Dette bryter med tros- og livssynsfriheten, som nettopp omfatter den enkeltes rett til å velge eller endre tro eller livssyn.</w:t>
      </w:r>
    </w:p>
    <w:p w14:paraId="77406702" w14:textId="77777777" w:rsidR="00000000" w:rsidRPr="006A6AFC" w:rsidRDefault="00691445" w:rsidP="006A6AFC">
      <w:r w:rsidRPr="006A6AFC">
        <w:t>Også lover mot blasfemi begrenser retten til ytringsfrihet. Mens lovene gjerne blir forsvart med arg</w:t>
      </w:r>
      <w:r w:rsidRPr="006A6AFC">
        <w:t>umentet om at de skal beskytte trossamfunn, benyttes de i praksis ofte til å beskytte eksisterende maktstrukturer mot kritikk. Det finnes en rekke eksempler på at blasfemi-lovgivning brukes til å fremsette anklager mot religiøse minoriteter eller dissident</w:t>
      </w:r>
      <w:r w:rsidRPr="006A6AFC">
        <w:t xml:space="preserve">er, men også mot ikke-troende. I en rekke muslimske land er blasfemilover blitt forsvart med at de bygger på </w:t>
      </w:r>
      <w:proofErr w:type="spellStart"/>
      <w:r w:rsidRPr="006A6AFC">
        <w:rPr>
          <w:rStyle w:val="kursiv"/>
        </w:rPr>
        <w:t>shari’a</w:t>
      </w:r>
      <w:proofErr w:type="spellEnd"/>
      <w:r w:rsidRPr="006A6AFC">
        <w:t xml:space="preserve"> og skal beskytte religionen. Samtidig kan slike lover bli brukt til å undertrykke debatt og forfølge tros- og livssynsminoriteter både inne</w:t>
      </w:r>
      <w:r w:rsidRPr="006A6AFC">
        <w:t>nfor og utenfor islam.</w:t>
      </w:r>
    </w:p>
    <w:p w14:paraId="7CBCB142" w14:textId="77777777" w:rsidR="00000000" w:rsidRPr="006A6AFC" w:rsidRDefault="00691445" w:rsidP="006A6AFC">
      <w:pPr>
        <w:pStyle w:val="UnOverskrift2"/>
      </w:pPr>
      <w:r w:rsidRPr="006A6AFC">
        <w:t>Hatprat mot minoriteter</w:t>
      </w:r>
    </w:p>
    <w:p w14:paraId="6DE922CA" w14:textId="77777777" w:rsidR="00000000" w:rsidRPr="006A6AFC" w:rsidRDefault="00691445" w:rsidP="006A6AFC">
      <w:r w:rsidRPr="006A6AFC">
        <w:t>Å fremheve de positive sammenhengene mellom tros- og livssynsfrihet og ytringsfrihet betyr ikke at vi kan se bort fra dilemmaene. Hatefulle ytringer og oppfordringer til hatkriminalitet rammer særlig minoritet</w:t>
      </w:r>
      <w:r w:rsidRPr="006A6AFC">
        <w:t>er, inkludert religiøse minoriteter. Også ytringer som ikke er ulovlige, kan være skadelige. Hatefulle ytringer kan skape frykt og skremme minoriteter fra å delta i den offentlige debatten, i tillegg til at de bidrar til å skape eller forsterke motsetninge</w:t>
      </w:r>
      <w:r w:rsidRPr="006A6AFC">
        <w:t>r mellom grupper i samfunnet. Sosiale medier er blitt et verktøy for spredning av hatefulle ytringer, og er med på å forsterke konsekvensene av hatefulle ytringer for enkeltpersoner, grupper og hele samfunnet.</w:t>
      </w:r>
    </w:p>
    <w:p w14:paraId="23E89C4A" w14:textId="77777777" w:rsidR="00000000" w:rsidRPr="006A6AFC" w:rsidRDefault="00691445" w:rsidP="006A6AFC">
      <w:r w:rsidRPr="006A6AFC">
        <w:t>Som et svar på voksende fremmedfrykt og rasism</w:t>
      </w:r>
      <w:r w:rsidRPr="006A6AFC">
        <w:t>e i mange land, lanserte FNs generalsekretær i 2019 en strategi og handlingsplan mot hatprat. FN definerer hatprat som ytringer som angriper eller bruker nedsettende eller diskriminerende språk om en person eller gruppe basert på hvem de er, altså deres re</w:t>
      </w:r>
      <w:r w:rsidRPr="006A6AFC">
        <w:t>ligion, etnisitet, nasjonalitet, rase, hudfarge, opphav, kjønn eller andre identifiserende faktorer.</w:t>
      </w:r>
    </w:p>
    <w:tbl>
      <w:tblPr>
        <w:tblStyle w:val="StandardBoks"/>
        <w:tblW w:w="0" w:type="auto"/>
        <w:tblLayout w:type="fixed"/>
        <w:tblLook w:val="04A0" w:firstRow="1" w:lastRow="0" w:firstColumn="1" w:lastColumn="0" w:noHBand="0" w:noVBand="1"/>
      </w:tblPr>
      <w:tblGrid>
        <w:gridCol w:w="6463"/>
      </w:tblGrid>
      <w:tr w:rsidR="00000000" w:rsidRPr="006A6AFC" w14:paraId="7AA7963F" w14:textId="77777777" w:rsidTr="006A6AFC">
        <w:trPr>
          <w:trHeight w:val="60"/>
        </w:trPr>
        <w:tc>
          <w:tcPr>
            <w:tcW w:w="6463" w:type="dxa"/>
          </w:tcPr>
          <w:p w14:paraId="4AAA2475" w14:textId="0F7254E9" w:rsidR="00BF3AD8" w:rsidRDefault="00603526" w:rsidP="006A6AFC">
            <w:r>
              <w:rPr>
                <w:noProof/>
              </w:rPr>
              <w:drawing>
                <wp:inline distT="0" distB="0" distL="0" distR="0" wp14:anchorId="30302558" wp14:editId="42156B5F">
                  <wp:extent cx="3886200" cy="257175"/>
                  <wp:effectExtent l="0" t="0" r="0" b="9525"/>
                  <wp:docPr id="29" name="Bilde 29"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Dekorativ illustrasj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0" cy="257175"/>
                          </a:xfrm>
                          <a:prstGeom prst="rect">
                            <a:avLst/>
                          </a:prstGeom>
                          <a:noFill/>
                          <a:ln>
                            <a:noFill/>
                          </a:ln>
                        </pic:spPr>
                      </pic:pic>
                    </a:graphicData>
                  </a:graphic>
                </wp:inline>
              </w:drawing>
            </w:r>
          </w:p>
          <w:p w14:paraId="2DC094EE" w14:textId="2122AF41" w:rsidR="00000000" w:rsidRPr="006A6AFC" w:rsidRDefault="00691445" w:rsidP="006A6AFC">
            <w:r w:rsidRPr="006A6AFC">
              <w:t>FNs strategi og handlingsplan mot hatprat hviler på fire grunnleggende prinsipper:</w:t>
            </w:r>
          </w:p>
          <w:p w14:paraId="501E4454" w14:textId="77777777" w:rsidR="00000000" w:rsidRPr="006A6AFC" w:rsidRDefault="00691445" w:rsidP="00BF3AD8">
            <w:pPr>
              <w:pStyle w:val="Nummerertliste"/>
              <w:numPr>
                <w:ilvl w:val="0"/>
                <w:numId w:val="48"/>
              </w:numPr>
            </w:pPr>
            <w:r w:rsidRPr="006A6AFC">
              <w:t>Strategien og gjennomføringen av den</w:t>
            </w:r>
            <w:r w:rsidRPr="006A6AFC">
              <w:t xml:space="preserve"> skal være i tråd med menings- og ytringsfriheten. FN støtter flere positive ytringer, ikke færre ytringer, som en nøkkel til å adressere hatprat.</w:t>
            </w:r>
          </w:p>
          <w:p w14:paraId="34302A80" w14:textId="77777777" w:rsidR="00000000" w:rsidRPr="006A6AFC" w:rsidRDefault="00691445" w:rsidP="006A6AFC">
            <w:pPr>
              <w:pStyle w:val="Nummerertliste"/>
            </w:pPr>
            <w:r w:rsidRPr="006A6AFC">
              <w:lastRenderedPageBreak/>
              <w:t>Håndtering av hatprat er alles ansvar; stater, næringsliv, sivilt samfunn, og det starter med enkeltindividet</w:t>
            </w:r>
            <w:r w:rsidRPr="006A6AFC">
              <w:t>.</w:t>
            </w:r>
          </w:p>
          <w:p w14:paraId="36DB3E20" w14:textId="77777777" w:rsidR="00000000" w:rsidRPr="006A6AFC" w:rsidRDefault="00691445" w:rsidP="006A6AFC">
            <w:pPr>
              <w:pStyle w:val="Nummerertliste"/>
            </w:pPr>
            <w:r w:rsidRPr="006A6AFC">
              <w:t>FN vil støtte en ny generasjon digitale borgere som er rustet til å gjenkjenne, avvise og stå opp mot hatprat i en digital tidsalder.</w:t>
            </w:r>
          </w:p>
          <w:p w14:paraId="13EB325C" w14:textId="77777777" w:rsidR="00000000" w:rsidRPr="006A6AFC" w:rsidRDefault="00691445" w:rsidP="006A6AFC">
            <w:pPr>
              <w:pStyle w:val="Nummerertliste"/>
            </w:pPr>
            <w:r w:rsidRPr="006A6AFC">
              <w:t>Handling må støt</w:t>
            </w:r>
            <w:r w:rsidRPr="006A6AFC">
              <w:t>tes av bedre kunnskap, og FN oppfordrer til mer datainnsamling og forskning, også om årsaker til hatprat.</w:t>
            </w:r>
          </w:p>
          <w:p w14:paraId="40F7BA01" w14:textId="77777777" w:rsidR="00000000" w:rsidRPr="006A6AFC" w:rsidRDefault="00691445" w:rsidP="006A6AFC">
            <w:r w:rsidRPr="006A6AFC">
              <w:t xml:space="preserve">Planen støttes av 13 konkrete forpliktelser. </w:t>
            </w:r>
          </w:p>
        </w:tc>
      </w:tr>
    </w:tbl>
    <w:p w14:paraId="0A3BDF95" w14:textId="77777777" w:rsidR="00000000" w:rsidRPr="006A6AFC" w:rsidRDefault="00691445" w:rsidP="006A6AFC"/>
    <w:p w14:paraId="35FD11CC" w14:textId="77777777" w:rsidR="00000000" w:rsidRPr="006A6AFC" w:rsidRDefault="00691445" w:rsidP="006A6AFC">
      <w:r w:rsidRPr="006A6AFC">
        <w:t>Europarådet er også engasjert i arbeidet mot hatefulle ytringer. Rådets arbeid er basert på en rekke a</w:t>
      </w:r>
      <w:r w:rsidRPr="006A6AFC">
        <w:t>nbefalinger fra Ministerkomitéen til medlemsstatene, bl.a. anbefalingen om hatytringer (1997) og anbefalingen om blasfemi, religiøse fornærmelser og hatytringer mot personer med bakgrunn i deres religion (2007). Anbefalingene om å bekjempe hatefulle ytring</w:t>
      </w:r>
      <w:r w:rsidRPr="006A6AFC">
        <w:t>er (2022) inkluderer den første og p.t. eneste internasjonale mellomstatlige definisjonen av hatytringer, hvor hatytringer basert på tilhørighet eller antatt tilhørighet til en religion eller religiøs gruppe er inkludert i definisjonen.</w:t>
      </w:r>
    </w:p>
    <w:p w14:paraId="48A0A191" w14:textId="71EDA41A" w:rsidR="00000000" w:rsidRPr="006A6AFC" w:rsidRDefault="00691445" w:rsidP="006A6AFC">
      <w:r w:rsidRPr="006A6AFC">
        <w:t>Den europeiske komm</w:t>
      </w:r>
      <w:r w:rsidRPr="006A6AFC">
        <w:t xml:space="preserve">isjon mot rasisme og intoleranse (ECRI) overvåker hvordan Europarådets medlemsland gjennomfører </w:t>
      </w:r>
      <w:proofErr w:type="spellStart"/>
      <w:r w:rsidRPr="006A6AFC">
        <w:t>ECRIs</w:t>
      </w:r>
      <w:proofErr w:type="spellEnd"/>
      <w:r w:rsidRPr="006A6AFC">
        <w:t xml:space="preserve"> anbefalinger, inkludert </w:t>
      </w:r>
      <w:proofErr w:type="spellStart"/>
      <w:r w:rsidRPr="006A6AFC">
        <w:t>ECRIs</w:t>
      </w:r>
      <w:proofErr w:type="spellEnd"/>
      <w:r w:rsidRPr="006A6AFC">
        <w:t xml:space="preserve"> generelle anbefaling nr. 1 om å bekjempe rasisme, fremmed</w:t>
      </w:r>
      <w:r w:rsidRPr="006A6AFC">
        <w:t>frykt, antisemittisme og intoleranse, nr. 5 om å bekjempe anti-</w:t>
      </w:r>
      <w:r w:rsidRPr="006A6AFC">
        <w:t>mu</w:t>
      </w:r>
      <w:r w:rsidRPr="006A6AFC">
        <w:t xml:space="preserve">slimsk diskriminering, og nr. 16 om å bekjempe hatefulle ytringer. </w:t>
      </w:r>
      <w:proofErr w:type="spellStart"/>
      <w:r w:rsidRPr="006A6AFC">
        <w:t>ECRIs</w:t>
      </w:r>
      <w:proofErr w:type="spellEnd"/>
      <w:r w:rsidRPr="006A6AFC">
        <w:t xml:space="preserve"> anbefalinger reflekteres i Norges nasjonale strategier.</w:t>
      </w:r>
    </w:p>
    <w:p w14:paraId="55630513" w14:textId="77777777" w:rsidR="00000000" w:rsidRPr="006A6AFC" w:rsidRDefault="00691445" w:rsidP="006A6AFC">
      <w:r w:rsidRPr="006A6AFC">
        <w:t>I flere land og regioner er retten til tros- og livssynsfrihet i dag under sterkt press. FNs spesialrapportør for tros- og livs</w:t>
      </w:r>
      <w:r w:rsidRPr="006A6AFC">
        <w:t xml:space="preserve">synsfrihet har oppfordret nasjonale myndigheter til å innføre alle nødvendige tiltak for å bekjempe diskriminering og forby enhver form for hat som utgjør oppfordring til vold. Under visse vilkår kan stater legge begrensninger på ytringsfriheten. Formålet </w:t>
      </w:r>
      <w:r w:rsidRPr="006A6AFC">
        <w:t>skal aldri være å beskytte religionen i seg selv.</w:t>
      </w:r>
    </w:p>
    <w:p w14:paraId="52C69C18" w14:textId="44BD5C5A" w:rsidR="00000000" w:rsidRPr="006A6AFC" w:rsidRDefault="00691445" w:rsidP="006A6AFC">
      <w:r w:rsidRPr="006A6AFC">
        <w:t>Ytringsfriheten gis i artikkel 19 i FN-konvensjonen om sivile og politiske rettigheter (SP) visse begrensninger, som må være nedfelt i lov. Disse knytter seg til a) respekten for andres rettigheter eller om</w:t>
      </w:r>
      <w:r w:rsidRPr="006A6AFC">
        <w:t>dømme og b) beskyttelse av den nasjonale sikkerheten, den nasjonale samfunnsorden eller den offentlige helse eller moral. Dertil kommer med paragraf 20 at 1) enhver krigspropaganda skal forbys ved lov, 2) enhver form for fremme av nasjonalhat, rasehat elle</w:t>
      </w:r>
      <w:r w:rsidRPr="006A6AFC">
        <w:t xml:space="preserve">r religiøst hat som innebærer </w:t>
      </w:r>
      <w:r w:rsidRPr="006A6AFC">
        <w:t>tilskyndelse til diskriminering, fiendskap eller vold, skal forbys ved lov.</w:t>
      </w:r>
    </w:p>
    <w:p w14:paraId="285F17AB" w14:textId="730D77F1" w:rsidR="00000000" w:rsidRPr="006A6AFC" w:rsidRDefault="00691445" w:rsidP="006A6AFC">
      <w:r w:rsidRPr="006A6AFC">
        <w:t>Fra norsk side er det viktig å understreke at ytringsfrihet er en menneske</w:t>
      </w:r>
      <w:r w:rsidRPr="006A6AFC">
        <w:t>rettighet og en byggestein i et hvert demokrati, og fastholde at forsvar a</w:t>
      </w:r>
      <w:r w:rsidRPr="006A6AFC">
        <w:t>v ytringsfriheten er vesentlig også når en er uenige i uttalelsene. Det er også viktig å understreke at tros- og livssynsfrihet er en grunn</w:t>
      </w:r>
      <w:r w:rsidRPr="006A6AFC">
        <w:t xml:space="preserve">leggende frihet som ikke fullt ut kan </w:t>
      </w:r>
      <w:r w:rsidRPr="006A6AFC">
        <w:t>realiseres uten ytrings</w:t>
      </w:r>
      <w:r w:rsidRPr="006A6AFC">
        <w:t>friheten, og motsatt. Samtidig har Norge, i likhet me</w:t>
      </w:r>
      <w:r w:rsidRPr="006A6AFC">
        <w:t xml:space="preserve">d de fleste land, lover som forbyr hatefulle ytringer eller oppfordring til vold. Forbudet mot hatefulle eller </w:t>
      </w:r>
      <w:r w:rsidRPr="006A6AFC">
        <w:lastRenderedPageBreak/>
        <w:t>diskriminerende ytringer i straffeloven skal beskytte både minoriteter og samfunnet som helhet mot hat som kan oppstå dersom hatefulle ytringer m</w:t>
      </w:r>
      <w:r w:rsidRPr="006A6AFC">
        <w:t>ot minoriteter får spre seg. Slike ytringer er straffbare dersom de er fremsatt offentlig eller i nærvær av andre.</w:t>
      </w:r>
    </w:p>
    <w:p w14:paraId="631BB184" w14:textId="77777777" w:rsidR="00000000" w:rsidRPr="006A6AFC" w:rsidRDefault="00691445" w:rsidP="006A6AFC">
      <w:pPr>
        <w:pStyle w:val="UnOverskrift2"/>
      </w:pPr>
      <w:r w:rsidRPr="006A6AFC">
        <w:t>Hva kan utenrikstjenesten gjøre?</w:t>
      </w:r>
    </w:p>
    <w:p w14:paraId="38761036" w14:textId="77777777" w:rsidR="00000000" w:rsidRPr="006A6AFC" w:rsidRDefault="00691445" w:rsidP="006A6AFC">
      <w:pPr>
        <w:pStyle w:val="Listebombe"/>
      </w:pPr>
      <w:r w:rsidRPr="006A6AFC">
        <w:t>Være kjent med norske posisjoner om ytringsfrihet, trosfrihet og blasfemi, samt kjenne til regjeringens hand</w:t>
      </w:r>
      <w:r w:rsidRPr="006A6AFC">
        <w:t>lingsplan for kjønns- og seksualitetsmangfold, og handlingsplaner mot hatprat, rasisme, antisemittisme, og hat mot muslimer.</w:t>
      </w:r>
    </w:p>
    <w:p w14:paraId="2458B9BE" w14:textId="77777777" w:rsidR="00000000" w:rsidRPr="006A6AFC" w:rsidRDefault="00691445" w:rsidP="006A6AFC">
      <w:pPr>
        <w:pStyle w:val="Listebombe"/>
      </w:pPr>
      <w:r w:rsidRPr="006A6AFC">
        <w:t>Bruke Strategi for ytringsfrihet i utenriks- og utviklingspolitikken aktivt i arbeidet med menneskerettigheter og demokrati.</w:t>
      </w:r>
    </w:p>
    <w:p w14:paraId="7ADA647E" w14:textId="66BF4B44" w:rsidR="00000000" w:rsidRPr="006A6AFC" w:rsidRDefault="00691445" w:rsidP="006A6AFC">
      <w:pPr>
        <w:pStyle w:val="Listebombe"/>
      </w:pPr>
      <w:r w:rsidRPr="006A6AFC">
        <w:t>Unders</w:t>
      </w:r>
      <w:r w:rsidRPr="006A6AFC">
        <w:t>øke om landet som man tjenestegjør i har lovgivning som forbyr konvertering (apostasi) og blasfemi eller på annen måte innskrenker retten til å skifte tro. Dersom stater har kriminalisert blasfemi (gudsbespottelse), eller på annen måte forbyr religions</w:t>
      </w:r>
      <w:r w:rsidRPr="006A6AFC">
        <w:t>kri</w:t>
      </w:r>
      <w:r w:rsidRPr="006A6AFC">
        <w:t>tikk ved lov, er dette ikke forenlig med ytringsfriheten.</w:t>
      </w:r>
    </w:p>
    <w:p w14:paraId="274E3800" w14:textId="77777777" w:rsidR="00000000" w:rsidRPr="006A6AFC" w:rsidRDefault="00691445" w:rsidP="006A6AFC">
      <w:pPr>
        <w:pStyle w:val="Listebombe"/>
      </w:pPr>
      <w:r w:rsidRPr="006A6AFC">
        <w:t xml:space="preserve">Følge med på enkeltsaker der forsvarere av tros- og livssynsfriheten settes under utilbørlig press. I saker av sensitiv karakter er det nyttig med tett koordinering med likesinnede. Demarche sammen </w:t>
      </w:r>
      <w:r w:rsidRPr="006A6AFC">
        <w:t>med andre land kan vurderes dersom stasjonen mener dette er hensiktsmessig for saken. Overværing av rettshøringer kan også vurderes. Det sender et signal til myndighetene og blir ofte høyt verdsatt av de pårørende.</w:t>
      </w:r>
    </w:p>
    <w:p w14:paraId="7EC72626" w14:textId="77777777" w:rsidR="00000000" w:rsidRPr="006A6AFC" w:rsidRDefault="00691445" w:rsidP="006A6AFC">
      <w:pPr>
        <w:pStyle w:val="Listebombe"/>
      </w:pPr>
      <w:r w:rsidRPr="006A6AFC">
        <w:t>Ha kontakt med internasjonale organisasjo</w:t>
      </w:r>
      <w:r w:rsidRPr="006A6AFC">
        <w:t>ner som Norge støtter og som har aktiviteter på landnivå og støtte opp om tiltak for å fremme tros- og livssynsfrihet i tråd med denne veilederen.</w:t>
      </w:r>
    </w:p>
    <w:p w14:paraId="390F6AF4" w14:textId="77777777" w:rsidR="00000000" w:rsidRPr="006A6AFC" w:rsidRDefault="00691445" w:rsidP="006A6AFC">
      <w:pPr>
        <w:pStyle w:val="Listebombe"/>
      </w:pPr>
      <w:r w:rsidRPr="006A6AFC">
        <w:t>Ha kontakt med FN på landnivå om oppfølgingen av FNs strategi og handlingsplan for hatefulle ytringer.</w:t>
      </w:r>
    </w:p>
    <w:p w14:paraId="1F86E2E4" w14:textId="77777777" w:rsidR="00000000" w:rsidRPr="006A6AFC" w:rsidRDefault="00691445" w:rsidP="006A6AFC">
      <w:pPr>
        <w:pStyle w:val="Listebombe"/>
      </w:pPr>
      <w:r w:rsidRPr="006A6AFC">
        <w:t>Støtte</w:t>
      </w:r>
      <w:r w:rsidRPr="006A6AFC">
        <w:t xml:space="preserve"> opp om aktiviteter og markeringer i forbindelse med FNs Internasjonal dag, 22. august til minne om ofre for voldelige handlinger basert på religion eller tro.</w:t>
      </w:r>
    </w:p>
    <w:tbl>
      <w:tblPr>
        <w:tblStyle w:val="StandardBoks"/>
        <w:tblW w:w="0" w:type="auto"/>
        <w:tblLayout w:type="fixed"/>
        <w:tblLook w:val="04A0" w:firstRow="1" w:lastRow="0" w:firstColumn="1" w:lastColumn="0" w:noHBand="0" w:noVBand="1"/>
      </w:tblPr>
      <w:tblGrid>
        <w:gridCol w:w="6463"/>
      </w:tblGrid>
      <w:tr w:rsidR="00000000" w:rsidRPr="006A6AFC" w14:paraId="7BA51256" w14:textId="77777777" w:rsidTr="006A6AFC">
        <w:trPr>
          <w:trHeight w:val="60"/>
        </w:trPr>
        <w:tc>
          <w:tcPr>
            <w:tcW w:w="6463" w:type="dxa"/>
          </w:tcPr>
          <w:p w14:paraId="1E42304C" w14:textId="79881384" w:rsidR="00BF3AD8" w:rsidRDefault="00603526" w:rsidP="00572B1C">
            <w:r>
              <w:rPr>
                <w:noProof/>
              </w:rPr>
              <w:drawing>
                <wp:inline distT="0" distB="0" distL="0" distR="0" wp14:anchorId="7461B43F" wp14:editId="634CDA7B">
                  <wp:extent cx="3886200" cy="257175"/>
                  <wp:effectExtent l="0" t="0" r="0" b="9525"/>
                  <wp:docPr id="30" name="Bilde 30"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Dekorativ illustrasj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0" cy="257175"/>
                          </a:xfrm>
                          <a:prstGeom prst="rect">
                            <a:avLst/>
                          </a:prstGeom>
                          <a:noFill/>
                          <a:ln>
                            <a:noFill/>
                          </a:ln>
                        </pic:spPr>
                      </pic:pic>
                    </a:graphicData>
                  </a:graphic>
                </wp:inline>
              </w:drawing>
            </w:r>
          </w:p>
          <w:p w14:paraId="14BB0CEA" w14:textId="3C22CDE9" w:rsidR="00000000" w:rsidRPr="006A6AFC" w:rsidRDefault="00691445" w:rsidP="006A6AFC">
            <w:pPr>
              <w:pStyle w:val="avsnitt-tittel"/>
            </w:pPr>
            <w:r w:rsidRPr="006A6AFC">
              <w:t>Beredskap om karikaturer, koranbrenning mv.</w:t>
            </w:r>
          </w:p>
          <w:p w14:paraId="66EB1671" w14:textId="77777777" w:rsidR="00000000" w:rsidRPr="006A6AFC" w:rsidRDefault="00691445" w:rsidP="006A6AFC">
            <w:pPr>
              <w:pStyle w:val="Listebombe"/>
            </w:pPr>
            <w:r w:rsidRPr="006A6AFC">
              <w:t>Ytringsfrihet er en menneskerettighet og en hjørnestein i ethvert demokrati. Ytringsfriheten er forankret i Grunnloven. Regjeringen vil forsvare retten til å ytre seg fritt, sel</w:t>
            </w:r>
            <w:r w:rsidRPr="006A6AFC">
              <w:t>v om vi kan være uenig i ytringen.</w:t>
            </w:r>
          </w:p>
          <w:p w14:paraId="63C8D80C" w14:textId="77777777" w:rsidR="00000000" w:rsidRPr="006A6AFC" w:rsidRDefault="00691445" w:rsidP="006A6AFC">
            <w:pPr>
              <w:pStyle w:val="Listebombe"/>
            </w:pPr>
            <w:r w:rsidRPr="006A6AFC">
              <w:lastRenderedPageBreak/>
              <w:t>Selv om ytringsfriheten er grunnleggende, er den ikke absolutt. Noen lovfestede begrensninger mot ytringsfriheten er knyttet til vern av andres rettigheter, vern av andres omdømme, vern av fortrolige opplysninger, nasjona</w:t>
            </w:r>
            <w:r w:rsidRPr="006A6AFC">
              <w:t>l sikkerhet, territorial integritet og offentlig trygghet, ordensforstyrrelser og kriminalitet, beskyttelse av helse og moral.</w:t>
            </w:r>
          </w:p>
          <w:p w14:paraId="2B152CE3" w14:textId="77777777" w:rsidR="00000000" w:rsidRPr="006A6AFC" w:rsidRDefault="00691445" w:rsidP="006A6AFC">
            <w:pPr>
              <w:pStyle w:val="Listebombe"/>
            </w:pPr>
            <w:r w:rsidRPr="006A6AFC">
              <w:t>Religionsfrihet er også en grunnlovsfestet menneskerettighet. Tros- og livssynsfrihet kan ikke fullt ut realiseres uten ytringsfr</w:t>
            </w:r>
            <w:r w:rsidRPr="006A6AFC">
              <w:t>ihet. Tilsvarende krever realiseringen av ytringsfrihet også tros- og livssynsfrihet. Ytringsfrihet er avgjørende for en åpen og konstruktiv dialog om religion og tro. Uten ytringsfrihet er det ikke mulig å ivareta retten til å praktisere sin tro eller sit</w:t>
            </w:r>
            <w:r w:rsidRPr="006A6AFC">
              <w:t>t livssyn.</w:t>
            </w:r>
          </w:p>
          <w:p w14:paraId="6667C2D9" w14:textId="77777777" w:rsidR="00000000" w:rsidRPr="006A6AFC" w:rsidRDefault="00691445" w:rsidP="006A6AFC">
            <w:pPr>
              <w:pStyle w:val="Listebombe"/>
            </w:pPr>
            <w:r w:rsidRPr="006A6AFC">
              <w:t>I Norge har alle ytringsfrihet og rett til å utøve sin religion uten å bli trakassert.</w:t>
            </w:r>
          </w:p>
          <w:p w14:paraId="35AAFC7D" w14:textId="77777777" w:rsidR="00000000" w:rsidRPr="006A6AFC" w:rsidRDefault="00691445" w:rsidP="006A6AFC">
            <w:pPr>
              <w:pStyle w:val="Listebombe"/>
            </w:pPr>
            <w:r w:rsidRPr="006A6AFC">
              <w:t xml:space="preserve">Regjeringen vil styrke innsatsen mot netthets og utarbeide en ny handlingsplan mot rasisme, ekstremisme og radikalisering. </w:t>
            </w:r>
          </w:p>
        </w:tc>
      </w:tr>
    </w:tbl>
    <w:p w14:paraId="06BD5FA9" w14:textId="35BD4B9F" w:rsidR="00000000" w:rsidRDefault="00691445" w:rsidP="006A6AFC"/>
    <w:p w14:paraId="3A0AE7F5" w14:textId="1A96792F" w:rsidR="00603526" w:rsidRPr="006A6AFC" w:rsidRDefault="00603526" w:rsidP="006A6AFC">
      <w:r>
        <w:rPr>
          <w:noProof/>
        </w:rPr>
        <w:drawing>
          <wp:inline distT="0" distB="0" distL="0" distR="0" wp14:anchorId="1DBD458D" wp14:editId="1DB13D42">
            <wp:extent cx="6638925" cy="2838450"/>
            <wp:effectExtent l="0" t="0" r="9525" b="0"/>
            <wp:docPr id="35" name="Bilde 35"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Dekorativ illustrasj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8925" cy="2838450"/>
                    </a:xfrm>
                    <a:prstGeom prst="rect">
                      <a:avLst/>
                    </a:prstGeom>
                    <a:noFill/>
                    <a:ln>
                      <a:noFill/>
                    </a:ln>
                  </pic:spPr>
                </pic:pic>
              </a:graphicData>
            </a:graphic>
          </wp:inline>
        </w:drawing>
      </w:r>
    </w:p>
    <w:p w14:paraId="2A0B97F5" w14:textId="332E033F" w:rsidR="00000000" w:rsidRPr="00572B1C" w:rsidRDefault="00691445" w:rsidP="006A6AFC">
      <w:pPr>
        <w:pStyle w:val="UnOverskrift1"/>
      </w:pPr>
      <w:r w:rsidRPr="00572B1C">
        <w:t>Vedlegg 1</w:t>
      </w:r>
      <w:r w:rsidR="006A6AFC" w:rsidRPr="00572B1C">
        <w:t xml:space="preserve"> </w:t>
      </w:r>
      <w:r w:rsidRPr="00572B1C">
        <w:br/>
      </w:r>
      <w:r w:rsidRPr="00572B1C">
        <w:t>Det normative grunnla</w:t>
      </w:r>
      <w:r w:rsidRPr="00572B1C">
        <w:t>get for retten til tros- og livssynsfrihet</w:t>
      </w:r>
    </w:p>
    <w:p w14:paraId="19D1695F" w14:textId="3A1724F6" w:rsidR="00000000" w:rsidRPr="006A6AFC" w:rsidRDefault="00691445" w:rsidP="006A6AFC">
      <w:r w:rsidRPr="006A6AFC">
        <w:t>FNs verdenserklæring om menneskerettigheter av 1948 (</w:t>
      </w:r>
      <w:proofErr w:type="spellStart"/>
      <w:r w:rsidRPr="006A6AFC">
        <w:t>menneskerettightetserklæringen</w:t>
      </w:r>
      <w:proofErr w:type="spellEnd"/>
      <w:r w:rsidRPr="006A6AFC">
        <w:t>) er grunnlags</w:t>
      </w:r>
      <w:r w:rsidRPr="006A6AFC">
        <w:t>dokumentet i det internasjonale arbeidet for menneskerettigheter og gjelder for alle FNs medlemsland. Menneskeretti</w:t>
      </w:r>
      <w:r w:rsidRPr="006A6AFC">
        <w:t>ghetene er gjort juridisk bindende ved at medlemsstatene ratifiserer inter</w:t>
      </w:r>
      <w:r w:rsidRPr="006A6AFC">
        <w:t>nasjonale konvensjoner. Retten til tros- og livssynsfrihet er nedfelt i FN-konvensjonen for sivile og politiske rettigheter og flere regionale menneskerettighetsinstrumenter.</w:t>
      </w:r>
    </w:p>
    <w:p w14:paraId="11C43369" w14:textId="77777777" w:rsidR="00000000" w:rsidRPr="006A6AFC" w:rsidRDefault="00691445" w:rsidP="006A6AFC">
      <w:r w:rsidRPr="006A6AFC">
        <w:t xml:space="preserve">Tros- </w:t>
      </w:r>
      <w:r w:rsidRPr="006A6AFC">
        <w:t>og livssynsfrihet gir alle mennesker rett til å utøve sin tro, alene eller sammen med andre, offentlig eller privat. Denne friheten inkluderer retten til fritt å konvertere, utfordre andres tro eller til ikke å ha noen religion eller tro, til å etterleve r</w:t>
      </w:r>
      <w:r w:rsidRPr="006A6AFC">
        <w:t>eligiøse regler i sitt daglige liv og til å markere sin religiøse tilhørighet overfor andre. Tros- og livssynsfriheten beskytter med andre ord enkeltindividet, ikke ideologier eller religioner. Ikke-diskriminering og frihet fra tvang og skadelig praksis st</w:t>
      </w:r>
      <w:r w:rsidRPr="006A6AFC">
        <w:t>år sentralt.</w:t>
      </w:r>
    </w:p>
    <w:p w14:paraId="2EF50B14" w14:textId="24F1C4C4" w:rsidR="00000000" w:rsidRPr="006A6AFC" w:rsidRDefault="00691445" w:rsidP="006A6AFC">
      <w:r w:rsidRPr="006A6AFC">
        <w:t>Tros- og livssynsfriheten har også en kollektiv dimensjon, som er tett forbundet med organisasjonsfriheten. Den kollektive religionsfriheten handler i første rekke om trossamfunnets autonomi til å være tros</w:t>
      </w:r>
      <w:r w:rsidRPr="006A6AFC">
        <w:t>samfunn og fastsette sin egen praksi</w:t>
      </w:r>
      <w:r w:rsidRPr="006A6AFC">
        <w:t xml:space="preserve">s i samsvar med samfunnets religiøse eller </w:t>
      </w:r>
      <w:proofErr w:type="spellStart"/>
      <w:r w:rsidRPr="006A6AFC">
        <w:t>livssynsmessige</w:t>
      </w:r>
      <w:proofErr w:type="spellEnd"/>
      <w:r w:rsidRPr="006A6AFC">
        <w:t xml:space="preserve"> </w:t>
      </w:r>
      <w:r w:rsidRPr="006A6AFC">
        <w:lastRenderedPageBreak/>
        <w:t>formål. Det individuelle og det kollektive vernet kan ikke sees atskilt. Ofte vil reguleringer fra statens side påvirke begge dimensjonene.</w:t>
      </w:r>
    </w:p>
    <w:p w14:paraId="09B6C022" w14:textId="6A164D0C" w:rsidR="00000000" w:rsidRPr="006A6AFC" w:rsidRDefault="00691445" w:rsidP="006A6AFC">
      <w:r w:rsidRPr="006A6AFC">
        <w:t>Tros- eller livssynsfrihet er både forankret i Menneskere</w:t>
      </w:r>
      <w:r w:rsidRPr="006A6AFC">
        <w:t>ttighets</w:t>
      </w:r>
      <w:r w:rsidRPr="006A6AFC">
        <w:t>erklæringens artikkel 18, i Konvensjonen om sivile og politiske rettigheter (</w:t>
      </w:r>
      <w:proofErr w:type="spellStart"/>
      <w:r w:rsidRPr="006A6AFC">
        <w:t>SPs</w:t>
      </w:r>
      <w:proofErr w:type="spellEnd"/>
      <w:r w:rsidRPr="006A6AFC">
        <w:t>) artikkel 18 og i Den europeiske menneskerettskonvensjonen (EMK) artikkel 9, som alle slår fast at enhver har rett til tanke- samvittighets- og religionsfrihet.</w:t>
      </w:r>
    </w:p>
    <w:p w14:paraId="42F57EDD" w14:textId="7496A7E3" w:rsidR="00000000" w:rsidRPr="006A6AFC" w:rsidRDefault="00691445" w:rsidP="006A6AFC">
      <w:r w:rsidRPr="006A6AFC">
        <w:t>Denne</w:t>
      </w:r>
      <w:r w:rsidRPr="006A6AFC">
        <w:t xml:space="preserve"> retten omfatter frihet til å skifte religion eller tro, og frihet til enten alene eller sammen med andre, og offentlig eller privat, å gi uttrykk for sin religion eller tro gjennom undervisning, utøvelse, </w:t>
      </w:r>
      <w:r w:rsidRPr="006A6AFC">
        <w:t>tilbedelse og ritualer.</w:t>
      </w:r>
    </w:p>
    <w:tbl>
      <w:tblPr>
        <w:tblStyle w:val="StandardBoks"/>
        <w:tblW w:w="0" w:type="auto"/>
        <w:tblLayout w:type="fixed"/>
        <w:tblLook w:val="04A0" w:firstRow="1" w:lastRow="0" w:firstColumn="1" w:lastColumn="0" w:noHBand="0" w:noVBand="1"/>
      </w:tblPr>
      <w:tblGrid>
        <w:gridCol w:w="6463"/>
      </w:tblGrid>
      <w:tr w:rsidR="00000000" w:rsidRPr="006A6AFC" w14:paraId="1F8DD4F9" w14:textId="77777777" w:rsidTr="006A6AFC">
        <w:trPr>
          <w:trHeight w:val="60"/>
        </w:trPr>
        <w:tc>
          <w:tcPr>
            <w:tcW w:w="6463" w:type="dxa"/>
          </w:tcPr>
          <w:p w14:paraId="75B7CA67" w14:textId="4090139E" w:rsidR="00572B1C" w:rsidRDefault="00603526" w:rsidP="00572B1C">
            <w:r>
              <w:rPr>
                <w:noProof/>
              </w:rPr>
              <w:drawing>
                <wp:inline distT="0" distB="0" distL="0" distR="0" wp14:anchorId="724D7235" wp14:editId="202344FB">
                  <wp:extent cx="3886200" cy="257175"/>
                  <wp:effectExtent l="0" t="0" r="0" b="9525"/>
                  <wp:docPr id="31" name="Bilde 31"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Dekorativ illustrasj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0" cy="257175"/>
                          </a:xfrm>
                          <a:prstGeom prst="rect">
                            <a:avLst/>
                          </a:prstGeom>
                          <a:noFill/>
                          <a:ln>
                            <a:noFill/>
                          </a:ln>
                        </pic:spPr>
                      </pic:pic>
                    </a:graphicData>
                  </a:graphic>
                </wp:inline>
              </w:drawing>
            </w:r>
          </w:p>
          <w:p w14:paraId="5F10CC0F" w14:textId="1E0D0CFB" w:rsidR="00000000" w:rsidRPr="006A6AFC" w:rsidRDefault="00691445" w:rsidP="006A6AFC">
            <w:pPr>
              <w:pStyle w:val="avsnitt-tittel"/>
            </w:pPr>
            <w:r w:rsidRPr="006A6AFC">
              <w:t>Konvensjonen om sivile og politiske rettigheter SP artikkel 18:</w:t>
            </w:r>
          </w:p>
          <w:p w14:paraId="22714B3F" w14:textId="52B3AA32" w:rsidR="00000000" w:rsidRPr="006A6AFC" w:rsidRDefault="00691445" w:rsidP="006A6AFC">
            <w:pPr>
              <w:pStyle w:val="Nummerertliste"/>
            </w:pPr>
            <w:r w:rsidRPr="006A6AFC">
              <w:t>Enhver skal ha rett til tankefrihet, samvittighetsfrihet og religions</w:t>
            </w:r>
            <w:r w:rsidRPr="006A6AFC">
              <w:t>frihet. Denne rett skal omfatte frihet til å bekjenne seg til eller anta en religion eller tro etter eget valg,</w:t>
            </w:r>
            <w:r w:rsidRPr="006A6AFC">
              <w:t xml:space="preserve"> og frihet til alene eller sammen med andre, offentlige eller private, å utøve sin religion eller tro gjennom gudstjeneste, iakttagelse av religiøse skikker, andaktsøvelser og undervisning.</w:t>
            </w:r>
          </w:p>
          <w:p w14:paraId="6F6063A9" w14:textId="77777777" w:rsidR="00000000" w:rsidRPr="006A6AFC" w:rsidRDefault="00691445" w:rsidP="006A6AFC">
            <w:pPr>
              <w:pStyle w:val="Nummerertliste"/>
            </w:pPr>
            <w:r w:rsidRPr="006A6AFC">
              <w:t>Ingen må utsettes for tvang som vil kunne innskrenke hans frihet t</w:t>
            </w:r>
            <w:r w:rsidRPr="006A6AFC">
              <w:t>il å bekjenne seg til eller å anta en religion eller tro etter eget valg.</w:t>
            </w:r>
          </w:p>
          <w:p w14:paraId="5FDC37F0" w14:textId="51952E62" w:rsidR="00000000" w:rsidRPr="006A6AFC" w:rsidRDefault="00691445" w:rsidP="006A6AFC">
            <w:pPr>
              <w:pStyle w:val="Nummerertliste"/>
            </w:pPr>
            <w:r w:rsidRPr="006A6AFC">
              <w:t>Friheten til å utøve en religion eller tro skal ikke vær</w:t>
            </w:r>
            <w:r w:rsidRPr="006A6AFC">
              <w:t>e gjenstand for andre begrensninger enn slike som er foreskrevet i lov og som er nødvendig for å beskytte den offentlige sikkerhet, orden, helse eller moral, eller andres grunnleggende rettig</w:t>
            </w:r>
            <w:r w:rsidRPr="006A6AFC">
              <w:t>heter og friheter.</w:t>
            </w:r>
          </w:p>
          <w:p w14:paraId="1E5AE19C" w14:textId="77777777" w:rsidR="00000000" w:rsidRPr="006A6AFC" w:rsidRDefault="00691445" w:rsidP="006A6AFC">
            <w:pPr>
              <w:pStyle w:val="Nummerertliste"/>
            </w:pPr>
            <w:r w:rsidRPr="006A6AFC">
              <w:t>Konvensjonspartene forplikter seg til å respe</w:t>
            </w:r>
            <w:r w:rsidRPr="006A6AFC">
              <w:t>ktere foreldres, og i tilfelle vergers, frihet til å sørge for sine barns religiøse og moralske oppdragelse i samsvar med deres egen overbevisning.</w:t>
            </w:r>
          </w:p>
        </w:tc>
      </w:tr>
    </w:tbl>
    <w:p w14:paraId="1F3009E2" w14:textId="77777777" w:rsidR="00000000" w:rsidRPr="006A6AFC" w:rsidRDefault="00691445" w:rsidP="006A6AFC"/>
    <w:p w14:paraId="10F7EA23" w14:textId="0EA836EC" w:rsidR="00000000" w:rsidRPr="006A6AFC" w:rsidRDefault="00691445" w:rsidP="006A6AFC">
      <w:r w:rsidRPr="006A6AFC">
        <w:lastRenderedPageBreak/>
        <w:t>FNs menneskerettighetskomité består av uavhengige eksperter som overvåker gjennomføringen av konvensjonen.</w:t>
      </w:r>
      <w:r w:rsidRPr="006A6AFC">
        <w:t xml:space="preserve"> Menneskerettighets</w:t>
      </w:r>
      <w:r w:rsidRPr="006A6AFC">
        <w:t>komitéens generelle kommentar nr. 22 (1993) inneholder en uttalelse om forståelsen av SP artikkel 18. Den viser til at retten til å utøve en religion eller et livssyn omfatter en rekke handlinger. Disse kan omfatte bygging av steder for</w:t>
      </w:r>
      <w:r w:rsidRPr="006A6AFC">
        <w:t xml:space="preserve"> bønn, overholdelse av diett</w:t>
      </w:r>
      <w:r w:rsidRPr="006A6AFC">
        <w:t>regler, det å bære bestemte klesplagg (herunder hodeplagg), deltakelse i overgangsritualer og bruk av eget språk som tradisjonelt snakkes av en gruppe mennesker. I tillegg nevner kommentaren slike handlinger som utgjør en sentr</w:t>
      </w:r>
      <w:r w:rsidRPr="006A6AFC">
        <w:t>al del av religiøse gruppers indre anliggende, slik som retten til å velge sine religiøse ledere, prester og lærere.</w:t>
      </w:r>
    </w:p>
    <w:p w14:paraId="11DDFBB0" w14:textId="77777777" w:rsidR="00000000" w:rsidRPr="006A6AFC" w:rsidRDefault="00691445" w:rsidP="006A6AFC">
      <w:r w:rsidRPr="006A6AFC">
        <w:t xml:space="preserve">Retten til tros- eller livssynsfrihet fremmer respekt for mangfold og ikke én teologisk posisjon eller ett livssyn over andre. Det er ikke </w:t>
      </w:r>
      <w:r w:rsidRPr="006A6AFC">
        <w:t>statens rolle å forsøke å endre eller påvirke religiøse tradisjoner eller tolkning av disse. Samtidig medfører tros- eller livssynsfriheten en plikt for staten til å beskytte individer som ønsker å utvikle eller endre det tros- eller livssynsfellesskapet d</w:t>
      </w:r>
      <w:r w:rsidRPr="006A6AFC">
        <w:t>e er en del av mot tvang som de kan bli utsatt for i egne miljøer.</w:t>
      </w:r>
    </w:p>
    <w:p w14:paraId="0C0D408B" w14:textId="77777777" w:rsidR="00000000" w:rsidRPr="006A6AFC" w:rsidRDefault="00691445" w:rsidP="006A6AFC">
      <w:r w:rsidRPr="006A6AFC">
        <w:t xml:space="preserve">Alle har rett til tanke-, samvittighets- og religionsfrihet. Denne kan under ingen omstendighet begrenses. Utøvelsen av religion eller tro kan imidlertid begrenses av statlige myndigheter. </w:t>
      </w:r>
      <w:r w:rsidRPr="006A6AFC">
        <w:t>Slike inngrep må være foreskrevet ved lov, og det må være forholdsmessig og nødvendig for å beskytte offentlig sikkerhet, orden, helse eller moral eller andres grunnleggende rettigheter og friheter.</w:t>
      </w:r>
    </w:p>
    <w:p w14:paraId="7371D169" w14:textId="77777777" w:rsidR="00000000" w:rsidRPr="006A6AFC" w:rsidRDefault="00691445" w:rsidP="006A6AFC">
      <w:r w:rsidRPr="006A6AFC">
        <w:t>Tros- og livssynsfriheten er forankret i menneskerettighe</w:t>
      </w:r>
      <w:r w:rsidRPr="006A6AFC">
        <w:t>tene. Sluttdokumentet fra Verdenskonferansen om menneskerettigheter i Wien i 1993 slår fast at menneskerettighetene er universelle, udelelige og gjensidig avhengige av hverandre, og at de bør behandles likeverdig. Det er først når alle rettighetene respekt</w:t>
      </w:r>
      <w:r w:rsidRPr="006A6AFC">
        <w:t>eres at menneskerettighetsvernet er fullstendig og reelt.</w:t>
      </w:r>
    </w:p>
    <w:p w14:paraId="707B9CD5" w14:textId="664FBCC5" w:rsidR="00000000" w:rsidRPr="006A6AFC" w:rsidRDefault="00691445" w:rsidP="006A6AFC">
      <w:r w:rsidRPr="006A6AFC">
        <w:t>Spørsmålet om tros- og livssynsfrihet berører ofte sensitive politiske spørsmål. Dette kan være en av grunnene til at FNs spesialrapportør for tros- og livssynsfrihet registrerer at spørsmål knyttet</w:t>
      </w:r>
      <w:r w:rsidRPr="006A6AFC">
        <w:t xml:space="preserve"> til tros- og livssyns</w:t>
      </w:r>
      <w:r w:rsidRPr="006A6AFC">
        <w:t xml:space="preserve">friheten kun er tatt opp i om lag 3 prosent av anbefalingene gitt til enkeltland under Universal </w:t>
      </w:r>
      <w:proofErr w:type="spellStart"/>
      <w:r w:rsidRPr="006A6AFC">
        <w:t>Periodic</w:t>
      </w:r>
      <w:proofErr w:type="spellEnd"/>
      <w:r w:rsidRPr="006A6AFC">
        <w:t xml:space="preserve"> </w:t>
      </w:r>
      <w:proofErr w:type="spellStart"/>
      <w:r w:rsidRPr="006A6AFC">
        <w:t>Review</w:t>
      </w:r>
      <w:proofErr w:type="spellEnd"/>
      <w:r w:rsidRPr="006A6AFC">
        <w:t xml:space="preserve"> (UPR) til tross for store utfordringer på området.</w:t>
      </w:r>
    </w:p>
    <w:p w14:paraId="513C829A" w14:textId="1C09C4E2" w:rsidR="00000000" w:rsidRPr="006A6AFC" w:rsidRDefault="00691445" w:rsidP="006A6AFC">
      <w:r w:rsidRPr="006A6AFC">
        <w:t>De tematiske rapportene til FNs Spesialrapportør på tros- og livssyns</w:t>
      </w:r>
      <w:r w:rsidRPr="006A6AFC">
        <w:t>frihet vil være til stor nytte i utenrikstjenestens arbeid. Informasjon om mandatet er tilgjengelig bakerst i veilederen. Denne veilederen søker å belyse noen av disse sammenhengene og også å vise hvordan denne rettig</w:t>
      </w:r>
      <w:r w:rsidRPr="006A6AFC">
        <w:t>heten må forstås i sammenheng med øvri</w:t>
      </w:r>
      <w:r w:rsidRPr="006A6AFC">
        <w:t>ge menneskerettighetene.</w:t>
      </w:r>
    </w:p>
    <w:p w14:paraId="196B2517" w14:textId="77777777" w:rsidR="00000000" w:rsidRPr="006A6AFC" w:rsidRDefault="00691445" w:rsidP="006A6AFC">
      <w:r w:rsidRPr="006A6AFC">
        <w:t xml:space="preserve">For mer utførlig omtale av det normative grunnlaget for retten til tros- og livssynsfrihet se </w:t>
      </w:r>
      <w:hyperlink r:id="rId18" w:history="1">
        <w:r w:rsidRPr="006A6AFC">
          <w:rPr>
            <w:rStyle w:val="Hyperkobling"/>
          </w:rPr>
          <w:t>kapittel 5 i Prop. 130 L (2018–2019)</w:t>
        </w:r>
      </w:hyperlink>
      <w:r w:rsidRPr="006A6AFC">
        <w:rPr>
          <w:rStyle w:val="Hyperkobling"/>
        </w:rPr>
        <w:t xml:space="preserve"> </w:t>
      </w:r>
      <w:r w:rsidRPr="006A6AFC">
        <w:rPr>
          <w:rStyle w:val="Hyperkobling"/>
        </w:rPr>
        <w:t>Lov om tros- og livssynssamfunn (tros</w:t>
      </w:r>
      <w:r w:rsidRPr="006A6AFC">
        <w:rPr>
          <w:rStyle w:val="Hyperkobling"/>
        </w:rPr>
        <w:t>samfunnsloven)</w:t>
      </w:r>
      <w:r w:rsidRPr="006A6AFC">
        <w:t xml:space="preserve"> på regjeringen.no.</w:t>
      </w:r>
    </w:p>
    <w:p w14:paraId="3E7AA059" w14:textId="387AE554" w:rsidR="00000000" w:rsidRPr="00572B1C" w:rsidRDefault="00691445" w:rsidP="006A6AFC">
      <w:pPr>
        <w:pStyle w:val="UnOverskrift1"/>
      </w:pPr>
      <w:r w:rsidRPr="00572B1C">
        <w:t>Vedlegg 2</w:t>
      </w:r>
      <w:r w:rsidR="006A6AFC" w:rsidRPr="00572B1C">
        <w:t xml:space="preserve"> </w:t>
      </w:r>
      <w:r w:rsidRPr="00572B1C">
        <w:br/>
      </w:r>
      <w:r w:rsidRPr="00572B1C">
        <w:t>Historisk tidslinje for tros- og livssynsfrihet i Norge</w:t>
      </w:r>
    </w:p>
    <w:p w14:paraId="01664AA1" w14:textId="2A8F9A56" w:rsidR="00000000" w:rsidRPr="006A6AFC" w:rsidRDefault="00691445" w:rsidP="006A6AFC">
      <w:pPr>
        <w:pStyle w:val="friliste"/>
      </w:pPr>
      <w:r w:rsidRPr="006A6AFC">
        <w:rPr>
          <w:rStyle w:val="halvfet"/>
        </w:rPr>
        <w:t>1537</w:t>
      </w:r>
      <w:r w:rsidR="006A6AFC">
        <w:rPr>
          <w:rStyle w:val="halvfet"/>
        </w:rPr>
        <w:t xml:space="preserve"> </w:t>
      </w:r>
      <w:r w:rsidRPr="006A6AFC">
        <w:t>Den lutherske reformasjonen ble innført ved en kongelig resolusjon.</w:t>
      </w:r>
    </w:p>
    <w:p w14:paraId="4C49C33A" w14:textId="18C48301" w:rsidR="00000000" w:rsidRPr="006A6AFC" w:rsidRDefault="00691445" w:rsidP="006A6AFC">
      <w:pPr>
        <w:pStyle w:val="friliste"/>
      </w:pPr>
      <w:r w:rsidRPr="006A6AFC">
        <w:rPr>
          <w:rStyle w:val="halvfet"/>
        </w:rPr>
        <w:t>1814</w:t>
      </w:r>
      <w:r w:rsidR="006A6AFC">
        <w:rPr>
          <w:rStyle w:val="halvfet"/>
        </w:rPr>
        <w:t xml:space="preserve"> </w:t>
      </w:r>
      <w:r w:rsidRPr="006A6AFC">
        <w:t>Grunnloven videreførte religionsmonopolet og ekskluderte jøder og katolske m</w:t>
      </w:r>
      <w:r w:rsidRPr="006A6AFC">
        <w:t>unkeordener.</w:t>
      </w:r>
    </w:p>
    <w:p w14:paraId="44D35F83" w14:textId="1DF83849" w:rsidR="00000000" w:rsidRPr="006A6AFC" w:rsidRDefault="00691445" w:rsidP="006A6AFC">
      <w:pPr>
        <w:pStyle w:val="friliste"/>
      </w:pPr>
      <w:r w:rsidRPr="006A6AFC">
        <w:rPr>
          <w:rStyle w:val="halvfet"/>
        </w:rPr>
        <w:lastRenderedPageBreak/>
        <w:t>1842</w:t>
      </w:r>
      <w:r w:rsidR="006A6AFC">
        <w:t xml:space="preserve"> </w:t>
      </w:r>
      <w:r w:rsidRPr="006A6AFC">
        <w:t>Konventikkelplakaten av 1741 opphevet.</w:t>
      </w:r>
    </w:p>
    <w:p w14:paraId="7C0408EA" w14:textId="072B8C52" w:rsidR="00000000" w:rsidRPr="006A6AFC" w:rsidRDefault="00691445" w:rsidP="006A6AFC">
      <w:pPr>
        <w:pStyle w:val="friliste"/>
      </w:pPr>
      <w:r w:rsidRPr="006A6AFC">
        <w:rPr>
          <w:rStyle w:val="halvfet"/>
        </w:rPr>
        <w:t>1845</w:t>
      </w:r>
      <w:r w:rsidR="006A6AFC">
        <w:rPr>
          <w:rStyle w:val="halvfet"/>
        </w:rPr>
        <w:t xml:space="preserve"> </w:t>
      </w:r>
      <w:r w:rsidRPr="006A6AFC">
        <w:t xml:space="preserve">Den første Dissenterloven vedtatt. Gav av </w:t>
      </w:r>
      <w:r w:rsidRPr="006A6AFC">
        <w:rPr>
          <w:rStyle w:val="kursiv"/>
        </w:rPr>
        <w:t>kristne</w:t>
      </w:r>
      <w:r w:rsidRPr="006A6AFC">
        <w:t xml:space="preserve"> trossamfunn mulighet til å etablere seg i Norge og norske borgere en generell rett til å melde seg ut av og stå utenfor statskirken.</w:t>
      </w:r>
    </w:p>
    <w:p w14:paraId="41D70187" w14:textId="637400D0" w:rsidR="00000000" w:rsidRPr="006A6AFC" w:rsidRDefault="00691445" w:rsidP="006A6AFC">
      <w:pPr>
        <w:pStyle w:val="friliste"/>
      </w:pPr>
      <w:r w:rsidRPr="006A6AFC">
        <w:rPr>
          <w:rStyle w:val="halvfet"/>
        </w:rPr>
        <w:t>1851</w:t>
      </w:r>
      <w:r w:rsidR="006A6AFC">
        <w:rPr>
          <w:rStyle w:val="halvfet"/>
        </w:rPr>
        <w:t xml:space="preserve"> </w:t>
      </w:r>
      <w:r w:rsidRPr="006A6AFC">
        <w:t>Jødepa</w:t>
      </w:r>
      <w:r w:rsidRPr="006A6AFC">
        <w:t>ragrafen opphevet.</w:t>
      </w:r>
    </w:p>
    <w:p w14:paraId="70627015" w14:textId="41B1BB20" w:rsidR="00000000" w:rsidRPr="006A6AFC" w:rsidRDefault="00691445" w:rsidP="006A6AFC">
      <w:pPr>
        <w:pStyle w:val="friliste"/>
      </w:pPr>
      <w:r w:rsidRPr="006A6AFC">
        <w:rPr>
          <w:rStyle w:val="halvfet"/>
        </w:rPr>
        <w:t>1850</w:t>
      </w:r>
      <w:r w:rsidR="006A6AFC">
        <w:rPr>
          <w:rStyle w:val="halvfet"/>
        </w:rPr>
        <w:t xml:space="preserve"> </w:t>
      </w:r>
      <w:r w:rsidRPr="006A6AFC">
        <w:t>Utover siste halvdel av 1800-tallet etablerte flere av dagens protestantiske frikirker seg i Norge.</w:t>
      </w:r>
    </w:p>
    <w:p w14:paraId="0B72BFE1" w14:textId="618ED4A8" w:rsidR="00000000" w:rsidRPr="006A6AFC" w:rsidRDefault="00691445" w:rsidP="006A6AFC">
      <w:pPr>
        <w:pStyle w:val="friliste"/>
      </w:pPr>
      <w:r w:rsidRPr="006A6AFC">
        <w:rPr>
          <w:rStyle w:val="halvfet"/>
        </w:rPr>
        <w:t>1878</w:t>
      </w:r>
      <w:r w:rsidR="006A6AFC">
        <w:t xml:space="preserve"> </w:t>
      </w:r>
      <w:r w:rsidRPr="006A6AFC">
        <w:t>Grunnlovsbestemmelser om embetsmenns trosbekjennelse delvis opphevet.</w:t>
      </w:r>
    </w:p>
    <w:p w14:paraId="4C37E418" w14:textId="577BFCCD" w:rsidR="00000000" w:rsidRPr="006A6AFC" w:rsidRDefault="00691445" w:rsidP="006A6AFC">
      <w:pPr>
        <w:pStyle w:val="friliste"/>
      </w:pPr>
      <w:r w:rsidRPr="006A6AFC">
        <w:rPr>
          <w:rStyle w:val="halvfet"/>
        </w:rPr>
        <w:t>1891</w:t>
      </w:r>
      <w:r w:rsidR="006A6AFC">
        <w:t xml:space="preserve"> </w:t>
      </w:r>
      <w:r w:rsidRPr="006A6AFC">
        <w:t>Dissenterloven revidert. Ikke-kristne trossamfunn fikk rett til å etablere seg.</w:t>
      </w:r>
    </w:p>
    <w:p w14:paraId="17363FE4" w14:textId="2E17BF15" w:rsidR="00000000" w:rsidRPr="006A6AFC" w:rsidRDefault="00691445" w:rsidP="006A6AFC">
      <w:pPr>
        <w:pStyle w:val="friliste"/>
      </w:pPr>
      <w:r w:rsidRPr="006A6AFC">
        <w:rPr>
          <w:rStyle w:val="halvfet"/>
        </w:rPr>
        <w:t>1892</w:t>
      </w:r>
      <w:r w:rsidR="006A6AFC">
        <w:t xml:space="preserve"> </w:t>
      </w:r>
      <w:r w:rsidRPr="006A6AFC">
        <w:t>Bekjennelsesplikt for dommere opphevet, for Fylkesmenn fra 1894.</w:t>
      </w:r>
    </w:p>
    <w:p w14:paraId="173DD922" w14:textId="070942F2" w:rsidR="00000000" w:rsidRPr="006A6AFC" w:rsidRDefault="00691445" w:rsidP="006A6AFC">
      <w:pPr>
        <w:pStyle w:val="friliste"/>
      </w:pPr>
      <w:r w:rsidRPr="006A6AFC">
        <w:rPr>
          <w:rStyle w:val="halvfet"/>
        </w:rPr>
        <w:t>1897</w:t>
      </w:r>
      <w:r w:rsidR="006A6AFC">
        <w:t xml:space="preserve"> </w:t>
      </w:r>
      <w:r w:rsidRPr="006A6AFC">
        <w:t xml:space="preserve">Forbudet mot katolske munkeordener opphevet. </w:t>
      </w:r>
      <w:proofErr w:type="spellStart"/>
      <w:r w:rsidRPr="006A6AFC">
        <w:t>Jesuitterforbudet</w:t>
      </w:r>
      <w:proofErr w:type="spellEnd"/>
      <w:r w:rsidRPr="006A6AFC">
        <w:t xml:space="preserve"> videreført.</w:t>
      </w:r>
    </w:p>
    <w:p w14:paraId="3ABFB5E2" w14:textId="5A6BDC8D" w:rsidR="00000000" w:rsidRPr="006A6AFC" w:rsidRDefault="00691445" w:rsidP="006A6AFC">
      <w:pPr>
        <w:pStyle w:val="friliste"/>
      </w:pPr>
      <w:r w:rsidRPr="006A6AFC">
        <w:rPr>
          <w:rStyle w:val="halvfet"/>
        </w:rPr>
        <w:t>1915–17</w:t>
      </w:r>
      <w:r w:rsidR="006A6AFC">
        <w:t xml:space="preserve"> </w:t>
      </w:r>
      <w:r w:rsidRPr="006A6AFC">
        <w:t>Dissentere kunne u</w:t>
      </w:r>
      <w:r w:rsidRPr="006A6AFC">
        <w:t>ndervise i alle grunnskolen fag utenom kristendomskunnskap. Bekjennelsesplikt for rektorer og skoleinspektører videreført.</w:t>
      </w:r>
    </w:p>
    <w:p w14:paraId="67B17258" w14:textId="475D501F" w:rsidR="00000000" w:rsidRPr="006A6AFC" w:rsidRDefault="00691445" w:rsidP="006A6AFC">
      <w:pPr>
        <w:pStyle w:val="friliste"/>
      </w:pPr>
      <w:r w:rsidRPr="006A6AFC">
        <w:rPr>
          <w:rStyle w:val="halvfet"/>
        </w:rPr>
        <w:t>1919</w:t>
      </w:r>
      <w:r w:rsidR="006A6AFC">
        <w:t xml:space="preserve"> </w:t>
      </w:r>
      <w:r w:rsidRPr="006A6AFC">
        <w:t>Statsråders bekjennelsesplikt delvis opphevet. Avgrenset til å gjelde halvparten av regjeringskollegiet.</w:t>
      </w:r>
    </w:p>
    <w:p w14:paraId="1D7C929B" w14:textId="2412BBB5" w:rsidR="00000000" w:rsidRPr="006A6AFC" w:rsidRDefault="00691445" w:rsidP="006A6AFC">
      <w:pPr>
        <w:pStyle w:val="friliste"/>
      </w:pPr>
      <w:r w:rsidRPr="006A6AFC">
        <w:rPr>
          <w:rStyle w:val="halvfet"/>
        </w:rPr>
        <w:t>1948</w:t>
      </w:r>
      <w:r w:rsidR="006A6AFC">
        <w:rPr>
          <w:rStyle w:val="halvfet"/>
        </w:rPr>
        <w:t xml:space="preserve"> </w:t>
      </w:r>
      <w:r w:rsidRPr="006A6AFC">
        <w:t>Verdenserklæringen</w:t>
      </w:r>
      <w:r w:rsidRPr="006A6AFC">
        <w:t xml:space="preserve"> om menneskerettigheter vedtatt av FN med Norges tilslutning.</w:t>
      </w:r>
    </w:p>
    <w:p w14:paraId="4F1108B8" w14:textId="1112BB89" w:rsidR="00000000" w:rsidRPr="006A6AFC" w:rsidRDefault="00691445" w:rsidP="006A6AFC">
      <w:pPr>
        <w:pStyle w:val="friliste"/>
        <w:rPr>
          <w:rStyle w:val="halvfet"/>
        </w:rPr>
      </w:pPr>
      <w:r w:rsidRPr="006A6AFC">
        <w:rPr>
          <w:rStyle w:val="halvfet"/>
        </w:rPr>
        <w:t>1952</w:t>
      </w:r>
      <w:r w:rsidR="006A6AFC">
        <w:rPr>
          <w:rStyle w:val="halvfet"/>
        </w:rPr>
        <w:t xml:space="preserve"> </w:t>
      </w:r>
      <w:r w:rsidRPr="006A6AFC">
        <w:t>Norge ratifiserte Den europeiske menneskerettighetskonvensjonen vedtatt av Europarådet i 1950 med ikrafttredelse 1953</w:t>
      </w:r>
      <w:r w:rsidRPr="006A6AFC">
        <w:rPr>
          <w:rStyle w:val="halvfet"/>
        </w:rPr>
        <w:t>.</w:t>
      </w:r>
    </w:p>
    <w:p w14:paraId="5B884E76" w14:textId="265AFCCD" w:rsidR="00000000" w:rsidRPr="006A6AFC" w:rsidRDefault="00691445" w:rsidP="006A6AFC">
      <w:pPr>
        <w:pStyle w:val="friliste"/>
      </w:pPr>
      <w:r w:rsidRPr="006A6AFC">
        <w:rPr>
          <w:rStyle w:val="halvfet"/>
        </w:rPr>
        <w:t>1956</w:t>
      </w:r>
      <w:r w:rsidR="006A6AFC">
        <w:rPr>
          <w:rStyle w:val="halvfet"/>
        </w:rPr>
        <w:t xml:space="preserve"> </w:t>
      </w:r>
      <w:proofErr w:type="spellStart"/>
      <w:r w:rsidRPr="006A6AFC">
        <w:t>Jesuitterforbudet</w:t>
      </w:r>
      <w:proofErr w:type="spellEnd"/>
      <w:r w:rsidRPr="006A6AFC">
        <w:t xml:space="preserve"> opphevet.</w:t>
      </w:r>
    </w:p>
    <w:p w14:paraId="1736F9FC" w14:textId="3C7412FF" w:rsidR="00000000" w:rsidRPr="006A6AFC" w:rsidRDefault="00691445" w:rsidP="006A6AFC">
      <w:pPr>
        <w:pStyle w:val="friliste"/>
        <w:rPr>
          <w:rStyle w:val="halvfet"/>
        </w:rPr>
      </w:pPr>
      <w:r w:rsidRPr="006A6AFC">
        <w:rPr>
          <w:rStyle w:val="halvfet"/>
        </w:rPr>
        <w:t>1964</w:t>
      </w:r>
      <w:r w:rsidR="006A6AFC">
        <w:rPr>
          <w:rStyle w:val="halvfet"/>
        </w:rPr>
        <w:t xml:space="preserve"> </w:t>
      </w:r>
      <w:r w:rsidRPr="006A6AFC">
        <w:t>Religionsfriheten ble for før</w:t>
      </w:r>
      <w:r w:rsidRPr="006A6AFC">
        <w:t>ste gang positivt uttrykt i grunnloven</w:t>
      </w:r>
      <w:r w:rsidRPr="006A6AFC">
        <w:rPr>
          <w:rStyle w:val="halvfet"/>
        </w:rPr>
        <w:t>.</w:t>
      </w:r>
    </w:p>
    <w:p w14:paraId="3320E85A" w14:textId="283003B8" w:rsidR="00000000" w:rsidRPr="006A6AFC" w:rsidRDefault="00691445" w:rsidP="006A6AFC">
      <w:pPr>
        <w:pStyle w:val="friliste"/>
      </w:pPr>
      <w:r w:rsidRPr="006A6AFC">
        <w:rPr>
          <w:rStyle w:val="halvfet"/>
        </w:rPr>
        <w:t>1969</w:t>
      </w:r>
      <w:r w:rsidR="006A6AFC">
        <w:rPr>
          <w:rStyle w:val="halvfet"/>
        </w:rPr>
        <w:t xml:space="preserve"> </w:t>
      </w:r>
      <w:r w:rsidRPr="006A6AFC">
        <w:t>Dissenterloven erstattet av Lov om trudomssamfunn og ymist anna.</w:t>
      </w:r>
    </w:p>
    <w:p w14:paraId="107E9A31" w14:textId="30AE9CF6" w:rsidR="00000000" w:rsidRPr="006A6AFC" w:rsidRDefault="00691445" w:rsidP="006A6AFC">
      <w:pPr>
        <w:pStyle w:val="friliste"/>
      </w:pPr>
      <w:r w:rsidRPr="006A6AFC">
        <w:rPr>
          <w:rStyle w:val="halvfet"/>
        </w:rPr>
        <w:t>1969</w:t>
      </w:r>
      <w:r w:rsidR="006A6AFC">
        <w:rPr>
          <w:rStyle w:val="halvfet"/>
        </w:rPr>
        <w:t xml:space="preserve"> </w:t>
      </w:r>
      <w:r w:rsidRPr="006A6AFC">
        <w:t>Skolens kristendomsundervisning ble ikke lenger betraktet som Den norske kirkes dåpsopplæring.</w:t>
      </w:r>
    </w:p>
    <w:p w14:paraId="63EE06F1" w14:textId="622E49F6" w:rsidR="00000000" w:rsidRPr="006A6AFC" w:rsidRDefault="00691445" w:rsidP="006A6AFC">
      <w:pPr>
        <w:pStyle w:val="friliste"/>
      </w:pPr>
      <w:r w:rsidRPr="006A6AFC">
        <w:rPr>
          <w:rStyle w:val="halvfet"/>
        </w:rPr>
        <w:t>1972</w:t>
      </w:r>
      <w:r w:rsidR="006A6AFC">
        <w:rPr>
          <w:rStyle w:val="halvfet"/>
        </w:rPr>
        <w:t xml:space="preserve"> </w:t>
      </w:r>
      <w:r w:rsidRPr="006A6AFC">
        <w:t>Norge ratifiserte FN-konvensjonen om sivi</w:t>
      </w:r>
      <w:r w:rsidRPr="006A6AFC">
        <w:t>le og politiske rettigheter vedtatt av FN i 1966 med ikrafttredelse 1976.</w:t>
      </w:r>
    </w:p>
    <w:p w14:paraId="3D8D2DC8" w14:textId="1850BA7F" w:rsidR="00000000" w:rsidRPr="006A6AFC" w:rsidRDefault="00691445" w:rsidP="006A6AFC">
      <w:pPr>
        <w:pStyle w:val="friliste"/>
      </w:pPr>
      <w:r w:rsidRPr="006A6AFC">
        <w:rPr>
          <w:rStyle w:val="halvfet"/>
        </w:rPr>
        <w:t>1999</w:t>
      </w:r>
      <w:r w:rsidR="006A6AFC">
        <w:rPr>
          <w:rStyle w:val="halvfet"/>
        </w:rPr>
        <w:t xml:space="preserve"> </w:t>
      </w:r>
      <w:r w:rsidRPr="006A6AFC">
        <w:t>Menneskerettighetsloven inkorporerte fem internasjonale konvensjoner med tilleggsprotokoller og gav dem forrang ved motstrid med annen norsk lovgivning.</w:t>
      </w:r>
    </w:p>
    <w:p w14:paraId="6C223083" w14:textId="223850AD" w:rsidR="00000000" w:rsidRPr="006A6AFC" w:rsidRDefault="00691445" w:rsidP="006A6AFC">
      <w:pPr>
        <w:pStyle w:val="friliste"/>
      </w:pPr>
      <w:r w:rsidRPr="006A6AFC">
        <w:rPr>
          <w:rStyle w:val="halvfet"/>
        </w:rPr>
        <w:t>2012</w:t>
      </w:r>
      <w:r w:rsidR="006A6AFC">
        <w:rPr>
          <w:rStyle w:val="halvfet"/>
        </w:rPr>
        <w:t xml:space="preserve"> </w:t>
      </w:r>
      <w:r w:rsidRPr="006A6AFC">
        <w:t xml:space="preserve">Grunnloven endres. </w:t>
      </w:r>
      <w:r w:rsidRPr="006A6AFC">
        <w:t>Norge er ikke lenger en konfesjonell stat.</w:t>
      </w:r>
    </w:p>
    <w:p w14:paraId="76AC1024" w14:textId="55EBA907" w:rsidR="00000000" w:rsidRPr="006A6AFC" w:rsidRDefault="00691445" w:rsidP="006A6AFC">
      <w:pPr>
        <w:pStyle w:val="friliste"/>
      </w:pPr>
      <w:r w:rsidRPr="006A6AFC">
        <w:rPr>
          <w:rStyle w:val="halvfet"/>
        </w:rPr>
        <w:t>2017</w:t>
      </w:r>
      <w:r w:rsidR="006A6AFC">
        <w:rPr>
          <w:rStyle w:val="halvfet"/>
        </w:rPr>
        <w:t xml:space="preserve"> </w:t>
      </w:r>
      <w:r w:rsidRPr="006A6AFC">
        <w:t>Den norske kirke etablert som eget rettssubjekt.</w:t>
      </w:r>
    </w:p>
    <w:p w14:paraId="41F42D57" w14:textId="0C06D303" w:rsidR="00000000" w:rsidRPr="006A6AFC" w:rsidRDefault="00691445" w:rsidP="006A6AFC">
      <w:pPr>
        <w:pStyle w:val="friliste"/>
      </w:pPr>
      <w:r w:rsidRPr="006A6AFC">
        <w:rPr>
          <w:rStyle w:val="halvfet"/>
        </w:rPr>
        <w:t>2021</w:t>
      </w:r>
      <w:r w:rsidR="006A6AFC">
        <w:rPr>
          <w:rStyle w:val="halvfet"/>
        </w:rPr>
        <w:t xml:space="preserve"> </w:t>
      </w:r>
      <w:r w:rsidRPr="006A6AFC">
        <w:t>Ny samlet lov om tros- og livssynssamfunn</w:t>
      </w:r>
    </w:p>
    <w:p w14:paraId="4F7C2A9C" w14:textId="4CEEEB7B" w:rsidR="00000000" w:rsidRPr="00572B1C" w:rsidRDefault="00691445" w:rsidP="006A6AFC">
      <w:pPr>
        <w:pStyle w:val="UnOverskrift1"/>
      </w:pPr>
      <w:r w:rsidRPr="00572B1C">
        <w:t>Vedlegg 3</w:t>
      </w:r>
      <w:r w:rsidR="006A6AFC" w:rsidRPr="00572B1C">
        <w:t xml:space="preserve"> </w:t>
      </w:r>
      <w:r w:rsidRPr="00572B1C">
        <w:br/>
      </w:r>
      <w:r w:rsidRPr="00572B1C">
        <w:t>Målhierarki for Norges arbeid med tros- og livssynsfrihet</w:t>
      </w:r>
    </w:p>
    <w:p w14:paraId="697B91DD" w14:textId="77777777" w:rsidR="00000000" w:rsidRPr="006A6AFC" w:rsidRDefault="00691445" w:rsidP="006A6AFC">
      <w:r w:rsidRPr="006A6AFC">
        <w:t xml:space="preserve">Dette målhierarkiet for utenrikstjenestens </w:t>
      </w:r>
      <w:r w:rsidRPr="006A6AFC">
        <w:t>arbeid med tros- og livssynsfrihet er utarbeidet for å styrke målstyringen av et komplekst område som har vokst kraftig. Målhierarkiet vil bli benyttet som et verktøy for å vurdere nye innsatser, initiativer og prosjekter med sikte på en bedre strategisk s</w:t>
      </w:r>
      <w:r w:rsidRPr="006A6AFC">
        <w:t>tyring av porteføljen. Det tas foreløpig ikke sikte på å utvikle et samlet resultatrammeverk for målhierarkiet. Dette vil i stedet ivaretas ved de resultatrammeverk som utarbeides for hver enkelt avtaleinngåelse.</w:t>
      </w:r>
    </w:p>
    <w:tbl>
      <w:tblPr>
        <w:tblStyle w:val="Tabell-VM"/>
        <w:tblW w:w="0" w:type="auto"/>
        <w:tblLayout w:type="fixed"/>
        <w:tblLook w:val="0000" w:firstRow="0" w:lastRow="0" w:firstColumn="0" w:lastColumn="0" w:noHBand="0" w:noVBand="0"/>
      </w:tblPr>
      <w:tblGrid>
        <w:gridCol w:w="9776"/>
      </w:tblGrid>
      <w:tr w:rsidR="00000000" w:rsidRPr="006A6AFC" w14:paraId="3BB96F31" w14:textId="77777777" w:rsidTr="00572B1C">
        <w:trPr>
          <w:trHeight w:val="283"/>
        </w:trPr>
        <w:tc>
          <w:tcPr>
            <w:tcW w:w="9776" w:type="dxa"/>
          </w:tcPr>
          <w:p w14:paraId="4497BA67" w14:textId="77777777" w:rsidR="00000000" w:rsidRPr="006A6AFC" w:rsidRDefault="00691445" w:rsidP="006A6AFC">
            <w:pPr>
              <w:pStyle w:val="avsnitt-tittel"/>
            </w:pPr>
            <w:r w:rsidRPr="006A6AFC">
              <w:lastRenderedPageBreak/>
              <w:t>Samfunnsmål (</w:t>
            </w:r>
            <w:proofErr w:type="spellStart"/>
            <w:r w:rsidRPr="006A6AFC">
              <w:t>Impact</w:t>
            </w:r>
            <w:proofErr w:type="spellEnd"/>
            <w:r w:rsidRPr="006A6AFC">
              <w:t>):</w:t>
            </w:r>
          </w:p>
          <w:p w14:paraId="0BD6E992" w14:textId="77777777" w:rsidR="00000000" w:rsidRPr="006A6AFC" w:rsidRDefault="00691445" w:rsidP="006A6AFC">
            <w:r w:rsidRPr="006A6AFC">
              <w:t>Enkeltindivider og gr</w:t>
            </w:r>
            <w:r w:rsidRPr="006A6AFC">
              <w:t>upper kan utøve sin tros- og livssynsfrihet og utsettes ikke for diskriminering på grunnlag av tro og livssyn.</w:t>
            </w:r>
          </w:p>
          <w:p w14:paraId="4ECB4BF2" w14:textId="77777777" w:rsidR="00000000" w:rsidRPr="006A6AFC" w:rsidRDefault="00691445" w:rsidP="006A6AFC">
            <w:pPr>
              <w:pStyle w:val="avsnitt-under-undertittel"/>
            </w:pPr>
            <w:r w:rsidRPr="006A6AFC">
              <w:rPr>
                <w:rStyle w:val="halvfet"/>
              </w:rPr>
              <w:t>Effekt på målgruppe (</w:t>
            </w:r>
            <w:proofErr w:type="spellStart"/>
            <w:r w:rsidRPr="006A6AFC">
              <w:rPr>
                <w:rStyle w:val="halvfet"/>
              </w:rPr>
              <w:t>Outcome</w:t>
            </w:r>
            <w:proofErr w:type="spellEnd"/>
            <w:r w:rsidRPr="006A6AFC">
              <w:rPr>
                <w:rStyle w:val="halvfet"/>
              </w:rPr>
              <w:t>) I: Enkeltindivider og grupper</w:t>
            </w:r>
            <w:r w:rsidRPr="006A6AFC">
              <w:t xml:space="preserve"> har rettsvern og lik tilgang til ressurser og tjenester slik at, i tråd med Agenda 20</w:t>
            </w:r>
            <w:r w:rsidRPr="006A6AFC">
              <w:t>30, ingen utelates pga. tro eller livssyn.</w:t>
            </w:r>
          </w:p>
          <w:p w14:paraId="682D6ECF" w14:textId="77777777" w:rsidR="00000000" w:rsidRPr="006A6AFC" w:rsidRDefault="00691445" w:rsidP="006A6AFC">
            <w:r w:rsidRPr="006A6AFC">
              <w:t>Leveranser (Outputs):</w:t>
            </w:r>
          </w:p>
          <w:p w14:paraId="3200EA9E" w14:textId="77777777" w:rsidR="00000000" w:rsidRPr="006A6AFC" w:rsidRDefault="00691445" w:rsidP="006A6AFC">
            <w:pPr>
              <w:pStyle w:val="Listebombe"/>
            </w:pPr>
            <w:r w:rsidRPr="006A6AFC">
              <w:t>Enkeltindivider og grupper som tilhører tros- og livssynsminoriteter har likeverdig tilgang på grunnleggende tjenester, særlig helse og utdanning.</w:t>
            </w:r>
          </w:p>
          <w:p w14:paraId="68358D0F" w14:textId="77777777" w:rsidR="00000000" w:rsidRPr="006A6AFC" w:rsidRDefault="00691445" w:rsidP="006A6AFC">
            <w:pPr>
              <w:pStyle w:val="Listebombe"/>
            </w:pPr>
            <w:r w:rsidRPr="006A6AFC">
              <w:t>Enkeltindivider og grupper som tilhører tros</w:t>
            </w:r>
            <w:r w:rsidRPr="006A6AFC">
              <w:t>- og livssynsminoriteter har likeverdig rett til fritt å velge yrke, motta rettferdig godtgjørelse og lik lønn for likt arbeid, sikre seg en anstendig levestandard og til å drive næringsvirksomhet.</w:t>
            </w:r>
          </w:p>
          <w:p w14:paraId="6971543C" w14:textId="77777777" w:rsidR="00000000" w:rsidRPr="006A6AFC" w:rsidRDefault="00691445" w:rsidP="006A6AFC">
            <w:pPr>
              <w:pStyle w:val="Listebombe"/>
            </w:pPr>
            <w:r w:rsidRPr="006A6AFC">
              <w:t>Enkeltindivider og grupper som tilhører tros- og livssynsm</w:t>
            </w:r>
            <w:r w:rsidRPr="006A6AFC">
              <w:t>inoriteter har tilgang på beskyttelse mot trakassering, vold og trusler og rettshjelpemidler.</w:t>
            </w:r>
          </w:p>
        </w:tc>
      </w:tr>
      <w:tr w:rsidR="00000000" w:rsidRPr="006A6AFC" w14:paraId="66E74BB4" w14:textId="77777777" w:rsidTr="00572B1C">
        <w:trPr>
          <w:trHeight w:val="283"/>
        </w:trPr>
        <w:tc>
          <w:tcPr>
            <w:tcW w:w="9776" w:type="dxa"/>
          </w:tcPr>
          <w:p w14:paraId="53EB8C22" w14:textId="77777777" w:rsidR="00000000" w:rsidRPr="006A6AFC" w:rsidRDefault="00691445" w:rsidP="006A6AFC">
            <w:pPr>
              <w:pStyle w:val="avsnitt-under-undertittel"/>
            </w:pPr>
            <w:r w:rsidRPr="006A6AFC">
              <w:rPr>
                <w:rStyle w:val="halvfet"/>
              </w:rPr>
              <w:t>Effekt på målgruppe (</w:t>
            </w:r>
            <w:proofErr w:type="spellStart"/>
            <w:r w:rsidRPr="006A6AFC">
              <w:rPr>
                <w:rStyle w:val="halvfet"/>
              </w:rPr>
              <w:t>Outcome</w:t>
            </w:r>
            <w:proofErr w:type="spellEnd"/>
            <w:r w:rsidRPr="006A6AFC">
              <w:rPr>
                <w:rStyle w:val="halvfet"/>
              </w:rPr>
              <w:t>) II: Sivilt samfunn</w:t>
            </w:r>
            <w:r w:rsidRPr="006A6AFC">
              <w:t xml:space="preserve"> har handlingsrom til å utøve og fremme tros- og livssynsfrihet.</w:t>
            </w:r>
          </w:p>
          <w:p w14:paraId="0E6BCC52" w14:textId="77777777" w:rsidR="00000000" w:rsidRPr="006A6AFC" w:rsidRDefault="00691445" w:rsidP="006A6AFC">
            <w:r w:rsidRPr="006A6AFC">
              <w:t>Leveranser (Outputs):</w:t>
            </w:r>
          </w:p>
          <w:p w14:paraId="588A22B4" w14:textId="77777777" w:rsidR="00000000" w:rsidRPr="006A6AFC" w:rsidRDefault="00691445" w:rsidP="006A6AFC">
            <w:pPr>
              <w:pStyle w:val="Listebombe"/>
            </w:pPr>
            <w:r w:rsidRPr="006A6AFC">
              <w:t>Menneskerettighetsforsvarere og frie medier dokumenterer og formidler brudd på tros- og livssynsfrihet, andre brudd på religiøse minoriteters rettigheter, så vel som hvilke mønstre slike brudd følger.</w:t>
            </w:r>
          </w:p>
          <w:p w14:paraId="46624714" w14:textId="77777777" w:rsidR="00000000" w:rsidRPr="006A6AFC" w:rsidRDefault="00691445" w:rsidP="006A6AFC">
            <w:pPr>
              <w:pStyle w:val="Listebombe"/>
            </w:pPr>
            <w:r w:rsidRPr="006A6AFC">
              <w:t>Religiøse ledere og aktører, ungdom og andre grupper og</w:t>
            </w:r>
            <w:r w:rsidRPr="006A6AFC">
              <w:t xml:space="preserve"> individer har kunnskap og bevissthet om retten til tros- og livssynsfrihet.</w:t>
            </w:r>
          </w:p>
          <w:p w14:paraId="434DB57D" w14:textId="77777777" w:rsidR="00000000" w:rsidRPr="006A6AFC" w:rsidRDefault="00691445" w:rsidP="006A6AFC">
            <w:pPr>
              <w:pStyle w:val="Listebombe"/>
            </w:pPr>
            <w:r w:rsidRPr="006A6AFC">
              <w:t>Sivilt samfunn driver påvirkningsarbeid for inkludering av tros- og livssynsfrihet og religiøse minoriteters rettigheter i lovverk og politikk, og i implementering av lover og pol</w:t>
            </w:r>
            <w:r w:rsidRPr="006A6AFC">
              <w:t>itikk i samsvar med tros- og livssynsfrihet.</w:t>
            </w:r>
          </w:p>
          <w:p w14:paraId="1738537B" w14:textId="77777777" w:rsidR="00000000" w:rsidRPr="006A6AFC" w:rsidRDefault="00691445" w:rsidP="006A6AFC">
            <w:pPr>
              <w:pStyle w:val="Listebombe"/>
            </w:pPr>
            <w:r w:rsidRPr="006A6AFC">
              <w:t>Sivilt samfunn kan operere åpent og har tilgang på inkluderende arenaer for erfaringsutveksling, dialog, og samarbeid.</w:t>
            </w:r>
          </w:p>
        </w:tc>
      </w:tr>
      <w:tr w:rsidR="00000000" w:rsidRPr="006A6AFC" w14:paraId="6DD1E455" w14:textId="77777777" w:rsidTr="00572B1C">
        <w:trPr>
          <w:trHeight w:val="283"/>
        </w:trPr>
        <w:tc>
          <w:tcPr>
            <w:tcW w:w="9776" w:type="dxa"/>
          </w:tcPr>
          <w:p w14:paraId="5250372B" w14:textId="77777777" w:rsidR="00000000" w:rsidRPr="006A6AFC" w:rsidRDefault="00691445" w:rsidP="006A6AFC">
            <w:pPr>
              <w:pStyle w:val="avsnitt-under-undertittel"/>
            </w:pPr>
            <w:r w:rsidRPr="006A6AFC">
              <w:rPr>
                <w:rStyle w:val="halvfet"/>
              </w:rPr>
              <w:t>Effekt på målgruppe (</w:t>
            </w:r>
            <w:proofErr w:type="spellStart"/>
            <w:r w:rsidRPr="006A6AFC">
              <w:rPr>
                <w:rStyle w:val="halvfet"/>
              </w:rPr>
              <w:t>Outcome</w:t>
            </w:r>
            <w:proofErr w:type="spellEnd"/>
            <w:r w:rsidRPr="006A6AFC">
              <w:rPr>
                <w:rStyle w:val="halvfet"/>
              </w:rPr>
              <w:t>) III: Nasjonale myndigheter og private aktører</w:t>
            </w:r>
            <w:r w:rsidRPr="006A6AFC">
              <w:t xml:space="preserve"> støtter opp om </w:t>
            </w:r>
            <w:r w:rsidRPr="006A6AFC">
              <w:t>tros- og livssynsfrihet i lov og praksis.</w:t>
            </w:r>
          </w:p>
          <w:p w14:paraId="6A615358" w14:textId="77777777" w:rsidR="00000000" w:rsidRPr="006A6AFC" w:rsidRDefault="00691445" w:rsidP="006A6AFC">
            <w:r w:rsidRPr="006A6AFC">
              <w:t>Leveranser (Outputs):</w:t>
            </w:r>
          </w:p>
          <w:p w14:paraId="32C7584C" w14:textId="77777777" w:rsidR="00000000" w:rsidRPr="006A6AFC" w:rsidRDefault="00691445" w:rsidP="006A6AFC">
            <w:pPr>
              <w:pStyle w:val="Listebombe"/>
            </w:pPr>
            <w:r w:rsidRPr="006A6AFC">
              <w:t>Nasjonalt lovverk beskytter og fremmer tros- og livssynsfrihet og tros- og livssynsminoriteters rettigheter (i samsvar med internasjonalt lovverk).</w:t>
            </w:r>
          </w:p>
          <w:p w14:paraId="249322B8" w14:textId="77777777" w:rsidR="00000000" w:rsidRPr="006A6AFC" w:rsidRDefault="00691445" w:rsidP="006A6AFC">
            <w:pPr>
              <w:pStyle w:val="Listebombe"/>
            </w:pPr>
            <w:r w:rsidRPr="006A6AFC">
              <w:t>Nasjonale og lokale myndigheter og politiker</w:t>
            </w:r>
            <w:r w:rsidRPr="006A6AFC">
              <w:t xml:space="preserve">e er talspersoner for tros- og livssynsfrihet og utformer, lovfester og </w:t>
            </w:r>
            <w:proofErr w:type="gramStart"/>
            <w:r w:rsidRPr="006A6AFC">
              <w:t>implementerer</w:t>
            </w:r>
            <w:proofErr w:type="gramEnd"/>
            <w:r w:rsidRPr="006A6AFC">
              <w:t xml:space="preserve"> politikk på en måte som respekterer retten til tros- og livssynsfrihet.</w:t>
            </w:r>
          </w:p>
          <w:p w14:paraId="3BA7AEC8" w14:textId="77777777" w:rsidR="00000000" w:rsidRPr="006A6AFC" w:rsidRDefault="00691445" w:rsidP="006A6AFC">
            <w:pPr>
              <w:pStyle w:val="Listebombe"/>
            </w:pPr>
            <w:r w:rsidRPr="006A6AFC">
              <w:t>Nasjonale og lokale myndigheter sør</w:t>
            </w:r>
            <w:r w:rsidRPr="006A6AFC">
              <w:t>ger for at de ansvarlige for overgrep mot religiøse minoriteter blir stilt til rettslig ansvar.</w:t>
            </w:r>
          </w:p>
          <w:p w14:paraId="2AE90281" w14:textId="77777777" w:rsidR="00000000" w:rsidRPr="006A6AFC" w:rsidRDefault="00691445" w:rsidP="006A6AFC">
            <w:pPr>
              <w:pStyle w:val="Listebombe"/>
            </w:pPr>
            <w:r w:rsidRPr="006A6AFC">
              <w:t>Utdanningssystemet respekterer tros- og livssynsfrihet og at tros- og livssynsfrihet og religiøst mangfold inkluderes i pensum, lærerutdanning og undervisning.</w:t>
            </w:r>
          </w:p>
          <w:p w14:paraId="4811CC28" w14:textId="77777777" w:rsidR="00000000" w:rsidRPr="006A6AFC" w:rsidRDefault="00691445" w:rsidP="006A6AFC">
            <w:pPr>
              <w:pStyle w:val="Listebombe"/>
            </w:pPr>
            <w:r w:rsidRPr="006A6AFC">
              <w:t>Offentlige institusjoner og privat næringsliv diskriminerer ikke individer eller grupper på grunnlag av tros- og livssyn, og iverksetter opprettende tiltak der dette måtte skje.</w:t>
            </w:r>
          </w:p>
        </w:tc>
      </w:tr>
      <w:tr w:rsidR="00000000" w:rsidRPr="006A6AFC" w14:paraId="6A4706F9" w14:textId="77777777" w:rsidTr="00572B1C">
        <w:trPr>
          <w:trHeight w:val="283"/>
        </w:trPr>
        <w:tc>
          <w:tcPr>
            <w:tcW w:w="9776" w:type="dxa"/>
          </w:tcPr>
          <w:p w14:paraId="28318DDC" w14:textId="77777777" w:rsidR="00000000" w:rsidRPr="006A6AFC" w:rsidRDefault="00691445" w:rsidP="006A6AFC">
            <w:pPr>
              <w:pStyle w:val="avsnitt-under-undertittel"/>
            </w:pPr>
            <w:r w:rsidRPr="006A6AFC">
              <w:rPr>
                <w:rStyle w:val="halvfet"/>
              </w:rPr>
              <w:t>Effekt på målgruppe (</w:t>
            </w:r>
            <w:proofErr w:type="spellStart"/>
            <w:r w:rsidRPr="006A6AFC">
              <w:rPr>
                <w:rStyle w:val="halvfet"/>
              </w:rPr>
              <w:t>Outcome</w:t>
            </w:r>
            <w:proofErr w:type="spellEnd"/>
            <w:r w:rsidRPr="006A6AFC">
              <w:rPr>
                <w:rStyle w:val="halvfet"/>
              </w:rPr>
              <w:t>) IV: Internasjonale aktører</w:t>
            </w:r>
            <w:r w:rsidRPr="006A6AFC">
              <w:t xml:space="preserve"> utfordrer og stiller</w:t>
            </w:r>
            <w:r w:rsidRPr="006A6AFC">
              <w:t xml:space="preserve"> til ansvar</w:t>
            </w:r>
            <w:r w:rsidRPr="006A6AFC">
              <w:rPr>
                <w:rStyle w:val="kursiv"/>
              </w:rPr>
              <w:t xml:space="preserve"> nasjonale aktører med hensyn til tros- og livssynsfrihet og religiøse minoriteters rettigheter.</w:t>
            </w:r>
          </w:p>
          <w:p w14:paraId="101C09DD" w14:textId="77777777" w:rsidR="00000000" w:rsidRPr="006A6AFC" w:rsidRDefault="00691445" w:rsidP="006A6AFC">
            <w:r w:rsidRPr="006A6AFC">
              <w:t>Leveranser (Outputs):</w:t>
            </w:r>
          </w:p>
          <w:p w14:paraId="1EB32E11" w14:textId="77777777" w:rsidR="00000000" w:rsidRPr="006A6AFC" w:rsidRDefault="00691445" w:rsidP="006A6AFC">
            <w:pPr>
              <w:pStyle w:val="Listebombe"/>
            </w:pPr>
            <w:r w:rsidRPr="006A6AFC">
              <w:t>FN og andre internasjonale og regionale multilaterale aktører fremmer tros- og livssynsfrihet i sitt arbeid.</w:t>
            </w:r>
          </w:p>
          <w:p w14:paraId="5AFB004A" w14:textId="77777777" w:rsidR="00000000" w:rsidRPr="006A6AFC" w:rsidRDefault="00691445" w:rsidP="006A6AFC">
            <w:pPr>
              <w:pStyle w:val="Listebombe"/>
            </w:pPr>
            <w:r w:rsidRPr="006A6AFC">
              <w:t>Norge fremmer tro</w:t>
            </w:r>
            <w:r w:rsidRPr="006A6AFC">
              <w:t>s- og livssynsfrihet i politisk dialog og relevante bilaterale sammenhenger.</w:t>
            </w:r>
          </w:p>
        </w:tc>
      </w:tr>
    </w:tbl>
    <w:p w14:paraId="41E37478" w14:textId="77777777" w:rsidR="00000000" w:rsidRPr="006A6AFC" w:rsidRDefault="00691445" w:rsidP="006A6AFC"/>
    <w:p w14:paraId="4DF7FCA7" w14:textId="77777777" w:rsidR="00000000" w:rsidRPr="006A6AFC" w:rsidRDefault="00691445" w:rsidP="006A6AFC">
      <w:r w:rsidRPr="006A6AFC">
        <w:t>Utgangspunktet for utenrikstjenestens støtte til tiltak for å fremme tros- og livssynsfrihet er artikkel 18 i FNs menneskerettighetserklæring:</w:t>
      </w:r>
    </w:p>
    <w:p w14:paraId="3DA4836F" w14:textId="77777777" w:rsidR="00000000" w:rsidRPr="006A6AFC" w:rsidRDefault="00691445" w:rsidP="006A6AFC">
      <w:r w:rsidRPr="006A6AFC">
        <w:rPr>
          <w:rStyle w:val="kursiv"/>
        </w:rPr>
        <w:lastRenderedPageBreak/>
        <w:t>Enhver har rett til tanke-, samvittighets- og religionsfrihet. Denne rett omfatter frihet til å skifte religion eller tro, og frihet til enten alene eller sammen med andre, og offentlig eller privat, å gi uttrykk for sin religion eller tro gjennom undervis</w:t>
      </w:r>
      <w:r w:rsidRPr="006A6AFC">
        <w:rPr>
          <w:rStyle w:val="kursiv"/>
        </w:rPr>
        <w:t>ning, utøvelse, tilbedelse og ritualer</w:t>
      </w:r>
      <w:r w:rsidRPr="006A6AFC">
        <w:t>.</w:t>
      </w:r>
    </w:p>
    <w:p w14:paraId="6B532153" w14:textId="77777777" w:rsidR="00000000" w:rsidRPr="006A6AFC" w:rsidRDefault="00691445" w:rsidP="006A6AFC">
      <w:r w:rsidRPr="006A6AFC">
        <w:t>Denne formuleringen dekker også retten til ikke å ha noen tro eller religion. Begrensninger i denne menneskerettigheten rammer ofte minoriteter. Slike begrensninger hindrer dem ikke bare i å uttrykke sin religion ell</w:t>
      </w:r>
      <w:r w:rsidRPr="006A6AFC">
        <w:t xml:space="preserve">er tro, men rammer dem ofte også både politisk, sosialt og økonomisk, og gjør dem svært sårbare. Arbeidet med å fremme tros- og livssynsfrihet vil derfor være innrettet mot behovene til de svakeste gruppene og individene i samfunnet. Det kan også innebære </w:t>
      </w:r>
      <w:r w:rsidRPr="006A6AFC">
        <w:t>tiltak som utfordrer diskriminerende holdninger og praksis blant majoritetsbefolkningen. Slike tiltak, gjennom utdanning, arbeidsliv, ulike institusjoner, media og i det digitale rom, kommer alle grupper til gode, både flertalls- og mindretallsbefolkningen</w:t>
      </w:r>
      <w:r w:rsidRPr="006A6AFC">
        <w:t>, og både menn og kvinner.</w:t>
      </w:r>
    </w:p>
    <w:p w14:paraId="6F324B7C" w14:textId="77777777" w:rsidR="00000000" w:rsidRPr="006A6AFC" w:rsidRDefault="00691445" w:rsidP="006A6AFC">
      <w:r w:rsidRPr="006A6AFC">
        <w:t>Det er viktig å være oppmerksom på at tros- og livssynsfrihet ikke skal utøves slik at den innskrenker individers rettigheter på andre områder. Dette gjelder særlig der sårbarhet i forhold til tros- og livssynsfrihet sammenfaller</w:t>
      </w:r>
      <w:r w:rsidRPr="006A6AFC">
        <w:t xml:space="preserve"> med sårbarhet på andre områder, for eksempel kjønn, alder, seksuell orientering, m.m. Det er nødvendig å legge til grunn et gjennomgående kjønnsperspektiv. Departementet forventer at slike hensyn ivaretas i tiltak som får støtte.</w:t>
      </w:r>
    </w:p>
    <w:p w14:paraId="7786C842" w14:textId="3D2EEFBA" w:rsidR="00000000" w:rsidRPr="00572B1C" w:rsidRDefault="00691445" w:rsidP="006A6AFC">
      <w:pPr>
        <w:pStyle w:val="UnOverskrift1"/>
      </w:pPr>
      <w:r w:rsidRPr="00572B1C">
        <w:t>Vedlegg 4</w:t>
      </w:r>
      <w:r w:rsidR="006A6AFC" w:rsidRPr="00572B1C">
        <w:t xml:space="preserve"> </w:t>
      </w:r>
      <w:r w:rsidRPr="00572B1C">
        <w:br/>
      </w:r>
      <w:r w:rsidRPr="00572B1C">
        <w:t>Referanser til</w:t>
      </w:r>
      <w:r w:rsidRPr="00572B1C">
        <w:t xml:space="preserve"> sentrale ressurser og forslag til videre lesning</w:t>
      </w:r>
    </w:p>
    <w:p w14:paraId="08BD81B1" w14:textId="77777777" w:rsidR="00000000" w:rsidRPr="006A6AFC" w:rsidRDefault="00691445" w:rsidP="006A6AFC">
      <w:pPr>
        <w:pStyle w:val="Undertittel"/>
      </w:pPr>
      <w:r w:rsidRPr="006A6AFC">
        <w:t>Internasjonale ressurser:</w:t>
      </w:r>
    </w:p>
    <w:p w14:paraId="69252490" w14:textId="77777777" w:rsidR="00000000" w:rsidRPr="006A6AFC" w:rsidRDefault="00691445" w:rsidP="006A6AFC">
      <w:pPr>
        <w:pStyle w:val="avsnitt-undertittel"/>
      </w:pPr>
      <w:r w:rsidRPr="006A6AFC">
        <w:t xml:space="preserve">Office </w:t>
      </w:r>
      <w:proofErr w:type="spellStart"/>
      <w:r w:rsidRPr="006A6AFC">
        <w:t>of</w:t>
      </w:r>
      <w:proofErr w:type="spellEnd"/>
      <w:r w:rsidRPr="006A6AFC">
        <w:t xml:space="preserve"> </w:t>
      </w:r>
      <w:proofErr w:type="spellStart"/>
      <w:r w:rsidRPr="006A6AFC">
        <w:t>the</w:t>
      </w:r>
      <w:proofErr w:type="spellEnd"/>
      <w:r w:rsidRPr="006A6AFC">
        <w:t xml:space="preserve"> UN High </w:t>
      </w:r>
      <w:proofErr w:type="spellStart"/>
      <w:r w:rsidRPr="006A6AFC">
        <w:t>Commissioner</w:t>
      </w:r>
      <w:proofErr w:type="spellEnd"/>
      <w:r w:rsidRPr="006A6AFC">
        <w:t xml:space="preserve"> for Human Rights (OHCHR)</w:t>
      </w:r>
    </w:p>
    <w:p w14:paraId="50F88A2B" w14:textId="77777777" w:rsidR="00000000" w:rsidRPr="006A6AFC" w:rsidRDefault="00691445" w:rsidP="006A6AFC">
      <w:r w:rsidRPr="006A6AFC">
        <w:t>FNs spesialrapportør for tros- og livssynsfrihet.</w:t>
      </w:r>
    </w:p>
    <w:p w14:paraId="69D97600" w14:textId="77777777" w:rsidR="00000000" w:rsidRPr="006A6AFC" w:rsidRDefault="00691445" w:rsidP="006A6AFC">
      <w:pPr>
        <w:pStyle w:val="opplisting"/>
      </w:pPr>
      <w:hyperlink r:id="rId19" w:history="1">
        <w:r w:rsidRPr="006A6AFC">
          <w:rPr>
            <w:rStyle w:val="Hyperkobling"/>
          </w:rPr>
          <w:t>www.ohchr.org/en/special-procedures/sr-religion-or-belief</w:t>
        </w:r>
      </w:hyperlink>
    </w:p>
    <w:p w14:paraId="5690CACB" w14:textId="77777777" w:rsidR="00000000" w:rsidRPr="006A6AFC" w:rsidRDefault="00691445" w:rsidP="006A6AFC">
      <w:r w:rsidRPr="006A6AFC">
        <w:t>Høykommissærens kontor arbeider med trosbaserte aktører innenfor rammene av ‘Faith for Rights’ Initiativet lister opp 18 forpliktelser, som er ment å nå ut til mennesker med ulik tro.</w:t>
      </w:r>
    </w:p>
    <w:p w14:paraId="0BC0C410" w14:textId="77777777" w:rsidR="00000000" w:rsidRPr="006A6AFC" w:rsidRDefault="00691445" w:rsidP="006A6AFC">
      <w:pPr>
        <w:pStyle w:val="opplisting"/>
      </w:pPr>
      <w:hyperlink r:id="rId20" w:history="1">
        <w:r w:rsidRPr="006A6AFC">
          <w:rPr>
            <w:rStyle w:val="Hyperkobling"/>
          </w:rPr>
          <w:t>www.ohchr.org/en/faith-for-rights</w:t>
        </w:r>
      </w:hyperlink>
    </w:p>
    <w:p w14:paraId="7D2E4604" w14:textId="77777777" w:rsidR="00000000" w:rsidRPr="006A6AFC" w:rsidRDefault="00691445" w:rsidP="006A6AFC">
      <w:pPr>
        <w:pStyle w:val="avsnitt-undertittel"/>
      </w:pPr>
      <w:r w:rsidRPr="006A6AFC">
        <w:t>EU</w:t>
      </w:r>
    </w:p>
    <w:p w14:paraId="73410E19" w14:textId="77777777" w:rsidR="00000000" w:rsidRPr="006A6AFC" w:rsidRDefault="00691445" w:rsidP="006A6AFC">
      <w:r w:rsidRPr="006A6AFC">
        <w:t>EU utarbeidet i 2013 egne retningslinjer for retten til tros- og livssynsfrihet.</w:t>
      </w:r>
    </w:p>
    <w:p w14:paraId="21C6BEA8" w14:textId="77777777" w:rsidR="00000000" w:rsidRPr="006A6AFC" w:rsidRDefault="00691445" w:rsidP="006A6AFC">
      <w:pPr>
        <w:pStyle w:val="opplisting"/>
      </w:pPr>
      <w:hyperlink r:id="rId21" w:history="1">
        <w:r w:rsidRPr="006A6AFC">
          <w:rPr>
            <w:rStyle w:val="Hyperkobling"/>
          </w:rPr>
          <w:t>www.eeas.europa</w:t>
        </w:r>
        <w:r w:rsidRPr="006A6AFC">
          <w:rPr>
            <w:rStyle w:val="Hyperkobling"/>
          </w:rPr>
          <w:t>.eu/sites/default/files/137585.pdf</w:t>
        </w:r>
      </w:hyperlink>
    </w:p>
    <w:p w14:paraId="608D0A52" w14:textId="77777777" w:rsidR="00000000" w:rsidRPr="006A6AFC" w:rsidRDefault="00691445" w:rsidP="006A6AFC">
      <w:pPr>
        <w:pStyle w:val="opplisting"/>
        <w:rPr>
          <w:rStyle w:val="Hyperkobling"/>
        </w:rPr>
      </w:pPr>
      <w:hyperlink r:id="rId22" w:history="1">
        <w:r w:rsidRPr="006A6AFC">
          <w:rPr>
            <w:rStyle w:val="Hyperkobling"/>
          </w:rPr>
          <w:t>www.eeas.europa.eu/eeas/standing-freedom-religion-or-belief_en</w:t>
        </w:r>
      </w:hyperlink>
    </w:p>
    <w:p w14:paraId="1DD1DD15" w14:textId="77777777" w:rsidR="00000000" w:rsidRPr="006A6AFC" w:rsidRDefault="00691445" w:rsidP="006A6AFC">
      <w:pPr>
        <w:pStyle w:val="opplisting"/>
      </w:pPr>
      <w:hyperlink r:id="rId23" w:history="1">
        <w:r w:rsidRPr="006A6AFC">
          <w:rPr>
            <w:rStyle w:val="Hyperkobling"/>
          </w:rPr>
          <w:t>www.religiousfreedom.eu</w:t>
        </w:r>
      </w:hyperlink>
    </w:p>
    <w:p w14:paraId="171B3AAF" w14:textId="77777777" w:rsidR="00000000" w:rsidRPr="006A6AFC" w:rsidRDefault="00691445" w:rsidP="006A6AFC">
      <w:pPr>
        <w:pStyle w:val="opplisting"/>
        <w:rPr>
          <w:rStyle w:val="Hyperkobling"/>
        </w:rPr>
      </w:pPr>
      <w:hyperlink r:id="rId24" w:history="1">
        <w:r w:rsidRPr="006A6AFC">
          <w:rPr>
            <w:rStyle w:val="Hyperkobling"/>
          </w:rPr>
          <w:t>www.religiousfreedom.eu/work</w:t>
        </w:r>
      </w:hyperlink>
    </w:p>
    <w:p w14:paraId="0AA70D11" w14:textId="77777777" w:rsidR="00000000" w:rsidRPr="006A6AFC" w:rsidRDefault="00691445" w:rsidP="006A6AFC">
      <w:pPr>
        <w:pStyle w:val="avsnitt-undertittel"/>
      </w:pPr>
      <w:r w:rsidRPr="006A6AFC">
        <w:lastRenderedPageBreak/>
        <w:t>OSSE</w:t>
      </w:r>
    </w:p>
    <w:p w14:paraId="45ACEF36" w14:textId="3DD2DA7C" w:rsidR="00000000" w:rsidRPr="006A6AFC" w:rsidRDefault="00691445" w:rsidP="006A6AFC">
      <w:r w:rsidRPr="006A6AFC">
        <w:t xml:space="preserve">Respekt for menneskerettighetene er nøkkelen i OSSEs helhetlige </w:t>
      </w:r>
      <w:r w:rsidRPr="006A6AFC">
        <w:t>tilnærming til sikkerhet. Her inngår også tros- og livssynsfrihet.</w:t>
      </w:r>
    </w:p>
    <w:p w14:paraId="1661C0A3" w14:textId="77777777" w:rsidR="00000000" w:rsidRPr="006A6AFC" w:rsidRDefault="00691445" w:rsidP="006A6AFC">
      <w:pPr>
        <w:pStyle w:val="opplisting"/>
      </w:pPr>
      <w:hyperlink r:id="rId25" w:history="1">
        <w:r w:rsidRPr="006A6AFC">
          <w:rPr>
            <w:rStyle w:val="Hyperkobling"/>
          </w:rPr>
          <w:t>www.osce.org/odihr/freedom-of-religion-or-belief</w:t>
        </w:r>
      </w:hyperlink>
    </w:p>
    <w:p w14:paraId="3F27F4C6" w14:textId="77777777" w:rsidR="00000000" w:rsidRPr="006A6AFC" w:rsidRDefault="00691445" w:rsidP="006A6AFC">
      <w:r w:rsidRPr="006A6AFC">
        <w:t>Med sin publikasjon under søker OSSE å belyse forholdet mellom tros- og livssynsfrihet og sikkerhet.</w:t>
      </w:r>
    </w:p>
    <w:p w14:paraId="7AE6154F" w14:textId="77777777" w:rsidR="00000000" w:rsidRPr="006A6AFC" w:rsidRDefault="00691445" w:rsidP="006A6AFC">
      <w:pPr>
        <w:pStyle w:val="opplisting"/>
        <w:rPr>
          <w:rStyle w:val="Hyperkobling"/>
        </w:rPr>
      </w:pPr>
      <w:hyperlink r:id="rId26" w:history="1">
        <w:r w:rsidRPr="006A6AFC">
          <w:rPr>
            <w:rStyle w:val="Hyperkobling"/>
          </w:rPr>
          <w:t>www.osce.org/odihr/429</w:t>
        </w:r>
        <w:r w:rsidRPr="006A6AFC">
          <w:rPr>
            <w:rStyle w:val="Hyperkobling"/>
          </w:rPr>
          <w:t>389</w:t>
        </w:r>
      </w:hyperlink>
    </w:p>
    <w:p w14:paraId="67CC7F8B" w14:textId="77777777" w:rsidR="00000000" w:rsidRPr="006A6AFC" w:rsidRDefault="00691445" w:rsidP="006A6AFC">
      <w:pPr>
        <w:pStyle w:val="avsnitt-undertittel"/>
      </w:pPr>
      <w:r w:rsidRPr="006A6AFC">
        <w:t>Europarådet</w:t>
      </w:r>
    </w:p>
    <w:p w14:paraId="2B45DD7A" w14:textId="77777777" w:rsidR="00000000" w:rsidRPr="006A6AFC" w:rsidRDefault="00691445" w:rsidP="006A6AFC">
      <w:r w:rsidRPr="006A6AFC">
        <w:t>Europarådet arbeider aktiv med spørsmål knyttet til tros- og livssynsfrihet og innenfor oppfølgingen av rammekonvensjonen for nasjonale minoriteter.</w:t>
      </w:r>
    </w:p>
    <w:p w14:paraId="324E4CF7" w14:textId="77777777" w:rsidR="00000000" w:rsidRPr="006A6AFC" w:rsidRDefault="00691445" w:rsidP="006A6AFC">
      <w:pPr>
        <w:pStyle w:val="opplisting"/>
        <w:rPr>
          <w:rStyle w:val="Hyperkobling"/>
        </w:rPr>
      </w:pPr>
      <w:hyperlink r:id="rId27" w:history="1">
        <w:r w:rsidRPr="006A6AFC">
          <w:rPr>
            <w:rStyle w:val="Hyperkobling"/>
          </w:rPr>
          <w:t>www.coe.int/en/web/portal</w:t>
        </w:r>
      </w:hyperlink>
    </w:p>
    <w:p w14:paraId="00EB69B0" w14:textId="77777777" w:rsidR="00000000" w:rsidRPr="006A6AFC" w:rsidRDefault="00691445" w:rsidP="006A6AFC">
      <w:pPr>
        <w:pStyle w:val="avsnitt-undertittel"/>
      </w:pPr>
      <w:r w:rsidRPr="006A6AFC">
        <w:t>US Commission</w:t>
      </w:r>
      <w:r w:rsidRPr="006A6AFC">
        <w:t xml:space="preserve"> </w:t>
      </w:r>
      <w:proofErr w:type="spellStart"/>
      <w:r w:rsidRPr="006A6AFC">
        <w:t>on</w:t>
      </w:r>
      <w:proofErr w:type="spellEnd"/>
      <w:r w:rsidRPr="006A6AFC">
        <w:t xml:space="preserve"> International </w:t>
      </w:r>
      <w:proofErr w:type="spellStart"/>
      <w:r w:rsidRPr="006A6AFC">
        <w:t>Religious</w:t>
      </w:r>
      <w:proofErr w:type="spellEnd"/>
      <w:r w:rsidRPr="006A6AFC">
        <w:t xml:space="preserve"> </w:t>
      </w:r>
      <w:proofErr w:type="spellStart"/>
      <w:r w:rsidRPr="006A6AFC">
        <w:t>Freedom</w:t>
      </w:r>
      <w:proofErr w:type="spellEnd"/>
      <w:r w:rsidRPr="006A6AFC">
        <w:t xml:space="preserve"> (USCIRF)</w:t>
      </w:r>
    </w:p>
    <w:p w14:paraId="62424320" w14:textId="5D148C5B" w:rsidR="00000000" w:rsidRPr="006A6AFC" w:rsidRDefault="00691445" w:rsidP="006A6AFC">
      <w:r w:rsidRPr="006A6AFC">
        <w:t xml:space="preserve">Gir årlig ut rapporter om situasjonen for tros- og livssynsfrihet i </w:t>
      </w:r>
      <w:r w:rsidRPr="006A6AFC">
        <w:t>enkeltland verden over.</w:t>
      </w:r>
    </w:p>
    <w:p w14:paraId="231619B0" w14:textId="77777777" w:rsidR="00000000" w:rsidRPr="006A6AFC" w:rsidRDefault="00691445" w:rsidP="006A6AFC">
      <w:pPr>
        <w:pStyle w:val="opplisting"/>
        <w:rPr>
          <w:rStyle w:val="Hyperkobling"/>
        </w:rPr>
      </w:pPr>
      <w:hyperlink r:id="rId28" w:history="1">
        <w:r w:rsidRPr="006A6AFC">
          <w:rPr>
            <w:rStyle w:val="Hyperkobling"/>
          </w:rPr>
          <w:t>www.uscirf.gov</w:t>
        </w:r>
      </w:hyperlink>
    </w:p>
    <w:p w14:paraId="21E44BEE" w14:textId="77777777" w:rsidR="00000000" w:rsidRPr="006A6AFC" w:rsidRDefault="00691445" w:rsidP="006A6AFC">
      <w:pPr>
        <w:pStyle w:val="avsnitt-tittel"/>
      </w:pPr>
      <w:proofErr w:type="spellStart"/>
      <w:r w:rsidRPr="006A6AFC">
        <w:t>Minority</w:t>
      </w:r>
      <w:proofErr w:type="spellEnd"/>
      <w:r w:rsidRPr="006A6AFC">
        <w:t xml:space="preserve"> Rights Group International</w:t>
      </w:r>
    </w:p>
    <w:p w14:paraId="4E41BEE1" w14:textId="78595992" w:rsidR="00000000" w:rsidRPr="006A6AFC" w:rsidRDefault="00691445" w:rsidP="006A6AFC">
      <w:r w:rsidRPr="006A6AFC">
        <w:t xml:space="preserve">MRG arbeider med minoriteters rettigheter og trosfrihet og mottar støtte fra MR-seksjonen. MRG publiserer regelmessig rapporter om </w:t>
      </w:r>
      <w:r w:rsidRPr="006A6AFC">
        <w:t>minoriteter, og tros- og livssynsminoriteter, på sitt nettsted</w:t>
      </w:r>
    </w:p>
    <w:p w14:paraId="4B449A46" w14:textId="77777777" w:rsidR="00000000" w:rsidRPr="006A6AFC" w:rsidRDefault="00691445" w:rsidP="006A6AFC">
      <w:pPr>
        <w:pStyle w:val="opplisting"/>
      </w:pPr>
      <w:hyperlink r:id="rId29" w:history="1">
        <w:r w:rsidRPr="006A6AFC">
          <w:rPr>
            <w:rStyle w:val="Hyperkobling"/>
          </w:rPr>
          <w:t>minorityrights.org</w:t>
        </w:r>
      </w:hyperlink>
    </w:p>
    <w:p w14:paraId="21DF55C9" w14:textId="77777777" w:rsidR="00000000" w:rsidRPr="006A6AFC" w:rsidRDefault="00691445" w:rsidP="006A6AFC">
      <w:pPr>
        <w:pStyle w:val="avsnitt-undertittel"/>
      </w:pPr>
      <w:r w:rsidRPr="006A6AFC">
        <w:t>International Media Support</w:t>
      </w:r>
    </w:p>
    <w:p w14:paraId="0FEAB825" w14:textId="77777777" w:rsidR="00000000" w:rsidRPr="006A6AFC" w:rsidRDefault="00691445" w:rsidP="006A6AFC">
      <w:r w:rsidRPr="006A6AFC">
        <w:t xml:space="preserve">Samarbeidsparter og tilskuddsmottaker Setter i første rekke </w:t>
      </w:r>
      <w:proofErr w:type="gramStart"/>
      <w:r w:rsidRPr="006A6AFC">
        <w:t>fokus</w:t>
      </w:r>
      <w:proofErr w:type="gramEnd"/>
      <w:r w:rsidRPr="006A6AFC">
        <w:t xml:space="preserve"> på ytringsfriheten, men innenfor samarbeidet med Norge har man også et eget program for å synliggjøre tros- og livssynsminori</w:t>
      </w:r>
      <w:r w:rsidRPr="006A6AFC">
        <w:t>teters spesielle situasjonen innen media.</w:t>
      </w:r>
    </w:p>
    <w:p w14:paraId="3AA718CA" w14:textId="77777777" w:rsidR="00000000" w:rsidRPr="006A6AFC" w:rsidRDefault="00691445" w:rsidP="006A6AFC">
      <w:pPr>
        <w:pStyle w:val="avsnitt-undertittel"/>
      </w:pPr>
      <w:proofErr w:type="spellStart"/>
      <w:r w:rsidRPr="006A6AFC">
        <w:t>Freedom</w:t>
      </w:r>
      <w:proofErr w:type="spellEnd"/>
      <w:r w:rsidRPr="006A6AFC">
        <w:t xml:space="preserve"> House</w:t>
      </w:r>
    </w:p>
    <w:p w14:paraId="376EE3D0" w14:textId="77777777" w:rsidR="00000000" w:rsidRPr="006A6AFC" w:rsidRDefault="00691445" w:rsidP="006A6AFC">
      <w:r w:rsidRPr="006A6AFC">
        <w:t>Samarbeidsparter og tilskuddsmottaker Her inngår også tiltak for forfulgte tros- og livssynsminoriteter.</w:t>
      </w:r>
    </w:p>
    <w:p w14:paraId="342661A7" w14:textId="77777777" w:rsidR="00000000" w:rsidRPr="006A6AFC" w:rsidRDefault="00691445" w:rsidP="006A6AFC">
      <w:pPr>
        <w:pStyle w:val="opplisting"/>
      </w:pPr>
      <w:hyperlink r:id="rId30" w:history="1">
        <w:r w:rsidRPr="006A6AFC">
          <w:rPr>
            <w:rStyle w:val="Hyperkobling"/>
          </w:rPr>
          <w:t>freedomhouse.org/</w:t>
        </w:r>
        <w:proofErr w:type="spellStart"/>
        <w:r w:rsidRPr="006A6AFC">
          <w:rPr>
            <w:rStyle w:val="Hyperkobling"/>
          </w:rPr>
          <w:t>issues</w:t>
        </w:r>
        <w:proofErr w:type="spellEnd"/>
        <w:r w:rsidRPr="006A6AFC">
          <w:rPr>
            <w:rStyle w:val="Hyperkobling"/>
          </w:rPr>
          <w:t>/</w:t>
        </w:r>
        <w:proofErr w:type="spellStart"/>
        <w:r w:rsidRPr="006A6AFC">
          <w:rPr>
            <w:rStyle w:val="Hyperkobling"/>
          </w:rPr>
          <w:t>equality</w:t>
        </w:r>
        <w:proofErr w:type="spellEnd"/>
        <w:r w:rsidRPr="006A6AFC">
          <w:rPr>
            <w:rStyle w:val="Hyperkobling"/>
          </w:rPr>
          <w:t>-human-</w:t>
        </w:r>
        <w:proofErr w:type="spellStart"/>
        <w:r w:rsidRPr="006A6AFC">
          <w:rPr>
            <w:rStyle w:val="Hyperkobling"/>
          </w:rPr>
          <w:t>rights</w:t>
        </w:r>
        <w:proofErr w:type="spellEnd"/>
      </w:hyperlink>
    </w:p>
    <w:p w14:paraId="3F7D1B42" w14:textId="77777777" w:rsidR="00000000" w:rsidRPr="006A6AFC" w:rsidRDefault="00691445" w:rsidP="006A6AFC">
      <w:pPr>
        <w:pStyle w:val="Undertittel"/>
      </w:pPr>
      <w:r w:rsidRPr="006A6AFC">
        <w:t>Norske ressurser</w:t>
      </w:r>
    </w:p>
    <w:p w14:paraId="3D8B99C7" w14:textId="77777777" w:rsidR="00000000" w:rsidRPr="006A6AFC" w:rsidRDefault="00691445" w:rsidP="006A6AFC">
      <w:pPr>
        <w:pStyle w:val="avsnitt-undertittel"/>
      </w:pPr>
      <w:r w:rsidRPr="006A6AFC">
        <w:t>Utenriksdepartementet:</w:t>
      </w:r>
    </w:p>
    <w:p w14:paraId="2F97493A" w14:textId="7CB0E08C" w:rsidR="00000000" w:rsidRPr="006A6AFC" w:rsidRDefault="00691445" w:rsidP="006A6AFC">
      <w:r w:rsidRPr="006A6AFC">
        <w:t>Seksjon for menneskerettigheter, demokrati og likestilling har ansvar for å fremme og forsvare menneskerettigheter, demokrati og likestilling internasjonalt. Informasj</w:t>
      </w:r>
      <w:r w:rsidRPr="006A6AFC">
        <w:t xml:space="preserve">on finnes tilgjengelig på </w:t>
      </w:r>
      <w:hyperlink r:id="rId31" w:history="1">
        <w:proofErr w:type="spellStart"/>
        <w:r w:rsidRPr="006A6AFC">
          <w:rPr>
            <w:rStyle w:val="Hyperkobling"/>
          </w:rPr>
          <w:t>UDintra</w:t>
        </w:r>
        <w:proofErr w:type="spellEnd"/>
      </w:hyperlink>
      <w:r w:rsidRPr="006A6AFC">
        <w:t xml:space="preserve"> og under </w:t>
      </w:r>
      <w:hyperlink r:id="rId32" w:history="1">
        <w:r w:rsidRPr="006A6AFC">
          <w:rPr>
            <w:rStyle w:val="Hyperkobling"/>
          </w:rPr>
          <w:t>menneskerettigheter på regjeringen.no</w:t>
        </w:r>
      </w:hyperlink>
      <w:r w:rsidRPr="006A6AFC">
        <w:t xml:space="preserve">. </w:t>
      </w:r>
      <w:hyperlink r:id="rId33" w:history="1">
        <w:r w:rsidRPr="006A6AFC">
          <w:rPr>
            <w:rStyle w:val="Hyperkobling"/>
          </w:rPr>
          <w:t xml:space="preserve">Budskapsplattformen på </w:t>
        </w:r>
        <w:proofErr w:type="spellStart"/>
        <w:r w:rsidRPr="006A6AFC">
          <w:rPr>
            <w:rStyle w:val="Hyperkobling"/>
          </w:rPr>
          <w:t>UDintra</w:t>
        </w:r>
        <w:proofErr w:type="spellEnd"/>
      </w:hyperlink>
      <w:r w:rsidRPr="006A6AFC">
        <w:t xml:space="preserve"> oppdateres løpende med samtalepunkter på eng</w:t>
      </w:r>
      <w:r w:rsidRPr="006A6AFC">
        <w:t>elsk.</w:t>
      </w:r>
    </w:p>
    <w:p w14:paraId="59E0F90E" w14:textId="77777777" w:rsidR="00000000" w:rsidRPr="006A6AFC" w:rsidRDefault="00691445" w:rsidP="006A6AFC">
      <w:pPr>
        <w:pStyle w:val="avsnitt-undertittel"/>
      </w:pPr>
      <w:r w:rsidRPr="006A6AFC">
        <w:lastRenderedPageBreak/>
        <w:t>Norad</w:t>
      </w:r>
    </w:p>
    <w:p w14:paraId="26BF76C3" w14:textId="77777777" w:rsidR="00000000" w:rsidRPr="006A6AFC" w:rsidRDefault="00691445" w:rsidP="006A6AFC">
      <w:r w:rsidRPr="006A6AFC">
        <w:t>Norad forvalter en tilskuddsordning for støtte til tiltak angående tros- og livssynsminoriteter.</w:t>
      </w:r>
    </w:p>
    <w:p w14:paraId="1A3BE72A" w14:textId="77777777" w:rsidR="00000000" w:rsidRPr="006A6AFC" w:rsidRDefault="00691445" w:rsidP="006A6AFC">
      <w:pPr>
        <w:pStyle w:val="opplisting"/>
        <w:rPr>
          <w:rStyle w:val="Hyperkobling"/>
        </w:rPr>
      </w:pPr>
      <w:hyperlink r:id="rId34" w:history="1">
        <w:r w:rsidRPr="006A6AFC">
          <w:rPr>
            <w:rStyle w:val="Hyperkobling"/>
          </w:rPr>
          <w:t>www.norad.no/aktuelt/nyheter/201</w:t>
        </w:r>
        <w:r w:rsidRPr="006A6AFC">
          <w:rPr>
            <w:rStyle w:val="Hyperkobling"/>
          </w:rPr>
          <w:t>9/okte-tilskudd-til-tros--og-livssynsminoriteters-rettigheter</w:t>
        </w:r>
      </w:hyperlink>
    </w:p>
    <w:p w14:paraId="07200550" w14:textId="77777777" w:rsidR="00000000" w:rsidRPr="006A6AFC" w:rsidRDefault="00691445" w:rsidP="006A6AFC">
      <w:pPr>
        <w:pStyle w:val="avsnitt-undertittel"/>
      </w:pPr>
      <w:r w:rsidRPr="006A6AFC">
        <w:t>Barne- og familiedepartementet (BFD)</w:t>
      </w:r>
    </w:p>
    <w:p w14:paraId="72787360" w14:textId="77777777" w:rsidR="00000000" w:rsidRPr="006A6AFC" w:rsidRDefault="00691445" w:rsidP="006A6AFC">
      <w:r w:rsidRPr="006A6AFC">
        <w:t>BFD er fagdepartementet i regjeringen for tros- og livssynsspørsmål.</w:t>
      </w:r>
    </w:p>
    <w:p w14:paraId="11EF1540" w14:textId="77777777" w:rsidR="00000000" w:rsidRPr="006A6AFC" w:rsidRDefault="00691445" w:rsidP="006A6AFC">
      <w:pPr>
        <w:pStyle w:val="opplisting"/>
        <w:rPr>
          <w:rStyle w:val="Hyperkobling"/>
        </w:rPr>
      </w:pPr>
      <w:hyperlink r:id="rId35" w:history="1">
        <w:r w:rsidRPr="006A6AFC">
          <w:rPr>
            <w:rStyle w:val="Hyperkobling"/>
          </w:rPr>
          <w:t>www.regjeringen.no/id1147</w:t>
        </w:r>
      </w:hyperlink>
    </w:p>
    <w:p w14:paraId="1C0EF6F8" w14:textId="77777777" w:rsidR="00000000" w:rsidRPr="006A6AFC" w:rsidRDefault="00691445" w:rsidP="006A6AFC">
      <w:pPr>
        <w:pStyle w:val="avsnitt-undertittel"/>
      </w:pPr>
      <w:r w:rsidRPr="006A6AFC">
        <w:t>Kultur- o</w:t>
      </w:r>
      <w:r w:rsidRPr="006A6AFC">
        <w:t>g likestillingsdepartementet (KUD)</w:t>
      </w:r>
    </w:p>
    <w:p w14:paraId="05253CD9" w14:textId="77777777" w:rsidR="00000000" w:rsidRPr="006A6AFC" w:rsidRDefault="00691445" w:rsidP="006A6AFC">
      <w:r w:rsidRPr="006A6AFC">
        <w:t>KUD er fagdepartement i regjeringen for likestilling- og diskrimineringsspørsmål.</w:t>
      </w:r>
    </w:p>
    <w:p w14:paraId="009BFF84" w14:textId="77777777" w:rsidR="00000000" w:rsidRPr="006A6AFC" w:rsidRDefault="00691445" w:rsidP="006A6AFC">
      <w:pPr>
        <w:pStyle w:val="opplisting"/>
        <w:rPr>
          <w:rStyle w:val="Hyperkobling"/>
        </w:rPr>
      </w:pPr>
      <w:hyperlink r:id="rId36" w:history="1">
        <w:r w:rsidRPr="006A6AFC">
          <w:rPr>
            <w:rStyle w:val="Hyperkobling"/>
          </w:rPr>
          <w:t>www.regjeringen.no/id922</w:t>
        </w:r>
      </w:hyperlink>
    </w:p>
    <w:p w14:paraId="7BA624A5" w14:textId="77777777" w:rsidR="00000000" w:rsidRPr="006A6AFC" w:rsidRDefault="00691445" w:rsidP="006A6AFC">
      <w:pPr>
        <w:pStyle w:val="avsnitt-undertittel"/>
      </w:pPr>
      <w:r w:rsidRPr="006A6AFC">
        <w:t xml:space="preserve">Kommunal- og </w:t>
      </w:r>
      <w:proofErr w:type="spellStart"/>
      <w:r w:rsidRPr="006A6AFC">
        <w:t>distriktsdepartementet</w:t>
      </w:r>
      <w:proofErr w:type="spellEnd"/>
      <w:r w:rsidRPr="006A6AFC">
        <w:t xml:space="preserve"> (KDD)</w:t>
      </w:r>
    </w:p>
    <w:p w14:paraId="2FD8C8E7" w14:textId="77777777" w:rsidR="00000000" w:rsidRPr="006A6AFC" w:rsidRDefault="00691445" w:rsidP="006A6AFC">
      <w:r w:rsidRPr="006A6AFC">
        <w:t>KDD er fagdepartementet</w:t>
      </w:r>
      <w:r w:rsidRPr="006A6AFC">
        <w:t xml:space="preserve"> for spørsmål knyttet til nasjonale minoriteter. </w:t>
      </w:r>
    </w:p>
    <w:p w14:paraId="2AA007C8" w14:textId="77777777" w:rsidR="00000000" w:rsidRPr="006A6AFC" w:rsidRDefault="00691445" w:rsidP="006A6AFC">
      <w:pPr>
        <w:pStyle w:val="opplisting"/>
        <w:rPr>
          <w:rStyle w:val="Hyperkobling"/>
        </w:rPr>
      </w:pPr>
      <w:hyperlink r:id="rId37" w:history="1">
        <w:r w:rsidRPr="006A6AFC">
          <w:rPr>
            <w:rStyle w:val="Hyperkobling"/>
          </w:rPr>
          <w:t>www.regjeringen.no/id504</w:t>
        </w:r>
      </w:hyperlink>
    </w:p>
    <w:p w14:paraId="58575088" w14:textId="77777777" w:rsidR="00000000" w:rsidRPr="006A6AFC" w:rsidRDefault="00691445" w:rsidP="006A6AFC">
      <w:pPr>
        <w:pStyle w:val="avsnitt-undertittel"/>
      </w:pPr>
      <w:proofErr w:type="spellStart"/>
      <w:r w:rsidRPr="006A6AFC">
        <w:t>Stefanusalliansen</w:t>
      </w:r>
      <w:proofErr w:type="spellEnd"/>
    </w:p>
    <w:p w14:paraId="28B9592F" w14:textId="28A359CA" w:rsidR="00000000" w:rsidRPr="006A6AFC" w:rsidRDefault="00691445" w:rsidP="006A6AFC">
      <w:proofErr w:type="spellStart"/>
      <w:r w:rsidRPr="006A6AFC">
        <w:t>Stefanusalliansen</w:t>
      </w:r>
      <w:proofErr w:type="spellEnd"/>
      <w:r w:rsidRPr="006A6AFC">
        <w:t xml:space="preserve"> er en misjons- og menneskerettighets</w:t>
      </w:r>
      <w:r w:rsidRPr="006A6AFC">
        <w:t xml:space="preserve">organisasjon med særlig </w:t>
      </w:r>
      <w:proofErr w:type="gramStart"/>
      <w:r w:rsidRPr="006A6AFC">
        <w:t>fokus</w:t>
      </w:r>
      <w:proofErr w:type="gramEnd"/>
      <w:r w:rsidRPr="006A6AFC">
        <w:t xml:space="preserve"> på trosfrihet som en grunnleg</w:t>
      </w:r>
      <w:r w:rsidRPr="006A6AFC">
        <w:t>gende menneskerettighet.</w:t>
      </w:r>
    </w:p>
    <w:p w14:paraId="699F2980" w14:textId="77777777" w:rsidR="00000000" w:rsidRPr="006A6AFC" w:rsidRDefault="00691445" w:rsidP="006A6AFC">
      <w:pPr>
        <w:pStyle w:val="opplisting"/>
        <w:rPr>
          <w:rStyle w:val="Hyperkobling"/>
        </w:rPr>
      </w:pPr>
      <w:hyperlink r:id="rId38" w:history="1">
        <w:r w:rsidRPr="006A6AFC">
          <w:rPr>
            <w:rStyle w:val="Hyperkobling"/>
          </w:rPr>
          <w:t>www.stefanusalliansen.no</w:t>
        </w:r>
      </w:hyperlink>
    </w:p>
    <w:p w14:paraId="1A081401" w14:textId="77777777" w:rsidR="00000000" w:rsidRPr="006A6AFC" w:rsidRDefault="00691445" w:rsidP="006A6AFC">
      <w:pPr>
        <w:pStyle w:val="opplisting"/>
        <w:rPr>
          <w:rStyle w:val="Hyperkobling"/>
        </w:rPr>
      </w:pPr>
      <w:hyperlink r:id="rId39" w:history="1">
        <w:r w:rsidRPr="006A6AFC">
          <w:rPr>
            <w:rStyle w:val="Hyperkobling"/>
          </w:rPr>
          <w:t>www.forb-learning.org</w:t>
        </w:r>
      </w:hyperlink>
    </w:p>
    <w:p w14:paraId="42F4318C" w14:textId="77777777" w:rsidR="00000000" w:rsidRPr="006A6AFC" w:rsidRDefault="00691445" w:rsidP="006A6AFC">
      <w:pPr>
        <w:pStyle w:val="avsnitt-undertittel"/>
      </w:pPr>
      <w:r w:rsidRPr="006A6AFC">
        <w:t>Oslokoalisjonen</w:t>
      </w:r>
    </w:p>
    <w:p w14:paraId="2D1D90C4" w14:textId="77777777" w:rsidR="00000000" w:rsidRPr="006A6AFC" w:rsidRDefault="00691445" w:rsidP="006A6AFC">
      <w:r w:rsidRPr="006A6AFC">
        <w:t xml:space="preserve">Oslokoalisjonen for tros- og livssynsfrihet (OC) er et program under Senter for menneskerettigheter og mottar tilskudd </w:t>
      </w:r>
      <w:proofErr w:type="gramStart"/>
      <w:r w:rsidRPr="006A6AFC">
        <w:t>bl. a.</w:t>
      </w:r>
      <w:proofErr w:type="gramEnd"/>
      <w:r w:rsidRPr="006A6AFC">
        <w:t xml:space="preserve"> gjennom UDs rammeavtale med Senter for menneskerettigheter.</w:t>
      </w:r>
    </w:p>
    <w:p w14:paraId="62477EED" w14:textId="77777777" w:rsidR="00000000" w:rsidRPr="006A6AFC" w:rsidRDefault="00691445" w:rsidP="006A6AFC">
      <w:pPr>
        <w:pStyle w:val="opplisting"/>
        <w:rPr>
          <w:rStyle w:val="Hyperkobling"/>
        </w:rPr>
      </w:pPr>
      <w:hyperlink r:id="rId40" w:history="1">
        <w:r w:rsidRPr="006A6AFC">
          <w:rPr>
            <w:rStyle w:val="Hyperkobling"/>
          </w:rPr>
          <w:t>www.jus.uio.no/smr/english/about/id/oslocoalition</w:t>
        </w:r>
      </w:hyperlink>
    </w:p>
    <w:p w14:paraId="6BDD2E20" w14:textId="77777777" w:rsidR="00000000" w:rsidRPr="006A6AFC" w:rsidRDefault="00691445" w:rsidP="006A6AFC">
      <w:pPr>
        <w:pStyle w:val="avsnitt-undertittel"/>
      </w:pPr>
      <w:r w:rsidRPr="006A6AFC">
        <w:t xml:space="preserve">Det internasjonale parlamentarikernettverket for tros- eller livssynsfrihet (The International Panel </w:t>
      </w:r>
      <w:proofErr w:type="spellStart"/>
      <w:r w:rsidRPr="006A6AFC">
        <w:t>of</w:t>
      </w:r>
      <w:proofErr w:type="spellEnd"/>
      <w:r w:rsidRPr="006A6AFC">
        <w:t xml:space="preserve"> </w:t>
      </w:r>
      <w:proofErr w:type="spellStart"/>
      <w:r w:rsidRPr="006A6AFC">
        <w:t>Parliamentarians</w:t>
      </w:r>
      <w:proofErr w:type="spellEnd"/>
      <w:r w:rsidRPr="006A6AFC">
        <w:t xml:space="preserve"> for </w:t>
      </w:r>
      <w:proofErr w:type="spellStart"/>
      <w:r w:rsidRPr="006A6AFC">
        <w:t>Freedom</w:t>
      </w:r>
      <w:proofErr w:type="spellEnd"/>
      <w:r w:rsidRPr="006A6AFC">
        <w:t xml:space="preserve"> </w:t>
      </w:r>
      <w:proofErr w:type="spellStart"/>
      <w:r w:rsidRPr="006A6AFC">
        <w:t>of</w:t>
      </w:r>
      <w:proofErr w:type="spellEnd"/>
      <w:r w:rsidRPr="006A6AFC">
        <w:t xml:space="preserve"> Religion or </w:t>
      </w:r>
      <w:proofErr w:type="spellStart"/>
      <w:r w:rsidRPr="006A6AFC">
        <w:t>Belief</w:t>
      </w:r>
      <w:proofErr w:type="spellEnd"/>
      <w:r w:rsidRPr="006A6AFC">
        <w:t xml:space="preserve"> – IPPFORB)</w:t>
      </w:r>
    </w:p>
    <w:p w14:paraId="1F3F6E46" w14:textId="77777777" w:rsidR="00000000" w:rsidRPr="006A6AFC" w:rsidRDefault="00691445" w:rsidP="006A6AFC">
      <w:proofErr w:type="spellStart"/>
      <w:r w:rsidRPr="006A6AFC">
        <w:t>IPPFORBs</w:t>
      </w:r>
      <w:proofErr w:type="spellEnd"/>
      <w:r w:rsidRPr="006A6AFC">
        <w:t xml:space="preserve"> visjon er å engasjere parla</w:t>
      </w:r>
      <w:r w:rsidRPr="006A6AFC">
        <w:t>mentarikere i arbeidet for tros- og livssynsfrihet både globalt og regionalt. IPPFORB-sekretariatet mottar støtte fra MR-seksjonen til arbeidet med trosfrihet.</w:t>
      </w:r>
    </w:p>
    <w:p w14:paraId="5F763597" w14:textId="77777777" w:rsidR="00000000" w:rsidRPr="006A6AFC" w:rsidRDefault="00691445" w:rsidP="006A6AFC">
      <w:pPr>
        <w:pStyle w:val="opplisting"/>
        <w:rPr>
          <w:rStyle w:val="Hyperkobling"/>
        </w:rPr>
      </w:pPr>
      <w:hyperlink r:id="rId41" w:history="1">
        <w:r w:rsidRPr="006A6AFC">
          <w:rPr>
            <w:rStyle w:val="Hyperkobling"/>
          </w:rPr>
          <w:t>www.ippforb.com</w:t>
        </w:r>
      </w:hyperlink>
    </w:p>
    <w:p w14:paraId="54F2CA9B" w14:textId="77777777" w:rsidR="00000000" w:rsidRPr="006A6AFC" w:rsidRDefault="00691445" w:rsidP="006A6AFC">
      <w:pPr>
        <w:pStyle w:val="avsnitt-undertittel"/>
      </w:pPr>
      <w:r w:rsidRPr="006A6AFC">
        <w:t xml:space="preserve">The Global </w:t>
      </w:r>
      <w:proofErr w:type="spellStart"/>
      <w:r w:rsidRPr="006A6AFC">
        <w:t>Interfaith</w:t>
      </w:r>
      <w:proofErr w:type="spellEnd"/>
      <w:r w:rsidRPr="006A6AFC">
        <w:t xml:space="preserve"> Network for People</w:t>
      </w:r>
      <w:r w:rsidRPr="006A6AFC">
        <w:t xml:space="preserve"> </w:t>
      </w:r>
      <w:proofErr w:type="spellStart"/>
      <w:r w:rsidRPr="006A6AFC">
        <w:t>of</w:t>
      </w:r>
      <w:proofErr w:type="spellEnd"/>
      <w:r w:rsidRPr="006A6AFC">
        <w:t xml:space="preserve"> All </w:t>
      </w:r>
      <w:proofErr w:type="spellStart"/>
      <w:r w:rsidRPr="006A6AFC">
        <w:t>Sexes</w:t>
      </w:r>
      <w:proofErr w:type="spellEnd"/>
      <w:r w:rsidRPr="006A6AFC">
        <w:t xml:space="preserve">, </w:t>
      </w:r>
      <w:proofErr w:type="spellStart"/>
      <w:r w:rsidRPr="006A6AFC">
        <w:t>Sexual</w:t>
      </w:r>
      <w:proofErr w:type="spellEnd"/>
      <w:r w:rsidRPr="006A6AFC">
        <w:t xml:space="preserve"> </w:t>
      </w:r>
      <w:proofErr w:type="spellStart"/>
      <w:r w:rsidRPr="006A6AFC">
        <w:t>Orientations</w:t>
      </w:r>
      <w:proofErr w:type="spellEnd"/>
      <w:r w:rsidRPr="006A6AFC">
        <w:t xml:space="preserve">, </w:t>
      </w:r>
      <w:proofErr w:type="spellStart"/>
      <w:r w:rsidRPr="006A6AFC">
        <w:t>Gender</w:t>
      </w:r>
      <w:proofErr w:type="spellEnd"/>
      <w:r w:rsidRPr="006A6AFC">
        <w:t xml:space="preserve"> </w:t>
      </w:r>
      <w:proofErr w:type="spellStart"/>
      <w:r w:rsidRPr="006A6AFC">
        <w:t>Identities</w:t>
      </w:r>
      <w:proofErr w:type="spellEnd"/>
      <w:r w:rsidRPr="006A6AFC">
        <w:t xml:space="preserve"> and Expressions (GIN-SSOGIE)</w:t>
      </w:r>
    </w:p>
    <w:p w14:paraId="0153739B" w14:textId="77777777" w:rsidR="00000000" w:rsidRPr="006A6AFC" w:rsidRDefault="00691445" w:rsidP="006A6AFC">
      <w:pPr>
        <w:pStyle w:val="opplisting"/>
        <w:rPr>
          <w:rStyle w:val="Hyperkobling"/>
        </w:rPr>
      </w:pPr>
      <w:hyperlink r:id="rId42" w:history="1">
        <w:r w:rsidRPr="006A6AFC">
          <w:rPr>
            <w:rStyle w:val="Hyperkobling"/>
          </w:rPr>
          <w:t>gin-ssogie.org</w:t>
        </w:r>
      </w:hyperlink>
    </w:p>
    <w:p w14:paraId="7986A5DF" w14:textId="77777777" w:rsidR="00000000" w:rsidRPr="006A6AFC" w:rsidRDefault="00691445" w:rsidP="006A6AFC">
      <w:pPr>
        <w:pStyle w:val="avsnitt-undertittel"/>
      </w:pPr>
      <w:r w:rsidRPr="006A6AFC">
        <w:lastRenderedPageBreak/>
        <w:t>Senter for studier av Holocaust og livssynsminoriteter (HL-senteret)</w:t>
      </w:r>
    </w:p>
    <w:p w14:paraId="3D964E6E" w14:textId="1DB868D6" w:rsidR="00000000" w:rsidRPr="006A6AFC" w:rsidRDefault="00691445" w:rsidP="006A6AFC">
      <w:r w:rsidRPr="006A6AFC">
        <w:t xml:space="preserve">HL-senteret er et forsknings-, dokumentasjons- og </w:t>
      </w:r>
      <w:r w:rsidRPr="006A6AFC">
        <w:t>formidlings</w:t>
      </w:r>
      <w:r w:rsidRPr="006A6AFC">
        <w:t>senter med søkelys på Holocaust og andre folkemord og på minoriteters vilkår i moderne samfunn. HL-senteret mottar støtte fra MR-seksjonen.</w:t>
      </w:r>
    </w:p>
    <w:p w14:paraId="4A4B9F10" w14:textId="77777777" w:rsidR="00000000" w:rsidRPr="006A6AFC" w:rsidRDefault="00691445" w:rsidP="006A6AFC">
      <w:pPr>
        <w:pStyle w:val="opplisting"/>
        <w:rPr>
          <w:rStyle w:val="Hyperkobling"/>
        </w:rPr>
      </w:pPr>
      <w:hyperlink r:id="rId43" w:history="1">
        <w:r w:rsidRPr="006A6AFC">
          <w:rPr>
            <w:rStyle w:val="Hyperkobling"/>
          </w:rPr>
          <w:t>www.hlsenteret.no</w:t>
        </w:r>
      </w:hyperlink>
    </w:p>
    <w:p w14:paraId="5221FF21" w14:textId="77777777" w:rsidR="00000000" w:rsidRPr="006A6AFC" w:rsidRDefault="00691445" w:rsidP="006A6AFC">
      <w:pPr>
        <w:pStyle w:val="avsnitt-undertittel"/>
      </w:pPr>
      <w:r w:rsidRPr="006A6AFC">
        <w:t>Samarbeidsrådet for tros- og livssynssamfunn</w:t>
      </w:r>
      <w:r w:rsidRPr="006A6AFC">
        <w:t xml:space="preserve"> (STL)</w:t>
      </w:r>
    </w:p>
    <w:p w14:paraId="7D45786A" w14:textId="77777777" w:rsidR="00000000" w:rsidRPr="006A6AFC" w:rsidRDefault="00691445" w:rsidP="006A6AFC">
      <w:r w:rsidRPr="006A6AFC">
        <w:t>På det religions- og livssynspolitiske feltet er STLs hovedfokus å arbeide for en aktiv og understøttende tros- og livssynspolitikk i Norge og arbeider for at tros- og livssynsperspektiver skal ivaretas i hele samfunnsveven.</w:t>
      </w:r>
    </w:p>
    <w:p w14:paraId="6D297C22" w14:textId="77777777" w:rsidR="00000000" w:rsidRPr="006A6AFC" w:rsidRDefault="00691445" w:rsidP="006A6AFC">
      <w:pPr>
        <w:pStyle w:val="opplisting"/>
        <w:rPr>
          <w:rStyle w:val="Hyperkobling"/>
        </w:rPr>
      </w:pPr>
      <w:hyperlink r:id="rId44" w:history="1">
        <w:r w:rsidRPr="006A6AFC">
          <w:rPr>
            <w:rStyle w:val="Hyperkobling"/>
          </w:rPr>
          <w:t>www.trooglivssyn.no</w:t>
        </w:r>
      </w:hyperlink>
    </w:p>
    <w:p w14:paraId="6B8C077B" w14:textId="0600A5F1" w:rsidR="00000000" w:rsidRPr="00572B1C" w:rsidRDefault="00691445" w:rsidP="006A6AFC">
      <w:pPr>
        <w:pStyle w:val="UnOverskrift1"/>
      </w:pPr>
      <w:r w:rsidRPr="00572B1C">
        <w:t>Vedlegg 5</w:t>
      </w:r>
      <w:r w:rsidR="006A6AFC" w:rsidRPr="00572B1C">
        <w:t xml:space="preserve"> </w:t>
      </w:r>
      <w:r w:rsidRPr="00572B1C">
        <w:br/>
      </w:r>
      <w:r w:rsidRPr="00572B1C">
        <w:t>Enkelte sentrale FN-konvensjoner</w:t>
      </w:r>
    </w:p>
    <w:p w14:paraId="7607DF82" w14:textId="77777777" w:rsidR="00000000" w:rsidRPr="006A6AFC" w:rsidRDefault="00691445" w:rsidP="006A6AFC">
      <w:r w:rsidRPr="006A6AFC">
        <w:t xml:space="preserve">Four UN </w:t>
      </w:r>
      <w:proofErr w:type="spellStart"/>
      <w:r w:rsidRPr="006A6AFC">
        <w:t>conventions</w:t>
      </w:r>
      <w:proofErr w:type="spellEnd"/>
      <w:r w:rsidRPr="006A6AFC">
        <w:t xml:space="preserve"> </w:t>
      </w:r>
      <w:proofErr w:type="spellStart"/>
      <w:r w:rsidRPr="006A6AFC">
        <w:t>are</w:t>
      </w:r>
      <w:proofErr w:type="spellEnd"/>
      <w:r w:rsidRPr="006A6AFC">
        <w:t xml:space="preserve"> </w:t>
      </w:r>
      <w:proofErr w:type="spellStart"/>
      <w:r w:rsidRPr="006A6AFC">
        <w:t>particularly</w:t>
      </w:r>
      <w:proofErr w:type="spellEnd"/>
      <w:r w:rsidRPr="006A6AFC">
        <w:t xml:space="preserve"> </w:t>
      </w:r>
      <w:proofErr w:type="spellStart"/>
      <w:r w:rsidRPr="006A6AFC">
        <w:t>important</w:t>
      </w:r>
      <w:proofErr w:type="spellEnd"/>
      <w:r w:rsidRPr="006A6AFC">
        <w:t xml:space="preserve"> for </w:t>
      </w:r>
      <w:proofErr w:type="spellStart"/>
      <w:r w:rsidRPr="006A6AFC">
        <w:t>the</w:t>
      </w:r>
      <w:proofErr w:type="spellEnd"/>
      <w:r w:rsidRPr="006A6AFC">
        <w:t xml:space="preserve"> </w:t>
      </w:r>
      <w:proofErr w:type="spellStart"/>
      <w:r w:rsidRPr="006A6AFC">
        <w:t>protection</w:t>
      </w:r>
      <w:proofErr w:type="spellEnd"/>
      <w:r w:rsidRPr="006A6AFC">
        <w:t xml:space="preserve"> </w:t>
      </w:r>
      <w:proofErr w:type="spellStart"/>
      <w:r w:rsidRPr="006A6AFC">
        <w:t>of</w:t>
      </w:r>
      <w:proofErr w:type="spellEnd"/>
      <w:r w:rsidRPr="006A6AFC">
        <w:t xml:space="preserve"> </w:t>
      </w:r>
      <w:proofErr w:type="spellStart"/>
      <w:r w:rsidRPr="006A6AFC">
        <w:t>religious</w:t>
      </w:r>
      <w:proofErr w:type="spellEnd"/>
      <w:r w:rsidRPr="006A6AFC">
        <w:t xml:space="preserve"> </w:t>
      </w:r>
      <w:proofErr w:type="spellStart"/>
      <w:r w:rsidRPr="006A6AFC">
        <w:t>minorities</w:t>
      </w:r>
      <w:proofErr w:type="spellEnd"/>
      <w:r w:rsidRPr="006A6AFC">
        <w:t>:</w:t>
      </w:r>
    </w:p>
    <w:p w14:paraId="271678BC" w14:textId="77777777" w:rsidR="00000000" w:rsidRPr="006A6AFC" w:rsidRDefault="00691445" w:rsidP="006A6AFC">
      <w:r w:rsidRPr="006A6AFC">
        <w:rPr>
          <w:rStyle w:val="halvfet"/>
        </w:rPr>
        <w:t xml:space="preserve">The International </w:t>
      </w:r>
      <w:proofErr w:type="spellStart"/>
      <w:r w:rsidRPr="006A6AFC">
        <w:rPr>
          <w:rStyle w:val="halvfet"/>
        </w:rPr>
        <w:t>Covenant</w:t>
      </w:r>
      <w:proofErr w:type="spellEnd"/>
      <w:r w:rsidRPr="006A6AFC">
        <w:rPr>
          <w:rStyle w:val="halvfet"/>
        </w:rPr>
        <w:t xml:space="preserve"> </w:t>
      </w:r>
      <w:proofErr w:type="spellStart"/>
      <w:r w:rsidRPr="006A6AFC">
        <w:rPr>
          <w:rStyle w:val="halvfet"/>
        </w:rPr>
        <w:t>on</w:t>
      </w:r>
      <w:proofErr w:type="spellEnd"/>
      <w:r w:rsidRPr="006A6AFC">
        <w:rPr>
          <w:rStyle w:val="halvfet"/>
        </w:rPr>
        <w:t xml:space="preserve"> </w:t>
      </w:r>
      <w:proofErr w:type="spellStart"/>
      <w:r w:rsidRPr="006A6AFC">
        <w:rPr>
          <w:rStyle w:val="halvfet"/>
        </w:rPr>
        <w:t>Civil</w:t>
      </w:r>
      <w:proofErr w:type="spellEnd"/>
      <w:r w:rsidRPr="006A6AFC">
        <w:rPr>
          <w:rStyle w:val="halvfet"/>
        </w:rPr>
        <w:t xml:space="preserve"> and </w:t>
      </w:r>
      <w:proofErr w:type="spellStart"/>
      <w:r w:rsidRPr="006A6AFC">
        <w:rPr>
          <w:rStyle w:val="halvfet"/>
        </w:rPr>
        <w:t>Political</w:t>
      </w:r>
      <w:proofErr w:type="spellEnd"/>
      <w:r w:rsidRPr="006A6AFC">
        <w:rPr>
          <w:rStyle w:val="halvfet"/>
        </w:rPr>
        <w:t xml:space="preserve"> Rights</w:t>
      </w:r>
      <w:r w:rsidRPr="006A6AFC">
        <w:t xml:space="preserve"> </w:t>
      </w:r>
      <w:proofErr w:type="spellStart"/>
      <w:r w:rsidRPr="006A6AFC">
        <w:t>of</w:t>
      </w:r>
      <w:proofErr w:type="spellEnd"/>
      <w:r w:rsidRPr="006A6AFC">
        <w:t xml:space="preserve"> 1966 </w:t>
      </w:r>
      <w:proofErr w:type="spellStart"/>
      <w:r w:rsidRPr="006A6AFC">
        <w:t>states</w:t>
      </w:r>
      <w:proofErr w:type="spellEnd"/>
      <w:r w:rsidRPr="006A6AFC">
        <w:t xml:space="preserve"> </w:t>
      </w:r>
      <w:proofErr w:type="spellStart"/>
      <w:r w:rsidRPr="006A6AFC">
        <w:t>that</w:t>
      </w:r>
      <w:proofErr w:type="spellEnd"/>
      <w:r w:rsidRPr="006A6AFC">
        <w:t xml:space="preserve"> </w:t>
      </w:r>
      <w:proofErr w:type="spellStart"/>
      <w:r w:rsidRPr="006A6AFC">
        <w:t>the</w:t>
      </w:r>
      <w:proofErr w:type="spellEnd"/>
      <w:r w:rsidRPr="006A6AFC">
        <w:t xml:space="preserve"> </w:t>
      </w:r>
      <w:proofErr w:type="spellStart"/>
      <w:r w:rsidRPr="006A6AFC">
        <w:t>rights</w:t>
      </w:r>
      <w:proofErr w:type="spellEnd"/>
      <w:r w:rsidRPr="006A6AFC">
        <w:t xml:space="preserve"> </w:t>
      </w:r>
      <w:proofErr w:type="spellStart"/>
      <w:r w:rsidRPr="006A6AFC">
        <w:t>set</w:t>
      </w:r>
      <w:proofErr w:type="spellEnd"/>
      <w:r w:rsidRPr="006A6AFC">
        <w:t xml:space="preserve"> </w:t>
      </w:r>
      <w:proofErr w:type="spellStart"/>
      <w:r w:rsidRPr="006A6AFC">
        <w:t>out</w:t>
      </w:r>
      <w:proofErr w:type="spellEnd"/>
      <w:r w:rsidRPr="006A6AFC">
        <w:t xml:space="preserve"> in </w:t>
      </w:r>
      <w:proofErr w:type="spellStart"/>
      <w:r w:rsidRPr="006A6AFC">
        <w:t>the</w:t>
      </w:r>
      <w:proofErr w:type="spellEnd"/>
      <w:r w:rsidRPr="006A6AFC">
        <w:t xml:space="preserve"> </w:t>
      </w:r>
      <w:proofErr w:type="spellStart"/>
      <w:r w:rsidRPr="006A6AFC">
        <w:t>convention</w:t>
      </w:r>
      <w:proofErr w:type="spellEnd"/>
      <w:r w:rsidRPr="006A6AFC">
        <w:t xml:space="preserve"> </w:t>
      </w:r>
      <w:proofErr w:type="spellStart"/>
      <w:r w:rsidRPr="006A6AFC">
        <w:t>apply</w:t>
      </w:r>
      <w:proofErr w:type="spellEnd"/>
      <w:r w:rsidRPr="006A6AFC">
        <w:t xml:space="preserve"> </w:t>
      </w:r>
      <w:proofErr w:type="spellStart"/>
      <w:r w:rsidRPr="006A6AFC">
        <w:t>regardless</w:t>
      </w:r>
      <w:proofErr w:type="spellEnd"/>
      <w:r w:rsidRPr="006A6AFC">
        <w:t xml:space="preserve"> </w:t>
      </w:r>
      <w:proofErr w:type="spellStart"/>
      <w:r w:rsidRPr="006A6AFC">
        <w:t>of</w:t>
      </w:r>
      <w:proofErr w:type="spellEnd"/>
      <w:r w:rsidRPr="006A6AFC">
        <w:t xml:space="preserve"> a </w:t>
      </w:r>
      <w:proofErr w:type="spellStart"/>
      <w:r w:rsidRPr="006A6AFC">
        <w:t>person’s</w:t>
      </w:r>
      <w:proofErr w:type="spellEnd"/>
      <w:r w:rsidRPr="006A6AFC">
        <w:t xml:space="preserve"> religion or </w:t>
      </w:r>
      <w:proofErr w:type="spellStart"/>
      <w:r w:rsidRPr="006A6AFC">
        <w:t>other</w:t>
      </w:r>
      <w:proofErr w:type="spellEnd"/>
      <w:r w:rsidRPr="006A6AFC">
        <w:t xml:space="preserve"> status (</w:t>
      </w:r>
      <w:proofErr w:type="spellStart"/>
      <w:r w:rsidRPr="006A6AFC">
        <w:t>Article</w:t>
      </w:r>
      <w:proofErr w:type="spellEnd"/>
      <w:r w:rsidRPr="006A6AFC">
        <w:t xml:space="preserve"> 2). </w:t>
      </w:r>
      <w:proofErr w:type="spellStart"/>
      <w:r w:rsidRPr="006A6AFC">
        <w:t>Article</w:t>
      </w:r>
      <w:proofErr w:type="spellEnd"/>
      <w:r w:rsidRPr="006A6AFC">
        <w:t xml:space="preserve"> 18 </w:t>
      </w:r>
      <w:proofErr w:type="spellStart"/>
      <w:r w:rsidRPr="006A6AFC">
        <w:t>states</w:t>
      </w:r>
      <w:proofErr w:type="spellEnd"/>
      <w:r w:rsidRPr="006A6AFC">
        <w:t xml:space="preserve"> </w:t>
      </w:r>
      <w:proofErr w:type="spellStart"/>
      <w:r w:rsidRPr="006A6AFC">
        <w:t>that</w:t>
      </w:r>
      <w:proofErr w:type="spellEnd"/>
      <w:r w:rsidRPr="006A6AFC">
        <w:t xml:space="preserve"> </w:t>
      </w:r>
      <w:proofErr w:type="spellStart"/>
      <w:r w:rsidRPr="006A6AFC">
        <w:t>freedom</w:t>
      </w:r>
      <w:proofErr w:type="spellEnd"/>
      <w:r w:rsidRPr="006A6AFC">
        <w:t xml:space="preserve"> </w:t>
      </w:r>
      <w:proofErr w:type="spellStart"/>
      <w:r w:rsidRPr="006A6AFC">
        <w:t>of</w:t>
      </w:r>
      <w:proofErr w:type="spellEnd"/>
      <w:r w:rsidRPr="006A6AFC">
        <w:t xml:space="preserve"> </w:t>
      </w:r>
      <w:proofErr w:type="spellStart"/>
      <w:r w:rsidRPr="006A6AFC">
        <w:t>thought</w:t>
      </w:r>
      <w:proofErr w:type="spellEnd"/>
      <w:r w:rsidRPr="006A6AFC">
        <w:t xml:space="preserve">, </w:t>
      </w:r>
      <w:proofErr w:type="spellStart"/>
      <w:r w:rsidRPr="006A6AFC">
        <w:t>conscience</w:t>
      </w:r>
      <w:proofErr w:type="spellEnd"/>
      <w:r w:rsidRPr="006A6AFC">
        <w:t xml:space="preserve"> and religion </w:t>
      </w:r>
      <w:proofErr w:type="spellStart"/>
      <w:r w:rsidRPr="006A6AFC">
        <w:t>includes</w:t>
      </w:r>
      <w:proofErr w:type="spellEnd"/>
      <w:r w:rsidRPr="006A6AFC">
        <w:t xml:space="preserve"> </w:t>
      </w:r>
      <w:proofErr w:type="spellStart"/>
      <w:r w:rsidRPr="006A6AFC">
        <w:t>freedom</w:t>
      </w:r>
      <w:proofErr w:type="spellEnd"/>
      <w:r w:rsidRPr="006A6AFC">
        <w:t xml:space="preserve"> to have or </w:t>
      </w:r>
      <w:proofErr w:type="spellStart"/>
      <w:r w:rsidRPr="006A6AFC">
        <w:t>adopt</w:t>
      </w:r>
      <w:proofErr w:type="spellEnd"/>
      <w:r w:rsidRPr="006A6AFC">
        <w:t xml:space="preserve"> a religion or </w:t>
      </w:r>
      <w:proofErr w:type="spellStart"/>
      <w:r w:rsidRPr="006A6AFC">
        <w:t>belief</w:t>
      </w:r>
      <w:proofErr w:type="spellEnd"/>
      <w:r w:rsidRPr="006A6AFC">
        <w:t xml:space="preserve"> </w:t>
      </w:r>
      <w:proofErr w:type="spellStart"/>
      <w:r w:rsidRPr="006A6AFC">
        <w:t>of</w:t>
      </w:r>
      <w:proofErr w:type="spellEnd"/>
      <w:r w:rsidRPr="006A6AFC">
        <w:t xml:space="preserve"> </w:t>
      </w:r>
      <w:proofErr w:type="spellStart"/>
      <w:r w:rsidRPr="006A6AFC">
        <w:t>one’s</w:t>
      </w:r>
      <w:proofErr w:type="spellEnd"/>
      <w:r w:rsidRPr="006A6AFC">
        <w:t xml:space="preserve"> </w:t>
      </w:r>
      <w:proofErr w:type="spellStart"/>
      <w:r w:rsidRPr="006A6AFC">
        <w:t>choice</w:t>
      </w:r>
      <w:proofErr w:type="spellEnd"/>
      <w:r w:rsidRPr="006A6AFC">
        <w:t xml:space="preserve"> and </w:t>
      </w:r>
      <w:proofErr w:type="spellStart"/>
      <w:r w:rsidRPr="006A6AFC">
        <w:t>freedom</w:t>
      </w:r>
      <w:proofErr w:type="spellEnd"/>
      <w:r w:rsidRPr="006A6AFC">
        <w:t xml:space="preserve"> to m</w:t>
      </w:r>
      <w:r w:rsidRPr="006A6AFC">
        <w:t xml:space="preserve">anifest </w:t>
      </w:r>
      <w:proofErr w:type="spellStart"/>
      <w:r w:rsidRPr="006A6AFC">
        <w:t>one’s</w:t>
      </w:r>
      <w:proofErr w:type="spellEnd"/>
      <w:r w:rsidRPr="006A6AFC">
        <w:t xml:space="preserve"> religion or </w:t>
      </w:r>
      <w:proofErr w:type="spellStart"/>
      <w:r w:rsidRPr="006A6AFC">
        <w:t>belief</w:t>
      </w:r>
      <w:proofErr w:type="spellEnd"/>
      <w:r w:rsidRPr="006A6AFC">
        <w:t xml:space="preserve">, </w:t>
      </w:r>
      <w:proofErr w:type="spellStart"/>
      <w:r w:rsidRPr="006A6AFC">
        <w:t>either</w:t>
      </w:r>
      <w:proofErr w:type="spellEnd"/>
      <w:r w:rsidRPr="006A6AFC">
        <w:t xml:space="preserve"> </w:t>
      </w:r>
      <w:proofErr w:type="spellStart"/>
      <w:r w:rsidRPr="006A6AFC">
        <w:t>individually</w:t>
      </w:r>
      <w:proofErr w:type="spellEnd"/>
      <w:r w:rsidRPr="006A6AFC">
        <w:t xml:space="preserve"> or in </w:t>
      </w:r>
      <w:proofErr w:type="spellStart"/>
      <w:r w:rsidRPr="006A6AFC">
        <w:t>community</w:t>
      </w:r>
      <w:proofErr w:type="spellEnd"/>
      <w:r w:rsidRPr="006A6AFC">
        <w:t xml:space="preserve"> </w:t>
      </w:r>
      <w:proofErr w:type="spellStart"/>
      <w:r w:rsidRPr="006A6AFC">
        <w:t>with</w:t>
      </w:r>
      <w:proofErr w:type="spellEnd"/>
      <w:r w:rsidRPr="006A6AFC">
        <w:t xml:space="preserve"> </w:t>
      </w:r>
      <w:proofErr w:type="spellStart"/>
      <w:r w:rsidRPr="006A6AFC">
        <w:t>others</w:t>
      </w:r>
      <w:proofErr w:type="spellEnd"/>
      <w:r w:rsidRPr="006A6AFC">
        <w:t xml:space="preserve"> and in </w:t>
      </w:r>
      <w:proofErr w:type="spellStart"/>
      <w:r w:rsidRPr="006A6AFC">
        <w:t>public</w:t>
      </w:r>
      <w:proofErr w:type="spellEnd"/>
      <w:r w:rsidRPr="006A6AFC">
        <w:t xml:space="preserve"> or in private; and </w:t>
      </w:r>
      <w:proofErr w:type="spellStart"/>
      <w:r w:rsidRPr="006A6AFC">
        <w:t>freedom</w:t>
      </w:r>
      <w:proofErr w:type="spellEnd"/>
      <w:r w:rsidRPr="006A6AFC">
        <w:t xml:space="preserve"> to </w:t>
      </w:r>
      <w:proofErr w:type="spellStart"/>
      <w:r w:rsidRPr="006A6AFC">
        <w:t>ensure</w:t>
      </w:r>
      <w:proofErr w:type="spellEnd"/>
      <w:r w:rsidRPr="006A6AFC">
        <w:t xml:space="preserve"> </w:t>
      </w:r>
      <w:proofErr w:type="spellStart"/>
      <w:r w:rsidRPr="006A6AFC">
        <w:t>the</w:t>
      </w:r>
      <w:proofErr w:type="spellEnd"/>
      <w:r w:rsidRPr="006A6AFC">
        <w:t xml:space="preserve"> </w:t>
      </w:r>
      <w:proofErr w:type="spellStart"/>
      <w:r w:rsidRPr="006A6AFC">
        <w:t>religious</w:t>
      </w:r>
      <w:proofErr w:type="spellEnd"/>
      <w:r w:rsidRPr="006A6AFC">
        <w:t xml:space="preserve"> and moral </w:t>
      </w:r>
      <w:proofErr w:type="spellStart"/>
      <w:r w:rsidRPr="006A6AFC">
        <w:t>education</w:t>
      </w:r>
      <w:proofErr w:type="spellEnd"/>
      <w:r w:rsidRPr="006A6AFC">
        <w:t xml:space="preserve"> </w:t>
      </w:r>
      <w:proofErr w:type="spellStart"/>
      <w:r w:rsidRPr="006A6AFC">
        <w:t>of</w:t>
      </w:r>
      <w:proofErr w:type="spellEnd"/>
      <w:r w:rsidRPr="006A6AFC">
        <w:t xml:space="preserve"> </w:t>
      </w:r>
      <w:proofErr w:type="spellStart"/>
      <w:r w:rsidRPr="006A6AFC">
        <w:t>one’s</w:t>
      </w:r>
      <w:proofErr w:type="spellEnd"/>
      <w:r w:rsidRPr="006A6AFC">
        <w:t xml:space="preserve"> </w:t>
      </w:r>
      <w:proofErr w:type="spellStart"/>
      <w:r w:rsidRPr="006A6AFC">
        <w:t>children</w:t>
      </w:r>
      <w:proofErr w:type="spellEnd"/>
      <w:r w:rsidRPr="006A6AFC">
        <w:t xml:space="preserve"> in </w:t>
      </w:r>
      <w:proofErr w:type="spellStart"/>
      <w:r w:rsidRPr="006A6AFC">
        <w:t>conformity</w:t>
      </w:r>
      <w:proofErr w:type="spellEnd"/>
      <w:r w:rsidRPr="006A6AFC">
        <w:t xml:space="preserve"> </w:t>
      </w:r>
      <w:proofErr w:type="spellStart"/>
      <w:r w:rsidRPr="006A6AFC">
        <w:t>with</w:t>
      </w:r>
      <w:proofErr w:type="spellEnd"/>
      <w:r w:rsidRPr="006A6AFC">
        <w:t xml:space="preserve"> </w:t>
      </w:r>
      <w:proofErr w:type="spellStart"/>
      <w:r w:rsidRPr="006A6AFC">
        <w:t>one’s</w:t>
      </w:r>
      <w:proofErr w:type="spellEnd"/>
      <w:r w:rsidRPr="006A6AFC">
        <w:t xml:space="preserve"> </w:t>
      </w:r>
      <w:proofErr w:type="spellStart"/>
      <w:r w:rsidRPr="006A6AFC">
        <w:t>own</w:t>
      </w:r>
      <w:proofErr w:type="spellEnd"/>
      <w:r w:rsidRPr="006A6AFC">
        <w:t xml:space="preserve"> </w:t>
      </w:r>
      <w:proofErr w:type="spellStart"/>
      <w:r w:rsidRPr="006A6AFC">
        <w:t>convictions</w:t>
      </w:r>
      <w:proofErr w:type="spellEnd"/>
      <w:r w:rsidRPr="006A6AFC">
        <w:t xml:space="preserve">. The </w:t>
      </w:r>
      <w:proofErr w:type="spellStart"/>
      <w:r w:rsidRPr="006A6AFC">
        <w:t>convention</w:t>
      </w:r>
      <w:proofErr w:type="spellEnd"/>
      <w:r w:rsidRPr="006A6AFC">
        <w:t xml:space="preserve"> </w:t>
      </w:r>
      <w:proofErr w:type="spellStart"/>
      <w:r w:rsidRPr="006A6AFC">
        <w:t>also</w:t>
      </w:r>
      <w:proofErr w:type="spellEnd"/>
      <w:r w:rsidRPr="006A6AFC">
        <w:t xml:space="preserve"> </w:t>
      </w:r>
      <w:proofErr w:type="spellStart"/>
      <w:r w:rsidRPr="006A6AFC">
        <w:t>states</w:t>
      </w:r>
      <w:proofErr w:type="spellEnd"/>
      <w:r w:rsidRPr="006A6AFC">
        <w:t xml:space="preserve"> </w:t>
      </w:r>
      <w:proofErr w:type="spellStart"/>
      <w:r w:rsidRPr="006A6AFC">
        <w:t>th</w:t>
      </w:r>
      <w:r w:rsidRPr="006A6AFC">
        <w:t>at</w:t>
      </w:r>
      <w:proofErr w:type="spellEnd"/>
      <w:r w:rsidRPr="006A6AFC">
        <w:t xml:space="preserve"> all persons </w:t>
      </w:r>
      <w:proofErr w:type="spellStart"/>
      <w:r w:rsidRPr="006A6AFC">
        <w:t>are</w:t>
      </w:r>
      <w:proofErr w:type="spellEnd"/>
      <w:r w:rsidRPr="006A6AFC">
        <w:t xml:space="preserve"> </w:t>
      </w:r>
      <w:proofErr w:type="spellStart"/>
      <w:r w:rsidRPr="006A6AFC">
        <w:t>equal</w:t>
      </w:r>
      <w:proofErr w:type="spellEnd"/>
      <w:r w:rsidRPr="006A6AFC">
        <w:t xml:space="preserve"> </w:t>
      </w:r>
      <w:proofErr w:type="spellStart"/>
      <w:r w:rsidRPr="006A6AFC">
        <w:t>before</w:t>
      </w:r>
      <w:proofErr w:type="spellEnd"/>
      <w:r w:rsidRPr="006A6AFC">
        <w:t xml:space="preserve"> </w:t>
      </w:r>
      <w:proofErr w:type="spellStart"/>
      <w:r w:rsidRPr="006A6AFC">
        <w:t>the</w:t>
      </w:r>
      <w:proofErr w:type="spellEnd"/>
      <w:r w:rsidRPr="006A6AFC">
        <w:t xml:space="preserve"> </w:t>
      </w:r>
      <w:proofErr w:type="spellStart"/>
      <w:r w:rsidRPr="006A6AFC">
        <w:t>law</w:t>
      </w:r>
      <w:proofErr w:type="spellEnd"/>
      <w:r w:rsidRPr="006A6AFC">
        <w:t xml:space="preserve"> and </w:t>
      </w:r>
      <w:proofErr w:type="spellStart"/>
      <w:r w:rsidRPr="006A6AFC">
        <w:t>may</w:t>
      </w:r>
      <w:proofErr w:type="spellEnd"/>
      <w:r w:rsidRPr="006A6AFC">
        <w:t xml:space="preserve"> not be </w:t>
      </w:r>
      <w:proofErr w:type="spellStart"/>
      <w:r w:rsidRPr="006A6AFC">
        <w:t>discriminated</w:t>
      </w:r>
      <w:proofErr w:type="spellEnd"/>
      <w:r w:rsidRPr="006A6AFC">
        <w:t xml:space="preserve"> </w:t>
      </w:r>
      <w:proofErr w:type="spellStart"/>
      <w:r w:rsidRPr="006A6AFC">
        <w:t>against</w:t>
      </w:r>
      <w:proofErr w:type="spellEnd"/>
      <w:r w:rsidRPr="006A6AFC">
        <w:t xml:space="preserve"> </w:t>
      </w:r>
      <w:proofErr w:type="spellStart"/>
      <w:r w:rsidRPr="006A6AFC">
        <w:t>on</w:t>
      </w:r>
      <w:proofErr w:type="spellEnd"/>
      <w:r w:rsidRPr="006A6AFC">
        <w:t xml:space="preserve"> </w:t>
      </w:r>
      <w:proofErr w:type="spellStart"/>
      <w:r w:rsidRPr="006A6AFC">
        <w:t>the</w:t>
      </w:r>
      <w:proofErr w:type="spellEnd"/>
      <w:r w:rsidRPr="006A6AFC">
        <w:t xml:space="preserve"> </w:t>
      </w:r>
      <w:proofErr w:type="spellStart"/>
      <w:r w:rsidRPr="006A6AFC">
        <w:t>grounds</w:t>
      </w:r>
      <w:proofErr w:type="spellEnd"/>
      <w:r w:rsidRPr="006A6AFC">
        <w:t xml:space="preserve"> </w:t>
      </w:r>
      <w:proofErr w:type="spellStart"/>
      <w:r w:rsidRPr="006A6AFC">
        <w:t>of</w:t>
      </w:r>
      <w:proofErr w:type="spellEnd"/>
      <w:r w:rsidRPr="006A6AFC">
        <w:t xml:space="preserve"> religion or </w:t>
      </w:r>
      <w:proofErr w:type="spellStart"/>
      <w:r w:rsidRPr="006A6AFC">
        <w:t>other</w:t>
      </w:r>
      <w:proofErr w:type="spellEnd"/>
      <w:r w:rsidRPr="006A6AFC">
        <w:t xml:space="preserve"> status (</w:t>
      </w:r>
      <w:proofErr w:type="spellStart"/>
      <w:r w:rsidRPr="006A6AFC">
        <w:t>Article</w:t>
      </w:r>
      <w:proofErr w:type="spellEnd"/>
      <w:r w:rsidRPr="006A6AFC">
        <w:t xml:space="preserve"> 26). </w:t>
      </w:r>
      <w:proofErr w:type="spellStart"/>
      <w:r w:rsidRPr="006A6AFC">
        <w:t>Article</w:t>
      </w:r>
      <w:proofErr w:type="spellEnd"/>
      <w:r w:rsidRPr="006A6AFC">
        <w:t xml:space="preserve"> 27 </w:t>
      </w:r>
      <w:proofErr w:type="spellStart"/>
      <w:r w:rsidRPr="006A6AFC">
        <w:t>specifically</w:t>
      </w:r>
      <w:proofErr w:type="spellEnd"/>
      <w:r w:rsidRPr="006A6AFC">
        <w:t xml:space="preserve"> </w:t>
      </w:r>
      <w:proofErr w:type="spellStart"/>
      <w:r w:rsidRPr="006A6AFC">
        <w:t>deals</w:t>
      </w:r>
      <w:proofErr w:type="spellEnd"/>
      <w:r w:rsidRPr="006A6AFC">
        <w:t xml:space="preserve"> </w:t>
      </w:r>
      <w:proofErr w:type="spellStart"/>
      <w:r w:rsidRPr="006A6AFC">
        <w:t>with</w:t>
      </w:r>
      <w:proofErr w:type="spellEnd"/>
      <w:r w:rsidRPr="006A6AFC">
        <w:t xml:space="preserve"> </w:t>
      </w:r>
      <w:proofErr w:type="spellStart"/>
      <w:r w:rsidRPr="006A6AFC">
        <w:t>the</w:t>
      </w:r>
      <w:proofErr w:type="spellEnd"/>
      <w:r w:rsidRPr="006A6AFC">
        <w:t xml:space="preserve"> </w:t>
      </w:r>
      <w:proofErr w:type="spellStart"/>
      <w:r w:rsidRPr="006A6AFC">
        <w:t>protection</w:t>
      </w:r>
      <w:proofErr w:type="spellEnd"/>
      <w:r w:rsidRPr="006A6AFC">
        <w:t xml:space="preserve"> </w:t>
      </w:r>
      <w:proofErr w:type="spellStart"/>
      <w:r w:rsidRPr="006A6AFC">
        <w:t>of</w:t>
      </w:r>
      <w:proofErr w:type="spellEnd"/>
      <w:r w:rsidRPr="006A6AFC">
        <w:t xml:space="preserve"> </w:t>
      </w:r>
      <w:proofErr w:type="spellStart"/>
      <w:r w:rsidRPr="006A6AFC">
        <w:t>religious</w:t>
      </w:r>
      <w:proofErr w:type="spellEnd"/>
      <w:r w:rsidRPr="006A6AFC">
        <w:t xml:space="preserve">, </w:t>
      </w:r>
      <w:proofErr w:type="spellStart"/>
      <w:r w:rsidRPr="006A6AFC">
        <w:t>ethnic</w:t>
      </w:r>
      <w:proofErr w:type="spellEnd"/>
      <w:r w:rsidRPr="006A6AFC">
        <w:t xml:space="preserve">, and </w:t>
      </w:r>
      <w:proofErr w:type="spellStart"/>
      <w:r w:rsidRPr="006A6AFC">
        <w:t>linguistic</w:t>
      </w:r>
      <w:proofErr w:type="spellEnd"/>
      <w:r w:rsidRPr="006A6AFC">
        <w:t xml:space="preserve"> </w:t>
      </w:r>
      <w:proofErr w:type="spellStart"/>
      <w:r w:rsidRPr="006A6AFC">
        <w:t>minorities</w:t>
      </w:r>
      <w:proofErr w:type="spellEnd"/>
      <w:r w:rsidRPr="006A6AFC">
        <w:t>.</w:t>
      </w:r>
    </w:p>
    <w:p w14:paraId="24229D8A" w14:textId="77777777" w:rsidR="00000000" w:rsidRPr="006A6AFC" w:rsidRDefault="00691445" w:rsidP="006A6AFC">
      <w:pPr>
        <w:rPr>
          <w:rStyle w:val="Hyperkobling"/>
        </w:rPr>
      </w:pPr>
      <w:hyperlink r:id="rId45" w:history="1">
        <w:r w:rsidRPr="006A6AFC">
          <w:rPr>
            <w:rStyle w:val="Hyperkobling"/>
          </w:rPr>
          <w:t xml:space="preserve">International </w:t>
        </w:r>
        <w:proofErr w:type="spellStart"/>
        <w:r w:rsidRPr="006A6AFC">
          <w:rPr>
            <w:rStyle w:val="Hyperkobling"/>
          </w:rPr>
          <w:t>Covenant</w:t>
        </w:r>
        <w:proofErr w:type="spellEnd"/>
        <w:r w:rsidRPr="006A6AFC">
          <w:rPr>
            <w:rStyle w:val="Hyperkobling"/>
          </w:rPr>
          <w:t xml:space="preserve"> </w:t>
        </w:r>
        <w:proofErr w:type="spellStart"/>
        <w:r w:rsidRPr="006A6AFC">
          <w:rPr>
            <w:rStyle w:val="Hyperkobling"/>
          </w:rPr>
          <w:t>on</w:t>
        </w:r>
        <w:proofErr w:type="spellEnd"/>
        <w:r w:rsidRPr="006A6AFC">
          <w:rPr>
            <w:rStyle w:val="Hyperkobling"/>
          </w:rPr>
          <w:t xml:space="preserve"> </w:t>
        </w:r>
        <w:proofErr w:type="spellStart"/>
        <w:r w:rsidRPr="006A6AFC">
          <w:rPr>
            <w:rStyle w:val="Hyperkobling"/>
          </w:rPr>
          <w:t>Civil</w:t>
        </w:r>
        <w:proofErr w:type="spellEnd"/>
        <w:r w:rsidRPr="006A6AFC">
          <w:rPr>
            <w:rStyle w:val="Hyperkobling"/>
          </w:rPr>
          <w:t xml:space="preserve"> and </w:t>
        </w:r>
        <w:proofErr w:type="spellStart"/>
        <w:r w:rsidRPr="006A6AFC">
          <w:rPr>
            <w:rStyle w:val="Hyperkobling"/>
          </w:rPr>
          <w:t>Political</w:t>
        </w:r>
        <w:proofErr w:type="spellEnd"/>
        <w:r w:rsidRPr="006A6AFC">
          <w:rPr>
            <w:rStyle w:val="Hyperkobling"/>
          </w:rPr>
          <w:t xml:space="preserve"> Rights | OHCHR</w:t>
        </w:r>
      </w:hyperlink>
    </w:p>
    <w:p w14:paraId="5F02776B" w14:textId="77777777" w:rsidR="00000000" w:rsidRPr="006A6AFC" w:rsidRDefault="00691445" w:rsidP="006A6AFC">
      <w:r w:rsidRPr="006A6AFC">
        <w:rPr>
          <w:rStyle w:val="halvfet"/>
        </w:rPr>
        <w:t xml:space="preserve">The International </w:t>
      </w:r>
      <w:proofErr w:type="spellStart"/>
      <w:r w:rsidRPr="006A6AFC">
        <w:rPr>
          <w:rStyle w:val="halvfet"/>
        </w:rPr>
        <w:t>Covenant</w:t>
      </w:r>
      <w:proofErr w:type="spellEnd"/>
      <w:r w:rsidRPr="006A6AFC">
        <w:rPr>
          <w:rStyle w:val="halvfet"/>
        </w:rPr>
        <w:t xml:space="preserve"> </w:t>
      </w:r>
      <w:proofErr w:type="spellStart"/>
      <w:r w:rsidRPr="006A6AFC">
        <w:rPr>
          <w:rStyle w:val="halvfet"/>
        </w:rPr>
        <w:t>on</w:t>
      </w:r>
      <w:proofErr w:type="spellEnd"/>
      <w:r w:rsidRPr="006A6AFC">
        <w:rPr>
          <w:rStyle w:val="halvfet"/>
        </w:rPr>
        <w:t xml:space="preserve"> </w:t>
      </w:r>
      <w:proofErr w:type="spellStart"/>
      <w:r w:rsidRPr="006A6AFC">
        <w:rPr>
          <w:rStyle w:val="halvfet"/>
        </w:rPr>
        <w:t>Economic</w:t>
      </w:r>
      <w:proofErr w:type="spellEnd"/>
      <w:r w:rsidRPr="006A6AFC">
        <w:rPr>
          <w:rStyle w:val="halvfet"/>
        </w:rPr>
        <w:t xml:space="preserve">, </w:t>
      </w:r>
      <w:proofErr w:type="spellStart"/>
      <w:r w:rsidRPr="006A6AFC">
        <w:rPr>
          <w:rStyle w:val="halvfet"/>
        </w:rPr>
        <w:t>Social</w:t>
      </w:r>
      <w:proofErr w:type="spellEnd"/>
      <w:r w:rsidRPr="006A6AFC">
        <w:rPr>
          <w:rStyle w:val="halvfet"/>
        </w:rPr>
        <w:t xml:space="preserve"> and Cultural Rights</w:t>
      </w:r>
      <w:r w:rsidRPr="006A6AFC">
        <w:t xml:space="preserve"> </w:t>
      </w:r>
      <w:proofErr w:type="spellStart"/>
      <w:r w:rsidRPr="006A6AFC">
        <w:t>of</w:t>
      </w:r>
      <w:proofErr w:type="spellEnd"/>
      <w:r w:rsidRPr="006A6AFC">
        <w:t xml:space="preserve"> 1966 </w:t>
      </w:r>
      <w:proofErr w:type="spellStart"/>
      <w:r w:rsidRPr="006A6AFC">
        <w:t>states</w:t>
      </w:r>
      <w:proofErr w:type="spellEnd"/>
      <w:r w:rsidRPr="006A6AFC">
        <w:t xml:space="preserve"> </w:t>
      </w:r>
      <w:proofErr w:type="spellStart"/>
      <w:r w:rsidRPr="006A6AFC">
        <w:t>that</w:t>
      </w:r>
      <w:proofErr w:type="spellEnd"/>
      <w:r w:rsidRPr="006A6AFC">
        <w:t xml:space="preserve"> </w:t>
      </w:r>
      <w:proofErr w:type="spellStart"/>
      <w:r w:rsidRPr="006A6AFC">
        <w:t>the</w:t>
      </w:r>
      <w:proofErr w:type="spellEnd"/>
      <w:r w:rsidRPr="006A6AFC">
        <w:t xml:space="preserve"> </w:t>
      </w:r>
      <w:proofErr w:type="spellStart"/>
      <w:r w:rsidRPr="006A6AFC">
        <w:t>ri</w:t>
      </w:r>
      <w:r w:rsidRPr="006A6AFC">
        <w:t>ghts</w:t>
      </w:r>
      <w:proofErr w:type="spellEnd"/>
      <w:r w:rsidRPr="006A6AFC">
        <w:t xml:space="preserve"> </w:t>
      </w:r>
      <w:proofErr w:type="spellStart"/>
      <w:r w:rsidRPr="006A6AFC">
        <w:t>recognized</w:t>
      </w:r>
      <w:proofErr w:type="spellEnd"/>
      <w:r w:rsidRPr="006A6AFC">
        <w:t xml:space="preserve"> in </w:t>
      </w:r>
      <w:proofErr w:type="spellStart"/>
      <w:r w:rsidRPr="006A6AFC">
        <w:t>the</w:t>
      </w:r>
      <w:proofErr w:type="spellEnd"/>
      <w:r w:rsidRPr="006A6AFC">
        <w:t xml:space="preserve"> </w:t>
      </w:r>
      <w:proofErr w:type="spellStart"/>
      <w:r w:rsidRPr="006A6AFC">
        <w:t>convention</w:t>
      </w:r>
      <w:proofErr w:type="spellEnd"/>
      <w:r w:rsidRPr="006A6AFC">
        <w:t xml:space="preserve"> (to </w:t>
      </w:r>
      <w:proofErr w:type="spellStart"/>
      <w:r w:rsidRPr="006A6AFC">
        <w:t>work</w:t>
      </w:r>
      <w:proofErr w:type="spellEnd"/>
      <w:r w:rsidRPr="006A6AFC">
        <w:t xml:space="preserve">, an </w:t>
      </w:r>
      <w:proofErr w:type="spellStart"/>
      <w:r w:rsidRPr="006A6AFC">
        <w:t>adequate</w:t>
      </w:r>
      <w:proofErr w:type="spellEnd"/>
      <w:r w:rsidRPr="006A6AFC">
        <w:t xml:space="preserve"> standard </w:t>
      </w:r>
      <w:proofErr w:type="spellStart"/>
      <w:r w:rsidRPr="006A6AFC">
        <w:t>of</w:t>
      </w:r>
      <w:proofErr w:type="spellEnd"/>
      <w:r w:rsidRPr="006A6AFC">
        <w:t xml:space="preserve"> </w:t>
      </w:r>
      <w:proofErr w:type="spellStart"/>
      <w:r w:rsidRPr="006A6AFC">
        <w:t>living</w:t>
      </w:r>
      <w:proofErr w:type="spellEnd"/>
      <w:r w:rsidRPr="006A6AFC">
        <w:t xml:space="preserve">, </w:t>
      </w:r>
      <w:proofErr w:type="spellStart"/>
      <w:r w:rsidRPr="006A6AFC">
        <w:t>food</w:t>
      </w:r>
      <w:proofErr w:type="spellEnd"/>
      <w:r w:rsidRPr="006A6AFC">
        <w:t xml:space="preserve">, </w:t>
      </w:r>
      <w:proofErr w:type="spellStart"/>
      <w:r w:rsidRPr="006A6AFC">
        <w:t>clothing</w:t>
      </w:r>
      <w:proofErr w:type="spellEnd"/>
      <w:r w:rsidRPr="006A6AFC">
        <w:t xml:space="preserve">, </w:t>
      </w:r>
      <w:proofErr w:type="spellStart"/>
      <w:r w:rsidRPr="006A6AFC">
        <w:t>housing</w:t>
      </w:r>
      <w:proofErr w:type="spellEnd"/>
      <w:r w:rsidRPr="006A6AFC">
        <w:t xml:space="preserve">, and </w:t>
      </w:r>
      <w:proofErr w:type="spellStart"/>
      <w:r w:rsidRPr="006A6AFC">
        <w:t>the</w:t>
      </w:r>
      <w:proofErr w:type="spellEnd"/>
      <w:r w:rsidRPr="006A6AFC">
        <w:t xml:space="preserve"> </w:t>
      </w:r>
      <w:proofErr w:type="spellStart"/>
      <w:r w:rsidRPr="006A6AFC">
        <w:t>highest</w:t>
      </w:r>
      <w:proofErr w:type="spellEnd"/>
      <w:r w:rsidRPr="006A6AFC">
        <w:t xml:space="preserve"> </w:t>
      </w:r>
      <w:proofErr w:type="spellStart"/>
      <w:r w:rsidRPr="006A6AFC">
        <w:t>attainable</w:t>
      </w:r>
      <w:proofErr w:type="spellEnd"/>
      <w:r w:rsidRPr="006A6AFC">
        <w:t xml:space="preserve"> standard </w:t>
      </w:r>
      <w:proofErr w:type="spellStart"/>
      <w:r w:rsidRPr="006A6AFC">
        <w:t>of</w:t>
      </w:r>
      <w:proofErr w:type="spellEnd"/>
      <w:r w:rsidRPr="006A6AFC">
        <w:t xml:space="preserve"> </w:t>
      </w:r>
      <w:proofErr w:type="spellStart"/>
      <w:r w:rsidRPr="006A6AFC">
        <w:t>health</w:t>
      </w:r>
      <w:proofErr w:type="spellEnd"/>
      <w:r w:rsidRPr="006A6AFC">
        <w:t xml:space="preserve">) </w:t>
      </w:r>
      <w:proofErr w:type="spellStart"/>
      <w:r w:rsidRPr="006A6AFC">
        <w:t>apply</w:t>
      </w:r>
      <w:proofErr w:type="spellEnd"/>
      <w:r w:rsidRPr="006A6AFC">
        <w:t xml:space="preserve"> </w:t>
      </w:r>
      <w:proofErr w:type="spellStart"/>
      <w:r w:rsidRPr="006A6AFC">
        <w:t>regardless</w:t>
      </w:r>
      <w:proofErr w:type="spellEnd"/>
      <w:r w:rsidRPr="006A6AFC">
        <w:t xml:space="preserve"> </w:t>
      </w:r>
      <w:proofErr w:type="spellStart"/>
      <w:r w:rsidRPr="006A6AFC">
        <w:t>of</w:t>
      </w:r>
      <w:proofErr w:type="spellEnd"/>
      <w:r w:rsidRPr="006A6AFC">
        <w:t xml:space="preserve"> a </w:t>
      </w:r>
      <w:proofErr w:type="spellStart"/>
      <w:r w:rsidRPr="006A6AFC">
        <w:t>person’s</w:t>
      </w:r>
      <w:proofErr w:type="spellEnd"/>
      <w:r w:rsidRPr="006A6AFC">
        <w:t xml:space="preserve"> religion (</w:t>
      </w:r>
      <w:proofErr w:type="spellStart"/>
      <w:r w:rsidRPr="006A6AFC">
        <w:t>Article</w:t>
      </w:r>
      <w:proofErr w:type="spellEnd"/>
      <w:r w:rsidRPr="006A6AFC">
        <w:t xml:space="preserve"> 2). </w:t>
      </w:r>
      <w:proofErr w:type="spellStart"/>
      <w:r w:rsidRPr="006A6AFC">
        <w:t>Article</w:t>
      </w:r>
      <w:proofErr w:type="spellEnd"/>
      <w:r w:rsidRPr="006A6AFC">
        <w:t xml:space="preserve"> 13 </w:t>
      </w:r>
      <w:proofErr w:type="spellStart"/>
      <w:r w:rsidRPr="006A6AFC">
        <w:t>recognizes</w:t>
      </w:r>
      <w:proofErr w:type="spellEnd"/>
      <w:r w:rsidRPr="006A6AFC">
        <w:t xml:space="preserve"> </w:t>
      </w:r>
      <w:proofErr w:type="spellStart"/>
      <w:r w:rsidRPr="006A6AFC">
        <w:t>the</w:t>
      </w:r>
      <w:proofErr w:type="spellEnd"/>
      <w:r w:rsidRPr="006A6AFC">
        <w:t xml:space="preserve"> right to </w:t>
      </w:r>
      <w:proofErr w:type="spellStart"/>
      <w:r w:rsidRPr="006A6AFC">
        <w:t>education</w:t>
      </w:r>
      <w:proofErr w:type="spellEnd"/>
      <w:r w:rsidRPr="006A6AFC">
        <w:t xml:space="preserve">, </w:t>
      </w:r>
      <w:proofErr w:type="spellStart"/>
      <w:r w:rsidRPr="006A6AFC">
        <w:t>which</w:t>
      </w:r>
      <w:proofErr w:type="spellEnd"/>
      <w:r w:rsidRPr="006A6AFC">
        <w:t xml:space="preserve"> </w:t>
      </w:r>
      <w:proofErr w:type="spellStart"/>
      <w:r w:rsidRPr="006A6AFC">
        <w:t>sho</w:t>
      </w:r>
      <w:r w:rsidRPr="006A6AFC">
        <w:t>uld</w:t>
      </w:r>
      <w:proofErr w:type="spellEnd"/>
      <w:r w:rsidRPr="006A6AFC">
        <w:t xml:space="preserve"> </w:t>
      </w:r>
      <w:proofErr w:type="spellStart"/>
      <w:r w:rsidRPr="006A6AFC">
        <w:t>promote</w:t>
      </w:r>
      <w:proofErr w:type="spellEnd"/>
      <w:r w:rsidRPr="006A6AFC">
        <w:t xml:space="preserve"> </w:t>
      </w:r>
      <w:proofErr w:type="spellStart"/>
      <w:r w:rsidRPr="006A6AFC">
        <w:t>understanding</w:t>
      </w:r>
      <w:proofErr w:type="spellEnd"/>
      <w:r w:rsidRPr="006A6AFC">
        <w:t xml:space="preserve">, </w:t>
      </w:r>
      <w:proofErr w:type="spellStart"/>
      <w:r w:rsidRPr="006A6AFC">
        <w:t>tolerance</w:t>
      </w:r>
      <w:proofErr w:type="spellEnd"/>
      <w:r w:rsidRPr="006A6AFC">
        <w:t xml:space="preserve">, and </w:t>
      </w:r>
      <w:proofErr w:type="spellStart"/>
      <w:r w:rsidRPr="006A6AFC">
        <w:t>friendship</w:t>
      </w:r>
      <w:proofErr w:type="spellEnd"/>
      <w:r w:rsidRPr="006A6AFC">
        <w:t xml:space="preserve"> </w:t>
      </w:r>
      <w:proofErr w:type="spellStart"/>
      <w:r w:rsidRPr="006A6AFC">
        <w:t>between</w:t>
      </w:r>
      <w:proofErr w:type="spellEnd"/>
      <w:r w:rsidRPr="006A6AFC">
        <w:t xml:space="preserve"> all </w:t>
      </w:r>
      <w:proofErr w:type="spellStart"/>
      <w:r w:rsidRPr="006A6AFC">
        <w:t>racial</w:t>
      </w:r>
      <w:proofErr w:type="spellEnd"/>
      <w:r w:rsidRPr="006A6AFC">
        <w:t xml:space="preserve">, </w:t>
      </w:r>
      <w:proofErr w:type="spellStart"/>
      <w:r w:rsidRPr="006A6AFC">
        <w:t>ethnic</w:t>
      </w:r>
      <w:proofErr w:type="spellEnd"/>
      <w:r w:rsidRPr="006A6AFC">
        <w:t xml:space="preserve">, or </w:t>
      </w:r>
      <w:proofErr w:type="spellStart"/>
      <w:r w:rsidRPr="006A6AFC">
        <w:t>religious</w:t>
      </w:r>
      <w:proofErr w:type="spellEnd"/>
      <w:r w:rsidRPr="006A6AFC">
        <w:t xml:space="preserve"> </w:t>
      </w:r>
      <w:proofErr w:type="spellStart"/>
      <w:r w:rsidRPr="006A6AFC">
        <w:t>groups</w:t>
      </w:r>
      <w:proofErr w:type="spellEnd"/>
      <w:r w:rsidRPr="006A6AFC">
        <w:t>.</w:t>
      </w:r>
    </w:p>
    <w:p w14:paraId="7CAC3E3A" w14:textId="77777777" w:rsidR="00000000" w:rsidRPr="006A6AFC" w:rsidRDefault="00691445" w:rsidP="006A6AFC">
      <w:pPr>
        <w:rPr>
          <w:rStyle w:val="Hyperkobling"/>
        </w:rPr>
      </w:pPr>
      <w:hyperlink r:id="rId46" w:history="1">
        <w:r w:rsidRPr="006A6AFC">
          <w:rPr>
            <w:rStyle w:val="Hyperkobling"/>
          </w:rPr>
          <w:t xml:space="preserve">International </w:t>
        </w:r>
        <w:proofErr w:type="spellStart"/>
        <w:r w:rsidRPr="006A6AFC">
          <w:rPr>
            <w:rStyle w:val="Hyperkobling"/>
          </w:rPr>
          <w:t>Covenant</w:t>
        </w:r>
        <w:proofErr w:type="spellEnd"/>
        <w:r w:rsidRPr="006A6AFC">
          <w:rPr>
            <w:rStyle w:val="Hyperkobling"/>
          </w:rPr>
          <w:t xml:space="preserve"> </w:t>
        </w:r>
        <w:proofErr w:type="spellStart"/>
        <w:r w:rsidRPr="006A6AFC">
          <w:rPr>
            <w:rStyle w:val="Hyperkobling"/>
          </w:rPr>
          <w:t>on</w:t>
        </w:r>
        <w:proofErr w:type="spellEnd"/>
        <w:r w:rsidRPr="006A6AFC">
          <w:rPr>
            <w:rStyle w:val="Hyperkobling"/>
          </w:rPr>
          <w:t xml:space="preserve"> </w:t>
        </w:r>
        <w:proofErr w:type="spellStart"/>
        <w:r w:rsidRPr="006A6AFC">
          <w:rPr>
            <w:rStyle w:val="Hyperkobling"/>
          </w:rPr>
          <w:t>Economic</w:t>
        </w:r>
        <w:proofErr w:type="spellEnd"/>
        <w:r w:rsidRPr="006A6AFC">
          <w:rPr>
            <w:rStyle w:val="Hyperkobling"/>
          </w:rPr>
          <w:t xml:space="preserve">, </w:t>
        </w:r>
        <w:proofErr w:type="spellStart"/>
        <w:r w:rsidRPr="006A6AFC">
          <w:rPr>
            <w:rStyle w:val="Hyperkobling"/>
          </w:rPr>
          <w:t>Social</w:t>
        </w:r>
        <w:proofErr w:type="spellEnd"/>
        <w:r w:rsidRPr="006A6AFC">
          <w:rPr>
            <w:rStyle w:val="Hyperkobling"/>
          </w:rPr>
          <w:t xml:space="preserve"> and Cultural Rights | OHCHR</w:t>
        </w:r>
      </w:hyperlink>
    </w:p>
    <w:p w14:paraId="76DC28A9" w14:textId="77777777" w:rsidR="00000000" w:rsidRPr="006A6AFC" w:rsidRDefault="00691445" w:rsidP="006A6AFC">
      <w:r w:rsidRPr="006A6AFC">
        <w:rPr>
          <w:rStyle w:val="halvfet"/>
        </w:rPr>
        <w:t xml:space="preserve">The Convention </w:t>
      </w:r>
      <w:proofErr w:type="spellStart"/>
      <w:r w:rsidRPr="006A6AFC">
        <w:rPr>
          <w:rStyle w:val="halvfet"/>
        </w:rPr>
        <w:t>on</w:t>
      </w:r>
      <w:proofErr w:type="spellEnd"/>
      <w:r w:rsidRPr="006A6AFC">
        <w:rPr>
          <w:rStyle w:val="halvfet"/>
        </w:rPr>
        <w:t xml:space="preserve"> </w:t>
      </w:r>
      <w:proofErr w:type="spellStart"/>
      <w:r w:rsidRPr="006A6AFC">
        <w:rPr>
          <w:rStyle w:val="halvfet"/>
        </w:rPr>
        <w:t>the</w:t>
      </w:r>
      <w:proofErr w:type="spellEnd"/>
      <w:r w:rsidRPr="006A6AFC">
        <w:rPr>
          <w:rStyle w:val="halvfet"/>
        </w:rPr>
        <w:t xml:space="preserve"> Rights </w:t>
      </w:r>
      <w:proofErr w:type="spellStart"/>
      <w:r w:rsidRPr="006A6AFC">
        <w:rPr>
          <w:rStyle w:val="halvfet"/>
        </w:rPr>
        <w:t>of</w:t>
      </w:r>
      <w:proofErr w:type="spellEnd"/>
      <w:r w:rsidRPr="006A6AFC">
        <w:rPr>
          <w:rStyle w:val="halvfet"/>
        </w:rPr>
        <w:t xml:space="preserve"> </w:t>
      </w:r>
      <w:proofErr w:type="spellStart"/>
      <w:r w:rsidRPr="006A6AFC">
        <w:rPr>
          <w:rStyle w:val="halvfet"/>
        </w:rPr>
        <w:t>the</w:t>
      </w:r>
      <w:proofErr w:type="spellEnd"/>
      <w:r w:rsidRPr="006A6AFC">
        <w:rPr>
          <w:rStyle w:val="halvfet"/>
        </w:rPr>
        <w:t xml:space="preserve"> Child</w:t>
      </w:r>
      <w:r w:rsidRPr="006A6AFC">
        <w:t xml:space="preserve"> </w:t>
      </w:r>
      <w:proofErr w:type="spellStart"/>
      <w:r w:rsidRPr="006A6AFC">
        <w:t>of</w:t>
      </w:r>
      <w:proofErr w:type="spellEnd"/>
      <w:r w:rsidRPr="006A6AFC">
        <w:t xml:space="preserve"> 1989 </w:t>
      </w:r>
      <w:proofErr w:type="spellStart"/>
      <w:r w:rsidRPr="006A6AFC">
        <w:t>enjoys</w:t>
      </w:r>
      <w:proofErr w:type="spellEnd"/>
      <w:r w:rsidRPr="006A6AFC">
        <w:t xml:space="preserve"> more support </w:t>
      </w:r>
      <w:proofErr w:type="spellStart"/>
      <w:r w:rsidRPr="006A6AFC">
        <w:t>than</w:t>
      </w:r>
      <w:proofErr w:type="spellEnd"/>
      <w:r w:rsidRPr="006A6AFC">
        <w:t xml:space="preserve"> </w:t>
      </w:r>
      <w:proofErr w:type="spellStart"/>
      <w:r w:rsidRPr="006A6AFC">
        <w:t>any</w:t>
      </w:r>
      <w:proofErr w:type="spellEnd"/>
      <w:r w:rsidRPr="006A6AFC">
        <w:t xml:space="preserve"> </w:t>
      </w:r>
      <w:proofErr w:type="spellStart"/>
      <w:r w:rsidRPr="006A6AFC">
        <w:t>other</w:t>
      </w:r>
      <w:proofErr w:type="spellEnd"/>
      <w:r w:rsidRPr="006A6AFC">
        <w:t xml:space="preserve"> human </w:t>
      </w:r>
      <w:proofErr w:type="spellStart"/>
      <w:r w:rsidRPr="006A6AFC">
        <w:t>rights</w:t>
      </w:r>
      <w:proofErr w:type="spellEnd"/>
      <w:r w:rsidRPr="006A6AFC">
        <w:t xml:space="preserve"> </w:t>
      </w:r>
      <w:proofErr w:type="spellStart"/>
      <w:r w:rsidRPr="006A6AFC">
        <w:t>convention</w:t>
      </w:r>
      <w:proofErr w:type="spellEnd"/>
      <w:r w:rsidRPr="006A6AFC">
        <w:t xml:space="preserve">, </w:t>
      </w:r>
      <w:proofErr w:type="spellStart"/>
      <w:r w:rsidRPr="006A6AFC">
        <w:t>but</w:t>
      </w:r>
      <w:proofErr w:type="spellEnd"/>
      <w:r w:rsidRPr="006A6AFC">
        <w:t xml:space="preserve"> </w:t>
      </w:r>
      <w:proofErr w:type="spellStart"/>
      <w:r w:rsidRPr="006A6AFC">
        <w:t>its</w:t>
      </w:r>
      <w:proofErr w:type="spellEnd"/>
      <w:r w:rsidRPr="006A6AFC">
        <w:t xml:space="preserve"> </w:t>
      </w:r>
      <w:proofErr w:type="spellStart"/>
      <w:r w:rsidRPr="006A6AFC">
        <w:t>provisions</w:t>
      </w:r>
      <w:proofErr w:type="spellEnd"/>
      <w:r w:rsidRPr="006A6AFC">
        <w:t xml:space="preserve"> </w:t>
      </w:r>
      <w:proofErr w:type="spellStart"/>
      <w:r w:rsidRPr="006A6AFC">
        <w:t>are</w:t>
      </w:r>
      <w:proofErr w:type="spellEnd"/>
      <w:r w:rsidRPr="006A6AFC">
        <w:t xml:space="preserve"> </w:t>
      </w:r>
      <w:proofErr w:type="spellStart"/>
      <w:r w:rsidRPr="006A6AFC">
        <w:t>typically</w:t>
      </w:r>
      <w:proofErr w:type="spellEnd"/>
      <w:r w:rsidRPr="006A6AFC">
        <w:t xml:space="preserve"> </w:t>
      </w:r>
      <w:proofErr w:type="spellStart"/>
      <w:r w:rsidRPr="006A6AFC">
        <w:t>vaguer</w:t>
      </w:r>
      <w:proofErr w:type="spellEnd"/>
      <w:r w:rsidRPr="006A6AFC">
        <w:t xml:space="preserve">, and </w:t>
      </w:r>
      <w:proofErr w:type="spellStart"/>
      <w:r w:rsidRPr="006A6AFC">
        <w:t>its</w:t>
      </w:r>
      <w:proofErr w:type="spellEnd"/>
      <w:r w:rsidRPr="006A6AFC">
        <w:t xml:space="preserve"> </w:t>
      </w:r>
      <w:proofErr w:type="spellStart"/>
      <w:r w:rsidRPr="006A6AFC">
        <w:t>application</w:t>
      </w:r>
      <w:proofErr w:type="spellEnd"/>
      <w:r w:rsidRPr="006A6AFC">
        <w:t xml:space="preserve"> is </w:t>
      </w:r>
      <w:proofErr w:type="spellStart"/>
      <w:r w:rsidRPr="006A6AFC">
        <w:t>limited</w:t>
      </w:r>
      <w:proofErr w:type="spellEnd"/>
      <w:r w:rsidRPr="006A6AFC">
        <w:t xml:space="preserve"> by </w:t>
      </w:r>
      <w:proofErr w:type="spellStart"/>
      <w:r w:rsidRPr="006A6AFC">
        <w:t>reservations</w:t>
      </w:r>
      <w:proofErr w:type="spellEnd"/>
      <w:r w:rsidRPr="006A6AFC">
        <w:t xml:space="preserve"> </w:t>
      </w:r>
      <w:proofErr w:type="spellStart"/>
      <w:r w:rsidRPr="006A6AFC">
        <w:t>made</w:t>
      </w:r>
      <w:proofErr w:type="spellEnd"/>
      <w:r w:rsidRPr="006A6AFC">
        <w:t xml:space="preserve"> by</w:t>
      </w:r>
      <w:r w:rsidRPr="006A6AFC">
        <w:t xml:space="preserve"> </w:t>
      </w:r>
      <w:proofErr w:type="spellStart"/>
      <w:r w:rsidRPr="006A6AFC">
        <w:t>many</w:t>
      </w:r>
      <w:proofErr w:type="spellEnd"/>
      <w:r w:rsidRPr="006A6AFC">
        <w:t xml:space="preserve"> </w:t>
      </w:r>
      <w:proofErr w:type="spellStart"/>
      <w:r w:rsidRPr="006A6AFC">
        <w:t>states</w:t>
      </w:r>
      <w:proofErr w:type="spellEnd"/>
      <w:r w:rsidRPr="006A6AFC">
        <w:t xml:space="preserve"> </w:t>
      </w:r>
      <w:proofErr w:type="spellStart"/>
      <w:r w:rsidRPr="006A6AFC">
        <w:t>when</w:t>
      </w:r>
      <w:proofErr w:type="spellEnd"/>
      <w:r w:rsidRPr="006A6AFC">
        <w:t xml:space="preserve"> </w:t>
      </w:r>
      <w:proofErr w:type="spellStart"/>
      <w:r w:rsidRPr="006A6AFC">
        <w:t>ratifying</w:t>
      </w:r>
      <w:proofErr w:type="spellEnd"/>
      <w:r w:rsidRPr="006A6AFC">
        <w:t xml:space="preserve"> </w:t>
      </w:r>
      <w:proofErr w:type="spellStart"/>
      <w:r w:rsidRPr="006A6AFC">
        <w:t>the</w:t>
      </w:r>
      <w:proofErr w:type="spellEnd"/>
      <w:r w:rsidRPr="006A6AFC">
        <w:t xml:space="preserve"> </w:t>
      </w:r>
      <w:proofErr w:type="spellStart"/>
      <w:r w:rsidRPr="006A6AFC">
        <w:t>convention</w:t>
      </w:r>
      <w:proofErr w:type="spellEnd"/>
      <w:r w:rsidRPr="006A6AFC">
        <w:t xml:space="preserve">. </w:t>
      </w:r>
      <w:proofErr w:type="spellStart"/>
      <w:r w:rsidRPr="006A6AFC">
        <w:t>Article</w:t>
      </w:r>
      <w:proofErr w:type="spellEnd"/>
      <w:r w:rsidRPr="006A6AFC">
        <w:t xml:space="preserve"> 14 </w:t>
      </w:r>
      <w:proofErr w:type="spellStart"/>
      <w:r w:rsidRPr="006A6AFC">
        <w:t>states</w:t>
      </w:r>
      <w:proofErr w:type="spellEnd"/>
      <w:r w:rsidRPr="006A6AFC">
        <w:t xml:space="preserve"> </w:t>
      </w:r>
      <w:proofErr w:type="spellStart"/>
      <w:r w:rsidRPr="006A6AFC">
        <w:t>that</w:t>
      </w:r>
      <w:proofErr w:type="spellEnd"/>
      <w:r w:rsidRPr="006A6AFC">
        <w:t xml:space="preserve"> </w:t>
      </w:r>
      <w:proofErr w:type="spellStart"/>
      <w:r w:rsidRPr="006A6AFC">
        <w:t>the</w:t>
      </w:r>
      <w:proofErr w:type="spellEnd"/>
      <w:r w:rsidRPr="006A6AFC">
        <w:t xml:space="preserve"> </w:t>
      </w:r>
      <w:proofErr w:type="spellStart"/>
      <w:r w:rsidRPr="006A6AFC">
        <w:t>child</w:t>
      </w:r>
      <w:proofErr w:type="spellEnd"/>
      <w:r w:rsidRPr="006A6AFC">
        <w:t xml:space="preserve"> has </w:t>
      </w:r>
      <w:proofErr w:type="spellStart"/>
      <w:r w:rsidRPr="006A6AFC">
        <w:t>the</w:t>
      </w:r>
      <w:proofErr w:type="spellEnd"/>
      <w:r w:rsidRPr="006A6AFC">
        <w:t xml:space="preserve"> right to </w:t>
      </w:r>
      <w:proofErr w:type="spellStart"/>
      <w:r w:rsidRPr="006A6AFC">
        <w:t>freedom</w:t>
      </w:r>
      <w:proofErr w:type="spellEnd"/>
      <w:r w:rsidRPr="006A6AFC">
        <w:t xml:space="preserve"> </w:t>
      </w:r>
      <w:proofErr w:type="spellStart"/>
      <w:r w:rsidRPr="006A6AFC">
        <w:t>of</w:t>
      </w:r>
      <w:proofErr w:type="spellEnd"/>
      <w:r w:rsidRPr="006A6AFC">
        <w:t xml:space="preserve"> </w:t>
      </w:r>
      <w:proofErr w:type="spellStart"/>
      <w:r w:rsidRPr="006A6AFC">
        <w:t>thought</w:t>
      </w:r>
      <w:proofErr w:type="spellEnd"/>
      <w:r w:rsidRPr="006A6AFC">
        <w:t xml:space="preserve">, </w:t>
      </w:r>
      <w:proofErr w:type="spellStart"/>
      <w:r w:rsidRPr="006A6AFC">
        <w:t>conscience</w:t>
      </w:r>
      <w:proofErr w:type="spellEnd"/>
      <w:r w:rsidRPr="006A6AFC">
        <w:t xml:space="preserve">, and religion, </w:t>
      </w:r>
      <w:proofErr w:type="spellStart"/>
      <w:r w:rsidRPr="006A6AFC">
        <w:t>but</w:t>
      </w:r>
      <w:proofErr w:type="spellEnd"/>
      <w:r w:rsidRPr="006A6AFC">
        <w:t xml:space="preserve"> </w:t>
      </w:r>
      <w:proofErr w:type="spellStart"/>
      <w:r w:rsidRPr="006A6AFC">
        <w:t>that</w:t>
      </w:r>
      <w:proofErr w:type="spellEnd"/>
      <w:r w:rsidRPr="006A6AFC">
        <w:t xml:space="preserve"> </w:t>
      </w:r>
      <w:proofErr w:type="spellStart"/>
      <w:r w:rsidRPr="006A6AFC">
        <w:t>the</w:t>
      </w:r>
      <w:proofErr w:type="spellEnd"/>
      <w:r w:rsidRPr="006A6AFC">
        <w:t xml:space="preserve"> </w:t>
      </w:r>
      <w:proofErr w:type="spellStart"/>
      <w:r w:rsidRPr="006A6AFC">
        <w:t>freedom</w:t>
      </w:r>
      <w:proofErr w:type="spellEnd"/>
      <w:r w:rsidRPr="006A6AFC">
        <w:t xml:space="preserve"> to manifest </w:t>
      </w:r>
      <w:proofErr w:type="spellStart"/>
      <w:r w:rsidRPr="006A6AFC">
        <w:t>their</w:t>
      </w:r>
      <w:proofErr w:type="spellEnd"/>
      <w:r w:rsidRPr="006A6AFC">
        <w:t xml:space="preserve"> religion or </w:t>
      </w:r>
      <w:proofErr w:type="spellStart"/>
      <w:r w:rsidRPr="006A6AFC">
        <w:t>beliefs</w:t>
      </w:r>
      <w:proofErr w:type="spellEnd"/>
      <w:r w:rsidRPr="006A6AFC">
        <w:t xml:space="preserve"> </w:t>
      </w:r>
      <w:proofErr w:type="spellStart"/>
      <w:r w:rsidRPr="006A6AFC">
        <w:lastRenderedPageBreak/>
        <w:t>may</w:t>
      </w:r>
      <w:proofErr w:type="spellEnd"/>
      <w:r w:rsidRPr="006A6AFC">
        <w:t xml:space="preserve"> be </w:t>
      </w:r>
      <w:proofErr w:type="spellStart"/>
      <w:r w:rsidRPr="006A6AFC">
        <w:t>subject</w:t>
      </w:r>
      <w:proofErr w:type="spellEnd"/>
      <w:r w:rsidRPr="006A6AFC">
        <w:t xml:space="preserve"> to </w:t>
      </w:r>
      <w:proofErr w:type="spellStart"/>
      <w:r w:rsidRPr="006A6AFC">
        <w:t>limitations</w:t>
      </w:r>
      <w:proofErr w:type="spellEnd"/>
      <w:r w:rsidRPr="006A6AFC">
        <w:t xml:space="preserve"> </w:t>
      </w:r>
      <w:proofErr w:type="spellStart"/>
      <w:r w:rsidRPr="006A6AFC">
        <w:t>prescribed</w:t>
      </w:r>
      <w:proofErr w:type="spellEnd"/>
      <w:r w:rsidRPr="006A6AFC">
        <w:t xml:space="preserve"> by </w:t>
      </w:r>
      <w:proofErr w:type="spellStart"/>
      <w:r w:rsidRPr="006A6AFC">
        <w:t>law</w:t>
      </w:r>
      <w:proofErr w:type="spellEnd"/>
      <w:r w:rsidRPr="006A6AFC">
        <w:t xml:space="preserve"> and </w:t>
      </w:r>
      <w:proofErr w:type="spellStart"/>
      <w:r w:rsidRPr="006A6AFC">
        <w:t>are</w:t>
      </w:r>
      <w:proofErr w:type="spellEnd"/>
      <w:r w:rsidRPr="006A6AFC">
        <w:t xml:space="preserve"> </w:t>
      </w:r>
      <w:proofErr w:type="spellStart"/>
      <w:r w:rsidRPr="006A6AFC">
        <w:t>n</w:t>
      </w:r>
      <w:r w:rsidRPr="006A6AFC">
        <w:t>ecessary</w:t>
      </w:r>
      <w:proofErr w:type="spellEnd"/>
      <w:r w:rsidRPr="006A6AFC">
        <w:t xml:space="preserve"> to </w:t>
      </w:r>
      <w:proofErr w:type="spellStart"/>
      <w:r w:rsidRPr="006A6AFC">
        <w:t>protect</w:t>
      </w:r>
      <w:proofErr w:type="spellEnd"/>
      <w:r w:rsidRPr="006A6AFC">
        <w:t xml:space="preserve"> </w:t>
      </w:r>
      <w:proofErr w:type="spellStart"/>
      <w:r w:rsidRPr="006A6AFC">
        <w:t>public</w:t>
      </w:r>
      <w:proofErr w:type="spellEnd"/>
      <w:r w:rsidRPr="006A6AFC">
        <w:t xml:space="preserve"> </w:t>
      </w:r>
      <w:proofErr w:type="spellStart"/>
      <w:r w:rsidRPr="006A6AFC">
        <w:t>safety</w:t>
      </w:r>
      <w:proofErr w:type="spellEnd"/>
      <w:r w:rsidRPr="006A6AFC">
        <w:t xml:space="preserve">, order, </w:t>
      </w:r>
      <w:proofErr w:type="spellStart"/>
      <w:r w:rsidRPr="006A6AFC">
        <w:t>health</w:t>
      </w:r>
      <w:proofErr w:type="spellEnd"/>
      <w:r w:rsidRPr="006A6AFC">
        <w:t xml:space="preserve"> or morals, or </w:t>
      </w:r>
      <w:proofErr w:type="spellStart"/>
      <w:r w:rsidRPr="006A6AFC">
        <w:t>the</w:t>
      </w:r>
      <w:proofErr w:type="spellEnd"/>
      <w:r w:rsidRPr="006A6AFC">
        <w:t xml:space="preserve"> fundamental </w:t>
      </w:r>
      <w:proofErr w:type="spellStart"/>
      <w:r w:rsidRPr="006A6AFC">
        <w:t>rights</w:t>
      </w:r>
      <w:proofErr w:type="spellEnd"/>
      <w:r w:rsidRPr="006A6AFC">
        <w:t xml:space="preserve"> and </w:t>
      </w:r>
      <w:proofErr w:type="spellStart"/>
      <w:r w:rsidRPr="006A6AFC">
        <w:t>freedoms</w:t>
      </w:r>
      <w:proofErr w:type="spellEnd"/>
      <w:r w:rsidRPr="006A6AFC">
        <w:t xml:space="preserve"> </w:t>
      </w:r>
      <w:proofErr w:type="spellStart"/>
      <w:r w:rsidRPr="006A6AFC">
        <w:t>of</w:t>
      </w:r>
      <w:proofErr w:type="spellEnd"/>
      <w:r w:rsidRPr="006A6AFC">
        <w:t xml:space="preserve"> </w:t>
      </w:r>
      <w:proofErr w:type="spellStart"/>
      <w:r w:rsidRPr="006A6AFC">
        <w:t>others</w:t>
      </w:r>
      <w:proofErr w:type="spellEnd"/>
      <w:r w:rsidRPr="006A6AFC">
        <w:t>.</w:t>
      </w:r>
    </w:p>
    <w:p w14:paraId="7710C351" w14:textId="77777777" w:rsidR="00000000" w:rsidRPr="006A6AFC" w:rsidRDefault="00691445" w:rsidP="006A6AFC">
      <w:pPr>
        <w:rPr>
          <w:rStyle w:val="Hyperkobling"/>
        </w:rPr>
      </w:pPr>
      <w:hyperlink r:id="rId47" w:history="1">
        <w:r w:rsidRPr="006A6AFC">
          <w:rPr>
            <w:rStyle w:val="Hyperkobling"/>
          </w:rPr>
          <w:t xml:space="preserve">Convention </w:t>
        </w:r>
        <w:proofErr w:type="spellStart"/>
        <w:r w:rsidRPr="006A6AFC">
          <w:rPr>
            <w:rStyle w:val="Hyperkobling"/>
          </w:rPr>
          <w:t>on</w:t>
        </w:r>
        <w:proofErr w:type="spellEnd"/>
        <w:r w:rsidRPr="006A6AFC">
          <w:rPr>
            <w:rStyle w:val="Hyperkobling"/>
          </w:rPr>
          <w:t xml:space="preserve"> </w:t>
        </w:r>
        <w:proofErr w:type="spellStart"/>
        <w:r w:rsidRPr="006A6AFC">
          <w:rPr>
            <w:rStyle w:val="Hyperkobling"/>
          </w:rPr>
          <w:t>the</w:t>
        </w:r>
        <w:proofErr w:type="spellEnd"/>
        <w:r w:rsidRPr="006A6AFC">
          <w:rPr>
            <w:rStyle w:val="Hyperkobling"/>
          </w:rPr>
          <w:t xml:space="preserve"> Rights </w:t>
        </w:r>
        <w:proofErr w:type="spellStart"/>
        <w:r w:rsidRPr="006A6AFC">
          <w:rPr>
            <w:rStyle w:val="Hyperkobling"/>
          </w:rPr>
          <w:t>of</w:t>
        </w:r>
        <w:proofErr w:type="spellEnd"/>
        <w:r w:rsidRPr="006A6AFC">
          <w:rPr>
            <w:rStyle w:val="Hyperkobling"/>
          </w:rPr>
          <w:t xml:space="preserve"> </w:t>
        </w:r>
        <w:proofErr w:type="spellStart"/>
        <w:r w:rsidRPr="006A6AFC">
          <w:rPr>
            <w:rStyle w:val="Hyperkobling"/>
          </w:rPr>
          <w:t>the</w:t>
        </w:r>
        <w:proofErr w:type="spellEnd"/>
        <w:r w:rsidRPr="006A6AFC">
          <w:rPr>
            <w:rStyle w:val="Hyperkobling"/>
          </w:rPr>
          <w:t xml:space="preserve"> Child | OHCHR</w:t>
        </w:r>
      </w:hyperlink>
    </w:p>
    <w:p w14:paraId="5921F83B" w14:textId="77777777" w:rsidR="00000000" w:rsidRPr="006A6AFC" w:rsidRDefault="00691445" w:rsidP="006A6AFC">
      <w:r w:rsidRPr="006A6AFC">
        <w:rPr>
          <w:rStyle w:val="halvfet"/>
        </w:rPr>
        <w:t>T</w:t>
      </w:r>
      <w:r w:rsidRPr="006A6AFC">
        <w:rPr>
          <w:rStyle w:val="halvfet"/>
        </w:rPr>
        <w:t xml:space="preserve">he Convention </w:t>
      </w:r>
      <w:proofErr w:type="spellStart"/>
      <w:r w:rsidRPr="006A6AFC">
        <w:rPr>
          <w:rStyle w:val="halvfet"/>
        </w:rPr>
        <w:t>on</w:t>
      </w:r>
      <w:proofErr w:type="spellEnd"/>
      <w:r w:rsidRPr="006A6AFC">
        <w:rPr>
          <w:rStyle w:val="halvfet"/>
        </w:rPr>
        <w:t xml:space="preserve"> </w:t>
      </w:r>
      <w:proofErr w:type="spellStart"/>
      <w:r w:rsidRPr="006A6AFC">
        <w:rPr>
          <w:rStyle w:val="halvfet"/>
        </w:rPr>
        <w:t>the</w:t>
      </w:r>
      <w:proofErr w:type="spellEnd"/>
      <w:r w:rsidRPr="006A6AFC">
        <w:rPr>
          <w:rStyle w:val="halvfet"/>
        </w:rPr>
        <w:t xml:space="preserve"> </w:t>
      </w:r>
      <w:proofErr w:type="spellStart"/>
      <w:r w:rsidRPr="006A6AFC">
        <w:rPr>
          <w:rStyle w:val="halvfet"/>
        </w:rPr>
        <w:t>Elimination</w:t>
      </w:r>
      <w:proofErr w:type="spellEnd"/>
      <w:r w:rsidRPr="006A6AFC">
        <w:rPr>
          <w:rStyle w:val="halvfet"/>
        </w:rPr>
        <w:t xml:space="preserve"> </w:t>
      </w:r>
      <w:proofErr w:type="spellStart"/>
      <w:r w:rsidRPr="006A6AFC">
        <w:rPr>
          <w:rStyle w:val="halvfet"/>
        </w:rPr>
        <w:t>of</w:t>
      </w:r>
      <w:proofErr w:type="spellEnd"/>
      <w:r w:rsidRPr="006A6AFC">
        <w:rPr>
          <w:rStyle w:val="halvfet"/>
        </w:rPr>
        <w:t xml:space="preserve"> All Forms </w:t>
      </w:r>
      <w:proofErr w:type="spellStart"/>
      <w:r w:rsidRPr="006A6AFC">
        <w:rPr>
          <w:rStyle w:val="halvfet"/>
        </w:rPr>
        <w:t>of</w:t>
      </w:r>
      <w:proofErr w:type="spellEnd"/>
      <w:r w:rsidRPr="006A6AFC">
        <w:rPr>
          <w:rStyle w:val="halvfet"/>
        </w:rPr>
        <w:t xml:space="preserve"> </w:t>
      </w:r>
      <w:proofErr w:type="spellStart"/>
      <w:r w:rsidRPr="006A6AFC">
        <w:rPr>
          <w:rStyle w:val="halvfet"/>
        </w:rPr>
        <w:t>Discrimination</w:t>
      </w:r>
      <w:proofErr w:type="spellEnd"/>
      <w:r w:rsidRPr="006A6AFC">
        <w:rPr>
          <w:rStyle w:val="halvfet"/>
        </w:rPr>
        <w:t xml:space="preserve"> </w:t>
      </w:r>
      <w:proofErr w:type="spellStart"/>
      <w:r w:rsidRPr="006A6AFC">
        <w:rPr>
          <w:rStyle w:val="halvfet"/>
        </w:rPr>
        <w:t>against</w:t>
      </w:r>
      <w:proofErr w:type="spellEnd"/>
      <w:r w:rsidRPr="006A6AFC">
        <w:rPr>
          <w:rStyle w:val="halvfet"/>
        </w:rPr>
        <w:t xml:space="preserve"> </w:t>
      </w:r>
      <w:proofErr w:type="spellStart"/>
      <w:r w:rsidRPr="006A6AFC">
        <w:rPr>
          <w:rStyle w:val="halvfet"/>
        </w:rPr>
        <w:t>Women</w:t>
      </w:r>
      <w:proofErr w:type="spellEnd"/>
      <w:r w:rsidRPr="006A6AFC">
        <w:t xml:space="preserve"> </w:t>
      </w:r>
      <w:proofErr w:type="spellStart"/>
      <w:r w:rsidRPr="006A6AFC">
        <w:t>of</w:t>
      </w:r>
      <w:proofErr w:type="spellEnd"/>
      <w:r w:rsidRPr="006A6AFC">
        <w:t xml:space="preserve"> 1979 </w:t>
      </w:r>
      <w:proofErr w:type="spellStart"/>
      <w:r w:rsidRPr="006A6AFC">
        <w:t>condemns</w:t>
      </w:r>
      <w:proofErr w:type="spellEnd"/>
      <w:r w:rsidRPr="006A6AFC">
        <w:t xml:space="preserve"> all forms </w:t>
      </w:r>
      <w:proofErr w:type="spellStart"/>
      <w:r w:rsidRPr="006A6AFC">
        <w:t>of</w:t>
      </w:r>
      <w:proofErr w:type="spellEnd"/>
      <w:r w:rsidRPr="006A6AFC">
        <w:t xml:space="preserve"> </w:t>
      </w:r>
      <w:proofErr w:type="spellStart"/>
      <w:r w:rsidRPr="006A6AFC">
        <w:t>discrimination</w:t>
      </w:r>
      <w:proofErr w:type="spellEnd"/>
      <w:r w:rsidRPr="006A6AFC">
        <w:t xml:space="preserve"> </w:t>
      </w:r>
      <w:proofErr w:type="spellStart"/>
      <w:r w:rsidRPr="006A6AFC">
        <w:t>against</w:t>
      </w:r>
      <w:proofErr w:type="spellEnd"/>
      <w:r w:rsidRPr="006A6AFC">
        <w:t xml:space="preserve"> </w:t>
      </w:r>
      <w:proofErr w:type="spellStart"/>
      <w:r w:rsidRPr="006A6AFC">
        <w:t>women</w:t>
      </w:r>
      <w:proofErr w:type="spellEnd"/>
      <w:r w:rsidRPr="006A6AFC">
        <w:t xml:space="preserve"> (</w:t>
      </w:r>
      <w:proofErr w:type="spellStart"/>
      <w:r w:rsidRPr="006A6AFC">
        <w:t>Article</w:t>
      </w:r>
      <w:proofErr w:type="spellEnd"/>
      <w:r w:rsidRPr="006A6AFC">
        <w:t xml:space="preserve"> 2). </w:t>
      </w:r>
      <w:proofErr w:type="spellStart"/>
      <w:r w:rsidRPr="006A6AFC">
        <w:t>Women’s</w:t>
      </w:r>
      <w:proofErr w:type="spellEnd"/>
      <w:r w:rsidRPr="006A6AFC">
        <w:t xml:space="preserve"> </w:t>
      </w:r>
      <w:proofErr w:type="spellStart"/>
      <w:r w:rsidRPr="006A6AFC">
        <w:t>rights</w:t>
      </w:r>
      <w:proofErr w:type="spellEnd"/>
      <w:r w:rsidRPr="006A6AFC">
        <w:t xml:space="preserve"> must be </w:t>
      </w:r>
      <w:proofErr w:type="spellStart"/>
      <w:r w:rsidRPr="006A6AFC">
        <w:t>protected</w:t>
      </w:r>
      <w:proofErr w:type="spellEnd"/>
      <w:r w:rsidRPr="006A6AFC">
        <w:t xml:space="preserve"> by </w:t>
      </w:r>
      <w:proofErr w:type="spellStart"/>
      <w:r w:rsidRPr="006A6AFC">
        <w:t>law</w:t>
      </w:r>
      <w:proofErr w:type="spellEnd"/>
      <w:r w:rsidRPr="006A6AFC">
        <w:t xml:space="preserve">, and </w:t>
      </w:r>
      <w:proofErr w:type="spellStart"/>
      <w:r w:rsidRPr="006A6AFC">
        <w:t>national</w:t>
      </w:r>
      <w:proofErr w:type="spellEnd"/>
      <w:r w:rsidRPr="006A6AFC">
        <w:t xml:space="preserve"> </w:t>
      </w:r>
      <w:proofErr w:type="spellStart"/>
      <w:r w:rsidRPr="006A6AFC">
        <w:t>penal</w:t>
      </w:r>
      <w:proofErr w:type="spellEnd"/>
      <w:r w:rsidRPr="006A6AFC">
        <w:t xml:space="preserve"> </w:t>
      </w:r>
      <w:proofErr w:type="spellStart"/>
      <w:r w:rsidRPr="006A6AFC">
        <w:t>provisions</w:t>
      </w:r>
      <w:proofErr w:type="spellEnd"/>
      <w:r w:rsidRPr="006A6AFC">
        <w:t xml:space="preserve"> </w:t>
      </w:r>
      <w:proofErr w:type="spellStart"/>
      <w:r w:rsidRPr="006A6AFC">
        <w:t>that</w:t>
      </w:r>
      <w:proofErr w:type="spellEnd"/>
      <w:r w:rsidRPr="006A6AFC">
        <w:t xml:space="preserve"> </w:t>
      </w:r>
      <w:proofErr w:type="spellStart"/>
      <w:r w:rsidRPr="006A6AFC">
        <w:t>constitute</w:t>
      </w:r>
      <w:proofErr w:type="spellEnd"/>
      <w:r w:rsidRPr="006A6AFC">
        <w:t xml:space="preserve"> </w:t>
      </w:r>
      <w:proofErr w:type="spellStart"/>
      <w:r w:rsidRPr="006A6AFC">
        <w:t>discrimination</w:t>
      </w:r>
      <w:proofErr w:type="spellEnd"/>
      <w:r w:rsidRPr="006A6AFC">
        <w:t xml:space="preserve"> </w:t>
      </w:r>
      <w:proofErr w:type="spellStart"/>
      <w:r w:rsidRPr="006A6AFC">
        <w:t>agai</w:t>
      </w:r>
      <w:r w:rsidRPr="006A6AFC">
        <w:t>nst</w:t>
      </w:r>
      <w:proofErr w:type="spellEnd"/>
      <w:r w:rsidRPr="006A6AFC">
        <w:t xml:space="preserve"> </w:t>
      </w:r>
      <w:proofErr w:type="spellStart"/>
      <w:r w:rsidRPr="006A6AFC">
        <w:t>women</w:t>
      </w:r>
      <w:proofErr w:type="spellEnd"/>
      <w:r w:rsidRPr="006A6AFC">
        <w:t xml:space="preserve"> must be </w:t>
      </w:r>
      <w:proofErr w:type="spellStart"/>
      <w:r w:rsidRPr="006A6AFC">
        <w:t>repealed</w:t>
      </w:r>
      <w:proofErr w:type="spellEnd"/>
      <w:r w:rsidRPr="006A6AFC">
        <w:t xml:space="preserve">. Most </w:t>
      </w:r>
      <w:proofErr w:type="spellStart"/>
      <w:r w:rsidRPr="006A6AFC">
        <w:t>countries</w:t>
      </w:r>
      <w:proofErr w:type="spellEnd"/>
      <w:r w:rsidRPr="006A6AFC">
        <w:t xml:space="preserve"> have </w:t>
      </w:r>
      <w:proofErr w:type="spellStart"/>
      <w:r w:rsidRPr="006A6AFC">
        <w:t>ratified</w:t>
      </w:r>
      <w:proofErr w:type="spellEnd"/>
      <w:r w:rsidRPr="006A6AFC">
        <w:t xml:space="preserve"> </w:t>
      </w:r>
      <w:proofErr w:type="spellStart"/>
      <w:r w:rsidRPr="006A6AFC">
        <w:t>the</w:t>
      </w:r>
      <w:proofErr w:type="spellEnd"/>
      <w:r w:rsidRPr="006A6AFC">
        <w:t xml:space="preserve"> </w:t>
      </w:r>
      <w:proofErr w:type="spellStart"/>
      <w:r w:rsidRPr="006A6AFC">
        <w:t>convention</w:t>
      </w:r>
      <w:proofErr w:type="spellEnd"/>
      <w:r w:rsidRPr="006A6AFC">
        <w:t xml:space="preserve">, </w:t>
      </w:r>
      <w:proofErr w:type="spellStart"/>
      <w:r w:rsidRPr="006A6AFC">
        <w:t>including</w:t>
      </w:r>
      <w:proofErr w:type="spellEnd"/>
      <w:r w:rsidRPr="006A6AFC">
        <w:t xml:space="preserve"> all </w:t>
      </w:r>
      <w:proofErr w:type="spellStart"/>
      <w:r w:rsidRPr="006A6AFC">
        <w:t>those</w:t>
      </w:r>
      <w:proofErr w:type="spellEnd"/>
      <w:r w:rsidRPr="006A6AFC">
        <w:t xml:space="preserve"> in </w:t>
      </w:r>
      <w:proofErr w:type="spellStart"/>
      <w:r w:rsidRPr="006A6AFC">
        <w:t>the</w:t>
      </w:r>
      <w:proofErr w:type="spellEnd"/>
      <w:r w:rsidRPr="006A6AFC">
        <w:t xml:space="preserve"> </w:t>
      </w:r>
      <w:proofErr w:type="spellStart"/>
      <w:r w:rsidRPr="006A6AFC">
        <w:t>Middle</w:t>
      </w:r>
      <w:proofErr w:type="spellEnd"/>
      <w:r w:rsidRPr="006A6AFC">
        <w:t xml:space="preserve"> East </w:t>
      </w:r>
      <w:proofErr w:type="spellStart"/>
      <w:r w:rsidRPr="006A6AFC">
        <w:t>apart</w:t>
      </w:r>
      <w:proofErr w:type="spellEnd"/>
      <w:r w:rsidRPr="006A6AFC">
        <w:t xml:space="preserve"> from Iran. </w:t>
      </w:r>
      <w:proofErr w:type="spellStart"/>
      <w:r w:rsidRPr="006A6AFC">
        <w:t>However</w:t>
      </w:r>
      <w:proofErr w:type="spellEnd"/>
      <w:r w:rsidRPr="006A6AFC">
        <w:t xml:space="preserve">, </w:t>
      </w:r>
      <w:proofErr w:type="spellStart"/>
      <w:r w:rsidRPr="006A6AFC">
        <w:t>many</w:t>
      </w:r>
      <w:proofErr w:type="spellEnd"/>
      <w:r w:rsidRPr="006A6AFC">
        <w:t xml:space="preserve"> </w:t>
      </w:r>
      <w:proofErr w:type="spellStart"/>
      <w:r w:rsidRPr="006A6AFC">
        <w:t>countries</w:t>
      </w:r>
      <w:proofErr w:type="spellEnd"/>
      <w:r w:rsidRPr="006A6AFC">
        <w:t xml:space="preserve"> have </w:t>
      </w:r>
      <w:proofErr w:type="spellStart"/>
      <w:r w:rsidRPr="006A6AFC">
        <w:t>also</w:t>
      </w:r>
      <w:proofErr w:type="spellEnd"/>
      <w:r w:rsidRPr="006A6AFC">
        <w:t xml:space="preserve"> </w:t>
      </w:r>
      <w:proofErr w:type="spellStart"/>
      <w:r w:rsidRPr="006A6AFC">
        <w:t>entered</w:t>
      </w:r>
      <w:proofErr w:type="spellEnd"/>
      <w:r w:rsidRPr="006A6AFC">
        <w:t xml:space="preserve"> </w:t>
      </w:r>
      <w:proofErr w:type="spellStart"/>
      <w:r w:rsidRPr="006A6AFC">
        <w:t>reservations</w:t>
      </w:r>
      <w:proofErr w:type="spellEnd"/>
      <w:r w:rsidRPr="006A6AFC">
        <w:t xml:space="preserve">, for </w:t>
      </w:r>
      <w:proofErr w:type="spellStart"/>
      <w:r w:rsidRPr="006A6AFC">
        <w:t>example</w:t>
      </w:r>
      <w:proofErr w:type="spellEnd"/>
      <w:r w:rsidRPr="006A6AFC">
        <w:t xml:space="preserve"> </w:t>
      </w:r>
      <w:proofErr w:type="spellStart"/>
      <w:r w:rsidRPr="006A6AFC">
        <w:t>that</w:t>
      </w:r>
      <w:proofErr w:type="spellEnd"/>
      <w:r w:rsidRPr="006A6AFC">
        <w:t xml:space="preserve"> </w:t>
      </w:r>
      <w:proofErr w:type="spellStart"/>
      <w:r w:rsidRPr="006A6AFC">
        <w:t>the</w:t>
      </w:r>
      <w:proofErr w:type="spellEnd"/>
      <w:r w:rsidRPr="006A6AFC">
        <w:t xml:space="preserve"> </w:t>
      </w:r>
      <w:proofErr w:type="spellStart"/>
      <w:r w:rsidRPr="006A6AFC">
        <w:t>state</w:t>
      </w:r>
      <w:proofErr w:type="spellEnd"/>
      <w:r w:rsidRPr="006A6AFC">
        <w:t xml:space="preserve"> </w:t>
      </w:r>
      <w:proofErr w:type="spellStart"/>
      <w:r w:rsidRPr="006A6AFC">
        <w:t>concerned</w:t>
      </w:r>
      <w:proofErr w:type="spellEnd"/>
      <w:r w:rsidRPr="006A6AFC">
        <w:t xml:space="preserve"> </w:t>
      </w:r>
      <w:proofErr w:type="spellStart"/>
      <w:r w:rsidRPr="006A6AFC">
        <w:t>will</w:t>
      </w:r>
      <w:proofErr w:type="spellEnd"/>
      <w:r w:rsidRPr="006A6AFC">
        <w:t xml:space="preserve"> </w:t>
      </w:r>
      <w:proofErr w:type="spellStart"/>
      <w:r w:rsidRPr="006A6AFC">
        <w:t>comply</w:t>
      </w:r>
      <w:proofErr w:type="spellEnd"/>
      <w:r w:rsidRPr="006A6AFC">
        <w:t xml:space="preserve"> </w:t>
      </w:r>
      <w:proofErr w:type="spellStart"/>
      <w:r w:rsidRPr="006A6AFC">
        <w:t>with</w:t>
      </w:r>
      <w:proofErr w:type="spellEnd"/>
      <w:r w:rsidRPr="006A6AFC">
        <w:t xml:space="preserve"> </w:t>
      </w:r>
      <w:proofErr w:type="spellStart"/>
      <w:r w:rsidRPr="006A6AFC">
        <w:t>the</w:t>
      </w:r>
      <w:proofErr w:type="spellEnd"/>
      <w:r w:rsidRPr="006A6AFC">
        <w:t xml:space="preserve"> </w:t>
      </w:r>
      <w:proofErr w:type="spellStart"/>
      <w:r w:rsidRPr="006A6AFC">
        <w:t>provisions</w:t>
      </w:r>
      <w:proofErr w:type="spellEnd"/>
      <w:r w:rsidRPr="006A6AFC">
        <w:t xml:space="preserve"> </w:t>
      </w:r>
      <w:proofErr w:type="spellStart"/>
      <w:r w:rsidRPr="006A6AFC">
        <w:t>of</w:t>
      </w:r>
      <w:proofErr w:type="spellEnd"/>
      <w:r w:rsidRPr="006A6AFC">
        <w:t xml:space="preserve"> a </w:t>
      </w:r>
      <w:proofErr w:type="spellStart"/>
      <w:r w:rsidRPr="006A6AFC">
        <w:t>particular</w:t>
      </w:r>
      <w:proofErr w:type="spellEnd"/>
      <w:r w:rsidRPr="006A6AFC">
        <w:t xml:space="preserve"> </w:t>
      </w:r>
      <w:proofErr w:type="spellStart"/>
      <w:r w:rsidRPr="006A6AFC">
        <w:t>article</w:t>
      </w:r>
      <w:proofErr w:type="spellEnd"/>
      <w:r w:rsidRPr="006A6AFC">
        <w:t xml:space="preserve"> </w:t>
      </w:r>
      <w:proofErr w:type="spellStart"/>
      <w:r w:rsidRPr="006A6AFC">
        <w:t>if</w:t>
      </w:r>
      <w:proofErr w:type="spellEnd"/>
      <w:r w:rsidRPr="006A6AFC">
        <w:t xml:space="preserve"> </w:t>
      </w:r>
      <w:proofErr w:type="spellStart"/>
      <w:r w:rsidRPr="006A6AFC">
        <w:t>they</w:t>
      </w:r>
      <w:proofErr w:type="spellEnd"/>
      <w:r w:rsidRPr="006A6AFC">
        <w:t xml:space="preserve"> </w:t>
      </w:r>
      <w:proofErr w:type="spellStart"/>
      <w:r w:rsidRPr="006A6AFC">
        <w:t>are</w:t>
      </w:r>
      <w:proofErr w:type="spellEnd"/>
      <w:r w:rsidRPr="006A6AFC">
        <w:t xml:space="preserve"> not in </w:t>
      </w:r>
      <w:proofErr w:type="spellStart"/>
      <w:r w:rsidRPr="006A6AFC">
        <w:t>conflict</w:t>
      </w:r>
      <w:proofErr w:type="spellEnd"/>
      <w:r w:rsidRPr="006A6AFC">
        <w:t xml:space="preserve"> </w:t>
      </w:r>
      <w:proofErr w:type="spellStart"/>
      <w:r w:rsidRPr="006A6AFC">
        <w:t>with</w:t>
      </w:r>
      <w:proofErr w:type="spellEnd"/>
      <w:r w:rsidRPr="006A6AFC">
        <w:t xml:space="preserve"> </w:t>
      </w:r>
      <w:proofErr w:type="spellStart"/>
      <w:r w:rsidRPr="006A6AFC">
        <w:rPr>
          <w:rStyle w:val="kursiv"/>
        </w:rPr>
        <w:t>shari’a</w:t>
      </w:r>
      <w:proofErr w:type="spellEnd"/>
      <w:r w:rsidRPr="006A6AFC">
        <w:t xml:space="preserve"> </w:t>
      </w:r>
      <w:proofErr w:type="spellStart"/>
      <w:r w:rsidRPr="006A6AFC">
        <w:t>law</w:t>
      </w:r>
      <w:proofErr w:type="spellEnd"/>
      <w:r w:rsidRPr="006A6AFC">
        <w:t>.</w:t>
      </w:r>
    </w:p>
    <w:p w14:paraId="073CC861" w14:textId="77777777" w:rsidR="00000000" w:rsidRPr="006A6AFC" w:rsidRDefault="00691445" w:rsidP="006A6AFC">
      <w:pPr>
        <w:rPr>
          <w:rStyle w:val="Hyperkobling"/>
        </w:rPr>
      </w:pPr>
      <w:hyperlink r:id="rId48" w:history="1">
        <w:r w:rsidRPr="006A6AFC">
          <w:rPr>
            <w:rStyle w:val="Hyperkobling"/>
          </w:rPr>
          <w:t xml:space="preserve">Convention </w:t>
        </w:r>
        <w:proofErr w:type="spellStart"/>
        <w:r w:rsidRPr="006A6AFC">
          <w:rPr>
            <w:rStyle w:val="Hyperkobling"/>
          </w:rPr>
          <w:t>on</w:t>
        </w:r>
        <w:proofErr w:type="spellEnd"/>
        <w:r w:rsidRPr="006A6AFC">
          <w:rPr>
            <w:rStyle w:val="Hyperkobling"/>
          </w:rPr>
          <w:t xml:space="preserve"> </w:t>
        </w:r>
        <w:proofErr w:type="spellStart"/>
        <w:r w:rsidRPr="006A6AFC">
          <w:rPr>
            <w:rStyle w:val="Hyperkobling"/>
          </w:rPr>
          <w:t>the</w:t>
        </w:r>
        <w:proofErr w:type="spellEnd"/>
        <w:r w:rsidRPr="006A6AFC">
          <w:rPr>
            <w:rStyle w:val="Hyperkobling"/>
          </w:rPr>
          <w:t xml:space="preserve"> </w:t>
        </w:r>
        <w:proofErr w:type="spellStart"/>
        <w:r w:rsidRPr="006A6AFC">
          <w:rPr>
            <w:rStyle w:val="Hyperkobling"/>
          </w:rPr>
          <w:t>Elimination</w:t>
        </w:r>
        <w:proofErr w:type="spellEnd"/>
        <w:r w:rsidRPr="006A6AFC">
          <w:rPr>
            <w:rStyle w:val="Hyperkobling"/>
          </w:rPr>
          <w:t xml:space="preserve"> </w:t>
        </w:r>
        <w:proofErr w:type="spellStart"/>
        <w:r w:rsidRPr="006A6AFC">
          <w:rPr>
            <w:rStyle w:val="Hyperkobling"/>
          </w:rPr>
          <w:t>of</w:t>
        </w:r>
        <w:proofErr w:type="spellEnd"/>
        <w:r w:rsidRPr="006A6AFC">
          <w:rPr>
            <w:rStyle w:val="Hyperkobling"/>
          </w:rPr>
          <w:t xml:space="preserve"> All Forms </w:t>
        </w:r>
        <w:proofErr w:type="spellStart"/>
        <w:r w:rsidRPr="006A6AFC">
          <w:rPr>
            <w:rStyle w:val="Hyperkobling"/>
          </w:rPr>
          <w:t>of</w:t>
        </w:r>
        <w:proofErr w:type="spellEnd"/>
        <w:r w:rsidRPr="006A6AFC">
          <w:rPr>
            <w:rStyle w:val="Hyperkobling"/>
          </w:rPr>
          <w:t xml:space="preserve"> </w:t>
        </w:r>
        <w:proofErr w:type="spellStart"/>
        <w:r w:rsidRPr="006A6AFC">
          <w:rPr>
            <w:rStyle w:val="Hyperkobling"/>
          </w:rPr>
          <w:t>Discrimi</w:t>
        </w:r>
        <w:r w:rsidRPr="006A6AFC">
          <w:rPr>
            <w:rStyle w:val="Hyperkobling"/>
          </w:rPr>
          <w:t>nation</w:t>
        </w:r>
        <w:proofErr w:type="spellEnd"/>
        <w:r w:rsidRPr="006A6AFC">
          <w:rPr>
            <w:rStyle w:val="Hyperkobling"/>
          </w:rPr>
          <w:t xml:space="preserve"> </w:t>
        </w:r>
        <w:proofErr w:type="spellStart"/>
        <w:r w:rsidRPr="006A6AFC">
          <w:rPr>
            <w:rStyle w:val="Hyperkobling"/>
          </w:rPr>
          <w:t>against</w:t>
        </w:r>
        <w:proofErr w:type="spellEnd"/>
        <w:r w:rsidRPr="006A6AFC">
          <w:rPr>
            <w:rStyle w:val="Hyperkobling"/>
          </w:rPr>
          <w:t xml:space="preserve"> </w:t>
        </w:r>
        <w:proofErr w:type="spellStart"/>
        <w:r w:rsidRPr="006A6AFC">
          <w:rPr>
            <w:rStyle w:val="Hyperkobling"/>
          </w:rPr>
          <w:t>Women</w:t>
        </w:r>
        <w:proofErr w:type="spellEnd"/>
        <w:r w:rsidRPr="006A6AFC">
          <w:rPr>
            <w:rStyle w:val="Hyperkobling"/>
          </w:rPr>
          <w:t xml:space="preserve"> New York, 18 </w:t>
        </w:r>
        <w:proofErr w:type="spellStart"/>
        <w:r w:rsidRPr="006A6AFC">
          <w:rPr>
            <w:rStyle w:val="Hyperkobling"/>
          </w:rPr>
          <w:t>December</w:t>
        </w:r>
        <w:proofErr w:type="spellEnd"/>
        <w:r w:rsidRPr="006A6AFC">
          <w:rPr>
            <w:rStyle w:val="Hyperkobling"/>
          </w:rPr>
          <w:t xml:space="preserve"> 1979 | OHCHR</w:t>
        </w:r>
      </w:hyperlink>
    </w:p>
    <w:sectPr w:rsidR="00000000" w:rsidRPr="006A6AFC" w:rsidSect="006A6AFC">
      <w:pgSz w:w="11906" w:h="16838" w:code="9"/>
      <w:pgMar w:top="720" w:right="720" w:bottom="720" w:left="720" w:header="708" w:footer="708"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A3E8A" w14:textId="77777777" w:rsidR="00000000" w:rsidRDefault="00691445">
      <w:pPr>
        <w:spacing w:before="0" w:after="0" w:line="240" w:lineRule="auto"/>
      </w:pPr>
      <w:r>
        <w:separator/>
      </w:r>
    </w:p>
  </w:endnote>
  <w:endnote w:type="continuationSeparator" w:id="0">
    <w:p w14:paraId="457EAF81" w14:textId="77777777" w:rsidR="00000000" w:rsidRDefault="006914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Open Sans Light">
    <w:altName w:val="Open Sans Light"/>
    <w:panose1 w:val="020B03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D6162" w14:textId="77777777" w:rsidR="00000000" w:rsidRDefault="00691445">
      <w:pPr>
        <w:spacing w:before="0" w:after="0" w:line="240" w:lineRule="auto"/>
      </w:pPr>
      <w:r>
        <w:separator/>
      </w:r>
    </w:p>
  </w:footnote>
  <w:footnote w:type="continuationSeparator" w:id="0">
    <w:p w14:paraId="76DB9AF3" w14:textId="77777777" w:rsidR="00000000" w:rsidRDefault="00691445">
      <w:pPr>
        <w:spacing w:before="0" w:after="0" w:line="240" w:lineRule="auto"/>
      </w:pPr>
      <w:r>
        <w:continuationSeparator/>
      </w:r>
    </w:p>
  </w:footnote>
  <w:footnote w:id="1">
    <w:p w14:paraId="4DA82D8A" w14:textId="04C967BD" w:rsidR="00000000" w:rsidRDefault="00691445" w:rsidP="006A6AFC">
      <w:pPr>
        <w:pStyle w:val="Fotnotetekst"/>
      </w:pPr>
      <w:r w:rsidRPr="006A6AFC">
        <w:rPr>
          <w:rStyle w:val="Fotnotereferanse"/>
        </w:rPr>
        <w:footnoteRef/>
      </w:r>
      <w:r w:rsidR="006A6AFC">
        <w:t xml:space="preserve"> </w:t>
      </w:r>
      <w:r w:rsidRPr="006A6AFC">
        <w:t xml:space="preserve">Teksten i dette </w:t>
      </w:r>
      <w:proofErr w:type="spellStart"/>
      <w:r w:rsidRPr="006A6AFC">
        <w:t>kapittlet</w:t>
      </w:r>
      <w:proofErr w:type="spellEnd"/>
      <w:r w:rsidRPr="006A6AFC">
        <w:t xml:space="preserve"> er basert på innspill fra Dag Nygård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2722FEC"/>
    <w:lvl w:ilvl="0">
      <w:start w:val="1"/>
      <w:numFmt w:val="decimal"/>
      <w:pStyle w:val="Nummerertliste"/>
      <w:lvlText w:val="%1."/>
      <w:lvlJc w:val="left"/>
      <w:pPr>
        <w:tabs>
          <w:tab w:val="num" w:pos="360"/>
        </w:tabs>
        <w:ind w:left="360" w:hanging="360"/>
      </w:pPr>
    </w:lvl>
  </w:abstractNum>
  <w:abstractNum w:abstractNumId="1"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5"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6"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7"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0A4099"/>
    <w:multiLevelType w:val="hybridMultilevel"/>
    <w:tmpl w:val="F4E0CBE2"/>
    <w:lvl w:ilvl="0" w:tplc="0AC2FC3C">
      <w:start w:val="1"/>
      <w:numFmt w:val="decimal"/>
      <w:pStyle w:val="Nummerertliste"/>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0"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1"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3"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4"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8"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1"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5C91E50"/>
    <w:multiLevelType w:val="multilevel"/>
    <w:tmpl w:val="96E67026"/>
    <w:numStyleLink w:val="RomListeStil"/>
  </w:abstractNum>
  <w:abstractNum w:abstractNumId="23"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5"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6"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1"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2"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3"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4"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5" w15:restartNumberingAfterBreak="0">
    <w:nsid w:val="62A6542F"/>
    <w:multiLevelType w:val="multilevel"/>
    <w:tmpl w:val="96E67026"/>
    <w:numStyleLink w:val="RomListeStil"/>
  </w:abstractNum>
  <w:abstractNum w:abstractNumId="36"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7"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8"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9"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0"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842285830">
    <w:abstractNumId w:val="0"/>
  </w:num>
  <w:num w:numId="2" w16cid:durableId="986859015">
    <w:abstractNumId w:val="40"/>
  </w:num>
  <w:num w:numId="3" w16cid:durableId="1214848705">
    <w:abstractNumId w:val="33"/>
  </w:num>
  <w:num w:numId="4" w16cid:durableId="2133790849">
    <w:abstractNumId w:val="39"/>
  </w:num>
  <w:num w:numId="5" w16cid:durableId="1641839133">
    <w:abstractNumId w:val="13"/>
  </w:num>
  <w:num w:numId="6" w16cid:durableId="189615316">
    <w:abstractNumId w:val="17"/>
  </w:num>
  <w:num w:numId="7" w16cid:durableId="377321476">
    <w:abstractNumId w:val="4"/>
  </w:num>
  <w:num w:numId="8" w16cid:durableId="2091656353">
    <w:abstractNumId w:val="30"/>
  </w:num>
  <w:num w:numId="9" w16cid:durableId="1663577851">
    <w:abstractNumId w:val="26"/>
  </w:num>
  <w:num w:numId="10" w16cid:durableId="536427056">
    <w:abstractNumId w:val="3"/>
  </w:num>
  <w:num w:numId="11" w16cid:durableId="2060811845">
    <w:abstractNumId w:val="20"/>
  </w:num>
  <w:num w:numId="12" w16cid:durableId="1963609296">
    <w:abstractNumId w:val="10"/>
  </w:num>
  <w:num w:numId="13" w16cid:durableId="8803119">
    <w:abstractNumId w:val="11"/>
  </w:num>
  <w:num w:numId="14" w16cid:durableId="1983535683">
    <w:abstractNumId w:val="32"/>
  </w:num>
  <w:num w:numId="15" w16cid:durableId="167523259">
    <w:abstractNumId w:val="5"/>
  </w:num>
  <w:num w:numId="16" w16cid:durableId="1021973082">
    <w:abstractNumId w:val="16"/>
  </w:num>
  <w:num w:numId="17" w16cid:durableId="1239903787">
    <w:abstractNumId w:val="31"/>
  </w:num>
  <w:num w:numId="18" w16cid:durableId="985935636">
    <w:abstractNumId w:val="37"/>
  </w:num>
  <w:num w:numId="19" w16cid:durableId="1245191525">
    <w:abstractNumId w:val="24"/>
  </w:num>
  <w:num w:numId="20" w16cid:durableId="1443645286">
    <w:abstractNumId w:val="2"/>
  </w:num>
  <w:num w:numId="21" w16cid:durableId="1761366449">
    <w:abstractNumId w:val="22"/>
  </w:num>
  <w:num w:numId="22" w16cid:durableId="1029990725">
    <w:abstractNumId w:val="27"/>
  </w:num>
  <w:num w:numId="23" w16cid:durableId="1489830581">
    <w:abstractNumId w:val="34"/>
  </w:num>
  <w:num w:numId="24" w16cid:durableId="226499117">
    <w:abstractNumId w:val="38"/>
  </w:num>
  <w:num w:numId="25" w16cid:durableId="1704137949">
    <w:abstractNumId w:val="6"/>
  </w:num>
  <w:num w:numId="26" w16cid:durableId="615140444">
    <w:abstractNumId w:val="14"/>
  </w:num>
  <w:num w:numId="27" w16cid:durableId="453599346">
    <w:abstractNumId w:val="29"/>
  </w:num>
  <w:num w:numId="28" w16cid:durableId="1102722151">
    <w:abstractNumId w:val="8"/>
  </w:num>
  <w:num w:numId="29" w16cid:durableId="536696422">
    <w:abstractNumId w:val="28"/>
  </w:num>
  <w:num w:numId="30" w16cid:durableId="1068112265">
    <w:abstractNumId w:val="1"/>
  </w:num>
  <w:num w:numId="31" w16cid:durableId="1251084858">
    <w:abstractNumId w:val="21"/>
  </w:num>
  <w:num w:numId="32" w16cid:durableId="85855924">
    <w:abstractNumId w:val="7"/>
  </w:num>
  <w:num w:numId="33" w16cid:durableId="1078745664">
    <w:abstractNumId w:val="12"/>
  </w:num>
  <w:num w:numId="34" w16cid:durableId="614946756">
    <w:abstractNumId w:val="25"/>
  </w:num>
  <w:num w:numId="35" w16cid:durableId="1022123721">
    <w:abstractNumId w:val="36"/>
  </w:num>
  <w:num w:numId="36" w16cid:durableId="565145787">
    <w:abstractNumId w:val="15"/>
  </w:num>
  <w:num w:numId="37" w16cid:durableId="2111584778">
    <w:abstractNumId w:val="18"/>
  </w:num>
  <w:num w:numId="38" w16cid:durableId="1287934684">
    <w:abstractNumId w:val="9"/>
  </w:num>
  <w:num w:numId="39" w16cid:durableId="401147846">
    <w:abstractNumId w:val="19"/>
  </w:num>
  <w:num w:numId="40" w16cid:durableId="2042899525">
    <w:abstractNumId w:val="23"/>
  </w:num>
  <w:num w:numId="41" w16cid:durableId="12330088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889345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551225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798906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618783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551466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766297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18052804">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UD_\Publikasjonsnr\E-1018 B Veileder for tros- og livssynsfrihet\Fellespublisering\forside.png"/>
    <w:docVar w:name="W2KpdfPath" w:val="X:\FILLAGER\UD_\Publikasjonsnr\E-1018 B Veileder for tros- og livssynsfrihet\Fellespublisering\E-1018 B Veileder for tros- og livssynsfrihet Skjerm.pdf"/>
  </w:docVars>
  <w:rsids>
    <w:rsidRoot w:val="006A6AFC"/>
    <w:rsid w:val="00572B1C"/>
    <w:rsid w:val="00603526"/>
    <w:rsid w:val="00691445"/>
    <w:rsid w:val="006A6AFC"/>
    <w:rsid w:val="00BF3AD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6A97FA"/>
  <w14:defaultImageDpi w14:val="0"/>
  <w15:docId w15:val="{3911CEE4-C7CC-417A-A0E0-83419B408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AFC"/>
    <w:pPr>
      <w:spacing w:before="100" w:line="288" w:lineRule="auto"/>
    </w:pPr>
    <w:rPr>
      <w:rFonts w:ascii="Open Sans" w:eastAsia="Times New Roman" w:hAnsi="Open Sans"/>
    </w:rPr>
  </w:style>
  <w:style w:type="paragraph" w:styleId="Overskrift1">
    <w:name w:val="heading 1"/>
    <w:next w:val="Normal"/>
    <w:link w:val="Overskrift1Tegn"/>
    <w:qFormat/>
    <w:rsid w:val="006A6AFC"/>
    <w:pPr>
      <w:keepNext/>
      <w:keepLines/>
      <w:numPr>
        <w:numId w:val="21"/>
      </w:numPr>
      <w:spacing w:before="300" w:after="100"/>
      <w:outlineLvl w:val="0"/>
    </w:pPr>
    <w:rPr>
      <w:rFonts w:ascii="Open Sans" w:eastAsia="Times New Roman" w:hAnsi="Open Sans"/>
      <w:b/>
      <w:kern w:val="28"/>
      <w:sz w:val="32"/>
    </w:rPr>
  </w:style>
  <w:style w:type="paragraph" w:styleId="Overskrift2">
    <w:name w:val="heading 2"/>
    <w:basedOn w:val="Overskrift1"/>
    <w:next w:val="Normal"/>
    <w:link w:val="Overskrift2Tegn"/>
    <w:qFormat/>
    <w:rsid w:val="006A6AFC"/>
    <w:pPr>
      <w:numPr>
        <w:ilvl w:val="1"/>
      </w:numPr>
      <w:spacing w:before="240"/>
      <w:outlineLvl w:val="1"/>
    </w:pPr>
    <w:rPr>
      <w:spacing w:val="4"/>
      <w:sz w:val="28"/>
    </w:rPr>
  </w:style>
  <w:style w:type="paragraph" w:styleId="Overskrift3">
    <w:name w:val="heading 3"/>
    <w:basedOn w:val="Normal"/>
    <w:next w:val="Normal"/>
    <w:link w:val="Overskrift3Tegn"/>
    <w:qFormat/>
    <w:rsid w:val="006A6AFC"/>
    <w:pPr>
      <w:keepNext/>
      <w:keepLines/>
      <w:numPr>
        <w:ilvl w:val="2"/>
        <w:numId w:val="21"/>
      </w:numPr>
      <w:spacing w:before="240" w:after="100"/>
      <w:outlineLvl w:val="2"/>
    </w:pPr>
    <w:rPr>
      <w:b/>
    </w:rPr>
  </w:style>
  <w:style w:type="paragraph" w:styleId="Overskrift4">
    <w:name w:val="heading 4"/>
    <w:basedOn w:val="Overskrift1"/>
    <w:next w:val="Normal"/>
    <w:link w:val="Overskrift4Tegn"/>
    <w:qFormat/>
    <w:rsid w:val="006A6AFC"/>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6A6AFC"/>
    <w:pPr>
      <w:numPr>
        <w:ilvl w:val="4"/>
      </w:numPr>
      <w:spacing w:before="200"/>
      <w:outlineLvl w:val="4"/>
    </w:pPr>
    <w:rPr>
      <w:b w:val="0"/>
      <w:sz w:val="22"/>
    </w:rPr>
  </w:style>
  <w:style w:type="paragraph" w:styleId="Overskrift6">
    <w:name w:val="heading 6"/>
    <w:basedOn w:val="Normal"/>
    <w:next w:val="Normal"/>
    <w:link w:val="Overskrift6Tegn"/>
    <w:qFormat/>
    <w:rsid w:val="006A6AFC"/>
    <w:pPr>
      <w:numPr>
        <w:ilvl w:val="5"/>
        <w:numId w:val="2"/>
      </w:numPr>
      <w:spacing w:before="240" w:after="60"/>
      <w:outlineLvl w:val="5"/>
    </w:pPr>
    <w:rPr>
      <w:i/>
    </w:rPr>
  </w:style>
  <w:style w:type="paragraph" w:styleId="Overskrift7">
    <w:name w:val="heading 7"/>
    <w:basedOn w:val="Normal"/>
    <w:next w:val="Normal"/>
    <w:link w:val="Overskrift7Tegn"/>
    <w:qFormat/>
    <w:rsid w:val="006A6AFC"/>
    <w:pPr>
      <w:numPr>
        <w:ilvl w:val="6"/>
        <w:numId w:val="2"/>
      </w:numPr>
      <w:spacing w:before="240" w:after="60"/>
      <w:outlineLvl w:val="6"/>
    </w:pPr>
  </w:style>
  <w:style w:type="paragraph" w:styleId="Overskrift8">
    <w:name w:val="heading 8"/>
    <w:basedOn w:val="Normal"/>
    <w:next w:val="Normal"/>
    <w:link w:val="Overskrift8Tegn"/>
    <w:qFormat/>
    <w:rsid w:val="006A6AFC"/>
    <w:pPr>
      <w:numPr>
        <w:ilvl w:val="7"/>
        <w:numId w:val="2"/>
      </w:numPr>
      <w:spacing w:before="240" w:after="60"/>
      <w:outlineLvl w:val="7"/>
    </w:pPr>
    <w:rPr>
      <w:i/>
    </w:rPr>
  </w:style>
  <w:style w:type="paragraph" w:styleId="Overskrift9">
    <w:name w:val="heading 9"/>
    <w:basedOn w:val="Normal"/>
    <w:next w:val="Normal"/>
    <w:link w:val="Overskrift9Tegn"/>
    <w:qFormat/>
    <w:rsid w:val="006A6AFC"/>
    <w:pPr>
      <w:numPr>
        <w:ilvl w:val="8"/>
        <w:numId w:val="2"/>
      </w:numPr>
      <w:spacing w:before="240" w:after="60"/>
      <w:outlineLvl w:val="8"/>
    </w:pPr>
    <w:rPr>
      <w:b/>
      <w:i/>
      <w:sz w:val="18"/>
    </w:rPr>
  </w:style>
  <w:style w:type="character" w:default="1" w:styleId="Standardskriftforavsnitt">
    <w:name w:val="Default Paragraph Font"/>
    <w:uiPriority w:val="1"/>
    <w:unhideWhenUsed/>
    <w:rsid w:val="006A6AFC"/>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6A6AFC"/>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asicParagraph">
    <w:name w:val="[Basic Paragraph]"/>
    <w:basedOn w:val="NoParagraphStyle"/>
    <w:uiPriority w:val="99"/>
    <w:pPr>
      <w:spacing w:line="240" w:lineRule="atLeast"/>
    </w:pPr>
    <w:rPr>
      <w:rFonts w:ascii="Open Sans" w:hAnsi="Open Sans" w:cs="Open Sans"/>
      <w:sz w:val="18"/>
      <w:szCs w:val="18"/>
      <w:lang w:val="nb-NO"/>
    </w:rPr>
  </w:style>
  <w:style w:type="paragraph" w:customStyle="1" w:styleId="PublTittel">
    <w:name w:val="PublTittel"/>
    <w:basedOn w:val="Normal"/>
    <w:qFormat/>
    <w:rsid w:val="006A6AFC"/>
    <w:pPr>
      <w:spacing w:before="80"/>
    </w:pPr>
    <w:rPr>
      <w:sz w:val="48"/>
      <w:szCs w:val="48"/>
    </w:rPr>
  </w:style>
  <w:style w:type="paragraph" w:customStyle="1" w:styleId="UnOverskrift1">
    <w:name w:val="UnOverskrift 1"/>
    <w:basedOn w:val="Overskrift1"/>
    <w:next w:val="Normal"/>
    <w:qFormat/>
    <w:rsid w:val="006A6AFC"/>
    <w:pPr>
      <w:numPr>
        <w:numId w:val="0"/>
      </w:numPr>
    </w:pPr>
  </w:style>
  <w:style w:type="character" w:customStyle="1" w:styleId="Overskrift1Tegn">
    <w:name w:val="Overskrift 1 Tegn"/>
    <w:link w:val="Overskrift1"/>
    <w:rsid w:val="006A6AFC"/>
    <w:rPr>
      <w:rFonts w:ascii="Open Sans" w:eastAsia="Times New Roman" w:hAnsi="Open Sans"/>
      <w:b/>
      <w:kern w:val="28"/>
      <w:sz w:val="32"/>
    </w:rPr>
  </w:style>
  <w:style w:type="paragraph" w:customStyle="1" w:styleId="UnOverskrift2">
    <w:name w:val="UnOverskrift 2"/>
    <w:basedOn w:val="Overskrift2"/>
    <w:next w:val="Normal"/>
    <w:qFormat/>
    <w:rsid w:val="006A6AFC"/>
    <w:pPr>
      <w:numPr>
        <w:ilvl w:val="0"/>
        <w:numId w:val="0"/>
      </w:numPr>
    </w:pPr>
  </w:style>
  <w:style w:type="paragraph" w:styleId="Liste">
    <w:name w:val="List"/>
    <w:basedOn w:val="Nummerertliste"/>
    <w:qFormat/>
    <w:rsid w:val="006A6AFC"/>
    <w:pPr>
      <w:numPr>
        <w:numId w:val="22"/>
      </w:numPr>
      <w:ind w:left="397" w:hanging="397"/>
      <w:contextualSpacing/>
    </w:pPr>
    <w:rPr>
      <w:spacing w:val="4"/>
    </w:rPr>
  </w:style>
  <w:style w:type="paragraph" w:customStyle="1" w:styleId="Listebombe">
    <w:name w:val="Liste bombe"/>
    <w:basedOn w:val="Liste"/>
    <w:qFormat/>
    <w:rsid w:val="006A6AFC"/>
    <w:pPr>
      <w:numPr>
        <w:numId w:val="15"/>
      </w:numPr>
      <w:ind w:left="397" w:hanging="397"/>
    </w:pPr>
  </w:style>
  <w:style w:type="paragraph" w:customStyle="1" w:styleId="friliste">
    <w:name w:val="friliste"/>
    <w:basedOn w:val="Normal"/>
    <w:qFormat/>
    <w:rsid w:val="006A6AFC"/>
    <w:pPr>
      <w:tabs>
        <w:tab w:val="left" w:pos="397"/>
      </w:tabs>
      <w:spacing w:after="0"/>
      <w:ind w:left="397" w:hanging="397"/>
    </w:pPr>
  </w:style>
  <w:style w:type="paragraph" w:styleId="Undertittel">
    <w:name w:val="Subtitle"/>
    <w:basedOn w:val="Overskrift1"/>
    <w:next w:val="Normal"/>
    <w:link w:val="UndertittelTegn"/>
    <w:qFormat/>
    <w:rsid w:val="006A6AFC"/>
    <w:pPr>
      <w:numPr>
        <w:numId w:val="0"/>
      </w:numPr>
      <w:spacing w:before="240"/>
      <w:outlineLvl w:val="9"/>
    </w:pPr>
    <w:rPr>
      <w:spacing w:val="4"/>
      <w:sz w:val="28"/>
    </w:rPr>
  </w:style>
  <w:style w:type="character" w:customStyle="1" w:styleId="UndertittelTegn">
    <w:name w:val="Undertittel Tegn"/>
    <w:link w:val="Undertittel"/>
    <w:rsid w:val="006A6AFC"/>
    <w:rPr>
      <w:rFonts w:ascii="Open Sans" w:eastAsia="Times New Roman" w:hAnsi="Open Sans"/>
      <w:b/>
      <w:spacing w:val="4"/>
      <w:kern w:val="28"/>
      <w:sz w:val="28"/>
    </w:rPr>
  </w:style>
  <w:style w:type="paragraph" w:customStyle="1" w:styleId="avsnitt-undertittel">
    <w:name w:val="avsnitt-undertittel"/>
    <w:basedOn w:val="Undertittel"/>
    <w:next w:val="Normal"/>
    <w:rsid w:val="006A6AFC"/>
    <w:pPr>
      <w:spacing w:line="240" w:lineRule="auto"/>
    </w:pPr>
    <w:rPr>
      <w:rFonts w:eastAsia="Batang"/>
      <w:b w:val="0"/>
      <w:i/>
      <w:sz w:val="24"/>
      <w:szCs w:val="20"/>
    </w:rPr>
  </w:style>
  <w:style w:type="paragraph" w:customStyle="1" w:styleId="opplisting">
    <w:name w:val="opplisting"/>
    <w:basedOn w:val="Liste"/>
    <w:qFormat/>
    <w:rsid w:val="006A6AFC"/>
    <w:pPr>
      <w:numPr>
        <w:numId w:val="0"/>
      </w:numPr>
      <w:tabs>
        <w:tab w:val="left" w:pos="397"/>
      </w:tabs>
    </w:pPr>
    <w:rPr>
      <w:rFonts w:cs="Times New Roman"/>
    </w:rPr>
  </w:style>
  <w:style w:type="paragraph" w:customStyle="1" w:styleId="avsnitt-tittel">
    <w:name w:val="avsnitt-tittel"/>
    <w:basedOn w:val="Undertittel"/>
    <w:next w:val="Normal"/>
    <w:rsid w:val="006A6AFC"/>
    <w:rPr>
      <w:b w:val="0"/>
    </w:rPr>
  </w:style>
  <w:style w:type="paragraph" w:styleId="Fotnotetekst">
    <w:name w:val="footnote text"/>
    <w:basedOn w:val="Normal"/>
    <w:link w:val="FotnotetekstTegn"/>
    <w:rsid w:val="006A6AFC"/>
    <w:rPr>
      <w:spacing w:val="4"/>
    </w:rPr>
  </w:style>
  <w:style w:type="character" w:customStyle="1" w:styleId="FotnotetekstTegn">
    <w:name w:val="Fotnotetekst Tegn"/>
    <w:link w:val="Fotnotetekst"/>
    <w:rsid w:val="006A6AFC"/>
    <w:rPr>
      <w:rFonts w:ascii="Open Sans" w:eastAsia="Times New Roman" w:hAnsi="Open Sans"/>
      <w:spacing w:val="4"/>
    </w:rPr>
  </w:style>
  <w:style w:type="paragraph" w:styleId="Nummerertliste">
    <w:name w:val="List Number"/>
    <w:qFormat/>
    <w:rsid w:val="006A6AFC"/>
    <w:pPr>
      <w:keepLines/>
      <w:numPr>
        <w:numId w:val="28"/>
      </w:numPr>
      <w:tabs>
        <w:tab w:val="num" w:pos="397"/>
      </w:tabs>
      <w:spacing w:after="0" w:line="288" w:lineRule="auto"/>
      <w:ind w:left="397" w:hanging="397"/>
    </w:pPr>
    <w:rPr>
      <w:rFonts w:ascii="Open Sans" w:eastAsia="Batang" w:hAnsi="Open Sans"/>
      <w:szCs w:val="20"/>
    </w:rPr>
  </w:style>
  <w:style w:type="paragraph" w:customStyle="1" w:styleId="alfaliste">
    <w:name w:val="alfaliste"/>
    <w:basedOn w:val="Nummerertliste"/>
    <w:rsid w:val="006A6AFC"/>
    <w:pPr>
      <w:numPr>
        <w:numId w:val="46"/>
      </w:numPr>
    </w:pPr>
    <w:rPr>
      <w:spacing w:val="4"/>
    </w:rPr>
  </w:style>
  <w:style w:type="paragraph" w:customStyle="1" w:styleId="alfaliste2">
    <w:name w:val="alfaliste 2"/>
    <w:basedOn w:val="alfaliste"/>
    <w:next w:val="alfaliste"/>
    <w:rsid w:val="006A6AFC"/>
    <w:pPr>
      <w:numPr>
        <w:numId w:val="27"/>
      </w:numPr>
    </w:pPr>
  </w:style>
  <w:style w:type="paragraph" w:customStyle="1" w:styleId="avsnitt-under-undertittel">
    <w:name w:val="avsnitt-under-undertittel"/>
    <w:basedOn w:val="Undertittel"/>
    <w:next w:val="Normal"/>
    <w:rsid w:val="006A6AFC"/>
    <w:pPr>
      <w:spacing w:line="240" w:lineRule="auto"/>
    </w:pPr>
    <w:rPr>
      <w:rFonts w:eastAsia="Batang"/>
      <w:b w:val="0"/>
      <w:i/>
      <w:sz w:val="22"/>
      <w:szCs w:val="20"/>
    </w:rPr>
  </w:style>
  <w:style w:type="character" w:customStyle="1" w:styleId="Overskrift2Tegn">
    <w:name w:val="Overskrift 2 Tegn"/>
    <w:link w:val="Overskrift2"/>
    <w:rsid w:val="006A6AFC"/>
    <w:rPr>
      <w:rFonts w:ascii="Open Sans" w:eastAsia="Times New Roman" w:hAnsi="Open Sans"/>
      <w:b/>
      <w:spacing w:val="4"/>
      <w:kern w:val="28"/>
      <w:sz w:val="28"/>
    </w:rPr>
  </w:style>
  <w:style w:type="character" w:customStyle="1" w:styleId="Overskrift3Tegn">
    <w:name w:val="Overskrift 3 Tegn"/>
    <w:link w:val="Overskrift3"/>
    <w:rsid w:val="006A6AFC"/>
    <w:rPr>
      <w:rFonts w:ascii="Open Sans" w:eastAsia="Times New Roman" w:hAnsi="Open Sans"/>
      <w:b/>
    </w:rPr>
  </w:style>
  <w:style w:type="character" w:customStyle="1" w:styleId="kursiv">
    <w:name w:val="kursiv"/>
    <w:rsid w:val="006A6AFC"/>
    <w:rPr>
      <w:i/>
    </w:rPr>
  </w:style>
  <w:style w:type="character" w:styleId="Hyperkobling">
    <w:name w:val="Hyperlink"/>
    <w:uiPriority w:val="99"/>
    <w:unhideWhenUsed/>
    <w:rsid w:val="006A6AFC"/>
    <w:rPr>
      <w:color w:val="0563C1"/>
      <w:u w:val="single"/>
    </w:rPr>
  </w:style>
  <w:style w:type="character" w:customStyle="1" w:styleId="skrift-hevet">
    <w:name w:val="skrift-hevet"/>
    <w:rsid w:val="006A6AFC"/>
    <w:rPr>
      <w:sz w:val="20"/>
      <w:vertAlign w:val="superscript"/>
    </w:rPr>
  </w:style>
  <w:style w:type="character" w:customStyle="1" w:styleId="halvfet">
    <w:name w:val="halvfet"/>
    <w:rsid w:val="006A6AFC"/>
    <w:rPr>
      <w:b/>
    </w:rPr>
  </w:style>
  <w:style w:type="character" w:customStyle="1" w:styleId="Regular">
    <w:name w:val="Regular"/>
    <w:uiPriority w:val="99"/>
  </w:style>
  <w:style w:type="character" w:customStyle="1" w:styleId="Overskrift4Tegn">
    <w:name w:val="Overskrift 4 Tegn"/>
    <w:link w:val="Overskrift4"/>
    <w:rsid w:val="006A6AFC"/>
    <w:rPr>
      <w:rFonts w:ascii="Open Sans" w:eastAsia="Times New Roman" w:hAnsi="Open Sans"/>
      <w:i/>
      <w:spacing w:val="4"/>
      <w:kern w:val="28"/>
    </w:rPr>
  </w:style>
  <w:style w:type="character" w:customStyle="1" w:styleId="Overskrift5Tegn">
    <w:name w:val="Overskrift 5 Tegn"/>
    <w:link w:val="Overskrift5"/>
    <w:rsid w:val="006A6AFC"/>
    <w:rPr>
      <w:rFonts w:ascii="Open Sans" w:eastAsia="Times New Roman" w:hAnsi="Open Sans"/>
      <w:kern w:val="28"/>
    </w:rPr>
  </w:style>
  <w:style w:type="character" w:customStyle="1" w:styleId="Overskrift6Tegn">
    <w:name w:val="Overskrift 6 Tegn"/>
    <w:link w:val="Overskrift6"/>
    <w:rsid w:val="006A6AFC"/>
    <w:rPr>
      <w:rFonts w:ascii="Open Sans" w:eastAsia="Times New Roman" w:hAnsi="Open Sans"/>
      <w:i/>
    </w:rPr>
  </w:style>
  <w:style w:type="character" w:customStyle="1" w:styleId="Overskrift7Tegn">
    <w:name w:val="Overskrift 7 Tegn"/>
    <w:link w:val="Overskrift7"/>
    <w:rsid w:val="006A6AFC"/>
    <w:rPr>
      <w:rFonts w:ascii="Open Sans" w:eastAsia="Times New Roman" w:hAnsi="Open Sans"/>
    </w:rPr>
  </w:style>
  <w:style w:type="character" w:customStyle="1" w:styleId="Overskrift8Tegn">
    <w:name w:val="Overskrift 8 Tegn"/>
    <w:link w:val="Overskrift8"/>
    <w:rsid w:val="006A6AFC"/>
    <w:rPr>
      <w:rFonts w:ascii="Open Sans" w:eastAsia="Times New Roman" w:hAnsi="Open Sans"/>
      <w:i/>
    </w:rPr>
  </w:style>
  <w:style w:type="character" w:customStyle="1" w:styleId="Overskrift9Tegn">
    <w:name w:val="Overskrift 9 Tegn"/>
    <w:link w:val="Overskrift9"/>
    <w:rsid w:val="006A6AFC"/>
    <w:rPr>
      <w:rFonts w:ascii="Open Sans" w:eastAsia="Times New Roman" w:hAnsi="Open Sans"/>
      <w:b/>
      <w:i/>
      <w:sz w:val="18"/>
    </w:rPr>
  </w:style>
  <w:style w:type="paragraph" w:customStyle="1" w:styleId="alfaliste3">
    <w:name w:val="alfaliste 3"/>
    <w:basedOn w:val="alfaliste"/>
    <w:autoRedefine/>
    <w:qFormat/>
    <w:rsid w:val="006A6AFC"/>
    <w:pPr>
      <w:numPr>
        <w:numId w:val="33"/>
      </w:numPr>
    </w:pPr>
  </w:style>
  <w:style w:type="paragraph" w:customStyle="1" w:styleId="alfaliste4">
    <w:name w:val="alfaliste 4"/>
    <w:basedOn w:val="alfaliste"/>
    <w:qFormat/>
    <w:rsid w:val="006A6AFC"/>
    <w:pPr>
      <w:numPr>
        <w:numId w:val="34"/>
      </w:numPr>
      <w:ind w:left="1588" w:hanging="397"/>
    </w:pPr>
  </w:style>
  <w:style w:type="paragraph" w:customStyle="1" w:styleId="alfaliste5">
    <w:name w:val="alfaliste 5"/>
    <w:basedOn w:val="alfaliste"/>
    <w:qFormat/>
    <w:rsid w:val="006A6AFC"/>
    <w:pPr>
      <w:numPr>
        <w:numId w:val="35"/>
      </w:numPr>
      <w:ind w:left="1985" w:hanging="397"/>
    </w:pPr>
  </w:style>
  <w:style w:type="paragraph" w:customStyle="1" w:styleId="Def">
    <w:name w:val="Def"/>
    <w:basedOn w:val="Normal"/>
    <w:qFormat/>
    <w:rsid w:val="006A6AFC"/>
  </w:style>
  <w:style w:type="paragraph" w:customStyle="1" w:styleId="figur-beskr">
    <w:name w:val="figur-beskr"/>
    <w:basedOn w:val="Normal"/>
    <w:next w:val="Normal"/>
    <w:rsid w:val="006A6AFC"/>
    <w:rPr>
      <w:spacing w:val="4"/>
    </w:rPr>
  </w:style>
  <w:style w:type="paragraph" w:customStyle="1" w:styleId="figur-tittel">
    <w:name w:val="figur-tittel"/>
    <w:basedOn w:val="Normal"/>
    <w:next w:val="Normal"/>
    <w:rsid w:val="006A6AFC"/>
    <w:pPr>
      <w:numPr>
        <w:ilvl w:val="5"/>
        <w:numId w:val="21"/>
      </w:numPr>
    </w:pPr>
    <w:rPr>
      <w:spacing w:val="4"/>
      <w:sz w:val="28"/>
    </w:rPr>
  </w:style>
  <w:style w:type="paragraph" w:customStyle="1" w:styleId="hengende-innrykk">
    <w:name w:val="hengende-innrykk"/>
    <w:basedOn w:val="Normal"/>
    <w:next w:val="Normal"/>
    <w:rsid w:val="006A6AFC"/>
    <w:pPr>
      <w:ind w:left="1418" w:hanging="1418"/>
    </w:pPr>
    <w:rPr>
      <w:spacing w:val="4"/>
    </w:rPr>
  </w:style>
  <w:style w:type="paragraph" w:customStyle="1" w:styleId="Kilde">
    <w:name w:val="Kilde"/>
    <w:basedOn w:val="Normal"/>
    <w:next w:val="Normal"/>
    <w:rsid w:val="006A6AFC"/>
    <w:pPr>
      <w:spacing w:after="240"/>
    </w:pPr>
    <w:rPr>
      <w:spacing w:val="4"/>
    </w:rPr>
  </w:style>
  <w:style w:type="character" w:customStyle="1" w:styleId="l-endring">
    <w:name w:val="l-endring"/>
    <w:rsid w:val="006A6AFC"/>
    <w:rPr>
      <w:i/>
    </w:rPr>
  </w:style>
  <w:style w:type="paragraph" w:customStyle="1" w:styleId="l-lovdeltit">
    <w:name w:val="l-lovdeltit"/>
    <w:basedOn w:val="Normal"/>
    <w:next w:val="Normal"/>
    <w:rsid w:val="006A6AFC"/>
    <w:pPr>
      <w:keepNext/>
      <w:spacing w:before="120" w:after="60"/>
    </w:pPr>
    <w:rPr>
      <w:b/>
    </w:rPr>
  </w:style>
  <w:style w:type="paragraph" w:customStyle="1" w:styleId="l-lovkap">
    <w:name w:val="l-lovkap"/>
    <w:basedOn w:val="Normal"/>
    <w:next w:val="Normal"/>
    <w:rsid w:val="006A6AFC"/>
    <w:pPr>
      <w:keepNext/>
      <w:spacing w:before="240" w:after="40"/>
    </w:pPr>
    <w:rPr>
      <w:b/>
      <w:spacing w:val="4"/>
    </w:rPr>
  </w:style>
  <w:style w:type="paragraph" w:customStyle="1" w:styleId="l-lovtit">
    <w:name w:val="l-lovtit"/>
    <w:basedOn w:val="Normal"/>
    <w:next w:val="Normal"/>
    <w:rsid w:val="006A6AFC"/>
    <w:pPr>
      <w:keepNext/>
      <w:spacing w:before="120" w:after="60"/>
    </w:pPr>
    <w:rPr>
      <w:b/>
      <w:spacing w:val="4"/>
    </w:rPr>
  </w:style>
  <w:style w:type="paragraph" w:customStyle="1" w:styleId="l-paragraf">
    <w:name w:val="l-paragraf"/>
    <w:basedOn w:val="Normal"/>
    <w:next w:val="Normal"/>
    <w:rsid w:val="006A6AFC"/>
    <w:pPr>
      <w:spacing w:before="180" w:after="0"/>
    </w:pPr>
    <w:rPr>
      <w:rFonts w:ascii="Times" w:hAnsi="Times"/>
      <w:i/>
      <w:spacing w:val="4"/>
    </w:rPr>
  </w:style>
  <w:style w:type="paragraph" w:customStyle="1" w:styleId="Ramme-slutt">
    <w:name w:val="Ramme-slutt"/>
    <w:basedOn w:val="Normal"/>
    <w:qFormat/>
    <w:rsid w:val="006A6AFC"/>
    <w:rPr>
      <w:b/>
      <w:color w:val="C00000"/>
    </w:rPr>
  </w:style>
  <w:style w:type="paragraph" w:customStyle="1" w:styleId="romertallliste">
    <w:name w:val="romertall liste"/>
    <w:basedOn w:val="Nummerertliste"/>
    <w:qFormat/>
    <w:rsid w:val="006A6AFC"/>
    <w:pPr>
      <w:numPr>
        <w:numId w:val="36"/>
      </w:numPr>
      <w:ind w:left="397" w:hanging="397"/>
    </w:pPr>
  </w:style>
  <w:style w:type="paragraph" w:customStyle="1" w:styleId="romertallliste2">
    <w:name w:val="romertall liste 2"/>
    <w:basedOn w:val="romertallliste"/>
    <w:qFormat/>
    <w:rsid w:val="006A6AFC"/>
    <w:pPr>
      <w:numPr>
        <w:numId w:val="37"/>
      </w:numPr>
      <w:ind w:left="794" w:hanging="397"/>
    </w:pPr>
  </w:style>
  <w:style w:type="paragraph" w:customStyle="1" w:styleId="romertallliste3">
    <w:name w:val="romertall liste 3"/>
    <w:basedOn w:val="romertallliste"/>
    <w:qFormat/>
    <w:rsid w:val="006A6AFC"/>
    <w:pPr>
      <w:numPr>
        <w:numId w:val="38"/>
      </w:numPr>
      <w:ind w:left="1191" w:hanging="397"/>
    </w:pPr>
  </w:style>
  <w:style w:type="paragraph" w:customStyle="1" w:styleId="romertallliste4">
    <w:name w:val="romertall liste 4"/>
    <w:basedOn w:val="romertallliste"/>
    <w:qFormat/>
    <w:rsid w:val="006A6AFC"/>
    <w:pPr>
      <w:numPr>
        <w:numId w:val="39"/>
      </w:numPr>
      <w:ind w:left="1588" w:hanging="397"/>
    </w:pPr>
  </w:style>
  <w:style w:type="character" w:customStyle="1" w:styleId="skrift-senket">
    <w:name w:val="skrift-senket"/>
    <w:rsid w:val="006A6AFC"/>
    <w:rPr>
      <w:sz w:val="20"/>
      <w:vertAlign w:val="subscript"/>
    </w:rPr>
  </w:style>
  <w:style w:type="character" w:customStyle="1" w:styleId="sperret">
    <w:name w:val="sperret"/>
    <w:rsid w:val="006A6AFC"/>
    <w:rPr>
      <w:spacing w:val="30"/>
    </w:rPr>
  </w:style>
  <w:style w:type="character" w:customStyle="1" w:styleId="Stikkord">
    <w:name w:val="Stikkord"/>
    <w:basedOn w:val="Standardskriftforavsnitt"/>
    <w:rsid w:val="006A6AFC"/>
  </w:style>
  <w:style w:type="paragraph" w:customStyle="1" w:styleId="Tabellnavn">
    <w:name w:val="Tabellnavn"/>
    <w:basedOn w:val="Normal"/>
    <w:qFormat/>
    <w:rsid w:val="006A6AFC"/>
    <w:rPr>
      <w:rFonts w:ascii="Times" w:hAnsi="Times"/>
      <w:vanish/>
      <w:color w:val="00B050"/>
    </w:rPr>
  </w:style>
  <w:style w:type="paragraph" w:customStyle="1" w:styleId="tabell-tittel">
    <w:name w:val="tabell-tittel"/>
    <w:basedOn w:val="Normal"/>
    <w:next w:val="Normal"/>
    <w:rsid w:val="006A6AFC"/>
    <w:pPr>
      <w:keepNext/>
      <w:keepLines/>
      <w:numPr>
        <w:ilvl w:val="6"/>
        <w:numId w:val="21"/>
      </w:numPr>
      <w:spacing w:before="240"/>
    </w:pPr>
    <w:rPr>
      <w:spacing w:val="4"/>
      <w:sz w:val="28"/>
    </w:rPr>
  </w:style>
  <w:style w:type="paragraph" w:customStyle="1" w:styleId="Term">
    <w:name w:val="Term"/>
    <w:basedOn w:val="Normal"/>
    <w:qFormat/>
    <w:rsid w:val="006A6AFC"/>
  </w:style>
  <w:style w:type="paragraph" w:customStyle="1" w:styleId="tittel-ramme">
    <w:name w:val="tittel-ramme"/>
    <w:basedOn w:val="Normal"/>
    <w:next w:val="Normal"/>
    <w:rsid w:val="006A6AFC"/>
    <w:pPr>
      <w:keepNext/>
      <w:keepLines/>
      <w:numPr>
        <w:ilvl w:val="7"/>
        <w:numId w:val="21"/>
      </w:numPr>
      <w:spacing w:before="360" w:after="80"/>
      <w:jc w:val="center"/>
    </w:pPr>
    <w:rPr>
      <w:b/>
      <w:spacing w:val="4"/>
      <w:sz w:val="24"/>
    </w:rPr>
  </w:style>
  <w:style w:type="table" w:customStyle="1" w:styleId="Tabell-VM">
    <w:name w:val="Tabell-VM"/>
    <w:basedOn w:val="Tabelltemaer"/>
    <w:uiPriority w:val="99"/>
    <w:qFormat/>
    <w:rsid w:val="006A6AFC"/>
    <w:tblPr/>
    <w:tcPr>
      <w:shd w:val="clear" w:color="auto" w:fill="auto"/>
    </w:tcPr>
    <w:tblStylePr w:type="firstRow">
      <w:tblPr/>
      <w:tcPr>
        <w:shd w:val="clear" w:color="auto" w:fill="DEEAF6"/>
      </w:tcPr>
    </w:tblStylePr>
  </w:style>
  <w:style w:type="table" w:styleId="Tabelltemaer">
    <w:name w:val="Table Theme"/>
    <w:basedOn w:val="Vanligtabell"/>
    <w:uiPriority w:val="99"/>
    <w:semiHidden/>
    <w:unhideWhenUsed/>
    <w:rsid w:val="006A6A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6A6AFC"/>
    <w:tblPr/>
    <w:tcPr>
      <w:shd w:val="clear" w:color="auto" w:fill="auto"/>
    </w:tcPr>
    <w:tblStylePr w:type="firstRow">
      <w:tblPr/>
      <w:tcPr>
        <w:shd w:val="clear" w:color="auto" w:fill="DEEAF6"/>
      </w:tcPr>
    </w:tblStylePr>
  </w:style>
  <w:style w:type="table" w:customStyle="1" w:styleId="SbudTabell-0">
    <w:name w:val="SbudTabell-0"/>
    <w:basedOn w:val="Vanligtabell"/>
    <w:uiPriority w:val="99"/>
    <w:qFormat/>
    <w:rsid w:val="006A6AF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6A6AFC"/>
    <w:pPr>
      <w:spacing w:after="0" w:line="240"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cPr>
    </w:tblStylePr>
  </w:style>
  <w:style w:type="table" w:customStyle="1" w:styleId="StandardTabell">
    <w:name w:val="StandardTabell"/>
    <w:basedOn w:val="Vanligtabell"/>
    <w:uiPriority w:val="99"/>
    <w:qFormat/>
    <w:rsid w:val="006A6AFC"/>
    <w:pPr>
      <w:spacing w:after="0" w:line="240"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6A6AFC"/>
    <w:pPr>
      <w:spacing w:after="0" w:line="240"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6A6AFC"/>
    <w:pPr>
      <w:numPr>
        <w:numId w:val="20"/>
      </w:numPr>
    </w:pPr>
  </w:style>
  <w:style w:type="paragraph" w:customStyle="1" w:styleId="Figur">
    <w:name w:val="Figur"/>
    <w:basedOn w:val="Normal"/>
    <w:rsid w:val="006A6AFC"/>
    <w:pPr>
      <w:suppressAutoHyphens/>
      <w:spacing w:before="400" w:line="240" w:lineRule="auto"/>
      <w:jc w:val="center"/>
    </w:pPr>
    <w:rPr>
      <w:b/>
      <w:color w:val="FF0000"/>
    </w:rPr>
  </w:style>
  <w:style w:type="paragraph" w:customStyle="1" w:styleId="l-ledd">
    <w:name w:val="l-ledd"/>
    <w:basedOn w:val="Normal"/>
    <w:qFormat/>
    <w:rsid w:val="006A6AFC"/>
    <w:pPr>
      <w:spacing w:after="0"/>
      <w:ind w:firstLine="397"/>
    </w:pPr>
    <w:rPr>
      <w:rFonts w:ascii="Times" w:hAnsi="Times"/>
      <w:spacing w:val="4"/>
    </w:rPr>
  </w:style>
  <w:style w:type="paragraph" w:customStyle="1" w:styleId="l-punktum">
    <w:name w:val="l-punktum"/>
    <w:basedOn w:val="Normal"/>
    <w:qFormat/>
    <w:rsid w:val="006A6AFC"/>
    <w:pPr>
      <w:spacing w:after="0"/>
    </w:pPr>
    <w:rPr>
      <w:spacing w:val="4"/>
    </w:rPr>
  </w:style>
  <w:style w:type="paragraph" w:customStyle="1" w:styleId="l-tit-endr-lovkap">
    <w:name w:val="l-tit-endr-lovkap"/>
    <w:basedOn w:val="Normal"/>
    <w:qFormat/>
    <w:rsid w:val="006A6AFC"/>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6A6AFC"/>
    <w:pPr>
      <w:keepNext/>
      <w:spacing w:before="240" w:after="0" w:line="240" w:lineRule="auto"/>
    </w:pPr>
    <w:rPr>
      <w:rFonts w:ascii="Times" w:hAnsi="Times"/>
      <w:noProof/>
      <w:spacing w:val="4"/>
      <w:lang w:val="nn-NO"/>
    </w:rPr>
  </w:style>
  <w:style w:type="paragraph" w:customStyle="1" w:styleId="l-tit-endr-lov">
    <w:name w:val="l-tit-endr-lov"/>
    <w:basedOn w:val="Normal"/>
    <w:qFormat/>
    <w:rsid w:val="006A6AFC"/>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6A6AFC"/>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6A6AFC"/>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6A6AFC"/>
  </w:style>
  <w:style w:type="paragraph" w:customStyle="1" w:styleId="l-alfaliste">
    <w:name w:val="l-alfaliste"/>
    <w:basedOn w:val="alfaliste"/>
    <w:qFormat/>
    <w:rsid w:val="006A6AFC"/>
    <w:pPr>
      <w:numPr>
        <w:numId w:val="0"/>
      </w:numPr>
    </w:pPr>
    <w:rPr>
      <w:rFonts w:eastAsia="Times New Roman"/>
    </w:rPr>
  </w:style>
  <w:style w:type="numbering" w:customStyle="1" w:styleId="AlfaListeStil">
    <w:name w:val="AlfaListeStil"/>
    <w:uiPriority w:val="99"/>
    <w:rsid w:val="006A6AFC"/>
    <w:pPr>
      <w:numPr>
        <w:numId w:val="46"/>
      </w:numPr>
    </w:pPr>
  </w:style>
  <w:style w:type="paragraph" w:customStyle="1" w:styleId="l-alfaliste2">
    <w:name w:val="l-alfaliste 2"/>
    <w:basedOn w:val="alfaliste2"/>
    <w:qFormat/>
    <w:rsid w:val="006A6AFC"/>
    <w:pPr>
      <w:numPr>
        <w:numId w:val="0"/>
      </w:numPr>
    </w:pPr>
  </w:style>
  <w:style w:type="paragraph" w:customStyle="1" w:styleId="l-alfaliste3">
    <w:name w:val="l-alfaliste 3"/>
    <w:basedOn w:val="alfaliste3"/>
    <w:qFormat/>
    <w:rsid w:val="006A6AFC"/>
    <w:pPr>
      <w:numPr>
        <w:numId w:val="0"/>
      </w:numPr>
    </w:pPr>
  </w:style>
  <w:style w:type="paragraph" w:customStyle="1" w:styleId="l-alfaliste4">
    <w:name w:val="l-alfaliste 4"/>
    <w:basedOn w:val="alfaliste4"/>
    <w:qFormat/>
    <w:rsid w:val="006A6AFC"/>
    <w:pPr>
      <w:numPr>
        <w:numId w:val="0"/>
      </w:numPr>
    </w:pPr>
  </w:style>
  <w:style w:type="paragraph" w:customStyle="1" w:styleId="l-alfaliste5">
    <w:name w:val="l-alfaliste 5"/>
    <w:basedOn w:val="alfaliste5"/>
    <w:qFormat/>
    <w:rsid w:val="006A6AFC"/>
    <w:pPr>
      <w:numPr>
        <w:numId w:val="0"/>
      </w:numPr>
    </w:pPr>
  </w:style>
  <w:style w:type="numbering" w:customStyle="1" w:styleId="l-AlfaListeStil">
    <w:name w:val="l-AlfaListeStil"/>
    <w:uiPriority w:val="99"/>
    <w:rsid w:val="006A6AFC"/>
  </w:style>
  <w:style w:type="numbering" w:customStyle="1" w:styleId="l-NummerertListeStil">
    <w:name w:val="l-NummerertListeStil"/>
    <w:uiPriority w:val="99"/>
    <w:rsid w:val="006A6AFC"/>
    <w:pPr>
      <w:numPr>
        <w:numId w:val="9"/>
      </w:numPr>
    </w:pPr>
  </w:style>
  <w:style w:type="numbering" w:customStyle="1" w:styleId="NrListeStil">
    <w:name w:val="NrListeStil"/>
    <w:uiPriority w:val="99"/>
    <w:rsid w:val="006A6AFC"/>
    <w:pPr>
      <w:numPr>
        <w:numId w:val="10"/>
      </w:numPr>
    </w:pPr>
  </w:style>
  <w:style w:type="numbering" w:customStyle="1" w:styleId="OpplistingListeStil">
    <w:name w:val="OpplistingListeStil"/>
    <w:uiPriority w:val="99"/>
    <w:rsid w:val="006A6AFC"/>
    <w:pPr>
      <w:numPr>
        <w:numId w:val="45"/>
      </w:numPr>
    </w:pPr>
  </w:style>
  <w:style w:type="numbering" w:customStyle="1" w:styleId="OverskrifterListeStil">
    <w:name w:val="OverskrifterListeStil"/>
    <w:uiPriority w:val="99"/>
    <w:rsid w:val="006A6AFC"/>
    <w:pPr>
      <w:numPr>
        <w:numId w:val="12"/>
      </w:numPr>
    </w:pPr>
  </w:style>
  <w:style w:type="numbering" w:customStyle="1" w:styleId="RomListeStil">
    <w:name w:val="RomListeStil"/>
    <w:uiPriority w:val="99"/>
    <w:rsid w:val="006A6AFC"/>
    <w:pPr>
      <w:numPr>
        <w:numId w:val="13"/>
      </w:numPr>
    </w:pPr>
  </w:style>
  <w:style w:type="numbering" w:customStyle="1" w:styleId="StrekListeStil">
    <w:name w:val="StrekListeStil"/>
    <w:uiPriority w:val="99"/>
    <w:rsid w:val="006A6AFC"/>
    <w:pPr>
      <w:numPr>
        <w:numId w:val="14"/>
      </w:numPr>
    </w:pPr>
  </w:style>
  <w:style w:type="paragraph" w:customStyle="1" w:styleId="romertallliste5">
    <w:name w:val="romertall liste 5"/>
    <w:basedOn w:val="romertallliste"/>
    <w:qFormat/>
    <w:rsid w:val="006A6AFC"/>
    <w:pPr>
      <w:numPr>
        <w:numId w:val="40"/>
      </w:numPr>
      <w:ind w:left="1985" w:hanging="397"/>
    </w:pPr>
    <w:rPr>
      <w:spacing w:val="4"/>
    </w:rPr>
  </w:style>
  <w:style w:type="paragraph" w:customStyle="1" w:styleId="opplisting2">
    <w:name w:val="opplisting 2"/>
    <w:basedOn w:val="opplisting"/>
    <w:qFormat/>
    <w:rsid w:val="006A6AFC"/>
    <w:pPr>
      <w:ind w:left="397"/>
    </w:pPr>
    <w:rPr>
      <w:lang w:val="en-US"/>
    </w:rPr>
  </w:style>
  <w:style w:type="paragraph" w:customStyle="1" w:styleId="opplisting3">
    <w:name w:val="opplisting 3"/>
    <w:basedOn w:val="opplisting"/>
    <w:qFormat/>
    <w:rsid w:val="006A6AFC"/>
    <w:pPr>
      <w:ind w:left="794"/>
    </w:pPr>
  </w:style>
  <w:style w:type="paragraph" w:customStyle="1" w:styleId="opplisting4">
    <w:name w:val="opplisting 4"/>
    <w:basedOn w:val="opplisting"/>
    <w:qFormat/>
    <w:rsid w:val="006A6AFC"/>
    <w:pPr>
      <w:ind w:left="1191"/>
    </w:pPr>
  </w:style>
  <w:style w:type="paragraph" w:customStyle="1" w:styleId="opplisting5">
    <w:name w:val="opplisting 5"/>
    <w:basedOn w:val="opplisting"/>
    <w:qFormat/>
    <w:rsid w:val="006A6AFC"/>
    <w:pPr>
      <w:ind w:left="1588"/>
    </w:pPr>
  </w:style>
  <w:style w:type="paragraph" w:customStyle="1" w:styleId="friliste2">
    <w:name w:val="friliste 2"/>
    <w:basedOn w:val="friliste"/>
    <w:qFormat/>
    <w:rsid w:val="006A6AFC"/>
    <w:pPr>
      <w:tabs>
        <w:tab w:val="left" w:pos="794"/>
      </w:tabs>
      <w:spacing w:before="0"/>
      <w:ind w:left="794"/>
    </w:pPr>
  </w:style>
  <w:style w:type="paragraph" w:customStyle="1" w:styleId="friliste3">
    <w:name w:val="friliste 3"/>
    <w:basedOn w:val="friliste"/>
    <w:qFormat/>
    <w:rsid w:val="006A6AFC"/>
    <w:pPr>
      <w:tabs>
        <w:tab w:val="left" w:pos="1191"/>
      </w:tabs>
      <w:spacing w:before="0"/>
      <w:ind w:left="1191"/>
    </w:pPr>
  </w:style>
  <w:style w:type="paragraph" w:customStyle="1" w:styleId="friliste4">
    <w:name w:val="friliste 4"/>
    <w:basedOn w:val="friliste"/>
    <w:qFormat/>
    <w:rsid w:val="006A6AFC"/>
    <w:pPr>
      <w:tabs>
        <w:tab w:val="left" w:pos="1588"/>
      </w:tabs>
      <w:spacing w:before="0"/>
      <w:ind w:left="1588"/>
    </w:pPr>
  </w:style>
  <w:style w:type="paragraph" w:customStyle="1" w:styleId="friliste5">
    <w:name w:val="friliste 5"/>
    <w:basedOn w:val="friliste"/>
    <w:qFormat/>
    <w:rsid w:val="006A6AFC"/>
    <w:pPr>
      <w:tabs>
        <w:tab w:val="left" w:pos="1985"/>
      </w:tabs>
      <w:spacing w:before="0"/>
      <w:ind w:left="1985"/>
    </w:pPr>
  </w:style>
  <w:style w:type="paragraph" w:customStyle="1" w:styleId="blokksit">
    <w:name w:val="blokksit"/>
    <w:basedOn w:val="Normal"/>
    <w:autoRedefine/>
    <w:qFormat/>
    <w:rsid w:val="006A6AFC"/>
    <w:pPr>
      <w:spacing w:line="240" w:lineRule="auto"/>
      <w:ind w:left="397"/>
    </w:pPr>
    <w:rPr>
      <w:spacing w:val="-2"/>
    </w:rPr>
  </w:style>
  <w:style w:type="character" w:customStyle="1" w:styleId="regular0">
    <w:name w:val="regular"/>
    <w:uiPriority w:val="1"/>
    <w:qFormat/>
    <w:rsid w:val="006A6AFC"/>
    <w:rPr>
      <w:i/>
    </w:rPr>
  </w:style>
  <w:style w:type="character" w:customStyle="1" w:styleId="gjennomstreket">
    <w:name w:val="gjennomstreket"/>
    <w:uiPriority w:val="1"/>
    <w:rsid w:val="006A6AFC"/>
    <w:rPr>
      <w:strike/>
      <w:dstrike w:val="0"/>
    </w:rPr>
  </w:style>
  <w:style w:type="paragraph" w:customStyle="1" w:styleId="l-avsnitt">
    <w:name w:val="l-avsnitt"/>
    <w:basedOn w:val="l-lovkap"/>
    <w:qFormat/>
    <w:rsid w:val="006A6AFC"/>
    <w:rPr>
      <w:lang w:val="nn-NO"/>
    </w:rPr>
  </w:style>
  <w:style w:type="paragraph" w:customStyle="1" w:styleId="l-tit-endr-avsnitt">
    <w:name w:val="l-tit-endr-avsnitt"/>
    <w:basedOn w:val="l-tit-endr-lovkap"/>
    <w:qFormat/>
    <w:rsid w:val="006A6AFC"/>
  </w:style>
  <w:style w:type="paragraph" w:customStyle="1" w:styleId="Listebombe2">
    <w:name w:val="Liste bombe 2"/>
    <w:basedOn w:val="Liste2"/>
    <w:qFormat/>
    <w:rsid w:val="006A6AFC"/>
    <w:pPr>
      <w:numPr>
        <w:numId w:val="16"/>
      </w:numPr>
      <w:ind w:left="794" w:hanging="397"/>
    </w:pPr>
  </w:style>
  <w:style w:type="paragraph" w:styleId="Liste2">
    <w:name w:val="List 2"/>
    <w:basedOn w:val="Liste"/>
    <w:qFormat/>
    <w:rsid w:val="006A6AFC"/>
    <w:pPr>
      <w:numPr>
        <w:numId w:val="23"/>
      </w:numPr>
      <w:ind w:left="794" w:hanging="397"/>
    </w:pPr>
  </w:style>
  <w:style w:type="paragraph" w:customStyle="1" w:styleId="Listebombe3">
    <w:name w:val="Liste bombe 3"/>
    <w:basedOn w:val="Liste3"/>
    <w:qFormat/>
    <w:rsid w:val="006A6AFC"/>
    <w:pPr>
      <w:numPr>
        <w:numId w:val="17"/>
      </w:numPr>
      <w:ind w:left="1191" w:hanging="397"/>
    </w:pPr>
  </w:style>
  <w:style w:type="paragraph" w:styleId="Liste3">
    <w:name w:val="List 3"/>
    <w:basedOn w:val="Liste"/>
    <w:qFormat/>
    <w:rsid w:val="006A6AFC"/>
    <w:pPr>
      <w:numPr>
        <w:numId w:val="24"/>
      </w:numPr>
      <w:ind w:left="1191" w:hanging="397"/>
    </w:pPr>
  </w:style>
  <w:style w:type="paragraph" w:customStyle="1" w:styleId="Listebombe4">
    <w:name w:val="Liste bombe 4"/>
    <w:basedOn w:val="Liste4"/>
    <w:qFormat/>
    <w:rsid w:val="006A6AFC"/>
    <w:pPr>
      <w:numPr>
        <w:numId w:val="18"/>
      </w:numPr>
      <w:ind w:left="1588" w:hanging="397"/>
    </w:pPr>
  </w:style>
  <w:style w:type="paragraph" w:styleId="Liste4">
    <w:name w:val="List 4"/>
    <w:basedOn w:val="Liste"/>
    <w:qFormat/>
    <w:rsid w:val="006A6AFC"/>
    <w:pPr>
      <w:numPr>
        <w:numId w:val="25"/>
      </w:numPr>
      <w:ind w:left="1588" w:hanging="397"/>
    </w:pPr>
  </w:style>
  <w:style w:type="paragraph" w:customStyle="1" w:styleId="Listebombe5">
    <w:name w:val="Liste bombe 5"/>
    <w:basedOn w:val="Liste5"/>
    <w:qFormat/>
    <w:rsid w:val="006A6AFC"/>
    <w:pPr>
      <w:numPr>
        <w:numId w:val="19"/>
      </w:numPr>
      <w:ind w:left="1985" w:hanging="397"/>
    </w:pPr>
  </w:style>
  <w:style w:type="paragraph" w:styleId="Liste5">
    <w:name w:val="List 5"/>
    <w:basedOn w:val="Liste"/>
    <w:qFormat/>
    <w:rsid w:val="006A6AFC"/>
    <w:pPr>
      <w:numPr>
        <w:numId w:val="26"/>
      </w:numPr>
      <w:ind w:left="1985" w:hanging="397"/>
    </w:pPr>
  </w:style>
  <w:style w:type="paragraph" w:customStyle="1" w:styleId="Listeavsnitt2">
    <w:name w:val="Listeavsnitt 2"/>
    <w:basedOn w:val="Listeavsnitt"/>
    <w:qFormat/>
    <w:rsid w:val="006A6AFC"/>
    <w:pPr>
      <w:ind w:left="794"/>
    </w:pPr>
  </w:style>
  <w:style w:type="paragraph" w:customStyle="1" w:styleId="Listeavsnitt3">
    <w:name w:val="Listeavsnitt 3"/>
    <w:basedOn w:val="Listeavsnitt"/>
    <w:qFormat/>
    <w:rsid w:val="006A6AFC"/>
    <w:pPr>
      <w:ind w:left="1191"/>
    </w:pPr>
  </w:style>
  <w:style w:type="paragraph" w:customStyle="1" w:styleId="Listeavsnitt4">
    <w:name w:val="Listeavsnitt 4"/>
    <w:basedOn w:val="Listeavsnitt"/>
    <w:qFormat/>
    <w:rsid w:val="006A6AFC"/>
    <w:pPr>
      <w:ind w:left="1588"/>
    </w:pPr>
  </w:style>
  <w:style w:type="paragraph" w:customStyle="1" w:styleId="Listeavsnitt5">
    <w:name w:val="Listeavsnitt 5"/>
    <w:basedOn w:val="Listeavsnitt"/>
    <w:qFormat/>
    <w:rsid w:val="006A6AFC"/>
    <w:pPr>
      <w:ind w:left="1985"/>
    </w:pPr>
  </w:style>
  <w:style w:type="paragraph" w:customStyle="1" w:styleId="Petit">
    <w:name w:val="Petit"/>
    <w:basedOn w:val="Normal"/>
    <w:next w:val="Normal"/>
    <w:qFormat/>
    <w:rsid w:val="006A6AFC"/>
    <w:rPr>
      <w:spacing w:val="6"/>
      <w:sz w:val="19"/>
    </w:rPr>
  </w:style>
  <w:style w:type="paragraph" w:customStyle="1" w:styleId="TrykkeriMerknad">
    <w:name w:val="TrykkeriMerknad"/>
    <w:basedOn w:val="Normal"/>
    <w:qFormat/>
    <w:rsid w:val="006A6AFC"/>
    <w:pPr>
      <w:spacing w:before="60"/>
    </w:pPr>
    <w:rPr>
      <w:color w:val="C45911"/>
      <w:spacing w:val="4"/>
      <w:sz w:val="26"/>
    </w:rPr>
  </w:style>
  <w:style w:type="paragraph" w:customStyle="1" w:styleId="ForfatterMerknad">
    <w:name w:val="ForfatterMerknad"/>
    <w:basedOn w:val="TrykkeriMerknad"/>
    <w:qFormat/>
    <w:rsid w:val="006A6AFC"/>
    <w:pPr>
      <w:shd w:val="clear" w:color="auto" w:fill="FFFF99"/>
      <w:spacing w:line="240" w:lineRule="auto"/>
    </w:pPr>
    <w:rPr>
      <w:color w:val="833C0B"/>
    </w:rPr>
  </w:style>
  <w:style w:type="paragraph" w:customStyle="1" w:styleId="UnOverskrift3">
    <w:name w:val="UnOverskrift 3"/>
    <w:basedOn w:val="Overskrift3"/>
    <w:next w:val="Normal"/>
    <w:qFormat/>
    <w:rsid w:val="006A6AFC"/>
    <w:pPr>
      <w:numPr>
        <w:ilvl w:val="0"/>
        <w:numId w:val="0"/>
      </w:numPr>
    </w:pPr>
  </w:style>
  <w:style w:type="paragraph" w:customStyle="1" w:styleId="UnOverskrift4">
    <w:name w:val="UnOverskrift 4"/>
    <w:basedOn w:val="Overskrift4"/>
    <w:next w:val="Normal"/>
    <w:qFormat/>
    <w:rsid w:val="006A6AFC"/>
    <w:pPr>
      <w:numPr>
        <w:ilvl w:val="0"/>
        <w:numId w:val="0"/>
      </w:numPr>
    </w:pPr>
  </w:style>
  <w:style w:type="paragraph" w:customStyle="1" w:styleId="UnOverskrift5">
    <w:name w:val="UnOverskrift 5"/>
    <w:basedOn w:val="Overskrift5"/>
    <w:next w:val="Normal"/>
    <w:qFormat/>
    <w:rsid w:val="006A6AFC"/>
    <w:pPr>
      <w:numPr>
        <w:ilvl w:val="0"/>
        <w:numId w:val="0"/>
      </w:numPr>
    </w:pPr>
  </w:style>
  <w:style w:type="paragraph" w:customStyle="1" w:styleId="Ingress">
    <w:name w:val="Ingress"/>
    <w:basedOn w:val="Normal"/>
    <w:qFormat/>
    <w:rsid w:val="006A6AFC"/>
    <w:rPr>
      <w:i/>
    </w:rPr>
  </w:style>
  <w:style w:type="paragraph" w:customStyle="1" w:styleId="Note">
    <w:name w:val="Note"/>
    <w:basedOn w:val="Normal"/>
    <w:qFormat/>
    <w:rsid w:val="006A6AFC"/>
  </w:style>
  <w:style w:type="paragraph" w:customStyle="1" w:styleId="FigurAltTekst">
    <w:name w:val="FigurAltTekst"/>
    <w:basedOn w:val="Note"/>
    <w:qFormat/>
    <w:rsid w:val="006A6AFC"/>
    <w:rPr>
      <w:color w:val="7030A0"/>
    </w:rPr>
  </w:style>
  <w:style w:type="paragraph" w:customStyle="1" w:styleId="meta-dep">
    <w:name w:val="meta-dep"/>
    <w:basedOn w:val="Normal"/>
    <w:next w:val="Normal"/>
    <w:qFormat/>
    <w:rsid w:val="006A6AFC"/>
    <w:rPr>
      <w:rFonts w:ascii="Courier New" w:hAnsi="Courier New"/>
      <w:vanish/>
      <w:color w:val="C00000"/>
      <w:sz w:val="28"/>
    </w:rPr>
  </w:style>
  <w:style w:type="paragraph" w:customStyle="1" w:styleId="meta-depavd">
    <w:name w:val="meta-depavd"/>
    <w:basedOn w:val="meta-dep"/>
    <w:next w:val="Normal"/>
    <w:qFormat/>
    <w:rsid w:val="006A6AFC"/>
  </w:style>
  <w:style w:type="paragraph" w:customStyle="1" w:styleId="meta-forf">
    <w:name w:val="meta-forf"/>
    <w:basedOn w:val="meta-dep"/>
    <w:next w:val="Normal"/>
    <w:qFormat/>
    <w:rsid w:val="006A6AFC"/>
  </w:style>
  <w:style w:type="paragraph" w:customStyle="1" w:styleId="meta-spr">
    <w:name w:val="meta-spr"/>
    <w:basedOn w:val="meta-dep"/>
    <w:next w:val="Normal"/>
    <w:qFormat/>
    <w:rsid w:val="006A6AFC"/>
  </w:style>
  <w:style w:type="paragraph" w:customStyle="1" w:styleId="meta-ingress">
    <w:name w:val="meta-ingress"/>
    <w:basedOn w:val="meta-dep"/>
    <w:next w:val="Normal"/>
    <w:qFormat/>
    <w:rsid w:val="006A6AFC"/>
    <w:rPr>
      <w:color w:val="1F4E79"/>
      <w:sz w:val="24"/>
    </w:rPr>
  </w:style>
  <w:style w:type="paragraph" w:customStyle="1" w:styleId="meta-sperrefrist">
    <w:name w:val="meta-sperrefrist"/>
    <w:basedOn w:val="meta-dep"/>
    <w:next w:val="Normal"/>
    <w:qFormat/>
    <w:rsid w:val="006A6AFC"/>
  </w:style>
  <w:style w:type="paragraph" w:customStyle="1" w:styleId="meta-objUrl">
    <w:name w:val="meta-objUrl"/>
    <w:basedOn w:val="meta-dep"/>
    <w:next w:val="Normal"/>
    <w:qFormat/>
    <w:rsid w:val="006A6AFC"/>
    <w:rPr>
      <w:color w:val="7030A0"/>
    </w:rPr>
  </w:style>
  <w:style w:type="paragraph" w:customStyle="1" w:styleId="meta-dokFormat">
    <w:name w:val="meta-dokFormat"/>
    <w:basedOn w:val="meta-dep"/>
    <w:next w:val="Normal"/>
    <w:qFormat/>
    <w:rsid w:val="006A6AFC"/>
    <w:rPr>
      <w:color w:val="7030A0"/>
    </w:rPr>
  </w:style>
  <w:style w:type="paragraph" w:customStyle="1" w:styleId="TabellHode-rad">
    <w:name w:val="TabellHode-rad"/>
    <w:basedOn w:val="Normal"/>
    <w:qFormat/>
    <w:rsid w:val="006A6AFC"/>
    <w:pPr>
      <w:shd w:val="clear" w:color="auto" w:fill="E2EFD9"/>
    </w:pPr>
  </w:style>
  <w:style w:type="paragraph" w:customStyle="1" w:styleId="TabellHode-kolonne">
    <w:name w:val="TabellHode-kolonne"/>
    <w:basedOn w:val="TabellHode-rad"/>
    <w:qFormat/>
    <w:rsid w:val="006A6AFC"/>
    <w:pPr>
      <w:shd w:val="clear" w:color="auto" w:fill="DEEAF6"/>
    </w:pPr>
  </w:style>
  <w:style w:type="paragraph" w:styleId="Indeks1">
    <w:name w:val="index 1"/>
    <w:basedOn w:val="Normal"/>
    <w:next w:val="Normal"/>
    <w:autoRedefine/>
    <w:uiPriority w:val="99"/>
    <w:semiHidden/>
    <w:unhideWhenUsed/>
    <w:rsid w:val="006A6AFC"/>
    <w:pPr>
      <w:spacing w:after="0" w:line="240" w:lineRule="auto"/>
      <w:ind w:left="240" w:hanging="240"/>
    </w:pPr>
  </w:style>
  <w:style w:type="paragraph" w:styleId="Indeks2">
    <w:name w:val="index 2"/>
    <w:basedOn w:val="Normal"/>
    <w:next w:val="Normal"/>
    <w:autoRedefine/>
    <w:uiPriority w:val="99"/>
    <w:semiHidden/>
    <w:unhideWhenUsed/>
    <w:rsid w:val="006A6AFC"/>
    <w:pPr>
      <w:spacing w:after="0" w:line="240" w:lineRule="auto"/>
      <w:ind w:left="480" w:hanging="240"/>
    </w:pPr>
  </w:style>
  <w:style w:type="paragraph" w:styleId="Indeks3">
    <w:name w:val="index 3"/>
    <w:basedOn w:val="Normal"/>
    <w:next w:val="Normal"/>
    <w:autoRedefine/>
    <w:uiPriority w:val="99"/>
    <w:semiHidden/>
    <w:unhideWhenUsed/>
    <w:rsid w:val="006A6AFC"/>
    <w:pPr>
      <w:spacing w:after="0" w:line="240" w:lineRule="auto"/>
      <w:ind w:left="720" w:hanging="240"/>
    </w:pPr>
  </w:style>
  <w:style w:type="paragraph" w:styleId="Indeks4">
    <w:name w:val="index 4"/>
    <w:basedOn w:val="Normal"/>
    <w:next w:val="Normal"/>
    <w:autoRedefine/>
    <w:uiPriority w:val="99"/>
    <w:semiHidden/>
    <w:unhideWhenUsed/>
    <w:rsid w:val="006A6AFC"/>
    <w:pPr>
      <w:spacing w:after="0" w:line="240" w:lineRule="auto"/>
      <w:ind w:left="960" w:hanging="240"/>
    </w:pPr>
  </w:style>
  <w:style w:type="paragraph" w:styleId="Indeks5">
    <w:name w:val="index 5"/>
    <w:basedOn w:val="Normal"/>
    <w:next w:val="Normal"/>
    <w:autoRedefine/>
    <w:uiPriority w:val="99"/>
    <w:semiHidden/>
    <w:unhideWhenUsed/>
    <w:rsid w:val="006A6AFC"/>
    <w:pPr>
      <w:spacing w:after="0" w:line="240" w:lineRule="auto"/>
      <w:ind w:left="1200" w:hanging="240"/>
    </w:pPr>
  </w:style>
  <w:style w:type="paragraph" w:styleId="Indeks6">
    <w:name w:val="index 6"/>
    <w:basedOn w:val="Normal"/>
    <w:next w:val="Normal"/>
    <w:autoRedefine/>
    <w:uiPriority w:val="99"/>
    <w:semiHidden/>
    <w:unhideWhenUsed/>
    <w:rsid w:val="006A6AFC"/>
    <w:pPr>
      <w:spacing w:after="0" w:line="240" w:lineRule="auto"/>
      <w:ind w:left="1440" w:hanging="240"/>
    </w:pPr>
  </w:style>
  <w:style w:type="paragraph" w:styleId="Indeks7">
    <w:name w:val="index 7"/>
    <w:basedOn w:val="Normal"/>
    <w:next w:val="Normal"/>
    <w:autoRedefine/>
    <w:uiPriority w:val="99"/>
    <w:semiHidden/>
    <w:unhideWhenUsed/>
    <w:rsid w:val="006A6AFC"/>
    <w:pPr>
      <w:spacing w:after="0" w:line="240" w:lineRule="auto"/>
      <w:ind w:left="1680" w:hanging="240"/>
    </w:pPr>
  </w:style>
  <w:style w:type="paragraph" w:styleId="Indeks8">
    <w:name w:val="index 8"/>
    <w:basedOn w:val="Normal"/>
    <w:next w:val="Normal"/>
    <w:autoRedefine/>
    <w:uiPriority w:val="99"/>
    <w:semiHidden/>
    <w:unhideWhenUsed/>
    <w:rsid w:val="006A6AFC"/>
    <w:pPr>
      <w:spacing w:after="0" w:line="240" w:lineRule="auto"/>
      <w:ind w:left="1920" w:hanging="240"/>
    </w:pPr>
  </w:style>
  <w:style w:type="paragraph" w:styleId="Indeks9">
    <w:name w:val="index 9"/>
    <w:basedOn w:val="Normal"/>
    <w:next w:val="Normal"/>
    <w:autoRedefine/>
    <w:uiPriority w:val="99"/>
    <w:semiHidden/>
    <w:unhideWhenUsed/>
    <w:rsid w:val="006A6AFC"/>
    <w:pPr>
      <w:spacing w:after="0" w:line="240" w:lineRule="auto"/>
      <w:ind w:left="2160" w:hanging="240"/>
    </w:pPr>
  </w:style>
  <w:style w:type="paragraph" w:styleId="INNH1">
    <w:name w:val="toc 1"/>
    <w:basedOn w:val="Normal"/>
    <w:next w:val="Normal"/>
    <w:uiPriority w:val="39"/>
    <w:rsid w:val="006A6AFC"/>
    <w:pPr>
      <w:tabs>
        <w:tab w:val="right" w:leader="dot" w:pos="8306"/>
      </w:tabs>
    </w:pPr>
  </w:style>
  <w:style w:type="paragraph" w:styleId="INNH2">
    <w:name w:val="toc 2"/>
    <w:basedOn w:val="Normal"/>
    <w:next w:val="Normal"/>
    <w:uiPriority w:val="39"/>
    <w:rsid w:val="006A6AFC"/>
    <w:pPr>
      <w:tabs>
        <w:tab w:val="right" w:leader="dot" w:pos="8306"/>
      </w:tabs>
      <w:ind w:left="200"/>
    </w:pPr>
  </w:style>
  <w:style w:type="paragraph" w:styleId="INNH3">
    <w:name w:val="toc 3"/>
    <w:basedOn w:val="Normal"/>
    <w:next w:val="Normal"/>
    <w:uiPriority w:val="39"/>
    <w:rsid w:val="006A6AFC"/>
    <w:pPr>
      <w:tabs>
        <w:tab w:val="right" w:leader="dot" w:pos="8306"/>
      </w:tabs>
      <w:ind w:left="400"/>
    </w:pPr>
  </w:style>
  <w:style w:type="paragraph" w:styleId="INNH4">
    <w:name w:val="toc 4"/>
    <w:basedOn w:val="Normal"/>
    <w:next w:val="Normal"/>
    <w:semiHidden/>
    <w:rsid w:val="006A6AFC"/>
    <w:pPr>
      <w:tabs>
        <w:tab w:val="right" w:leader="dot" w:pos="8306"/>
      </w:tabs>
      <w:ind w:left="600"/>
    </w:pPr>
  </w:style>
  <w:style w:type="paragraph" w:styleId="INNH5">
    <w:name w:val="toc 5"/>
    <w:basedOn w:val="Normal"/>
    <w:next w:val="Normal"/>
    <w:semiHidden/>
    <w:rsid w:val="006A6AFC"/>
    <w:pPr>
      <w:tabs>
        <w:tab w:val="right" w:leader="dot" w:pos="8306"/>
      </w:tabs>
      <w:ind w:left="800"/>
    </w:pPr>
  </w:style>
  <w:style w:type="paragraph" w:styleId="INNH6">
    <w:name w:val="toc 6"/>
    <w:basedOn w:val="Normal"/>
    <w:next w:val="Normal"/>
    <w:autoRedefine/>
    <w:uiPriority w:val="39"/>
    <w:semiHidden/>
    <w:unhideWhenUsed/>
    <w:rsid w:val="006A6AFC"/>
    <w:pPr>
      <w:spacing w:after="100"/>
      <w:ind w:left="1200"/>
    </w:pPr>
  </w:style>
  <w:style w:type="paragraph" w:styleId="INNH7">
    <w:name w:val="toc 7"/>
    <w:basedOn w:val="Normal"/>
    <w:next w:val="Normal"/>
    <w:autoRedefine/>
    <w:uiPriority w:val="39"/>
    <w:semiHidden/>
    <w:unhideWhenUsed/>
    <w:rsid w:val="006A6AFC"/>
    <w:pPr>
      <w:spacing w:after="100"/>
      <w:ind w:left="1440"/>
    </w:pPr>
  </w:style>
  <w:style w:type="paragraph" w:styleId="INNH8">
    <w:name w:val="toc 8"/>
    <w:basedOn w:val="Normal"/>
    <w:next w:val="Normal"/>
    <w:autoRedefine/>
    <w:uiPriority w:val="39"/>
    <w:semiHidden/>
    <w:unhideWhenUsed/>
    <w:rsid w:val="006A6AFC"/>
    <w:pPr>
      <w:spacing w:after="100"/>
      <w:ind w:left="1680"/>
    </w:pPr>
  </w:style>
  <w:style w:type="paragraph" w:styleId="INNH9">
    <w:name w:val="toc 9"/>
    <w:basedOn w:val="Normal"/>
    <w:next w:val="Normal"/>
    <w:autoRedefine/>
    <w:uiPriority w:val="39"/>
    <w:semiHidden/>
    <w:unhideWhenUsed/>
    <w:rsid w:val="006A6AFC"/>
    <w:pPr>
      <w:spacing w:after="100"/>
      <w:ind w:left="1920"/>
    </w:pPr>
  </w:style>
  <w:style w:type="paragraph" w:styleId="Vanliginnrykk">
    <w:name w:val="Normal Indent"/>
    <w:basedOn w:val="Normal"/>
    <w:uiPriority w:val="99"/>
    <w:semiHidden/>
    <w:unhideWhenUsed/>
    <w:rsid w:val="006A6AFC"/>
    <w:pPr>
      <w:ind w:left="708"/>
    </w:pPr>
  </w:style>
  <w:style w:type="paragraph" w:styleId="Merknadstekst">
    <w:name w:val="annotation text"/>
    <w:basedOn w:val="Normal"/>
    <w:link w:val="MerknadstekstTegn"/>
    <w:semiHidden/>
    <w:rsid w:val="006A6AFC"/>
  </w:style>
  <w:style w:type="character" w:customStyle="1" w:styleId="MerknadstekstTegn">
    <w:name w:val="Merknadstekst Tegn"/>
    <w:link w:val="Merknadstekst"/>
    <w:semiHidden/>
    <w:rsid w:val="006A6AFC"/>
    <w:rPr>
      <w:rFonts w:ascii="Open Sans" w:eastAsia="Times New Roman" w:hAnsi="Open Sans"/>
    </w:rPr>
  </w:style>
  <w:style w:type="paragraph" w:styleId="Topptekst">
    <w:name w:val="header"/>
    <w:basedOn w:val="Normal"/>
    <w:link w:val="TopptekstTegn"/>
    <w:rsid w:val="006A6AFC"/>
    <w:pPr>
      <w:tabs>
        <w:tab w:val="center" w:pos="4536"/>
        <w:tab w:val="right" w:pos="9072"/>
      </w:tabs>
    </w:pPr>
  </w:style>
  <w:style w:type="character" w:customStyle="1" w:styleId="TopptekstTegn">
    <w:name w:val="Topptekst Tegn"/>
    <w:link w:val="Topptekst"/>
    <w:rsid w:val="006A6AFC"/>
    <w:rPr>
      <w:rFonts w:ascii="Open Sans" w:eastAsia="Times New Roman" w:hAnsi="Open Sans"/>
    </w:rPr>
  </w:style>
  <w:style w:type="paragraph" w:styleId="Bunntekst">
    <w:name w:val="footer"/>
    <w:basedOn w:val="Normal"/>
    <w:link w:val="BunntekstTegn"/>
    <w:uiPriority w:val="99"/>
    <w:rsid w:val="006A6AFC"/>
    <w:pPr>
      <w:tabs>
        <w:tab w:val="center" w:pos="4153"/>
        <w:tab w:val="right" w:pos="8306"/>
      </w:tabs>
    </w:pPr>
    <w:rPr>
      <w:spacing w:val="4"/>
    </w:rPr>
  </w:style>
  <w:style w:type="character" w:customStyle="1" w:styleId="BunntekstTegn">
    <w:name w:val="Bunntekst Tegn"/>
    <w:link w:val="Bunntekst"/>
    <w:uiPriority w:val="99"/>
    <w:rsid w:val="006A6AFC"/>
    <w:rPr>
      <w:rFonts w:ascii="Open Sans" w:eastAsia="Times New Roman" w:hAnsi="Open Sans"/>
      <w:spacing w:val="4"/>
    </w:rPr>
  </w:style>
  <w:style w:type="paragraph" w:styleId="Stikkordregisteroverskrift">
    <w:name w:val="index heading"/>
    <w:basedOn w:val="Normal"/>
    <w:next w:val="Indeks1"/>
    <w:uiPriority w:val="99"/>
    <w:semiHidden/>
    <w:unhideWhenUsed/>
    <w:rsid w:val="006A6AFC"/>
    <w:rPr>
      <w:rFonts w:ascii="Calibri Light" w:hAnsi="Calibri Light" w:cs="Times New Roman"/>
      <w:b/>
      <w:bCs/>
    </w:rPr>
  </w:style>
  <w:style w:type="paragraph" w:styleId="Bildetekst">
    <w:name w:val="caption"/>
    <w:basedOn w:val="Normal"/>
    <w:next w:val="Normal"/>
    <w:uiPriority w:val="35"/>
    <w:unhideWhenUsed/>
    <w:qFormat/>
    <w:rsid w:val="006A6AFC"/>
    <w:pPr>
      <w:spacing w:line="240" w:lineRule="auto"/>
    </w:pPr>
    <w:rPr>
      <w:b/>
      <w:bCs/>
      <w:color w:val="5B9BD5"/>
      <w:sz w:val="18"/>
      <w:szCs w:val="18"/>
    </w:rPr>
  </w:style>
  <w:style w:type="paragraph" w:styleId="Figurliste">
    <w:name w:val="table of figures"/>
    <w:basedOn w:val="Normal"/>
    <w:next w:val="Normal"/>
    <w:uiPriority w:val="99"/>
    <w:semiHidden/>
    <w:unhideWhenUsed/>
    <w:rsid w:val="006A6AFC"/>
    <w:pPr>
      <w:spacing w:after="0"/>
    </w:pPr>
  </w:style>
  <w:style w:type="paragraph" w:styleId="Konvoluttadresse">
    <w:name w:val="envelope address"/>
    <w:basedOn w:val="Normal"/>
    <w:uiPriority w:val="99"/>
    <w:semiHidden/>
    <w:unhideWhenUsed/>
    <w:rsid w:val="006A6AFC"/>
    <w:pPr>
      <w:framePr w:w="7920" w:h="1980" w:hRule="exact" w:hSpace="141" w:wrap="auto" w:hAnchor="page" w:xAlign="center" w:yAlign="bottom"/>
      <w:spacing w:after="0" w:line="240" w:lineRule="auto"/>
      <w:ind w:left="2880"/>
    </w:pPr>
    <w:rPr>
      <w:rFonts w:ascii="Calibri Light" w:hAnsi="Calibri Light" w:cs="Times New Roman"/>
      <w:szCs w:val="24"/>
    </w:rPr>
  </w:style>
  <w:style w:type="paragraph" w:styleId="Avsenderadresse">
    <w:name w:val="envelope return"/>
    <w:basedOn w:val="Normal"/>
    <w:uiPriority w:val="99"/>
    <w:semiHidden/>
    <w:unhideWhenUsed/>
    <w:rsid w:val="006A6AFC"/>
    <w:pPr>
      <w:spacing w:after="0" w:line="240" w:lineRule="auto"/>
    </w:pPr>
    <w:rPr>
      <w:rFonts w:ascii="Calibri Light" w:hAnsi="Calibri Light" w:cs="Times New Roman"/>
      <w:szCs w:val="20"/>
    </w:rPr>
  </w:style>
  <w:style w:type="character" w:styleId="Fotnotereferanse">
    <w:name w:val="footnote reference"/>
    <w:semiHidden/>
    <w:rsid w:val="006A6AFC"/>
    <w:rPr>
      <w:vertAlign w:val="superscript"/>
    </w:rPr>
  </w:style>
  <w:style w:type="character" w:styleId="Merknadsreferanse">
    <w:name w:val="annotation reference"/>
    <w:semiHidden/>
    <w:rsid w:val="006A6AFC"/>
    <w:rPr>
      <w:sz w:val="16"/>
    </w:rPr>
  </w:style>
  <w:style w:type="character" w:styleId="Linjenummer">
    <w:name w:val="line number"/>
    <w:basedOn w:val="Standardskriftforavsnitt"/>
    <w:uiPriority w:val="99"/>
    <w:semiHidden/>
    <w:unhideWhenUsed/>
    <w:rsid w:val="006A6AFC"/>
  </w:style>
  <w:style w:type="character" w:styleId="Sidetall">
    <w:name w:val="page number"/>
    <w:basedOn w:val="Standardskriftforavsnitt"/>
    <w:rsid w:val="006A6AFC"/>
  </w:style>
  <w:style w:type="character" w:styleId="Sluttnotereferanse">
    <w:name w:val="endnote reference"/>
    <w:uiPriority w:val="99"/>
    <w:semiHidden/>
    <w:unhideWhenUsed/>
    <w:rsid w:val="006A6AFC"/>
    <w:rPr>
      <w:vertAlign w:val="superscript"/>
    </w:rPr>
  </w:style>
  <w:style w:type="paragraph" w:styleId="Sluttnotetekst">
    <w:name w:val="endnote text"/>
    <w:basedOn w:val="Normal"/>
    <w:link w:val="SluttnotetekstTegn"/>
    <w:uiPriority w:val="99"/>
    <w:semiHidden/>
    <w:unhideWhenUsed/>
    <w:rsid w:val="006A6AFC"/>
    <w:pPr>
      <w:spacing w:after="0" w:line="240" w:lineRule="auto"/>
    </w:pPr>
    <w:rPr>
      <w:szCs w:val="20"/>
    </w:rPr>
  </w:style>
  <w:style w:type="character" w:customStyle="1" w:styleId="SluttnotetekstTegn">
    <w:name w:val="Sluttnotetekst Tegn"/>
    <w:link w:val="Sluttnotetekst"/>
    <w:uiPriority w:val="99"/>
    <w:semiHidden/>
    <w:rsid w:val="006A6AFC"/>
    <w:rPr>
      <w:rFonts w:ascii="Open Sans" w:eastAsia="Times New Roman" w:hAnsi="Open Sans"/>
      <w:szCs w:val="20"/>
    </w:rPr>
  </w:style>
  <w:style w:type="paragraph" w:styleId="Kildeliste">
    <w:name w:val="table of authorities"/>
    <w:basedOn w:val="Normal"/>
    <w:next w:val="Normal"/>
    <w:uiPriority w:val="99"/>
    <w:semiHidden/>
    <w:unhideWhenUsed/>
    <w:rsid w:val="006A6AFC"/>
    <w:pPr>
      <w:spacing w:after="0"/>
      <w:ind w:left="240" w:hanging="240"/>
    </w:pPr>
  </w:style>
  <w:style w:type="paragraph" w:styleId="Makrotekst">
    <w:name w:val="macro"/>
    <w:link w:val="MakrotekstTegn"/>
    <w:uiPriority w:val="99"/>
    <w:semiHidden/>
    <w:unhideWhenUsed/>
    <w:rsid w:val="006A6AFC"/>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link w:val="Makrotekst"/>
    <w:uiPriority w:val="99"/>
    <w:semiHidden/>
    <w:rsid w:val="006A6AFC"/>
    <w:rPr>
      <w:rFonts w:ascii="Consolas" w:eastAsia="Times New Roman" w:hAnsi="Consolas"/>
      <w:sz w:val="20"/>
      <w:szCs w:val="20"/>
    </w:rPr>
  </w:style>
  <w:style w:type="paragraph" w:styleId="Kildelisteoverskrift">
    <w:name w:val="toa heading"/>
    <w:basedOn w:val="Normal"/>
    <w:next w:val="Normal"/>
    <w:uiPriority w:val="99"/>
    <w:semiHidden/>
    <w:unhideWhenUsed/>
    <w:rsid w:val="006A6AFC"/>
    <w:pPr>
      <w:spacing w:before="120"/>
    </w:pPr>
    <w:rPr>
      <w:rFonts w:ascii="Calibri Light" w:hAnsi="Calibri Light" w:cs="Times New Roman"/>
      <w:b/>
      <w:bCs/>
      <w:szCs w:val="24"/>
    </w:rPr>
  </w:style>
  <w:style w:type="paragraph" w:styleId="Punktliste">
    <w:name w:val="List Bullet"/>
    <w:basedOn w:val="Normal"/>
    <w:rsid w:val="006A6AFC"/>
    <w:pPr>
      <w:numPr>
        <w:numId w:val="3"/>
      </w:numPr>
      <w:spacing w:after="0"/>
    </w:pPr>
    <w:rPr>
      <w:spacing w:val="4"/>
    </w:rPr>
  </w:style>
  <w:style w:type="paragraph" w:styleId="Punktliste2">
    <w:name w:val="List Bullet 2"/>
    <w:basedOn w:val="Normal"/>
    <w:rsid w:val="006A6AFC"/>
    <w:pPr>
      <w:numPr>
        <w:numId w:val="4"/>
      </w:numPr>
      <w:spacing w:after="0"/>
    </w:pPr>
    <w:rPr>
      <w:spacing w:val="4"/>
    </w:rPr>
  </w:style>
  <w:style w:type="paragraph" w:styleId="Punktliste3">
    <w:name w:val="List Bullet 3"/>
    <w:basedOn w:val="Normal"/>
    <w:rsid w:val="006A6AFC"/>
    <w:pPr>
      <w:numPr>
        <w:numId w:val="5"/>
      </w:numPr>
      <w:spacing w:after="0"/>
    </w:pPr>
    <w:rPr>
      <w:spacing w:val="4"/>
    </w:rPr>
  </w:style>
  <w:style w:type="paragraph" w:styleId="Punktliste4">
    <w:name w:val="List Bullet 4"/>
    <w:basedOn w:val="Normal"/>
    <w:rsid w:val="006A6AFC"/>
    <w:pPr>
      <w:numPr>
        <w:numId w:val="6"/>
      </w:numPr>
      <w:spacing w:after="0"/>
    </w:pPr>
  </w:style>
  <w:style w:type="paragraph" w:styleId="Punktliste5">
    <w:name w:val="List Bullet 5"/>
    <w:basedOn w:val="Normal"/>
    <w:rsid w:val="006A6AFC"/>
    <w:pPr>
      <w:numPr>
        <w:numId w:val="7"/>
      </w:numPr>
      <w:spacing w:after="0"/>
    </w:pPr>
  </w:style>
  <w:style w:type="paragraph" w:styleId="Nummerertliste2">
    <w:name w:val="List Number 2"/>
    <w:basedOn w:val="Nummerertliste"/>
    <w:qFormat/>
    <w:rsid w:val="006A6AFC"/>
    <w:pPr>
      <w:numPr>
        <w:numId w:val="29"/>
      </w:numPr>
      <w:ind w:left="794" w:hanging="397"/>
    </w:pPr>
  </w:style>
  <w:style w:type="paragraph" w:styleId="Nummerertliste3">
    <w:name w:val="List Number 3"/>
    <w:basedOn w:val="Nummerertliste"/>
    <w:qFormat/>
    <w:rsid w:val="006A6AFC"/>
    <w:pPr>
      <w:numPr>
        <w:numId w:val="30"/>
      </w:numPr>
      <w:tabs>
        <w:tab w:val="num" w:pos="397"/>
      </w:tabs>
      <w:ind w:left="1191" w:hanging="397"/>
    </w:pPr>
  </w:style>
  <w:style w:type="paragraph" w:styleId="Nummerertliste4">
    <w:name w:val="List Number 4"/>
    <w:basedOn w:val="Nummerertliste"/>
    <w:rsid w:val="006A6AFC"/>
    <w:pPr>
      <w:numPr>
        <w:numId w:val="31"/>
      </w:numPr>
      <w:tabs>
        <w:tab w:val="num" w:pos="397"/>
      </w:tabs>
      <w:ind w:left="1588" w:hanging="397"/>
    </w:pPr>
  </w:style>
  <w:style w:type="paragraph" w:styleId="Nummerertliste5">
    <w:name w:val="List Number 5"/>
    <w:basedOn w:val="Nummerertliste"/>
    <w:qFormat/>
    <w:rsid w:val="006A6AFC"/>
    <w:pPr>
      <w:numPr>
        <w:numId w:val="32"/>
      </w:numPr>
      <w:tabs>
        <w:tab w:val="num" w:pos="397"/>
      </w:tabs>
      <w:ind w:left="1985" w:hanging="397"/>
    </w:pPr>
  </w:style>
  <w:style w:type="paragraph" w:styleId="Tittel">
    <w:name w:val="Title"/>
    <w:basedOn w:val="Normal"/>
    <w:next w:val="Normal"/>
    <w:link w:val="TittelTegn"/>
    <w:uiPriority w:val="10"/>
    <w:qFormat/>
    <w:rsid w:val="006A6AFC"/>
    <w:pPr>
      <w:pBdr>
        <w:bottom w:val="single" w:sz="8" w:space="4" w:color="5B9BD5"/>
      </w:pBdr>
      <w:spacing w:after="300" w:line="240" w:lineRule="auto"/>
      <w:contextualSpacing/>
    </w:pPr>
    <w:rPr>
      <w:rFonts w:ascii="Calibri Light" w:hAnsi="Calibri Light" w:cs="Times New Roman"/>
      <w:color w:val="323E4F"/>
      <w:spacing w:val="5"/>
      <w:kern w:val="28"/>
      <w:sz w:val="52"/>
      <w:szCs w:val="52"/>
    </w:rPr>
  </w:style>
  <w:style w:type="character" w:customStyle="1" w:styleId="TittelTegn">
    <w:name w:val="Tittel Tegn"/>
    <w:link w:val="Tittel"/>
    <w:uiPriority w:val="10"/>
    <w:rsid w:val="006A6AFC"/>
    <w:rPr>
      <w:rFonts w:ascii="Calibri Light" w:eastAsia="Times New Roman" w:hAnsi="Calibri Light" w:cs="Times New Roman"/>
      <w:color w:val="323E4F"/>
      <w:spacing w:val="5"/>
      <w:kern w:val="28"/>
      <w:sz w:val="52"/>
      <w:szCs w:val="52"/>
    </w:rPr>
  </w:style>
  <w:style w:type="paragraph" w:styleId="Hilsen">
    <w:name w:val="Closing"/>
    <w:basedOn w:val="Normal"/>
    <w:link w:val="HilsenTegn"/>
    <w:uiPriority w:val="99"/>
    <w:semiHidden/>
    <w:unhideWhenUsed/>
    <w:rsid w:val="006A6AFC"/>
    <w:pPr>
      <w:spacing w:after="0" w:line="240" w:lineRule="auto"/>
      <w:ind w:left="4252"/>
    </w:pPr>
  </w:style>
  <w:style w:type="character" w:customStyle="1" w:styleId="HilsenTegn">
    <w:name w:val="Hilsen Tegn"/>
    <w:link w:val="Hilsen"/>
    <w:uiPriority w:val="99"/>
    <w:semiHidden/>
    <w:rsid w:val="006A6AFC"/>
    <w:rPr>
      <w:rFonts w:ascii="Open Sans" w:eastAsia="Times New Roman" w:hAnsi="Open Sans"/>
    </w:rPr>
  </w:style>
  <w:style w:type="paragraph" w:styleId="Underskrift">
    <w:name w:val="Signature"/>
    <w:basedOn w:val="Normal"/>
    <w:link w:val="UnderskriftTegn"/>
    <w:uiPriority w:val="99"/>
    <w:semiHidden/>
    <w:unhideWhenUsed/>
    <w:rsid w:val="006A6AFC"/>
    <w:pPr>
      <w:spacing w:after="0" w:line="240" w:lineRule="auto"/>
      <w:ind w:left="4252"/>
    </w:pPr>
  </w:style>
  <w:style w:type="character" w:customStyle="1" w:styleId="UnderskriftTegn">
    <w:name w:val="Underskrift Tegn"/>
    <w:link w:val="Underskrift"/>
    <w:uiPriority w:val="99"/>
    <w:semiHidden/>
    <w:rsid w:val="006A6AFC"/>
    <w:rPr>
      <w:rFonts w:ascii="Open Sans" w:eastAsia="Times New Roman" w:hAnsi="Open Sans"/>
    </w:rPr>
  </w:style>
  <w:style w:type="paragraph" w:styleId="Brdtekst">
    <w:name w:val="Body Text"/>
    <w:basedOn w:val="Normal"/>
    <w:link w:val="BrdtekstTegn"/>
    <w:uiPriority w:val="99"/>
    <w:semiHidden/>
    <w:unhideWhenUsed/>
    <w:rsid w:val="006A6AFC"/>
  </w:style>
  <w:style w:type="character" w:customStyle="1" w:styleId="BrdtekstTegn">
    <w:name w:val="Brødtekst Tegn"/>
    <w:link w:val="Brdtekst"/>
    <w:uiPriority w:val="99"/>
    <w:semiHidden/>
    <w:rsid w:val="006A6AFC"/>
    <w:rPr>
      <w:rFonts w:ascii="Open Sans" w:eastAsia="Times New Roman" w:hAnsi="Open Sans"/>
    </w:rPr>
  </w:style>
  <w:style w:type="paragraph" w:styleId="Brdtekstinnrykk">
    <w:name w:val="Body Text Indent"/>
    <w:basedOn w:val="Normal"/>
    <w:link w:val="BrdtekstinnrykkTegn"/>
    <w:uiPriority w:val="99"/>
    <w:semiHidden/>
    <w:unhideWhenUsed/>
    <w:rsid w:val="006A6AFC"/>
    <w:pPr>
      <w:ind w:left="283"/>
    </w:pPr>
  </w:style>
  <w:style w:type="character" w:customStyle="1" w:styleId="BrdtekstinnrykkTegn">
    <w:name w:val="Brødtekstinnrykk Tegn"/>
    <w:link w:val="Brdtekstinnrykk"/>
    <w:uiPriority w:val="99"/>
    <w:semiHidden/>
    <w:rsid w:val="006A6AFC"/>
    <w:rPr>
      <w:rFonts w:ascii="Open Sans" w:eastAsia="Times New Roman" w:hAnsi="Open Sans"/>
    </w:rPr>
  </w:style>
  <w:style w:type="paragraph" w:styleId="Liste-forts">
    <w:name w:val="List Continue"/>
    <w:basedOn w:val="Normal"/>
    <w:uiPriority w:val="99"/>
    <w:semiHidden/>
    <w:unhideWhenUsed/>
    <w:rsid w:val="006A6AFC"/>
    <w:pPr>
      <w:ind w:left="283"/>
      <w:contextualSpacing/>
    </w:pPr>
  </w:style>
  <w:style w:type="paragraph" w:styleId="Liste-forts2">
    <w:name w:val="List Continue 2"/>
    <w:basedOn w:val="Normal"/>
    <w:uiPriority w:val="99"/>
    <w:semiHidden/>
    <w:unhideWhenUsed/>
    <w:rsid w:val="006A6AFC"/>
    <w:pPr>
      <w:ind w:left="566"/>
      <w:contextualSpacing/>
    </w:pPr>
  </w:style>
  <w:style w:type="paragraph" w:styleId="Liste-forts3">
    <w:name w:val="List Continue 3"/>
    <w:basedOn w:val="Normal"/>
    <w:uiPriority w:val="99"/>
    <w:semiHidden/>
    <w:unhideWhenUsed/>
    <w:rsid w:val="006A6AFC"/>
    <w:pPr>
      <w:ind w:left="849"/>
      <w:contextualSpacing/>
    </w:pPr>
  </w:style>
  <w:style w:type="paragraph" w:styleId="Liste-forts4">
    <w:name w:val="List Continue 4"/>
    <w:basedOn w:val="Normal"/>
    <w:uiPriority w:val="99"/>
    <w:semiHidden/>
    <w:unhideWhenUsed/>
    <w:rsid w:val="006A6AFC"/>
    <w:pPr>
      <w:ind w:left="1132"/>
      <w:contextualSpacing/>
    </w:pPr>
  </w:style>
  <w:style w:type="paragraph" w:styleId="Liste-forts5">
    <w:name w:val="List Continue 5"/>
    <w:basedOn w:val="Normal"/>
    <w:uiPriority w:val="99"/>
    <w:semiHidden/>
    <w:unhideWhenUsed/>
    <w:rsid w:val="006A6AFC"/>
    <w:pPr>
      <w:ind w:left="1415"/>
      <w:contextualSpacing/>
    </w:pPr>
  </w:style>
  <w:style w:type="paragraph" w:styleId="Meldingshode">
    <w:name w:val="Message Header"/>
    <w:basedOn w:val="Normal"/>
    <w:link w:val="MeldingshodeTegn"/>
    <w:uiPriority w:val="99"/>
    <w:semiHidden/>
    <w:unhideWhenUsed/>
    <w:rsid w:val="006A6AF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hAnsi="Calibri Light" w:cs="Times New Roman"/>
      <w:szCs w:val="24"/>
    </w:rPr>
  </w:style>
  <w:style w:type="character" w:customStyle="1" w:styleId="MeldingshodeTegn">
    <w:name w:val="Meldingshode Tegn"/>
    <w:link w:val="Meldingshode"/>
    <w:uiPriority w:val="99"/>
    <w:semiHidden/>
    <w:rsid w:val="006A6AFC"/>
    <w:rPr>
      <w:rFonts w:ascii="Calibri Light" w:eastAsia="Times New Roman" w:hAnsi="Calibri Light" w:cs="Times New Roman"/>
      <w:szCs w:val="24"/>
      <w:shd w:val="pct20" w:color="auto" w:fill="auto"/>
    </w:rPr>
  </w:style>
  <w:style w:type="paragraph" w:styleId="Innledendehilsen">
    <w:name w:val="Salutation"/>
    <w:basedOn w:val="Normal"/>
    <w:next w:val="Normal"/>
    <w:link w:val="InnledendehilsenTegn"/>
    <w:uiPriority w:val="99"/>
    <w:semiHidden/>
    <w:unhideWhenUsed/>
    <w:rsid w:val="006A6AFC"/>
  </w:style>
  <w:style w:type="character" w:customStyle="1" w:styleId="InnledendehilsenTegn">
    <w:name w:val="Innledende hilsen Tegn"/>
    <w:link w:val="Innledendehilsen"/>
    <w:uiPriority w:val="99"/>
    <w:semiHidden/>
    <w:rsid w:val="006A6AFC"/>
    <w:rPr>
      <w:rFonts w:ascii="Open Sans" w:eastAsia="Times New Roman" w:hAnsi="Open Sans"/>
    </w:rPr>
  </w:style>
  <w:style w:type="paragraph" w:styleId="Brdtekst-frsteinnrykk">
    <w:name w:val="Body Text First Indent"/>
    <w:basedOn w:val="Brdtekst"/>
    <w:link w:val="Brdtekst-frsteinnrykkTegn"/>
    <w:uiPriority w:val="99"/>
    <w:semiHidden/>
    <w:unhideWhenUsed/>
    <w:rsid w:val="006A6AFC"/>
    <w:pPr>
      <w:ind w:firstLine="360"/>
    </w:pPr>
  </w:style>
  <w:style w:type="character" w:customStyle="1" w:styleId="Brdtekst-frsteinnrykkTegn">
    <w:name w:val="Brødtekst - første innrykk Tegn"/>
    <w:link w:val="Brdtekst-frsteinnrykk"/>
    <w:uiPriority w:val="99"/>
    <w:semiHidden/>
    <w:rsid w:val="006A6AFC"/>
    <w:rPr>
      <w:rFonts w:ascii="Open Sans" w:eastAsia="Times New Roman" w:hAnsi="Open Sans"/>
    </w:rPr>
  </w:style>
  <w:style w:type="paragraph" w:styleId="Brdtekst-frsteinnrykk2">
    <w:name w:val="Body Text First Indent 2"/>
    <w:basedOn w:val="Brdtekstinnrykk"/>
    <w:link w:val="Brdtekst-frsteinnrykk2Tegn"/>
    <w:uiPriority w:val="99"/>
    <w:semiHidden/>
    <w:unhideWhenUsed/>
    <w:rsid w:val="006A6AFC"/>
    <w:pPr>
      <w:ind w:left="360" w:firstLine="360"/>
    </w:pPr>
  </w:style>
  <w:style w:type="character" w:customStyle="1" w:styleId="Brdtekst-frsteinnrykk2Tegn">
    <w:name w:val="Brødtekst - første innrykk 2 Tegn"/>
    <w:link w:val="Brdtekst-frsteinnrykk2"/>
    <w:uiPriority w:val="99"/>
    <w:semiHidden/>
    <w:rsid w:val="006A6AFC"/>
    <w:rPr>
      <w:rFonts w:ascii="Open Sans" w:eastAsia="Times New Roman" w:hAnsi="Open Sans"/>
    </w:rPr>
  </w:style>
  <w:style w:type="paragraph" w:styleId="Notatoverskrift">
    <w:name w:val="Note Heading"/>
    <w:basedOn w:val="Normal"/>
    <w:next w:val="Normal"/>
    <w:link w:val="NotatoverskriftTegn"/>
    <w:uiPriority w:val="99"/>
    <w:semiHidden/>
    <w:unhideWhenUsed/>
    <w:rsid w:val="006A6AFC"/>
    <w:pPr>
      <w:spacing w:after="0" w:line="240" w:lineRule="auto"/>
    </w:pPr>
  </w:style>
  <w:style w:type="character" w:customStyle="1" w:styleId="NotatoverskriftTegn">
    <w:name w:val="Notatoverskrift Tegn"/>
    <w:link w:val="Notatoverskrift"/>
    <w:uiPriority w:val="99"/>
    <w:semiHidden/>
    <w:rsid w:val="006A6AFC"/>
    <w:rPr>
      <w:rFonts w:ascii="Open Sans" w:eastAsia="Times New Roman" w:hAnsi="Open Sans"/>
    </w:rPr>
  </w:style>
  <w:style w:type="paragraph" w:styleId="Brdtekst2">
    <w:name w:val="Body Text 2"/>
    <w:basedOn w:val="Normal"/>
    <w:link w:val="Brdtekst2Tegn"/>
    <w:uiPriority w:val="99"/>
    <w:semiHidden/>
    <w:unhideWhenUsed/>
    <w:rsid w:val="006A6AFC"/>
    <w:pPr>
      <w:spacing w:line="480" w:lineRule="auto"/>
    </w:pPr>
  </w:style>
  <w:style w:type="character" w:customStyle="1" w:styleId="Brdtekst2Tegn">
    <w:name w:val="Brødtekst 2 Tegn"/>
    <w:link w:val="Brdtekst2"/>
    <w:uiPriority w:val="99"/>
    <w:semiHidden/>
    <w:rsid w:val="006A6AFC"/>
    <w:rPr>
      <w:rFonts w:ascii="Open Sans" w:eastAsia="Times New Roman" w:hAnsi="Open Sans"/>
    </w:rPr>
  </w:style>
  <w:style w:type="paragraph" w:styleId="Brdtekst3">
    <w:name w:val="Body Text 3"/>
    <w:basedOn w:val="Normal"/>
    <w:link w:val="Brdtekst3Tegn"/>
    <w:uiPriority w:val="99"/>
    <w:semiHidden/>
    <w:unhideWhenUsed/>
    <w:rsid w:val="006A6AFC"/>
    <w:rPr>
      <w:sz w:val="16"/>
      <w:szCs w:val="16"/>
    </w:rPr>
  </w:style>
  <w:style w:type="character" w:customStyle="1" w:styleId="Brdtekst3Tegn">
    <w:name w:val="Brødtekst 3 Tegn"/>
    <w:link w:val="Brdtekst3"/>
    <w:uiPriority w:val="99"/>
    <w:semiHidden/>
    <w:rsid w:val="006A6AFC"/>
    <w:rPr>
      <w:rFonts w:ascii="Open Sans" w:eastAsia="Times New Roman" w:hAnsi="Open Sans"/>
      <w:sz w:val="16"/>
      <w:szCs w:val="16"/>
    </w:rPr>
  </w:style>
  <w:style w:type="paragraph" w:styleId="Brdtekstinnrykk2">
    <w:name w:val="Body Text Indent 2"/>
    <w:basedOn w:val="Normal"/>
    <w:link w:val="Brdtekstinnrykk2Tegn"/>
    <w:uiPriority w:val="99"/>
    <w:semiHidden/>
    <w:unhideWhenUsed/>
    <w:rsid w:val="006A6AFC"/>
    <w:pPr>
      <w:spacing w:line="480" w:lineRule="auto"/>
      <w:ind w:left="283"/>
    </w:pPr>
  </w:style>
  <w:style w:type="character" w:customStyle="1" w:styleId="Brdtekstinnrykk2Tegn">
    <w:name w:val="Brødtekstinnrykk 2 Tegn"/>
    <w:link w:val="Brdtekstinnrykk2"/>
    <w:uiPriority w:val="99"/>
    <w:semiHidden/>
    <w:rsid w:val="006A6AFC"/>
    <w:rPr>
      <w:rFonts w:ascii="Open Sans" w:eastAsia="Times New Roman" w:hAnsi="Open Sans"/>
    </w:rPr>
  </w:style>
  <w:style w:type="paragraph" w:styleId="Brdtekstinnrykk3">
    <w:name w:val="Body Text Indent 3"/>
    <w:basedOn w:val="Normal"/>
    <w:link w:val="Brdtekstinnrykk3Tegn"/>
    <w:uiPriority w:val="99"/>
    <w:semiHidden/>
    <w:unhideWhenUsed/>
    <w:rsid w:val="006A6AFC"/>
    <w:pPr>
      <w:ind w:left="283"/>
    </w:pPr>
    <w:rPr>
      <w:sz w:val="16"/>
      <w:szCs w:val="16"/>
    </w:rPr>
  </w:style>
  <w:style w:type="character" w:customStyle="1" w:styleId="Brdtekstinnrykk3Tegn">
    <w:name w:val="Brødtekstinnrykk 3 Tegn"/>
    <w:link w:val="Brdtekstinnrykk3"/>
    <w:uiPriority w:val="99"/>
    <w:semiHidden/>
    <w:rsid w:val="006A6AFC"/>
    <w:rPr>
      <w:rFonts w:ascii="Open Sans" w:eastAsia="Times New Roman" w:hAnsi="Open Sans"/>
      <w:sz w:val="16"/>
      <w:szCs w:val="16"/>
    </w:rPr>
  </w:style>
  <w:style w:type="paragraph" w:styleId="Blokktekst">
    <w:name w:val="Block Text"/>
    <w:basedOn w:val="Normal"/>
    <w:uiPriority w:val="99"/>
    <w:semiHidden/>
    <w:unhideWhenUsed/>
    <w:rsid w:val="006A6AFC"/>
    <w:pPr>
      <w:pBdr>
        <w:top w:val="single" w:sz="2" w:space="10" w:color="5B9BD5" w:shadow="1"/>
        <w:left w:val="single" w:sz="2" w:space="10" w:color="5B9BD5" w:shadow="1"/>
        <w:bottom w:val="single" w:sz="2" w:space="10" w:color="5B9BD5" w:shadow="1"/>
        <w:right w:val="single" w:sz="2" w:space="10" w:color="5B9BD5" w:shadow="1"/>
      </w:pBdr>
      <w:ind w:left="1152" w:right="1152"/>
    </w:pPr>
    <w:rPr>
      <w:rFonts w:ascii="Calibri" w:hAnsi="Calibri"/>
      <w:i/>
      <w:iCs/>
      <w:color w:val="5B9BD5"/>
    </w:rPr>
  </w:style>
  <w:style w:type="character" w:styleId="Fulgthyperkobling">
    <w:name w:val="FollowedHyperlink"/>
    <w:uiPriority w:val="99"/>
    <w:semiHidden/>
    <w:unhideWhenUsed/>
    <w:rsid w:val="006A6AFC"/>
    <w:rPr>
      <w:color w:val="954F72"/>
      <w:u w:val="single"/>
    </w:rPr>
  </w:style>
  <w:style w:type="character" w:styleId="Sterk">
    <w:name w:val="Strong"/>
    <w:uiPriority w:val="22"/>
    <w:qFormat/>
    <w:rsid w:val="006A6AFC"/>
    <w:rPr>
      <w:b/>
      <w:bCs/>
    </w:rPr>
  </w:style>
  <w:style w:type="character" w:styleId="Utheving">
    <w:name w:val="Emphasis"/>
    <w:uiPriority w:val="20"/>
    <w:qFormat/>
    <w:rsid w:val="006A6AFC"/>
    <w:rPr>
      <w:i/>
      <w:iCs/>
    </w:rPr>
  </w:style>
  <w:style w:type="paragraph" w:styleId="Dokumentkart">
    <w:name w:val="Document Map"/>
    <w:basedOn w:val="Normal"/>
    <w:link w:val="DokumentkartTegn"/>
    <w:uiPriority w:val="99"/>
    <w:semiHidden/>
    <w:unhideWhenUsed/>
    <w:rsid w:val="006A6AFC"/>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6A6AFC"/>
    <w:rPr>
      <w:rFonts w:ascii="Tahoma" w:eastAsia="Times New Roman" w:hAnsi="Tahoma" w:cs="Tahoma"/>
      <w:sz w:val="16"/>
      <w:szCs w:val="16"/>
    </w:rPr>
  </w:style>
  <w:style w:type="paragraph" w:styleId="Rentekst">
    <w:name w:val="Plain Text"/>
    <w:basedOn w:val="Normal"/>
    <w:link w:val="RentekstTegn"/>
    <w:uiPriority w:val="99"/>
    <w:semiHidden/>
    <w:unhideWhenUsed/>
    <w:rsid w:val="006A6AFC"/>
    <w:pPr>
      <w:spacing w:after="0" w:line="240" w:lineRule="auto"/>
    </w:pPr>
    <w:rPr>
      <w:rFonts w:ascii="Consolas" w:hAnsi="Consolas"/>
      <w:sz w:val="21"/>
      <w:szCs w:val="21"/>
    </w:rPr>
  </w:style>
  <w:style w:type="character" w:customStyle="1" w:styleId="RentekstTegn">
    <w:name w:val="Ren tekst Tegn"/>
    <w:link w:val="Rentekst"/>
    <w:uiPriority w:val="99"/>
    <w:semiHidden/>
    <w:rsid w:val="006A6AFC"/>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6A6AFC"/>
    <w:pPr>
      <w:spacing w:after="0" w:line="240" w:lineRule="auto"/>
    </w:pPr>
  </w:style>
  <w:style w:type="character" w:customStyle="1" w:styleId="E-postsignaturTegn">
    <w:name w:val="E-postsignatur Tegn"/>
    <w:link w:val="E-postsignatur"/>
    <w:uiPriority w:val="99"/>
    <w:semiHidden/>
    <w:rsid w:val="006A6AFC"/>
    <w:rPr>
      <w:rFonts w:ascii="Open Sans" w:eastAsia="Times New Roman" w:hAnsi="Open Sans"/>
    </w:rPr>
  </w:style>
  <w:style w:type="paragraph" w:styleId="NormalWeb">
    <w:name w:val="Normal (Web)"/>
    <w:basedOn w:val="Normal"/>
    <w:uiPriority w:val="99"/>
    <w:semiHidden/>
    <w:unhideWhenUsed/>
    <w:rsid w:val="006A6AFC"/>
    <w:rPr>
      <w:rFonts w:cs="Times New Roman"/>
      <w:szCs w:val="24"/>
    </w:rPr>
  </w:style>
  <w:style w:type="character" w:styleId="HTML-akronym">
    <w:name w:val="HTML Acronym"/>
    <w:basedOn w:val="Standardskriftforavsnitt"/>
    <w:uiPriority w:val="99"/>
    <w:semiHidden/>
    <w:unhideWhenUsed/>
    <w:rsid w:val="006A6AFC"/>
  </w:style>
  <w:style w:type="paragraph" w:styleId="HTML-adresse">
    <w:name w:val="HTML Address"/>
    <w:basedOn w:val="Normal"/>
    <w:link w:val="HTML-adresseTegn"/>
    <w:uiPriority w:val="99"/>
    <w:semiHidden/>
    <w:unhideWhenUsed/>
    <w:rsid w:val="006A6AFC"/>
    <w:pPr>
      <w:spacing w:after="0" w:line="240" w:lineRule="auto"/>
    </w:pPr>
    <w:rPr>
      <w:i/>
      <w:iCs/>
    </w:rPr>
  </w:style>
  <w:style w:type="character" w:customStyle="1" w:styleId="HTML-adresseTegn">
    <w:name w:val="HTML-adresse Tegn"/>
    <w:link w:val="HTML-adresse"/>
    <w:uiPriority w:val="99"/>
    <w:semiHidden/>
    <w:rsid w:val="006A6AFC"/>
    <w:rPr>
      <w:rFonts w:ascii="Open Sans" w:eastAsia="Times New Roman" w:hAnsi="Open Sans"/>
      <w:i/>
      <w:iCs/>
    </w:rPr>
  </w:style>
  <w:style w:type="character" w:styleId="HTML-sitat">
    <w:name w:val="HTML Cite"/>
    <w:uiPriority w:val="99"/>
    <w:semiHidden/>
    <w:unhideWhenUsed/>
    <w:rsid w:val="006A6AFC"/>
    <w:rPr>
      <w:i/>
      <w:iCs/>
    </w:rPr>
  </w:style>
  <w:style w:type="character" w:styleId="HTML-kode">
    <w:name w:val="HTML Code"/>
    <w:uiPriority w:val="99"/>
    <w:semiHidden/>
    <w:unhideWhenUsed/>
    <w:rsid w:val="006A6AFC"/>
    <w:rPr>
      <w:rFonts w:ascii="Consolas" w:hAnsi="Consolas"/>
      <w:sz w:val="20"/>
      <w:szCs w:val="20"/>
    </w:rPr>
  </w:style>
  <w:style w:type="character" w:styleId="HTML-definisjon">
    <w:name w:val="HTML Definition"/>
    <w:uiPriority w:val="99"/>
    <w:semiHidden/>
    <w:unhideWhenUsed/>
    <w:rsid w:val="006A6AFC"/>
    <w:rPr>
      <w:i/>
      <w:iCs/>
    </w:rPr>
  </w:style>
  <w:style w:type="character" w:styleId="HTML-tastatur">
    <w:name w:val="HTML Keyboard"/>
    <w:uiPriority w:val="99"/>
    <w:semiHidden/>
    <w:unhideWhenUsed/>
    <w:rsid w:val="006A6AFC"/>
    <w:rPr>
      <w:rFonts w:ascii="Consolas" w:hAnsi="Consolas"/>
      <w:sz w:val="20"/>
      <w:szCs w:val="20"/>
    </w:rPr>
  </w:style>
  <w:style w:type="paragraph" w:styleId="HTML-forhndsformatert">
    <w:name w:val="HTML Preformatted"/>
    <w:basedOn w:val="Normal"/>
    <w:link w:val="HTML-forhndsformatertTegn"/>
    <w:uiPriority w:val="99"/>
    <w:semiHidden/>
    <w:unhideWhenUsed/>
    <w:rsid w:val="006A6AFC"/>
    <w:pPr>
      <w:spacing w:after="0" w:line="240" w:lineRule="auto"/>
    </w:pPr>
    <w:rPr>
      <w:rFonts w:ascii="Consolas" w:hAnsi="Consolas"/>
      <w:szCs w:val="20"/>
    </w:rPr>
  </w:style>
  <w:style w:type="character" w:customStyle="1" w:styleId="HTML-forhndsformatertTegn">
    <w:name w:val="HTML-forhåndsformatert Tegn"/>
    <w:link w:val="HTML-forhndsformatert"/>
    <w:uiPriority w:val="99"/>
    <w:semiHidden/>
    <w:rsid w:val="006A6AFC"/>
    <w:rPr>
      <w:rFonts w:ascii="Consolas" w:eastAsia="Times New Roman" w:hAnsi="Consolas"/>
      <w:szCs w:val="20"/>
    </w:rPr>
  </w:style>
  <w:style w:type="character" w:styleId="HTML-eksempel">
    <w:name w:val="HTML Sample"/>
    <w:uiPriority w:val="99"/>
    <w:semiHidden/>
    <w:unhideWhenUsed/>
    <w:rsid w:val="006A6AFC"/>
    <w:rPr>
      <w:rFonts w:ascii="Consolas" w:hAnsi="Consolas"/>
      <w:sz w:val="24"/>
      <w:szCs w:val="24"/>
    </w:rPr>
  </w:style>
  <w:style w:type="character" w:styleId="HTML-skrivemaskin">
    <w:name w:val="HTML Typewriter"/>
    <w:uiPriority w:val="99"/>
    <w:semiHidden/>
    <w:unhideWhenUsed/>
    <w:rsid w:val="006A6AFC"/>
    <w:rPr>
      <w:rFonts w:ascii="Consolas" w:hAnsi="Consolas"/>
      <w:sz w:val="20"/>
      <w:szCs w:val="20"/>
    </w:rPr>
  </w:style>
  <w:style w:type="character" w:styleId="HTML-variabel">
    <w:name w:val="HTML Variable"/>
    <w:uiPriority w:val="99"/>
    <w:semiHidden/>
    <w:unhideWhenUsed/>
    <w:rsid w:val="006A6AFC"/>
    <w:rPr>
      <w:i/>
      <w:iCs/>
    </w:rPr>
  </w:style>
  <w:style w:type="paragraph" w:styleId="Kommentaremne">
    <w:name w:val="annotation subject"/>
    <w:basedOn w:val="Merknadstekst"/>
    <w:next w:val="Merknadstekst"/>
    <w:link w:val="KommentaremneTegn"/>
    <w:uiPriority w:val="99"/>
    <w:semiHidden/>
    <w:unhideWhenUsed/>
    <w:rsid w:val="006A6AFC"/>
    <w:pPr>
      <w:spacing w:line="240" w:lineRule="auto"/>
    </w:pPr>
    <w:rPr>
      <w:b/>
      <w:bCs/>
      <w:szCs w:val="20"/>
    </w:rPr>
  </w:style>
  <w:style w:type="character" w:customStyle="1" w:styleId="KommentaremneTegn">
    <w:name w:val="Kommentaremne Tegn"/>
    <w:link w:val="Kommentaremne"/>
    <w:uiPriority w:val="99"/>
    <w:semiHidden/>
    <w:rsid w:val="006A6AFC"/>
    <w:rPr>
      <w:rFonts w:ascii="Open Sans" w:eastAsia="Times New Roman" w:hAnsi="Open Sans"/>
      <w:b/>
      <w:bCs/>
      <w:szCs w:val="20"/>
    </w:rPr>
  </w:style>
  <w:style w:type="paragraph" w:styleId="Bobletekst">
    <w:name w:val="Balloon Text"/>
    <w:basedOn w:val="Normal"/>
    <w:link w:val="BobletekstTegn"/>
    <w:uiPriority w:val="99"/>
    <w:semiHidden/>
    <w:unhideWhenUsed/>
    <w:rsid w:val="006A6AFC"/>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6A6AFC"/>
    <w:rPr>
      <w:rFonts w:ascii="Tahoma" w:eastAsia="Times New Roman" w:hAnsi="Tahoma" w:cs="Tahoma"/>
      <w:sz w:val="16"/>
      <w:szCs w:val="16"/>
    </w:rPr>
  </w:style>
  <w:style w:type="table" w:styleId="Tabellrutenett">
    <w:name w:val="Table Grid"/>
    <w:basedOn w:val="Vanligtabell"/>
    <w:uiPriority w:val="59"/>
    <w:rsid w:val="006A6AFC"/>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ssholdertekst">
    <w:name w:val="Placeholder Text"/>
    <w:uiPriority w:val="99"/>
    <w:semiHidden/>
    <w:rsid w:val="006A6AFC"/>
    <w:rPr>
      <w:color w:val="808080"/>
    </w:rPr>
  </w:style>
  <w:style w:type="paragraph" w:styleId="Ingenmellomrom">
    <w:name w:val="No Spacing"/>
    <w:uiPriority w:val="1"/>
    <w:qFormat/>
    <w:rsid w:val="006A6AFC"/>
    <w:pPr>
      <w:spacing w:after="0" w:line="240" w:lineRule="auto"/>
    </w:pPr>
    <w:rPr>
      <w:rFonts w:ascii="Calibri" w:eastAsia="Times New Roman" w:hAnsi="Calibri"/>
      <w:sz w:val="24"/>
    </w:rPr>
  </w:style>
  <w:style w:type="paragraph" w:styleId="Listeavsnitt">
    <w:name w:val="List Paragraph"/>
    <w:basedOn w:val="friliste"/>
    <w:uiPriority w:val="34"/>
    <w:qFormat/>
    <w:rsid w:val="006A6AFC"/>
    <w:pPr>
      <w:spacing w:before="0"/>
      <w:ind w:firstLine="0"/>
    </w:pPr>
  </w:style>
  <w:style w:type="paragraph" w:styleId="Sitat">
    <w:name w:val="Quote"/>
    <w:basedOn w:val="Normal"/>
    <w:next w:val="Normal"/>
    <w:link w:val="SitatTegn"/>
    <w:uiPriority w:val="29"/>
    <w:qFormat/>
    <w:rsid w:val="006A6AFC"/>
    <w:pPr>
      <w:spacing w:before="200"/>
      <w:ind w:left="864" w:right="864"/>
      <w:jc w:val="center"/>
    </w:pPr>
    <w:rPr>
      <w:i/>
      <w:iCs/>
      <w:color w:val="404040"/>
    </w:rPr>
  </w:style>
  <w:style w:type="character" w:customStyle="1" w:styleId="SitatTegn">
    <w:name w:val="Sitat Tegn"/>
    <w:link w:val="Sitat"/>
    <w:uiPriority w:val="29"/>
    <w:rsid w:val="006A6AFC"/>
    <w:rPr>
      <w:rFonts w:ascii="Open Sans" w:eastAsia="Times New Roman" w:hAnsi="Open Sans"/>
      <w:i/>
      <w:iCs/>
      <w:color w:val="404040"/>
    </w:rPr>
  </w:style>
  <w:style w:type="paragraph" w:styleId="Sterktsitat">
    <w:name w:val="Intense Quote"/>
    <w:basedOn w:val="Normal"/>
    <w:next w:val="Normal"/>
    <w:link w:val="SterktsitatTegn"/>
    <w:uiPriority w:val="30"/>
    <w:qFormat/>
    <w:rsid w:val="006A6AFC"/>
    <w:pPr>
      <w:pBdr>
        <w:bottom w:val="single" w:sz="4" w:space="4" w:color="5B9BD5"/>
      </w:pBdr>
      <w:spacing w:before="200" w:after="280"/>
      <w:ind w:left="936" w:right="936"/>
    </w:pPr>
    <w:rPr>
      <w:b/>
      <w:bCs/>
      <w:i/>
      <w:iCs/>
      <w:color w:val="5B9BD5"/>
    </w:rPr>
  </w:style>
  <w:style w:type="character" w:customStyle="1" w:styleId="SterktsitatTegn">
    <w:name w:val="Sterkt sitat Tegn"/>
    <w:link w:val="Sterktsitat"/>
    <w:uiPriority w:val="30"/>
    <w:rsid w:val="006A6AFC"/>
    <w:rPr>
      <w:rFonts w:ascii="Open Sans" w:eastAsia="Times New Roman" w:hAnsi="Open Sans"/>
      <w:b/>
      <w:bCs/>
      <w:i/>
      <w:iCs/>
      <w:color w:val="5B9BD5"/>
    </w:rPr>
  </w:style>
  <w:style w:type="character" w:styleId="Svakutheving">
    <w:name w:val="Subtle Emphasis"/>
    <w:uiPriority w:val="19"/>
    <w:qFormat/>
    <w:rsid w:val="006A6AFC"/>
    <w:rPr>
      <w:i/>
      <w:iCs/>
      <w:color w:val="808080"/>
    </w:rPr>
  </w:style>
  <w:style w:type="character" w:styleId="Sterkutheving">
    <w:name w:val="Intense Emphasis"/>
    <w:uiPriority w:val="21"/>
    <w:qFormat/>
    <w:rsid w:val="006A6AFC"/>
    <w:rPr>
      <w:b/>
      <w:bCs/>
      <w:i/>
      <w:iCs/>
      <w:color w:val="5B9BD5"/>
    </w:rPr>
  </w:style>
  <w:style w:type="character" w:styleId="Svakreferanse">
    <w:name w:val="Subtle Reference"/>
    <w:uiPriority w:val="31"/>
    <w:qFormat/>
    <w:rsid w:val="006A6AFC"/>
    <w:rPr>
      <w:smallCaps/>
      <w:color w:val="ED7D31"/>
      <w:u w:val="single"/>
    </w:rPr>
  </w:style>
  <w:style w:type="character" w:styleId="Sterkreferanse">
    <w:name w:val="Intense Reference"/>
    <w:uiPriority w:val="32"/>
    <w:qFormat/>
    <w:rsid w:val="006A6AFC"/>
    <w:rPr>
      <w:b/>
      <w:bCs/>
      <w:smallCaps/>
      <w:color w:val="ED7D31"/>
      <w:spacing w:val="5"/>
      <w:u w:val="single"/>
    </w:rPr>
  </w:style>
  <w:style w:type="character" w:styleId="Boktittel">
    <w:name w:val="Book Title"/>
    <w:uiPriority w:val="33"/>
    <w:qFormat/>
    <w:rsid w:val="006A6AFC"/>
    <w:rPr>
      <w:b/>
      <w:bCs/>
      <w:smallCaps/>
      <w:spacing w:val="5"/>
    </w:rPr>
  </w:style>
  <w:style w:type="paragraph" w:styleId="Bibliografi">
    <w:name w:val="Bibliography"/>
    <w:basedOn w:val="Normal"/>
    <w:next w:val="Normal"/>
    <w:uiPriority w:val="37"/>
    <w:semiHidden/>
    <w:unhideWhenUsed/>
    <w:rsid w:val="006A6AFC"/>
  </w:style>
  <w:style w:type="paragraph" w:styleId="Overskriftforinnholdsfortegnelse">
    <w:name w:val="TOC Heading"/>
    <w:basedOn w:val="Overskrift1"/>
    <w:next w:val="Normal"/>
    <w:uiPriority w:val="39"/>
    <w:semiHidden/>
    <w:unhideWhenUsed/>
    <w:qFormat/>
    <w:rsid w:val="006A6AFC"/>
    <w:pPr>
      <w:numPr>
        <w:numId w:val="0"/>
      </w:numPr>
      <w:spacing w:before="480" w:after="0"/>
      <w:outlineLvl w:val="9"/>
    </w:pPr>
    <w:rPr>
      <w:rFonts w:ascii="Calibri Light" w:hAnsi="Calibri Light" w:cs="Times New Roman"/>
      <w:bCs/>
      <w:color w:val="2E74B5"/>
      <w:kern w:val="0"/>
      <w:sz w:val="28"/>
      <w:szCs w:val="28"/>
    </w:rPr>
  </w:style>
  <w:style w:type="table" w:styleId="Listetabell5mrkuthevingsfarge5">
    <w:name w:val="List Table 5 Dark Accent 5"/>
    <w:basedOn w:val="Vanligtabell"/>
    <w:uiPriority w:val="50"/>
    <w:rsid w:val="006A6AFC"/>
    <w:pPr>
      <w:spacing w:after="0" w:line="240" w:lineRule="auto"/>
    </w:pPr>
    <w:rPr>
      <w:rFonts w:eastAsia="Calibri"/>
      <w:color w:val="FFFFFF"/>
      <w:lang w:eastAsia="en-US"/>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6A6AFC"/>
    <w:pPr>
      <w:spacing w:after="0" w:line="240" w:lineRule="auto"/>
    </w:pPr>
    <w:rPr>
      <w:rFonts w:eastAsia="Calibri"/>
      <w:lang w:eastAsia="en-US"/>
    </w:rPr>
    <w:tblPr>
      <w:tblBorders>
        <w:top w:val="single" w:sz="36" w:space="0" w:color="FFFFFF"/>
        <w:bottom w:val="single" w:sz="36" w:space="0" w:color="FFFFFF"/>
      </w:tblBorders>
      <w:tblCellMar>
        <w:top w:w="57" w:type="dxa"/>
        <w:bottom w:w="57" w:type="dxa"/>
      </w:tblCellMar>
    </w:tblPr>
    <w:tcPr>
      <w:shd w:val="clear" w:color="auto" w:fill="BFBFBF"/>
      <w:tcMar>
        <w:top w:w="227" w:type="dxa"/>
        <w:left w:w="170" w:type="dxa"/>
        <w:bottom w:w="170" w:type="dxa"/>
        <w:right w:w="170" w:type="dxa"/>
      </w:tcMar>
    </w:tcPr>
  </w:style>
  <w:style w:type="table" w:styleId="Listetabell5mrkuthevingsfarge3">
    <w:name w:val="List Table 5 Dark Accent 3"/>
    <w:basedOn w:val="Vanligtabell"/>
    <w:uiPriority w:val="50"/>
    <w:rsid w:val="006A6AFC"/>
    <w:pPr>
      <w:spacing w:after="0" w:line="240" w:lineRule="auto"/>
    </w:pPr>
    <w:rPr>
      <w:rFonts w:eastAsia="Calibri"/>
      <w:color w:val="FFFFFF"/>
      <w:lang w:eastAsia="en-US"/>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6A6AFC"/>
    <w:tblPr/>
    <w:tcPr>
      <w:shd w:val="clear" w:color="auto" w:fill="BDD6EE"/>
    </w:tcPr>
  </w:style>
  <w:style w:type="table" w:customStyle="1" w:styleId="GronnBoks">
    <w:name w:val="GronnBoks"/>
    <w:basedOn w:val="StandardBoks"/>
    <w:uiPriority w:val="99"/>
    <w:rsid w:val="006A6AFC"/>
    <w:tblPr/>
    <w:tcPr>
      <w:shd w:val="clear" w:color="auto" w:fill="C5E0B3"/>
    </w:tcPr>
  </w:style>
  <w:style w:type="table" w:customStyle="1" w:styleId="RodBoks">
    <w:name w:val="RodBoks"/>
    <w:basedOn w:val="StandardBoks"/>
    <w:uiPriority w:val="99"/>
    <w:rsid w:val="006A6AFC"/>
    <w:tblPr/>
    <w:tcPr>
      <w:shd w:val="clear" w:color="auto" w:fill="FFB3B3"/>
    </w:tcPr>
  </w:style>
  <w:style w:type="paragraph" w:customStyle="1" w:styleId="BoksGraaTittel">
    <w:name w:val="BoksGraaTittel"/>
    <w:basedOn w:val="Normal"/>
    <w:next w:val="Normal"/>
    <w:qFormat/>
    <w:rsid w:val="006A6AFC"/>
    <w:pPr>
      <w:pBdr>
        <w:top w:val="single" w:sz="2" w:space="6" w:color="767171"/>
        <w:left w:val="single" w:sz="2" w:space="6" w:color="767171"/>
        <w:bottom w:val="single" w:sz="2" w:space="4" w:color="767171"/>
        <w:right w:val="single" w:sz="2" w:space="6" w:color="767171"/>
      </w:pBdr>
      <w:shd w:val="clear" w:color="auto" w:fill="767171"/>
      <w:ind w:left="227" w:right="227"/>
    </w:pPr>
    <w:rPr>
      <w:b/>
      <w:color w:val="F2F2F2"/>
    </w:rPr>
  </w:style>
  <w:style w:type="paragraph" w:customStyle="1" w:styleId="BoksBlaaTittel">
    <w:name w:val="BoksBlaaTittel"/>
    <w:basedOn w:val="BoksGraaTittel"/>
    <w:next w:val="Normal"/>
    <w:qFormat/>
    <w:rsid w:val="006A6AFC"/>
    <w:pPr>
      <w:pBdr>
        <w:top w:val="single" w:sz="2" w:space="6" w:color="2E74B5"/>
        <w:left w:val="single" w:sz="2" w:space="6" w:color="2E74B5"/>
        <w:bottom w:val="single" w:sz="2" w:space="4" w:color="2E74B5"/>
        <w:right w:val="single" w:sz="2" w:space="6" w:color="2E74B5"/>
      </w:pBdr>
      <w:shd w:val="clear" w:color="auto" w:fill="2E74B5"/>
    </w:pPr>
  </w:style>
  <w:style w:type="paragraph" w:customStyle="1" w:styleId="BoksRodTittel">
    <w:name w:val="BoksRodTittel"/>
    <w:basedOn w:val="BoksGraaTittel"/>
    <w:next w:val="Normal"/>
    <w:qFormat/>
    <w:rsid w:val="006A6AFC"/>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6A6AFC"/>
    <w:pPr>
      <w:pBdr>
        <w:top w:val="single" w:sz="2" w:space="6" w:color="538135"/>
        <w:left w:val="single" w:sz="2" w:space="6" w:color="538135"/>
        <w:bottom w:val="single" w:sz="2" w:space="4" w:color="538135"/>
        <w:right w:val="single" w:sz="2" w:space="6" w:color="538135"/>
      </w:pBdr>
      <w:shd w:val="clear" w:color="auto" w:fill="538135"/>
    </w:pPr>
  </w:style>
  <w:style w:type="character" w:customStyle="1" w:styleId="understreket">
    <w:name w:val="understreket"/>
    <w:uiPriority w:val="1"/>
    <w:rsid w:val="006A6AFC"/>
    <w:rPr>
      <w:u w:val="single"/>
    </w:rPr>
  </w:style>
  <w:style w:type="paragraph" w:customStyle="1" w:styleId="del-nr">
    <w:name w:val="del-nr"/>
    <w:basedOn w:val="Normal"/>
    <w:qFormat/>
    <w:rsid w:val="006A6AFC"/>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6A6AFC"/>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tblRad">
    <w:name w:val="tblRad"/>
    <w:rsid w:val="006A6AFC"/>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6A6AFC"/>
  </w:style>
  <w:style w:type="paragraph" w:customStyle="1" w:styleId="tbl2LinjeSumBold">
    <w:name w:val="tbl2LinjeSumBold"/>
    <w:basedOn w:val="tblRad"/>
    <w:rsid w:val="006A6AFC"/>
    <w:rPr>
      <w:b/>
    </w:rPr>
  </w:style>
  <w:style w:type="paragraph" w:customStyle="1" w:styleId="tblDelsum1">
    <w:name w:val="tblDelsum1"/>
    <w:basedOn w:val="tblRad"/>
    <w:rsid w:val="006A6AFC"/>
    <w:rPr>
      <w:i/>
    </w:rPr>
  </w:style>
  <w:style w:type="paragraph" w:customStyle="1" w:styleId="tblDelsum1-Kapittel">
    <w:name w:val="tblDelsum1 - Kapittel"/>
    <w:basedOn w:val="tblDelsum1"/>
    <w:rsid w:val="006A6AFC"/>
    <w:pPr>
      <w:keepNext w:val="0"/>
    </w:pPr>
  </w:style>
  <w:style w:type="paragraph" w:customStyle="1" w:styleId="tblDelsum2">
    <w:name w:val="tblDelsum2"/>
    <w:basedOn w:val="tblRad"/>
    <w:rsid w:val="006A6AFC"/>
    <w:rPr>
      <w:b/>
      <w:i/>
    </w:rPr>
  </w:style>
  <w:style w:type="paragraph" w:customStyle="1" w:styleId="tblDelsum2-Kapittel">
    <w:name w:val="tblDelsum2 - Kapittel"/>
    <w:basedOn w:val="tblDelsum2"/>
    <w:rsid w:val="006A6AFC"/>
    <w:pPr>
      <w:keepNext w:val="0"/>
    </w:pPr>
  </w:style>
  <w:style w:type="paragraph" w:customStyle="1" w:styleId="tblTabelloverskrift">
    <w:name w:val="tblTabelloverskrift"/>
    <w:rsid w:val="006A6AFC"/>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6A6AFC"/>
    <w:pPr>
      <w:spacing w:after="0"/>
      <w:jc w:val="right"/>
    </w:pPr>
    <w:rPr>
      <w:b w:val="0"/>
      <w:caps w:val="0"/>
      <w:sz w:val="16"/>
    </w:rPr>
  </w:style>
  <w:style w:type="paragraph" w:customStyle="1" w:styleId="tblKategoriOverskrift">
    <w:name w:val="tblKategoriOverskrift"/>
    <w:basedOn w:val="tblRad"/>
    <w:rsid w:val="006A6AFC"/>
    <w:pPr>
      <w:spacing w:before="120"/>
    </w:pPr>
    <w:rPr>
      <w:b/>
    </w:rPr>
  </w:style>
  <w:style w:type="paragraph" w:customStyle="1" w:styleId="tblKolonneoverskrift">
    <w:name w:val="tblKolonneoverskrift"/>
    <w:basedOn w:val="Normal"/>
    <w:rsid w:val="006A6AFC"/>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6A6AFC"/>
    <w:pPr>
      <w:spacing w:after="360"/>
      <w:jc w:val="center"/>
    </w:pPr>
    <w:rPr>
      <w:b w:val="0"/>
      <w:caps w:val="0"/>
    </w:rPr>
  </w:style>
  <w:style w:type="paragraph" w:customStyle="1" w:styleId="tblKolonneoverskrift-Vedtak">
    <w:name w:val="tblKolonneoverskrift - Vedtak"/>
    <w:basedOn w:val="tblTabelloverskrift-Vedtak"/>
    <w:rsid w:val="006A6AFC"/>
    <w:pPr>
      <w:spacing w:after="0"/>
    </w:pPr>
  </w:style>
  <w:style w:type="paragraph" w:customStyle="1" w:styleId="tblOverskrift-Vedtak">
    <w:name w:val="tblOverskrift - Vedtak"/>
    <w:basedOn w:val="tblRad"/>
    <w:rsid w:val="006A6AFC"/>
    <w:pPr>
      <w:spacing w:before="360"/>
      <w:jc w:val="center"/>
    </w:pPr>
  </w:style>
  <w:style w:type="paragraph" w:customStyle="1" w:styleId="tblRadBold">
    <w:name w:val="tblRadBold"/>
    <w:basedOn w:val="tblRad"/>
    <w:rsid w:val="006A6AFC"/>
    <w:rPr>
      <w:b/>
    </w:rPr>
  </w:style>
  <w:style w:type="paragraph" w:customStyle="1" w:styleId="tblRadItalic">
    <w:name w:val="tblRadItalic"/>
    <w:basedOn w:val="tblRad"/>
    <w:rsid w:val="006A6AFC"/>
    <w:rPr>
      <w:i/>
    </w:rPr>
  </w:style>
  <w:style w:type="paragraph" w:customStyle="1" w:styleId="tblRadItalicSiste">
    <w:name w:val="tblRadItalicSiste"/>
    <w:basedOn w:val="tblRadItalic"/>
    <w:rsid w:val="006A6AFC"/>
  </w:style>
  <w:style w:type="paragraph" w:customStyle="1" w:styleId="tblRadMedLuft">
    <w:name w:val="tblRadMedLuft"/>
    <w:basedOn w:val="tblRad"/>
    <w:rsid w:val="006A6AFC"/>
    <w:pPr>
      <w:spacing w:before="120"/>
    </w:pPr>
  </w:style>
  <w:style w:type="paragraph" w:customStyle="1" w:styleId="tblRadMedLuftSiste">
    <w:name w:val="tblRadMedLuftSiste"/>
    <w:basedOn w:val="tblRadMedLuft"/>
    <w:rsid w:val="006A6AFC"/>
    <w:pPr>
      <w:spacing w:after="120"/>
    </w:pPr>
  </w:style>
  <w:style w:type="paragraph" w:customStyle="1" w:styleId="tblRadMedLuftSiste-Vedtak">
    <w:name w:val="tblRadMedLuftSiste - Vedtak"/>
    <w:basedOn w:val="tblRadMedLuftSiste"/>
    <w:rsid w:val="006A6AFC"/>
    <w:pPr>
      <w:keepNext w:val="0"/>
    </w:pPr>
  </w:style>
  <w:style w:type="paragraph" w:customStyle="1" w:styleId="tblRadSiste">
    <w:name w:val="tblRadSiste"/>
    <w:basedOn w:val="tblRad"/>
    <w:rsid w:val="006A6AFC"/>
  </w:style>
  <w:style w:type="paragraph" w:customStyle="1" w:styleId="tblSluttsum">
    <w:name w:val="tblSluttsum"/>
    <w:basedOn w:val="tblRad"/>
    <w:rsid w:val="006A6AFC"/>
    <w:pPr>
      <w:spacing w:before="120"/>
    </w:pPr>
    <w:rPr>
      <w:b/>
      <w:i/>
    </w:rPr>
  </w:style>
  <w:style w:type="paragraph" w:customStyle="1" w:styleId="Stil1">
    <w:name w:val="Stil1"/>
    <w:basedOn w:val="Normal"/>
    <w:qFormat/>
    <w:rsid w:val="006A6AFC"/>
    <w:pPr>
      <w:spacing w:after="100"/>
    </w:pPr>
  </w:style>
  <w:style w:type="paragraph" w:customStyle="1" w:styleId="Stil2">
    <w:name w:val="Stil2"/>
    <w:basedOn w:val="Normal"/>
    <w:autoRedefine/>
    <w:qFormat/>
    <w:rsid w:val="006A6AFC"/>
    <w:pPr>
      <w:spacing w:after="100"/>
    </w:pPr>
  </w:style>
  <w:style w:type="paragraph" w:customStyle="1" w:styleId="Forside-departement">
    <w:name w:val="Forside-departement"/>
    <w:qFormat/>
    <w:rsid w:val="006A6AFC"/>
    <w:pPr>
      <w:spacing w:after="0" w:line="280" w:lineRule="atLeast"/>
    </w:pPr>
    <w:rPr>
      <w:rFonts w:ascii="Open Sans" w:eastAsia="Times New Roman" w:hAnsi="Open Sans" w:cs="Open Sans"/>
      <w:sz w:val="24"/>
      <w:szCs w:val="24"/>
    </w:rPr>
  </w:style>
  <w:style w:type="paragraph" w:customStyle="1" w:styleId="Forside-rapport">
    <w:name w:val="Forside-rapport"/>
    <w:qFormat/>
    <w:rsid w:val="006A6AFC"/>
    <w:pPr>
      <w:jc w:val="right"/>
    </w:pPr>
    <w:rPr>
      <w:rFonts w:ascii="Open Sans" w:eastAsia="Times New Roman" w:hAnsi="Open Sans" w:cs="Open Sans"/>
      <w:sz w:val="24"/>
      <w:szCs w:val="24"/>
    </w:rPr>
  </w:style>
  <w:style w:type="paragraph" w:customStyle="1" w:styleId="Forside-tittel">
    <w:name w:val="Forside-tittel"/>
    <w:next w:val="Forside-departement"/>
    <w:qFormat/>
    <w:rsid w:val="006A6AFC"/>
    <w:pPr>
      <w:spacing w:after="0" w:line="240" w:lineRule="auto"/>
    </w:pPr>
    <w:rPr>
      <w:rFonts w:ascii="Open Sans" w:eastAsia="Times New Roman" w:hAnsi="Open Sans" w:cs="Open Sans"/>
      <w:color w:val="000000"/>
      <w:sz w:val="66"/>
      <w:szCs w:val="66"/>
      <w:lang w:eastAsia="en-US"/>
    </w:rPr>
  </w:style>
  <w:style w:type="paragraph" w:customStyle="1" w:styleId="Default">
    <w:name w:val="Default"/>
    <w:rsid w:val="006A6AFC"/>
    <w:pPr>
      <w:autoSpaceDE w:val="0"/>
      <w:autoSpaceDN w:val="0"/>
      <w:adjustRightInd w:val="0"/>
      <w:spacing w:after="0" w:line="240" w:lineRule="auto"/>
    </w:pPr>
    <w:rPr>
      <w:rFonts w:ascii="Open Sans Light" w:hAnsi="Open Sans Light" w:cs="Open Sans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regjeringen.no/id2660940/?ch=2#kap5" TargetMode="External"/><Relationship Id="rId26" Type="http://schemas.openxmlformats.org/officeDocument/2006/relationships/hyperlink" Target="https://www.osce.org/odihr/429389" TargetMode="External"/><Relationship Id="rId39" Type="http://schemas.openxmlformats.org/officeDocument/2006/relationships/hyperlink" Target="http://www.forb-learning.org" TargetMode="External"/><Relationship Id="rId3" Type="http://schemas.openxmlformats.org/officeDocument/2006/relationships/settings" Target="settings.xml"/><Relationship Id="rId21" Type="http://schemas.openxmlformats.org/officeDocument/2006/relationships/hyperlink" Target="https://www.eeas.europa.eu/sites/default/files/137585.pdf" TargetMode="External"/><Relationship Id="rId34" Type="http://schemas.openxmlformats.org/officeDocument/2006/relationships/hyperlink" Target="https://www.norad.no/aktuelt/nyheter/2019/okte-tilskudd-til-tros--og-livssynsminoriteters-rettigheter/" TargetMode="External"/><Relationship Id="rId42" Type="http://schemas.openxmlformats.org/officeDocument/2006/relationships/hyperlink" Target="https://gin-ssogie.org/" TargetMode="External"/><Relationship Id="rId47" Type="http://schemas.openxmlformats.org/officeDocument/2006/relationships/hyperlink" Target="https://www.ohchr.org/en/instruments-mechanisms/instruments/convention-rights-child" TargetMode="Externa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osce.org/odihr/freedom-of-religion-or-belief" TargetMode="External"/><Relationship Id="rId33" Type="http://schemas.openxmlformats.org/officeDocument/2006/relationships/hyperlink" Target="https://intra.dep.no/ud/aktuelt/budskapsplattform/id130992/" TargetMode="External"/><Relationship Id="rId38" Type="http://schemas.openxmlformats.org/officeDocument/2006/relationships/hyperlink" Target="http://www.stefanusalliansen.no" TargetMode="External"/><Relationship Id="rId46" Type="http://schemas.openxmlformats.org/officeDocument/2006/relationships/hyperlink" Target="https://www.ohchr.org/en/instruments-mechanisms/instruments/international-covenant-economic-social-and-cultural-rights"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ohchr.org/en/faith-for-rights" TargetMode="External"/><Relationship Id="rId29" Type="http://schemas.openxmlformats.org/officeDocument/2006/relationships/hyperlink" Target="https://minorityrights.org/" TargetMode="External"/><Relationship Id="rId41" Type="http://schemas.openxmlformats.org/officeDocument/2006/relationships/hyperlink" Target="https://www.ippforb.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religiousfreedom.eu/work/" TargetMode="External"/><Relationship Id="rId32" Type="http://schemas.openxmlformats.org/officeDocument/2006/relationships/hyperlink" Target="https://www.regjeringen.no/no/tema/utenrikssaker/menneskerettigheter/id1160/" TargetMode="External"/><Relationship Id="rId37" Type="http://schemas.openxmlformats.org/officeDocument/2006/relationships/hyperlink" Target="https://www.regjeringen.no/id504/" TargetMode="External"/><Relationship Id="rId40" Type="http://schemas.openxmlformats.org/officeDocument/2006/relationships/hyperlink" Target="https://www.jus.uio.no/smr/english/about/id/oslocoalition/" TargetMode="External"/><Relationship Id="rId45" Type="http://schemas.openxmlformats.org/officeDocument/2006/relationships/hyperlink" Target="https://www.ohchr.org/en/instruments-mechanisms/instruments/international-covenant-civil-and-political-rights"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religiousfreedom.eu/" TargetMode="External"/><Relationship Id="rId28" Type="http://schemas.openxmlformats.org/officeDocument/2006/relationships/hyperlink" Target="https://www.uscirf.gov/" TargetMode="External"/><Relationship Id="rId36" Type="http://schemas.openxmlformats.org/officeDocument/2006/relationships/hyperlink" Target="https://www.regjeringen.no/id922/" TargetMode="External"/><Relationship Id="rId49" Type="http://schemas.openxmlformats.org/officeDocument/2006/relationships/fontTable" Target="fontTable.xml"/><Relationship Id="rId10" Type="http://schemas.openxmlformats.org/officeDocument/2006/relationships/hyperlink" Target="mailto:seksjon.for.menneskerettigheter.demokrati.og.likestilling%40mfa.no?subject=" TargetMode="External"/><Relationship Id="rId19" Type="http://schemas.openxmlformats.org/officeDocument/2006/relationships/hyperlink" Target="https://www.ohchr.org/en/special-procedures/sr-religion-or-belief" TargetMode="External"/><Relationship Id="rId31" Type="http://schemas.openxmlformats.org/officeDocument/2006/relationships/hyperlink" Target="https://intra.dep.no/ud/departementet-og-stasjonene/organisasjonskart/avdelinger/avdeling-for-fn-og-humanitare-sporsmal/seksjon-for-mr-demokrati-og-likestilling/id113747/" TargetMode="External"/><Relationship Id="rId44" Type="http://schemas.openxmlformats.org/officeDocument/2006/relationships/hyperlink" Target="https://www.trooglivssyn.n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s://www.eeas.europa.eu/eeas/standing-freedom-religion-or-belief_en" TargetMode="External"/><Relationship Id="rId27" Type="http://schemas.openxmlformats.org/officeDocument/2006/relationships/hyperlink" Target="https://www.coe.int/en/web/portal" TargetMode="External"/><Relationship Id="rId30" Type="http://schemas.openxmlformats.org/officeDocument/2006/relationships/hyperlink" Target="https://freedomhouse.org/issues/equality-human-rights" TargetMode="External"/><Relationship Id="rId35" Type="http://schemas.openxmlformats.org/officeDocument/2006/relationships/hyperlink" Target="https://www.regjeringen.no/id1147/" TargetMode="External"/><Relationship Id="rId43" Type="http://schemas.openxmlformats.org/officeDocument/2006/relationships/hyperlink" Target="https://www.hlsenteret.no/" TargetMode="External"/><Relationship Id="rId48" Type="http://schemas.openxmlformats.org/officeDocument/2006/relationships/hyperlink" Target="https://www.ohchr.org/en/instruments-mechanisms/instruments/convention-elimination-all-forms-discrimination-against-women" TargetMode="External"/><Relationship Id="rId8"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Felles-publisering-mal.dotx</Template>
  <TotalTime>13</TotalTime>
  <Pages>32</Pages>
  <Words>9916</Words>
  <Characters>63197</Characters>
  <Application>Microsoft Office Word</Application>
  <DocSecurity>0</DocSecurity>
  <Lines>526</Lines>
  <Paragraphs>145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Rogne Jonas Madsen</cp:lastModifiedBy>
  <cp:revision>4</cp:revision>
  <dcterms:created xsi:type="dcterms:W3CDTF">2023-06-05T05:59:00Z</dcterms:created>
  <dcterms:modified xsi:type="dcterms:W3CDTF">2023-06-05T06:12:00Z</dcterms:modified>
</cp:coreProperties>
</file>