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71AF" w14:textId="139F685F" w:rsidR="00000000" w:rsidRPr="001A4C33" w:rsidRDefault="001A4C33" w:rsidP="001A4C33">
      <w:pPr>
        <w:pStyle w:val="is-dep"/>
      </w:pPr>
      <w:r w:rsidRPr="001A4C33">
        <w:t>Klima- og miljødepartementet</w:t>
      </w:r>
    </w:p>
    <w:p w14:paraId="66473F6E" w14:textId="77777777" w:rsidR="00000000" w:rsidRPr="001A4C33" w:rsidRDefault="001A4C33" w:rsidP="001A4C33">
      <w:pPr>
        <w:pStyle w:val="i-hode"/>
      </w:pPr>
      <w:r w:rsidRPr="001A4C33">
        <w:t>Prop. 76 L</w:t>
      </w:r>
    </w:p>
    <w:p w14:paraId="56595EB6" w14:textId="77777777" w:rsidR="00000000" w:rsidRPr="001A4C33" w:rsidRDefault="001A4C33" w:rsidP="001A4C33">
      <w:pPr>
        <w:pStyle w:val="i-sesjon"/>
      </w:pPr>
      <w:r w:rsidRPr="001A4C33">
        <w:t>(2021–2022)</w:t>
      </w:r>
    </w:p>
    <w:p w14:paraId="3D9360B5" w14:textId="77777777" w:rsidR="00000000" w:rsidRPr="001A4C33" w:rsidRDefault="001A4C33" w:rsidP="001A4C33">
      <w:pPr>
        <w:pStyle w:val="i-hode-tit"/>
      </w:pPr>
      <w:r w:rsidRPr="001A4C33">
        <w:t>Proposisjon til Stortinget (forslag til lovvedtak)</w:t>
      </w:r>
    </w:p>
    <w:p w14:paraId="59F1CB81" w14:textId="5F2309CE" w:rsidR="00000000" w:rsidRPr="001A4C33" w:rsidRDefault="001A4C33" w:rsidP="001A4C33">
      <w:pPr>
        <w:pStyle w:val="i-tit"/>
      </w:pPr>
      <w:r w:rsidRPr="001A4C33">
        <w:t xml:space="preserve">Endringer i naturmangfoldloven </w:t>
      </w:r>
      <w:r>
        <w:br/>
      </w:r>
      <w:r w:rsidRPr="001A4C33">
        <w:t xml:space="preserve">(utnytting av genetisk materiale med </w:t>
      </w:r>
      <w:r>
        <w:br/>
      </w:r>
      <w:r w:rsidRPr="001A4C33">
        <w:t xml:space="preserve">opprinnelse i andre land og tradisjonell </w:t>
      </w:r>
      <w:r>
        <w:br/>
      </w:r>
      <w:r w:rsidRPr="001A4C33">
        <w:t>kunnskap knyttet til utnytting av sl</w:t>
      </w:r>
      <w:r w:rsidRPr="001A4C33">
        <w:t>ikt materiale)</w:t>
      </w:r>
    </w:p>
    <w:p w14:paraId="2C190635" w14:textId="0DCB59CC" w:rsidR="00000000" w:rsidRPr="001A4C33" w:rsidRDefault="001A4C33" w:rsidP="001A4C33">
      <w:pPr>
        <w:pStyle w:val="i-dep"/>
      </w:pPr>
      <w:r w:rsidRPr="001A4C33">
        <w:t>Klima- og miljødepartementet</w:t>
      </w:r>
    </w:p>
    <w:p w14:paraId="570FD9C6" w14:textId="77777777" w:rsidR="00000000" w:rsidRPr="001A4C33" w:rsidRDefault="001A4C33" w:rsidP="001A4C33">
      <w:pPr>
        <w:pStyle w:val="i-hode"/>
      </w:pPr>
      <w:r w:rsidRPr="001A4C33">
        <w:t>Prop. 76 L</w:t>
      </w:r>
    </w:p>
    <w:p w14:paraId="16225574" w14:textId="77777777" w:rsidR="00000000" w:rsidRPr="001A4C33" w:rsidRDefault="001A4C33" w:rsidP="001A4C33">
      <w:pPr>
        <w:pStyle w:val="i-sesjon"/>
      </w:pPr>
      <w:r w:rsidRPr="001A4C33">
        <w:t>(2021–2022)</w:t>
      </w:r>
    </w:p>
    <w:p w14:paraId="3E34F26C" w14:textId="77777777" w:rsidR="00000000" w:rsidRPr="001A4C33" w:rsidRDefault="001A4C33" w:rsidP="001A4C33">
      <w:pPr>
        <w:pStyle w:val="i-hode-tit"/>
      </w:pPr>
      <w:r w:rsidRPr="001A4C33">
        <w:t>Proposisjon til Stortinget (forslag til lovvedtak)</w:t>
      </w:r>
    </w:p>
    <w:p w14:paraId="1044E451" w14:textId="77777777" w:rsidR="00000000" w:rsidRPr="001A4C33" w:rsidRDefault="001A4C33" w:rsidP="001A4C33">
      <w:pPr>
        <w:pStyle w:val="i-tit"/>
      </w:pPr>
      <w:r w:rsidRPr="001A4C33">
        <w:t xml:space="preserve">Endringer i naturmangfoldloven </w:t>
      </w:r>
      <w:r w:rsidRPr="001A4C33">
        <w:br/>
        <w:t xml:space="preserve">(utnytting av genetisk materiale med </w:t>
      </w:r>
      <w:r w:rsidRPr="001A4C33">
        <w:br/>
      </w:r>
      <w:r w:rsidRPr="001A4C33">
        <w:t xml:space="preserve">opprinnelse i andre land og tradisjonell </w:t>
      </w:r>
      <w:r w:rsidRPr="001A4C33">
        <w:br/>
        <w:t>kunnskap knyttet til utnytting av slikt materiale)</w:t>
      </w:r>
    </w:p>
    <w:p w14:paraId="3DF7AB0D" w14:textId="77777777" w:rsidR="00000000" w:rsidRPr="001A4C33" w:rsidRDefault="001A4C33" w:rsidP="001A4C33">
      <w:pPr>
        <w:pStyle w:val="i-statsrdato"/>
      </w:pPr>
      <w:r w:rsidRPr="001A4C33">
        <w:t xml:space="preserve">Tilråding fra Klima- og miljødepartementet 8. april 2022, </w:t>
      </w:r>
      <w:r w:rsidRPr="001A4C33">
        <w:br/>
        <w:t xml:space="preserve">godkjent i statsråd samme dag. </w:t>
      </w:r>
      <w:r w:rsidRPr="001A4C33">
        <w:br/>
        <w:t>(Regjeringen Støre)</w:t>
      </w:r>
    </w:p>
    <w:p w14:paraId="6169F154" w14:textId="77777777" w:rsidR="00000000" w:rsidRPr="001A4C33" w:rsidRDefault="001A4C33" w:rsidP="001A4C33">
      <w:pPr>
        <w:pStyle w:val="Overskrift1"/>
      </w:pPr>
      <w:r w:rsidRPr="001A4C33">
        <w:t>Hovedinnhold i proposisjonen</w:t>
      </w:r>
    </w:p>
    <w:p w14:paraId="385C1B07" w14:textId="77777777" w:rsidR="00000000" w:rsidRPr="001A4C33" w:rsidRDefault="001A4C33" w:rsidP="001A4C33">
      <w:r w:rsidRPr="001A4C33">
        <w:t>Lovproposisjonen ta</w:t>
      </w:r>
      <w:r w:rsidRPr="001A4C33">
        <w:t>r sikte på å bedre oppfyllelsen av Nagoyaprotokollen artikkel 16 og 17 i norsk rett. Naturmangfoldloven (nml.) trådte i kraft i juli 2009, og Nagoyaprotokollen trådte i kraft i 2014. Da naturmangfoldloven ble utarbeidet, var det ikke mulig å ta høyde for d</w:t>
      </w:r>
      <w:r w:rsidRPr="001A4C33">
        <w:t xml:space="preserve">et </w:t>
      </w:r>
      <w:r w:rsidRPr="001A4C33">
        <w:lastRenderedPageBreak/>
        <w:t>kon</w:t>
      </w:r>
      <w:r w:rsidRPr="001A4C33">
        <w:t xml:space="preserve">krete innholdet i Nagoyaprotokollen, og lovens § 60 inneholder dermed ikke tilstrekkelig hjemmel </w:t>
      </w:r>
      <w:r w:rsidRPr="001A4C33">
        <w:t>til å gi forskrifter for oppfyllelse av Nagoyaprotokollen. Nagoyaprotokollen pålegger Norge som partsland å føre kontroll med utnytting av genetisk mater</w:t>
      </w:r>
      <w:r w:rsidRPr="001A4C33">
        <w:t>iale og tradisjonell kunnskap knyttet til slikt materiale med opprinnelse i andre land. Denne kontrollen skal for genetisk materiale etter Nagoyaprotokollen artikkel 17 skje gjennom å opprette ett eller flere sjekkpunkter der opplysninger om opprinnelse fo</w:t>
      </w:r>
      <w:r w:rsidRPr="001A4C33">
        <w:t>r materialet, oppfyllelse av samtykkekrav og krav til fordelsdeling mv. innhentes eller mottas. Dette skal bidra til effektiv håndheving av eventuelle krav i andre land til samtykke og fordeling av fordeler ved utnytting av genetisk materiale, i tråd med r</w:t>
      </w:r>
      <w:r w:rsidRPr="001A4C33">
        <w:t>eglene i Nagoyaprotokollen og Konvensjonen om biologisk mangfold.</w:t>
      </w:r>
    </w:p>
    <w:p w14:paraId="4085AA85" w14:textId="77777777" w:rsidR="00000000" w:rsidRPr="001A4C33" w:rsidRDefault="001A4C33" w:rsidP="001A4C33">
      <w:r w:rsidRPr="001A4C33">
        <w:t>Lovproposisjonen inneholder forslag til endringer i naturmangfoldloven § 60 annet og tredje ledd. Disse endringene innebærer at kravene til opplysninger som skal foreligge for utnytting av g</w:t>
      </w:r>
      <w:r w:rsidRPr="001A4C33">
        <w:t>enetisk materiale med opprinnelse i andre land, utvides til å omfatte opplysninger om gjensidig avtalte vilkår, hvilket er et sentralt element i Nagoyaprotokollen. I tillegg utvides opplysningskravene til også å gjelde for utnytting i Norge av tradisjonell</w:t>
      </w:r>
      <w:r w:rsidRPr="001A4C33">
        <w:t xml:space="preserve"> kunnskap knyttet til genetisk materiale med opprinnelse i andre land, i tråd med Nagoyaprotokollen artikkel 16.</w:t>
      </w:r>
    </w:p>
    <w:p w14:paraId="62EB7506" w14:textId="77777777" w:rsidR="00000000" w:rsidRPr="001A4C33" w:rsidRDefault="001A4C33" w:rsidP="001A4C33">
      <w:r w:rsidRPr="001A4C33">
        <w:t>Lovproposisjonen inneholder også forslag til hjemmel i naturmangfoldloven § 60 fjerde ledd bokstav a til d for Kongen til å gi forskrift om fir</w:t>
      </w:r>
      <w:r w:rsidRPr="001A4C33">
        <w:t xml:space="preserve">e elementer: </w:t>
      </w:r>
    </w:p>
    <w:p w14:paraId="7DF556AB" w14:textId="77777777" w:rsidR="00000000" w:rsidRPr="001A4C33" w:rsidRDefault="001A4C33" w:rsidP="001A4C33">
      <w:pPr>
        <w:pStyle w:val="friliste"/>
      </w:pPr>
      <w:r w:rsidRPr="001A4C33">
        <w:t xml:space="preserve">a. </w:t>
      </w:r>
      <w:r w:rsidRPr="001A4C33">
        <w:tab/>
        <w:t xml:space="preserve">nærmere krav til opplysningene som skal foreligge etter naturmangfoldloven § 60 annet og tredje ledd, og krav til ytterligere opplysninger </w:t>
      </w:r>
    </w:p>
    <w:p w14:paraId="480AE91D" w14:textId="77777777" w:rsidR="00000000" w:rsidRPr="001A4C33" w:rsidRDefault="001A4C33" w:rsidP="001A4C33">
      <w:pPr>
        <w:pStyle w:val="friliste"/>
      </w:pPr>
      <w:r w:rsidRPr="001A4C33">
        <w:t xml:space="preserve">b. </w:t>
      </w:r>
      <w:r w:rsidRPr="001A4C33">
        <w:tab/>
        <w:t xml:space="preserve">plikt for utnytteren til bevaring og overføring av opplysningene til senere brukere </w:t>
      </w:r>
    </w:p>
    <w:p w14:paraId="659DD546" w14:textId="77777777" w:rsidR="00000000" w:rsidRPr="001A4C33" w:rsidRDefault="001A4C33" w:rsidP="001A4C33">
      <w:pPr>
        <w:pStyle w:val="friliste"/>
      </w:pPr>
      <w:r w:rsidRPr="001A4C33">
        <w:t xml:space="preserve">c. </w:t>
      </w:r>
      <w:r w:rsidRPr="001A4C33">
        <w:tab/>
        <w:t>utnyt</w:t>
      </w:r>
      <w:r w:rsidRPr="001A4C33">
        <w:t>teren skal gi erklæring til en utpekt myndighet om oppfyllelse av opplysningskravene når det mottas midler til forskning som omfatter utnytting av genetisk materiale eller tradisjonell kunnskap knyttet til slikt materiale, og når det utvikles produkter ved</w:t>
      </w:r>
      <w:r w:rsidRPr="001A4C33">
        <w:t xml:space="preserve"> utnytting av slikt materiale eller slik kunnskap </w:t>
      </w:r>
    </w:p>
    <w:p w14:paraId="730BD32A" w14:textId="77777777" w:rsidR="00000000" w:rsidRPr="001A4C33" w:rsidRDefault="001A4C33" w:rsidP="001A4C33">
      <w:pPr>
        <w:pStyle w:val="friliste"/>
      </w:pPr>
      <w:r w:rsidRPr="001A4C33">
        <w:t>d.</w:t>
      </w:r>
      <w:r w:rsidRPr="001A4C33">
        <w:tab/>
        <w:t>den utpekte myndighetens behandling og videreformidling av opplysningene.</w:t>
      </w:r>
    </w:p>
    <w:p w14:paraId="27B0F250" w14:textId="77777777" w:rsidR="00000000" w:rsidRPr="001A4C33" w:rsidRDefault="001A4C33" w:rsidP="001A4C33">
      <w:pPr>
        <w:pStyle w:val="Overskrift1"/>
      </w:pPr>
      <w:r w:rsidRPr="001A4C33">
        <w:t>Om lovforslaget</w:t>
      </w:r>
    </w:p>
    <w:p w14:paraId="4A4CAADF" w14:textId="77777777" w:rsidR="00000000" w:rsidRPr="001A4C33" w:rsidRDefault="001A4C33" w:rsidP="001A4C33">
      <w:pPr>
        <w:pStyle w:val="Overskrift2"/>
      </w:pPr>
      <w:r w:rsidRPr="001A4C33">
        <w:t xml:space="preserve">Bakgrunnen for forslaget </w:t>
      </w:r>
    </w:p>
    <w:p w14:paraId="7A44159C" w14:textId="77777777" w:rsidR="00000000" w:rsidRPr="001A4C33" w:rsidRDefault="001A4C33" w:rsidP="001A4C33">
      <w:r w:rsidRPr="001A4C33">
        <w:t>Norge er forpliktet etter Nagoyaprotokollen til å utpeke ett eller flere sjekkpunkter som skal få og videreformidle opplysninger om utnytting i Norge av genetisk materiale med opprinnelse i andre land. Dette er en folkerettslig forpliktelse, og regelverket</w:t>
      </w:r>
      <w:r w:rsidRPr="001A4C33">
        <w:t xml:space="preserve"> må ha hjemmel i lov fordi det innebærer en plikt for borgerne.</w:t>
      </w:r>
    </w:p>
    <w:p w14:paraId="20FDF164" w14:textId="77777777" w:rsidR="00000000" w:rsidRPr="001A4C33" w:rsidRDefault="001A4C33" w:rsidP="001A4C33">
      <w:pPr>
        <w:pStyle w:val="Overskrift2"/>
      </w:pPr>
      <w:r w:rsidRPr="001A4C33">
        <w:t>Om Nagoyaprotokollen</w:t>
      </w:r>
    </w:p>
    <w:p w14:paraId="49225C93" w14:textId="77777777" w:rsidR="00000000" w:rsidRPr="001A4C33" w:rsidRDefault="001A4C33" w:rsidP="001A4C33">
      <w:r w:rsidRPr="001A4C33">
        <w:t xml:space="preserve">Konvensjonen om biologisk mangfold vedtatt 22. mai 1992 (Convention on Biological Diversity, CBD) er det viktigste internasjonale instrumentet for fastleggelse av </w:t>
      </w:r>
      <w:r w:rsidRPr="001A4C33">
        <w:t xml:space="preserve">generelle rammer for bevaring og bærekraftig bruk av biologisk mangfold, samt rettferdig og likeverdig fordeling av fordeler som følger av utnytting av genetisk materiale. Nagoyaprotokollen ble vedtatt 29. oktober 2010 av konvensjonens parter. Protokollen </w:t>
      </w:r>
      <w:r w:rsidRPr="001A4C33">
        <w:t>utdyper de generelle reglene i Konvensjonen om biologisk mangfold om adgang til genetisk materiale og deling av pengemessige og ikke-</w:t>
      </w:r>
      <w:r w:rsidRPr="001A4C33">
        <w:lastRenderedPageBreak/>
        <w:t>pengemessige fordeler som oppstår ved utnytting av genetisk materiale og tradisjonell kunnskap knyttet til utnytting av gen</w:t>
      </w:r>
      <w:r w:rsidRPr="001A4C33">
        <w:t>etisk materiale.</w:t>
      </w:r>
    </w:p>
    <w:p w14:paraId="464645AC" w14:textId="77777777" w:rsidR="00000000" w:rsidRPr="001A4C33" w:rsidRDefault="001A4C33" w:rsidP="001A4C33">
      <w:r w:rsidRPr="001A4C33">
        <w:t>Norge ratifiserte Nagoyaprotokollen i oktober 2013, se Prop. 137 S (2012–2013). Nagoyaprotokollen trådte i kraft i oktober 2014, og har nå 116 parter.</w:t>
      </w:r>
    </w:p>
    <w:p w14:paraId="10EBC243" w14:textId="77777777" w:rsidR="00000000" w:rsidRPr="001A4C33" w:rsidRDefault="001A4C33" w:rsidP="001A4C33">
      <w:r w:rsidRPr="001A4C33">
        <w:t>Formålet med Nagoyaprotokollen er en rettferdig fordeling av fordelene ved utnyttingen a</w:t>
      </w:r>
      <w:r w:rsidRPr="001A4C33">
        <w:t xml:space="preserve">v genetiske ressurser for å bidra til bevaring og bærekraftig bruk av biologisk mangfold. Nagoyaprotokollen balanserer interessene mellom land som er rike på genetiske ressurser, og land som har teknologisk kapasitet til å utnytte disse ressursene. Høsten </w:t>
      </w:r>
      <w:r w:rsidRPr="001A4C33">
        <w:t>2015 vedtok FNs medlemsland 17 mål for bærekraftig utvikling frem mot 2030. Bærekraftsmålene ser miljø, økonomi og sosial utvikling i sammenheng. Målene gjelder for alle land og er et veikart for den globale innsatsen for en bærekraftig utvikling. Norge ha</w:t>
      </w:r>
      <w:r w:rsidRPr="001A4C33">
        <w:t>r forpliktet seg til å følge opp bærekraftsmålene. Genetiske ressurser er viktig for oppnåelsen av bærekraftsmålene. Dette gjelder blant annet målene om å utrydde fattigdom (bærekraftsmål 1), å utrydde sult (bærekraftsmål 2), om god helse og livskvalitet (</w:t>
      </w:r>
      <w:r w:rsidRPr="001A4C33">
        <w:t>bærekraftsmål 3), likestilling mellom kjønnene (bærekraftsmål 5), industri, innovasjon og infrastruktur (bærekraftsmål 9), livet i havet (bærekraftsmål 14) og livet på land (bærekraftsmål 15). Arbeidet med oppfølging av Nagoyaprotokollen er et nasjonalt og</w:t>
      </w:r>
      <w:r w:rsidRPr="001A4C33">
        <w:t xml:space="preserve"> internasjonalt partnerskap som er relevant for mange bærekraftsmål og helt sentralt for å oppnå delmål 2.5 og delmål 15.6. Delmål 2.5 handler om forvaltning av det genetiske mangfoldet. Delmål 15.6 handler om rettferdig og likeverdig deling av godene knyt</w:t>
      </w:r>
      <w:r w:rsidRPr="001A4C33">
        <w:t xml:space="preserve">tet til bruk av genetisk materiale, og formålstjenelig tilgang til slikt materiale. </w:t>
      </w:r>
    </w:p>
    <w:p w14:paraId="3F883199" w14:textId="77777777" w:rsidR="00000000" w:rsidRPr="001A4C33" w:rsidRDefault="001A4C33" w:rsidP="001A4C33">
      <w:r w:rsidRPr="001A4C33">
        <w:t>I samsvar med Konvensjonen om biologisk mangfold artikkel 15, gjelder Nagoyaprotokollen for genetisk materiale som er underlagt nasjonale suverene rettigheter, fordeler so</w:t>
      </w:r>
      <w:r w:rsidRPr="001A4C33">
        <w:t>m følger av utnyttingen av slikt materiale, tradisjonell kunnskap knyttet til genetisk materiale som omfattes av konvensjonen og fordeler som følger av bruken av denne kunnskapen. Regelverket gjelder ikke for opplysninger om utnytting av genetisk materiale</w:t>
      </w:r>
      <w:r w:rsidRPr="001A4C33">
        <w:t xml:space="preserve"> fra mennesker. Nagoyaprotokollen gir føringer for partene ved utformingen av regelverk om tilgang til genetiske ressurser. Partene har også plikt til å sørge for at genetiske ressurser som brukes i det enkelte landet er innhentet med forhåndssamtykke, der</w:t>
      </w:r>
      <w:r w:rsidRPr="001A4C33">
        <w:t>som dette er et krav i leverandør- eller opprinnelseslandet.</w:t>
      </w:r>
    </w:p>
    <w:p w14:paraId="66E38954" w14:textId="77777777" w:rsidR="00000000" w:rsidRPr="001A4C33" w:rsidRDefault="001A4C33" w:rsidP="001A4C33">
      <w:r w:rsidRPr="001A4C33">
        <w:t>Nagoyaprotokollen artikkel 5 gjelder forpliktelser til fordelsdeling med de som har opprinnelsen til de genetiske ressursene eller tradisjonell kunnskap knyttet til disse genetiske ressursene. Ar</w:t>
      </w:r>
      <w:r w:rsidRPr="001A4C33">
        <w:t>tikkel 5 nr. 1 slår fast at fordeler som følger av utnyttingen av genressurser skal fordeles på en rettferdig og likeverdig måte med parten som leverer den genetiske ressursen og er dens opprinnelsesland, eller med den som har ervervet den genetiske ressur</w:t>
      </w:r>
      <w:r w:rsidRPr="001A4C33">
        <w:t>sen i samsvar med konvensjonen og dermed er leverandørland. Slik fordeling kan omfatte både pengemessige og ikke-pengemessige fordeler, og skal skje på gjensidig avtalte vilkår, jf. artikkel 5 nr. 1 og 4.</w:t>
      </w:r>
    </w:p>
    <w:p w14:paraId="4218580C" w14:textId="77777777" w:rsidR="00000000" w:rsidRPr="001A4C33" w:rsidRDefault="001A4C33" w:rsidP="001A4C33">
      <w:r w:rsidRPr="001A4C33">
        <w:t>Etter artikkel 5 nr. 5 skal partene også treffe til</w:t>
      </w:r>
      <w:r w:rsidRPr="001A4C33">
        <w:t xml:space="preserve">tak for at fordeler som følger av utnyttingen av tradisjonell kunnskap knyttet til genetiske ressurser, deles med urfolk og lokalsamfunn som er innehaverne av slik kunnskap, og at dette skjer på gjensidig avtalte vilkår. Tradisjonell kunnskap </w:t>
      </w:r>
      <w:r w:rsidRPr="001A4C33">
        <w:t>knyttet til g</w:t>
      </w:r>
      <w:r w:rsidRPr="001A4C33">
        <w:t xml:space="preserve">enetiske ressurser er kunnskap knyttet </w:t>
      </w:r>
      <w:r w:rsidRPr="001A4C33">
        <w:t>til genetisk materiale som er utviklet, brukt, bevart og overført av et urfolk eller lokalsamfunn, slik som tekniske ferdigheter, fremgangsmåter og læremetoder som er brukt, bevart eller overført i fellesskap mellom g</w:t>
      </w:r>
      <w:r w:rsidRPr="001A4C33">
        <w:t xml:space="preserve">enerasjoner </w:t>
      </w:r>
      <w:r w:rsidRPr="001A4C33">
        <w:lastRenderedPageBreak/>
        <w:t>innenfor et urfolk eller lokalsamfunn, jf. naturmangfoldloven § 61 a og forskrift 25. november 2016 nr. 1367 om beskyttelse av tradisjonell kunnskap knyttet til genetisk materiale § 1.</w:t>
      </w:r>
    </w:p>
    <w:p w14:paraId="3AF699DA" w14:textId="77777777" w:rsidR="00000000" w:rsidRPr="001A4C33" w:rsidRDefault="001A4C33" w:rsidP="001A4C33">
      <w:r w:rsidRPr="001A4C33">
        <w:t xml:space="preserve">Nagoyaprotokollen artikkel 6 gjelder krav til utforming av </w:t>
      </w:r>
      <w:r w:rsidRPr="001A4C33">
        <w:t xml:space="preserve">nasjonalt regelverk om tilgang til genetiske ressurser. Artikkel 6 nr. 1 forutsetter som hovedregel at det innhentes samtykke i hvert enkelt tilfelle for utnytting av genetiske ressurser, dersom det stilles krav om slikt samtykke i landet der de genetiske </w:t>
      </w:r>
      <w:r w:rsidRPr="001A4C33">
        <w:t>ressursene har sin opprinnelse eller blir levert fra. Det er imidlertid opp til det enkelte land hvorvidt det i nasjonal lovgivning skal etableres krav til forhåndssamtykke for uttak av genetiske ressurser fra naturen. Etter artikkel 6 nr. 2 skal hver part</w:t>
      </w:r>
      <w:r w:rsidRPr="001A4C33">
        <w:t xml:space="preserve"> treffe tiltak i samsvar med nasjonal rett for å sikre at det kreves forhåndssamtykke eller godkjenning fra og involvering av urfolk og lokalsamfunn for tilgang til genetiske ressurser, der urfolk eller lokalsamfunn har en etablert rett til å gi tilgang ti</w:t>
      </w:r>
      <w:r w:rsidRPr="001A4C33">
        <w:t xml:space="preserve">l slikt materiale. Artikkel 6 nr. 3 stiller nærmere krav til nasjonalt regelverk om forhåndssamtykke og gjensidig avtalte vilkår, blant annet om utstedelse av tillatelser («international certificate of compliance») som skal tjene som bevis for avgjørelsen </w:t>
      </w:r>
      <w:r w:rsidRPr="001A4C33">
        <w:t>om forhåndssamtykke og etableringen av eventuelle gjensidig avtalte vilkår, jf. artikkel 6 nr. 3 bokstav e. Den internasjonale mekanismen for informasjonsutveksling (jf. nærmere om dette nedenfor) skal underrettes om slike tillatelser, og tillatelsen vil d</w:t>
      </w:r>
      <w:r w:rsidRPr="001A4C33">
        <w:t>a fungere som et internasjonalt akseptert bevis for at materialet tillatelsen gjelder er ervervet med samtykke, og for eventuelle vilkår knyttet til samtykket, jf. Nagoyaprotokollen artikkel 17 nr. 2 og 3.</w:t>
      </w:r>
    </w:p>
    <w:p w14:paraId="217923B4" w14:textId="77777777" w:rsidR="00000000" w:rsidRPr="001A4C33" w:rsidRDefault="001A4C33" w:rsidP="001A4C33">
      <w:r w:rsidRPr="001A4C33">
        <w:t>Nagoyaprotokollen har i artikkel 7 regler som setter krav til nasjonalt regelverk om tilgang til tradisjonell kunnskap knyttet til genetiske ressurser. Bestemmelsen slår fast at partene skal treffe tiltak for å sikre at tilgang til slik kunnskap som inneha</w:t>
      </w:r>
      <w:r w:rsidRPr="001A4C33">
        <w:t>s av urfolk og lokalsamfunn, gis etter forhåndssamtykke eller godkjenning og involvering av disse, og at gjensidig avtalte vilkår er etablert.</w:t>
      </w:r>
    </w:p>
    <w:p w14:paraId="3F5B6C42" w14:textId="77777777" w:rsidR="00000000" w:rsidRPr="001A4C33" w:rsidRDefault="001A4C33" w:rsidP="001A4C33">
      <w:r w:rsidRPr="001A4C33">
        <w:t>Artikkel 10 fastslår at partene skal vurdere etablering av en global multilateral mekanisme for fordeling av ford</w:t>
      </w:r>
      <w:r w:rsidRPr="001A4C33">
        <w:t>eler. En slik global mekanisme er så langt ikke etablert.</w:t>
      </w:r>
    </w:p>
    <w:p w14:paraId="3154FED6" w14:textId="77777777" w:rsidR="00000000" w:rsidRPr="001A4C33" w:rsidRDefault="001A4C33" w:rsidP="001A4C33">
      <w:r w:rsidRPr="001A4C33">
        <w:t>Etter artikkel 13 skal statene utpeke et nasjonalt kontaktpunkt og en eller flere kompetente nasjonale myndigheter etter Nagoyaprotokollen. Kontaktpunktet skal formidle informasjon til de som ønsker</w:t>
      </w:r>
      <w:r w:rsidRPr="001A4C33">
        <w:t xml:space="preserve"> tilgang til genetiske ressurser eller tradisjonell kunnskap knyttet til genetiske ressurser om nasjonalt regelverk om forhåndssamtykke og prosedyrer for å fastsette vilkår om f.eks. fordelsdeling, jf. artikkel 13 nr. 1 bokstav a og b. Kompetent nasjonal m</w:t>
      </w:r>
      <w:r w:rsidRPr="001A4C33">
        <w:t xml:space="preserve">yndighet skal ha ansvar for vedtak om tilgang til genetiske ressurser og for å gi skriftlig dokumentasjon til de som ønsker tilgang til genetiske ressurser om at krav til tilgang er oppfylt, der nasjonalt regelverk oppstiller slike krav. Nagoyaprotokollen </w:t>
      </w:r>
      <w:r w:rsidRPr="001A4C33">
        <w:t>åpner for at nasjonalt kontaktpunkt og kompetent nasjonal myndighet kan være samme organ, jf. artikkel 13 nr. 3. I Norge er Miljødirektoratet kompetent nasjonal myndighet og nasjonalt kontaktpunkt.</w:t>
      </w:r>
    </w:p>
    <w:p w14:paraId="24C12FEF" w14:textId="77777777" w:rsidR="00000000" w:rsidRPr="001A4C33" w:rsidRDefault="001A4C33" w:rsidP="001A4C33">
      <w:r w:rsidRPr="001A4C33">
        <w:t>Artikkel 14 omhandler den internasjonale mekanismen for in</w:t>
      </w:r>
      <w:r w:rsidRPr="001A4C33">
        <w:t>formasjonsutveksling. Denne kalles «Access and Benefit-Sharing Clearing House» og forkortes til ABS Clearing House. Denne inneholder en database og skal legge til rette for internasjonal informasjonsutveksling om tilgang og fordeling av fordeler ut fra den</w:t>
      </w:r>
      <w:r w:rsidRPr="001A4C33">
        <w:t xml:space="preserve">ne databasebasen. Partene skal etter artikkel 14 nr. 2 gjøre tilgjengelig for den internasjonale mekanismen for informasjonsutveksling informasjon om sitt regelverk for tilgang og fordelingsdeling, nasjonalt kontaktpunkt og kompetent nasjonal </w:t>
      </w:r>
      <w:r w:rsidRPr="001A4C33">
        <w:lastRenderedPageBreak/>
        <w:t>myndighet sam</w:t>
      </w:r>
      <w:r w:rsidRPr="001A4C33">
        <w:t>t om tillatelser som nevnt i Nagoyaprotokollen artikkel 6 nr. 3 bokstav e, som utstedes som bevis på at forhåndssamtykke er gitt og at gjensidig avtalte vilkår er etablert.</w:t>
      </w:r>
    </w:p>
    <w:p w14:paraId="2258B5A6" w14:textId="77777777" w:rsidR="00000000" w:rsidRPr="001A4C33" w:rsidRDefault="001A4C33" w:rsidP="001A4C33">
      <w:r w:rsidRPr="001A4C33">
        <w:t>Nagoyaprotokollen forutsetter at hvert partsland skal ha mekanismer for kontroll og</w:t>
      </w:r>
      <w:r w:rsidRPr="001A4C33">
        <w:t xml:space="preserve"> overvåking av utnytting innenfor egen jurisdiksjon av genetisk materiale og tradisjonell kunnskap knyttet til slikt materiale med opprinnelse i andre land, for å legge til rette for at utnyttingen skjer på de vilkår som er satt for tilgangen til materiale</w:t>
      </w:r>
      <w:r w:rsidRPr="001A4C33">
        <w:t xml:space="preserve">t og kunnskapen, i tråd med artikkel 6 og 7. Artikkel 15 har bestemmelser om kontroll med overholdelse av andre lands nasjonale regelverk om tilgang og fordeling av fordeler ved utnytting av genetisk materiale. Hver part skal treffe hensiktsmessige tiltak </w:t>
      </w:r>
      <w:r w:rsidRPr="001A4C33">
        <w:t>som sikrer at tilgangen til genetisk materiale som utnyttes innenfor deres jurisdiksjon er undergitt informert forhåndssamtykke, og at det er fastsatt gjensidige avtalte vilkår, hvis dette er et krav etter den annen parts regelverk.</w:t>
      </w:r>
    </w:p>
    <w:p w14:paraId="403D6245" w14:textId="77777777" w:rsidR="00000000" w:rsidRPr="001A4C33" w:rsidRDefault="001A4C33" w:rsidP="001A4C33">
      <w:r w:rsidRPr="001A4C33">
        <w:t>Artikkel 16 har tilsvar</w:t>
      </w:r>
      <w:r w:rsidRPr="001A4C33">
        <w:t>ende bestemmelser om kontroll med overholdelse av andre lands nasjonale regelverk om krav til forhåndssamtykke og fordeling av fordeler når det gjelder utnytting av tradisjonell kunnskap knyttet til genetisk materiale.</w:t>
      </w:r>
    </w:p>
    <w:p w14:paraId="0DEFB70E" w14:textId="77777777" w:rsidR="00000000" w:rsidRPr="001A4C33" w:rsidRDefault="001A4C33" w:rsidP="001A4C33">
      <w:r w:rsidRPr="001A4C33">
        <w:t>Nagoyaprotokollen artikkel 17 omhandl</w:t>
      </w:r>
      <w:r w:rsidRPr="001A4C33">
        <w:t>er partenes overvåking av bruken av genetiske ressurser innenfor sin jurisdiksjon. Hver part skal etter artikkel 17 nr. 1 utpeke ett eller flere sjekkpunkter som skal innhente eller motta relevante opplysninger, se nærmere om dette i punkt 2.3. Tilsvarende</w:t>
      </w:r>
      <w:r w:rsidRPr="001A4C33">
        <w:t xml:space="preserve"> bestemmelser finnes ikke for tradisjonell kunnskap i Nagoyaprotokollen.</w:t>
      </w:r>
    </w:p>
    <w:p w14:paraId="404E3A3A" w14:textId="77777777" w:rsidR="00000000" w:rsidRPr="001A4C33" w:rsidRDefault="001A4C33" w:rsidP="001A4C33">
      <w:r w:rsidRPr="001A4C33">
        <w:t>For omtale av de øvrige bestemmelsene i Nagoyaprotokollen vises det til Prop. 137 S (2012–2013) punkt 5.</w:t>
      </w:r>
    </w:p>
    <w:p w14:paraId="141C8802" w14:textId="77777777" w:rsidR="00000000" w:rsidRPr="001A4C33" w:rsidRDefault="001A4C33" w:rsidP="001A4C33">
      <w:r w:rsidRPr="001A4C33">
        <w:t>Nagoyaprotokollen er et særskilt instrument for tilgang og fordeling av fordel</w:t>
      </w:r>
      <w:r w:rsidRPr="001A4C33">
        <w:t>er ved utnytting av genetisk materiale og tradisjonell kunnskap knyttet til slikt materiale, hvilket i utgangspunktet omfatter alt av genetisk materiale fra naturen. Imidlertid følger det av Nagoyaprotokollen artikkel 4 nr. 4, jf. også naturmangfoldloven §</w:t>
      </w:r>
      <w:r w:rsidRPr="001A4C33">
        <w:t> 60 femte ledd, at Nagoyaprotokollen ikke får anvendelse der det er utviklet et særlig internasjonalt instrument om tilgang og fordeling av fordeler som er forenlig med Konvensjonen om biologisk mangfold og Nagoyaprotokollens formål, slik som Den internasj</w:t>
      </w:r>
      <w:r w:rsidRPr="001A4C33">
        <w:t xml:space="preserve">onale traktaten 3. november 2001 om plantegenetiske ressurser for mat og jordbruk (Plantetraktaten). Nagoyaprotokollen omfatter derimot alt av genetisk materiale med opprinnelse i andre land som </w:t>
      </w:r>
      <w:r w:rsidRPr="001A4C33">
        <w:rPr>
          <w:rStyle w:val="kursiv"/>
        </w:rPr>
        <w:t>ikke</w:t>
      </w:r>
      <w:r w:rsidRPr="001A4C33">
        <w:t xml:space="preserve"> er ervervet i tråd med en standard materialoverføringsav</w:t>
      </w:r>
      <w:r w:rsidRPr="001A4C33">
        <w:t>tale etter Plantetraktaten.</w:t>
      </w:r>
    </w:p>
    <w:p w14:paraId="259A6C66" w14:textId="77777777" w:rsidR="00000000" w:rsidRPr="001A4C33" w:rsidRDefault="001A4C33" w:rsidP="001A4C33">
      <w:pPr>
        <w:pStyle w:val="Overskrift2"/>
      </w:pPr>
      <w:r w:rsidRPr="001A4C33">
        <w:t>Nærmere om Nagoyaprotokollen artikkel 17</w:t>
      </w:r>
    </w:p>
    <w:p w14:paraId="303D5D52" w14:textId="77777777" w:rsidR="00000000" w:rsidRPr="001A4C33" w:rsidRDefault="001A4C33" w:rsidP="001A4C33">
      <w:r w:rsidRPr="001A4C33">
        <w:t>Når det gjelder bruk av genetiske ressurser med opprinnelse i andre land, skal hver part etter Nagoyaprotokollen artikkel 17 nr. 1 bokstav a treffe hensiktsmessige tiltak for å ov</w:t>
      </w:r>
      <w:r w:rsidRPr="001A4C33">
        <w:t>ervåke og øke åpenheten om bruken av slike ressurser. Disse tiltakene skal omfatte utpeking av ett eller flere sjekkpunkter som skal innhente eller motta opplysninger. Sjekkpunktets oppgaver følger av artikkel 17 nr. 1 bokstav a punkt i:</w:t>
      </w:r>
    </w:p>
    <w:p w14:paraId="3D31EB94" w14:textId="77777777" w:rsidR="00000000" w:rsidRPr="001A4C33" w:rsidRDefault="001A4C33" w:rsidP="001A4C33">
      <w:pPr>
        <w:pStyle w:val="blokksit"/>
        <w:rPr>
          <w:rStyle w:val="kursiv"/>
        </w:rPr>
      </w:pPr>
      <w:r w:rsidRPr="001A4C33">
        <w:t>«[D]e utpekte sjek</w:t>
      </w:r>
      <w:r w:rsidRPr="001A4C33">
        <w:t>kpunktene skal henholdsvis innhente eller motta, relevante opplysninger om forutgående informert samtykke, om den genetiske ressursens opprinnelse, og om fastsettelse av gjensidig avtalte vilkår, og/eller om bruk av genressurser, alt etter hva som er tilfe</w:t>
      </w:r>
      <w:r w:rsidRPr="001A4C33">
        <w:t>llet».</w:t>
      </w:r>
    </w:p>
    <w:p w14:paraId="3F276FF9" w14:textId="77777777" w:rsidR="00000000" w:rsidRPr="001A4C33" w:rsidRDefault="001A4C33" w:rsidP="001A4C33">
      <w:r w:rsidRPr="001A4C33">
        <w:lastRenderedPageBreak/>
        <w:t>For å oppfylle kravet om overvåking og åpenhet må sjekkpunktet kunne innhente eller motta opplysninger om bruk av genetiske ressurser i tråd med Nagoyaprotokollen artikkel 17. Opplysningene som skal innhentes eller mottas omfatter om det er gitt for</w:t>
      </w:r>
      <w:r w:rsidRPr="001A4C33">
        <w:t>håndssamtykke, opprinnelsen for de genetiske ressursene og om det er fastsatt gjensidig avtalte vilkår og hva slags bruk det dreier seg om. Hvilken informasjon som skal kreves kommer an på hva som er relevant for det enkelte sjekkpunktets funksjon, jf. res</w:t>
      </w:r>
      <w:r w:rsidRPr="001A4C33">
        <w:t>ervasjonen om hva som er hensiktsmessig, innledningsvis i artikkel 17 nr. 1.</w:t>
      </w:r>
    </w:p>
    <w:p w14:paraId="66FF69D0" w14:textId="77777777" w:rsidR="00000000" w:rsidRPr="001A4C33" w:rsidRDefault="001A4C33" w:rsidP="001A4C33">
      <w:r w:rsidRPr="001A4C33">
        <w:t>Av artikkel 17 nr. 1 bokstav a punkt ii fremgår det at partene, i den grad dette er hensiktsmessig ut fra særtrekkene til det enkelte sjekkpunktet, skal kreve at brukerne av de ge</w:t>
      </w:r>
      <w:r w:rsidRPr="001A4C33">
        <w:t>netiske ressursene gir informasjon om forhåndssamtykke, opprinnelse, gjensidig avtalte vilkår og bruk av genetiske ressurser til sjekkpunktet, og ta hensiktsmessige, effektive og forholdsmessige tiltak for å adressere tilfeller der dette ikke gjøres. Dette</w:t>
      </w:r>
      <w:r w:rsidRPr="001A4C33">
        <w:t xml:space="preserve"> innebærer at brukere av genetiske ressurser med opprinnelse i andre land må pålegges å gi opplysninger om de nevnte forholdene til et nasjonalt utpekt sjekkpunkt.</w:t>
      </w:r>
    </w:p>
    <w:p w14:paraId="6F8B3FE7" w14:textId="77777777" w:rsidR="00000000" w:rsidRPr="001A4C33" w:rsidRDefault="001A4C33" w:rsidP="001A4C33">
      <w:r w:rsidRPr="001A4C33">
        <w:t xml:space="preserve">Det følger av artikkel 17 nr. 1 bokstav a punkt iv at sjekkpunktene må være effektive og ha </w:t>
      </w:r>
      <w:r w:rsidRPr="001A4C33">
        <w:t xml:space="preserve">funksjoner som er relevante for bruken av genetiske ressurser, og dermed for å gjøre en sjekk av forholdene nevnt i punkt i. Sjekkpunktene skal ifølge punkt iv være relevante for bruken av genetiske ressurser eller for innhenting av informasjon på ethvert </w:t>
      </w:r>
      <w:r w:rsidRPr="001A4C33">
        <w:t>trinn av forskning, utvikling, innovasjon, prekommersialisering eller kommersialisering av et produkt.</w:t>
      </w:r>
    </w:p>
    <w:p w14:paraId="4C1F7DF9" w14:textId="77777777" w:rsidR="00000000" w:rsidRPr="001A4C33" w:rsidRDefault="001A4C33" w:rsidP="001A4C33">
      <w:r w:rsidRPr="001A4C33">
        <w:t>Hva som ligger i kravet til effektivitet etter artikkel 17 nr. 1 punkt iv er ikke definert eller klarlagt i Nagoyaprotokollen. Det er derfor i utgangspun</w:t>
      </w:r>
      <w:r w:rsidRPr="001A4C33">
        <w:t>ktet opp til partene å vurdere hva som er effektivt i denne sammenhengen. Statene har etter Nagoyaprotokollen ikke plikt til å tillegge sjekkpunktene myndighet til å håndheve manglende oppfyllelse av kravene til de opplysningene utnytterne skal gi til sjek</w:t>
      </w:r>
      <w:r w:rsidRPr="001A4C33">
        <w:t xml:space="preserve">kpunktet etter artikkel 17 nr. 1 bokstav a. Statene har frihet til å gi sjekkpunktene en mottaksrolle (passiv) eller en mer undersøkende (aktiv) rolle. Det er opp til hver enkelt part å bestemme hvilken av de to hovedfunksjonene som velges, alternativt at </w:t>
      </w:r>
      <w:r w:rsidRPr="001A4C33">
        <w:t>begge skal ivaretas.</w:t>
      </w:r>
    </w:p>
    <w:p w14:paraId="6F309970" w14:textId="77777777" w:rsidR="00000000" w:rsidRPr="001A4C33" w:rsidRDefault="001A4C33" w:rsidP="001A4C33">
      <w:r w:rsidRPr="001A4C33">
        <w:t>Etter Nagoyaprotokollen artikkel 17 nr. 1 bokstav a punkt iii skal opplysningene sjekkpunktet mottar, så langt det passer og uten at det berører beskyttelsen av taushetsbelagte opplysninger, gis videre til:</w:t>
      </w:r>
    </w:p>
    <w:p w14:paraId="367B51AD" w14:textId="77777777" w:rsidR="00000000" w:rsidRPr="001A4C33" w:rsidRDefault="001A4C33" w:rsidP="001A4C33">
      <w:pPr>
        <w:pStyle w:val="Liste"/>
      </w:pPr>
      <w:r w:rsidRPr="001A4C33">
        <w:t>relevante</w:t>
      </w:r>
      <w:r w:rsidRPr="001A4C33">
        <w:t xml:space="preserve"> nasjonale myndigheter</w:t>
      </w:r>
    </w:p>
    <w:p w14:paraId="33F93A95" w14:textId="77777777" w:rsidR="00000000" w:rsidRPr="001A4C33" w:rsidRDefault="001A4C33" w:rsidP="001A4C33">
      <w:pPr>
        <w:pStyle w:val="Liste"/>
      </w:pPr>
      <w:r w:rsidRPr="001A4C33">
        <w:t>den internasjonale informasjonsutvekslingsmekanismen etter Nagoyaprotokollen artikkel 14, og</w:t>
      </w:r>
    </w:p>
    <w:p w14:paraId="7B492CB5" w14:textId="77777777" w:rsidR="00000000" w:rsidRPr="001A4C33" w:rsidRDefault="001A4C33" w:rsidP="001A4C33">
      <w:pPr>
        <w:pStyle w:val="Liste"/>
      </w:pPr>
      <w:r w:rsidRPr="001A4C33">
        <w:t>den part som har gitt forutgående informert samtykke.</w:t>
      </w:r>
    </w:p>
    <w:p w14:paraId="41452001" w14:textId="77777777" w:rsidR="00000000" w:rsidRPr="001A4C33" w:rsidRDefault="001A4C33" w:rsidP="001A4C33">
      <w:r w:rsidRPr="001A4C33">
        <w:t>Formål</w:t>
      </w:r>
      <w:r w:rsidRPr="001A4C33">
        <w:t>et med sjekkpunktets innhenting av informasjon er altså å sikre åpenhet om informasjonen og at den formidles til det aktuelle landet materialet er hentet fra, slik at det blir mulig for dem som har gitt tilgang til materialet å håndheve avtalte vilkår om f</w:t>
      </w:r>
      <w:r w:rsidRPr="001A4C33">
        <w:t>ordelsdeling mv.</w:t>
      </w:r>
    </w:p>
    <w:p w14:paraId="13E990C5" w14:textId="77777777" w:rsidR="00000000" w:rsidRPr="001A4C33" w:rsidRDefault="001A4C33" w:rsidP="001A4C33">
      <w:r w:rsidRPr="001A4C33">
        <w:t>Reglene om sjekkpunkter i Nagoyaprotokollen artikkel 17 gjelder bare opplysninger om bruk av genetiske ressurser, og ikke opplysninger om urfolks eller lokalsamfunns tradisjonelle kunnskap knyttet til dette. Nagoyaprotokollen krever ikke a</w:t>
      </w:r>
      <w:r w:rsidRPr="001A4C33">
        <w:t xml:space="preserve">t partene skal etablere sjekkpunkter knyttet til etterlevelsen av regler om krav til samtykke mv. for tilgang til og utnytting av slik kunnskap. Det gjelder imidlertid etter artikkel 16 mer generelle krav til å treffe tiltak, herunder </w:t>
      </w:r>
      <w:r w:rsidRPr="001A4C33">
        <w:lastRenderedPageBreak/>
        <w:t>lovgivningstiltak, so</w:t>
      </w:r>
      <w:r w:rsidRPr="001A4C33">
        <w:t>m er hensiktsmessige for å sikre at krav til forhåndssamtykke og gjensidig avtalte vilkår i et annet land har blitt overholdt av brukerne av slik kunnskap.</w:t>
      </w:r>
    </w:p>
    <w:p w14:paraId="02639735" w14:textId="77777777" w:rsidR="00000000" w:rsidRPr="001A4C33" w:rsidRDefault="001A4C33" w:rsidP="001A4C33">
      <w:pPr>
        <w:pStyle w:val="Overskrift2"/>
      </w:pPr>
      <w:r w:rsidRPr="001A4C33">
        <w:t>Høringen av lovforslaget</w:t>
      </w:r>
    </w:p>
    <w:p w14:paraId="41AC843A" w14:textId="77777777" w:rsidR="00000000" w:rsidRPr="001A4C33" w:rsidRDefault="001A4C33" w:rsidP="001A4C33">
      <w:pPr>
        <w:pStyle w:val="Overskrift3"/>
      </w:pPr>
      <w:r w:rsidRPr="001A4C33">
        <w:t>Gjennomføringen av høringen</w:t>
      </w:r>
    </w:p>
    <w:p w14:paraId="125972DA" w14:textId="77777777" w:rsidR="00000000" w:rsidRPr="001A4C33" w:rsidRDefault="001A4C33" w:rsidP="001A4C33">
      <w:r w:rsidRPr="001A4C33">
        <w:t>Klima- og miljødepartemente</w:t>
      </w:r>
      <w:r w:rsidRPr="001A4C33">
        <w:t>t sendte 22. mars 2021 på offentlig høring et forslag til endringer i naturmangfoldloven § 60 og forslag til ny forskrift om kontroll med utnytting i Norge av genetisk materiale med opprinnelse i andre land og tradisjonell kunnskap knyttet til utnytting av</w:t>
      </w:r>
      <w:r w:rsidRPr="001A4C33">
        <w:t xml:space="preserve"> slikt materiale. Høringsfristen ble satt til 10. mai 2021. Høringen ble sendt til: </w:t>
      </w:r>
    </w:p>
    <w:p w14:paraId="0C97CE25" w14:textId="77777777" w:rsidR="00000000" w:rsidRPr="001A4C33" w:rsidRDefault="001A4C33" w:rsidP="001A4C33">
      <w:pPr>
        <w:pStyle w:val="opplisting"/>
      </w:pPr>
      <w:r w:rsidRPr="001A4C33">
        <w:t>Departementene</w:t>
      </w:r>
    </w:p>
    <w:p w14:paraId="36CC16B7" w14:textId="77777777" w:rsidR="00000000" w:rsidRPr="001A4C33" w:rsidRDefault="001A4C33" w:rsidP="001A4C33"/>
    <w:p w14:paraId="4E9049F0" w14:textId="77777777" w:rsidR="00000000" w:rsidRPr="001A4C33" w:rsidRDefault="001A4C33" w:rsidP="001A4C33">
      <w:pPr>
        <w:pStyle w:val="opplisting"/>
      </w:pPr>
      <w:r w:rsidRPr="001A4C33">
        <w:t>Abelia</w:t>
      </w:r>
    </w:p>
    <w:p w14:paraId="107165C4" w14:textId="77777777" w:rsidR="00000000" w:rsidRPr="001A4C33" w:rsidRDefault="001A4C33" w:rsidP="001A4C33">
      <w:pPr>
        <w:pStyle w:val="opplisting"/>
      </w:pPr>
      <w:r w:rsidRPr="001A4C33">
        <w:t>Akademikerne</w:t>
      </w:r>
    </w:p>
    <w:p w14:paraId="6959C10E" w14:textId="77777777" w:rsidR="00000000" w:rsidRPr="001A4C33" w:rsidRDefault="001A4C33" w:rsidP="001A4C33">
      <w:pPr>
        <w:pStyle w:val="opplisting"/>
      </w:pPr>
      <w:r w:rsidRPr="001A4C33">
        <w:t>Arkeologisk museum, Universitetet i Stavanger</w:t>
      </w:r>
    </w:p>
    <w:p w14:paraId="33502069" w14:textId="77777777" w:rsidR="00000000" w:rsidRPr="001A4C33" w:rsidRDefault="001A4C33" w:rsidP="001A4C33">
      <w:pPr>
        <w:pStyle w:val="opplisting"/>
      </w:pPr>
      <w:r w:rsidRPr="001A4C33">
        <w:t>Artsdatabanken</w:t>
      </w:r>
    </w:p>
    <w:p w14:paraId="23F82C52" w14:textId="77777777" w:rsidR="00000000" w:rsidRPr="001A4C33" w:rsidRDefault="001A4C33" w:rsidP="001A4C33">
      <w:pPr>
        <w:pStyle w:val="opplisting"/>
      </w:pPr>
      <w:r w:rsidRPr="001A4C33">
        <w:t>Bioteknologirådet</w:t>
      </w:r>
    </w:p>
    <w:p w14:paraId="02C906E8" w14:textId="77777777" w:rsidR="00000000" w:rsidRPr="001A4C33" w:rsidRDefault="001A4C33" w:rsidP="001A4C33">
      <w:pPr>
        <w:pStyle w:val="opplisting"/>
      </w:pPr>
      <w:r w:rsidRPr="001A4C33">
        <w:t>CICERO Senter for klimaforskning</w:t>
      </w:r>
    </w:p>
    <w:p w14:paraId="751A9FD6" w14:textId="77777777" w:rsidR="00000000" w:rsidRPr="001A4C33" w:rsidRDefault="001A4C33" w:rsidP="001A4C33">
      <w:pPr>
        <w:pStyle w:val="opplisting"/>
      </w:pPr>
      <w:r w:rsidRPr="001A4C33">
        <w:t>Direktoratet for utviklingssamarbeid (NORAD)</w:t>
      </w:r>
    </w:p>
    <w:p w14:paraId="1972BF5F" w14:textId="77777777" w:rsidR="00000000" w:rsidRPr="001A4C33" w:rsidRDefault="001A4C33" w:rsidP="001A4C33">
      <w:pPr>
        <w:pStyle w:val="opplisting"/>
      </w:pPr>
      <w:r w:rsidRPr="001A4C33">
        <w:t>Fiskeridirektoratet</w:t>
      </w:r>
    </w:p>
    <w:p w14:paraId="622455D5" w14:textId="77777777" w:rsidR="00000000" w:rsidRPr="001A4C33" w:rsidRDefault="001A4C33" w:rsidP="001A4C33">
      <w:pPr>
        <w:pStyle w:val="opplisting"/>
      </w:pPr>
      <w:r w:rsidRPr="001A4C33">
        <w:t>Folkehelseinstituttet</w:t>
      </w:r>
    </w:p>
    <w:p w14:paraId="26FDC0AB" w14:textId="77777777" w:rsidR="00000000" w:rsidRPr="001A4C33" w:rsidRDefault="001A4C33" w:rsidP="001A4C33">
      <w:pPr>
        <w:pStyle w:val="opplisting"/>
      </w:pPr>
      <w:r w:rsidRPr="001A4C33">
        <w:t>Forum for utvikling og miljø</w:t>
      </w:r>
    </w:p>
    <w:p w14:paraId="6FD5365C" w14:textId="77777777" w:rsidR="00000000" w:rsidRPr="001A4C33" w:rsidRDefault="001A4C33" w:rsidP="001A4C33">
      <w:pPr>
        <w:pStyle w:val="opplisting"/>
      </w:pPr>
      <w:r w:rsidRPr="001A4C33">
        <w:t>Framtiden i våre hender</w:t>
      </w:r>
    </w:p>
    <w:p w14:paraId="61936A3F" w14:textId="77777777" w:rsidR="00000000" w:rsidRPr="001A4C33" w:rsidRDefault="001A4C33" w:rsidP="001A4C33">
      <w:pPr>
        <w:pStyle w:val="opplisting"/>
      </w:pPr>
      <w:r w:rsidRPr="001A4C33">
        <w:t>Fridtjof Nansens Institutt</w:t>
      </w:r>
    </w:p>
    <w:p w14:paraId="6F5FD26B" w14:textId="77777777" w:rsidR="00000000" w:rsidRPr="001A4C33" w:rsidRDefault="001A4C33" w:rsidP="001A4C33">
      <w:pPr>
        <w:pStyle w:val="opplisting"/>
      </w:pPr>
      <w:r w:rsidRPr="001A4C33">
        <w:t>Greenpeace</w:t>
      </w:r>
    </w:p>
    <w:p w14:paraId="4A18436A" w14:textId="77777777" w:rsidR="00000000" w:rsidRPr="001A4C33" w:rsidRDefault="001A4C33" w:rsidP="001A4C33">
      <w:pPr>
        <w:pStyle w:val="opplisting"/>
      </w:pPr>
      <w:r w:rsidRPr="001A4C33">
        <w:t>Havforskningsinstituttet</w:t>
      </w:r>
    </w:p>
    <w:p w14:paraId="1FDF0CC1" w14:textId="77777777" w:rsidR="00000000" w:rsidRPr="001A4C33" w:rsidRDefault="001A4C33" w:rsidP="001A4C33">
      <w:pPr>
        <w:pStyle w:val="opplisting"/>
      </w:pPr>
      <w:r w:rsidRPr="001A4C33">
        <w:t xml:space="preserve">Hovedorganisasjonen </w:t>
      </w:r>
      <w:r w:rsidRPr="001A4C33">
        <w:t>Virke</w:t>
      </w:r>
    </w:p>
    <w:p w14:paraId="4AF91A62" w14:textId="77777777" w:rsidR="00000000" w:rsidRPr="001A4C33" w:rsidRDefault="001A4C33" w:rsidP="001A4C33">
      <w:pPr>
        <w:pStyle w:val="opplisting"/>
      </w:pPr>
      <w:r w:rsidRPr="001A4C33">
        <w:t>Høgskolen i Innlandet</w:t>
      </w:r>
    </w:p>
    <w:p w14:paraId="51760C60" w14:textId="77777777" w:rsidR="00000000" w:rsidRPr="001A4C33" w:rsidRDefault="001A4C33" w:rsidP="001A4C33">
      <w:pPr>
        <w:pStyle w:val="opplisting"/>
      </w:pPr>
      <w:r w:rsidRPr="001A4C33">
        <w:t>Innovasjon Norge</w:t>
      </w:r>
    </w:p>
    <w:p w14:paraId="38C5927F" w14:textId="77777777" w:rsidR="00000000" w:rsidRPr="001A4C33" w:rsidRDefault="001A4C33" w:rsidP="001A4C33">
      <w:pPr>
        <w:pStyle w:val="opplisting"/>
      </w:pPr>
      <w:r w:rsidRPr="001A4C33">
        <w:t>Kommunesektorens organisasjon (KS)</w:t>
      </w:r>
    </w:p>
    <w:p w14:paraId="0E91E0E4" w14:textId="77777777" w:rsidR="00000000" w:rsidRPr="001A4C33" w:rsidRDefault="001A4C33" w:rsidP="001A4C33">
      <w:pPr>
        <w:pStyle w:val="opplisting"/>
      </w:pPr>
      <w:r w:rsidRPr="001A4C33">
        <w:t>Konkurransetilsynet</w:t>
      </w:r>
    </w:p>
    <w:p w14:paraId="0D6D3AA3" w14:textId="77777777" w:rsidR="00000000" w:rsidRPr="001A4C33" w:rsidRDefault="001A4C33" w:rsidP="001A4C33">
      <w:pPr>
        <w:pStyle w:val="opplisting"/>
      </w:pPr>
      <w:r w:rsidRPr="001A4C33">
        <w:t>Kornbøndenes interesseorganisasjon</w:t>
      </w:r>
    </w:p>
    <w:p w14:paraId="326F2E59" w14:textId="77777777" w:rsidR="00000000" w:rsidRPr="001A4C33" w:rsidRDefault="001A4C33" w:rsidP="001A4C33">
      <w:pPr>
        <w:pStyle w:val="opplisting"/>
      </w:pPr>
      <w:r w:rsidRPr="001A4C33">
        <w:t>Kulturhistorisk museum, Universitetet i Oslo</w:t>
      </w:r>
    </w:p>
    <w:p w14:paraId="6E51C979" w14:textId="77777777" w:rsidR="00000000" w:rsidRPr="001A4C33" w:rsidRDefault="001A4C33" w:rsidP="001A4C33">
      <w:pPr>
        <w:pStyle w:val="opplisting"/>
      </w:pPr>
      <w:r w:rsidRPr="001A4C33">
        <w:t>Landbruksdirektoratet</w:t>
      </w:r>
    </w:p>
    <w:p w14:paraId="52AB0930" w14:textId="77777777" w:rsidR="00000000" w:rsidRPr="001A4C33" w:rsidRDefault="001A4C33" w:rsidP="001A4C33">
      <w:pPr>
        <w:pStyle w:val="opplisting"/>
      </w:pPr>
      <w:r w:rsidRPr="001A4C33">
        <w:t>Landsorganisasjonen i Norge (LO)</w:t>
      </w:r>
    </w:p>
    <w:p w14:paraId="068C5560" w14:textId="77777777" w:rsidR="00000000" w:rsidRPr="001A4C33" w:rsidRDefault="001A4C33" w:rsidP="001A4C33">
      <w:pPr>
        <w:pStyle w:val="opplisting"/>
      </w:pPr>
      <w:r w:rsidRPr="001A4C33">
        <w:t>Mattilsynet</w:t>
      </w:r>
    </w:p>
    <w:p w14:paraId="50B3FCAC" w14:textId="77777777" w:rsidR="00000000" w:rsidRPr="001A4C33" w:rsidRDefault="001A4C33" w:rsidP="001A4C33">
      <w:pPr>
        <w:pStyle w:val="opplisting"/>
      </w:pPr>
      <w:r w:rsidRPr="001A4C33">
        <w:t>Miljødire</w:t>
      </w:r>
      <w:r w:rsidRPr="001A4C33">
        <w:t>ktoratet</w:t>
      </w:r>
    </w:p>
    <w:p w14:paraId="23F12030" w14:textId="77777777" w:rsidR="00000000" w:rsidRPr="001A4C33" w:rsidRDefault="001A4C33" w:rsidP="001A4C33">
      <w:pPr>
        <w:pStyle w:val="opplisting"/>
      </w:pPr>
      <w:r w:rsidRPr="001A4C33">
        <w:t>Miljøstiftelsen Bellona</w:t>
      </w:r>
    </w:p>
    <w:p w14:paraId="746C92C6" w14:textId="77777777" w:rsidR="00000000" w:rsidRPr="001A4C33" w:rsidRDefault="001A4C33" w:rsidP="001A4C33">
      <w:pPr>
        <w:pStyle w:val="opplisting"/>
      </w:pPr>
      <w:r w:rsidRPr="001A4C33">
        <w:t>Nasjonalforeningen for folkehelsen</w:t>
      </w:r>
    </w:p>
    <w:p w14:paraId="04479EC2" w14:textId="77777777" w:rsidR="00000000" w:rsidRPr="001A4C33" w:rsidRDefault="001A4C33" w:rsidP="001A4C33">
      <w:pPr>
        <w:pStyle w:val="opplisting"/>
      </w:pPr>
      <w:r w:rsidRPr="001A4C33">
        <w:t>Nasjonalt nettverk for botaniske hager, Naturhistorisk museum</w:t>
      </w:r>
    </w:p>
    <w:p w14:paraId="4AA23073" w14:textId="77777777" w:rsidR="00000000" w:rsidRPr="001A4C33" w:rsidRDefault="001A4C33" w:rsidP="001A4C33">
      <w:pPr>
        <w:pStyle w:val="opplisting"/>
      </w:pPr>
      <w:r w:rsidRPr="001A4C33">
        <w:t>Natur og ungdom</w:t>
      </w:r>
    </w:p>
    <w:p w14:paraId="4B29798D" w14:textId="77777777" w:rsidR="00000000" w:rsidRPr="001A4C33" w:rsidRDefault="001A4C33" w:rsidP="001A4C33">
      <w:pPr>
        <w:pStyle w:val="opplisting"/>
      </w:pPr>
      <w:r w:rsidRPr="001A4C33">
        <w:t>Naturhistorisk museum, Universitetet i Oslo</w:t>
      </w:r>
    </w:p>
    <w:p w14:paraId="112904E5" w14:textId="77777777" w:rsidR="00000000" w:rsidRPr="001A4C33" w:rsidRDefault="001A4C33" w:rsidP="001A4C33">
      <w:pPr>
        <w:pStyle w:val="opplisting"/>
      </w:pPr>
      <w:r w:rsidRPr="001A4C33">
        <w:lastRenderedPageBreak/>
        <w:t>Naturvernforbundet</w:t>
      </w:r>
    </w:p>
    <w:p w14:paraId="6DAD8387" w14:textId="77777777" w:rsidR="00000000" w:rsidRPr="001A4C33" w:rsidRDefault="001A4C33" w:rsidP="001A4C33">
      <w:pPr>
        <w:pStyle w:val="opplisting"/>
      </w:pPr>
      <w:r w:rsidRPr="001A4C33">
        <w:t>Nettverk for miljør</w:t>
      </w:r>
      <w:r w:rsidRPr="001A4C33">
        <w:t>ettet folkehelsearbeid</w:t>
      </w:r>
    </w:p>
    <w:p w14:paraId="349BD70B" w14:textId="77777777" w:rsidR="00000000" w:rsidRPr="001A4C33" w:rsidRDefault="001A4C33" w:rsidP="001A4C33">
      <w:pPr>
        <w:pStyle w:val="opplisting"/>
      </w:pPr>
      <w:r w:rsidRPr="001A4C33">
        <w:t>NOAH for dyrs rettigheter</w:t>
      </w:r>
    </w:p>
    <w:p w14:paraId="5995845B" w14:textId="77777777" w:rsidR="00000000" w:rsidRPr="001A4C33" w:rsidRDefault="001A4C33" w:rsidP="001A4C33">
      <w:pPr>
        <w:pStyle w:val="opplisting"/>
      </w:pPr>
      <w:r w:rsidRPr="001A4C33">
        <w:t>Nofima AS</w:t>
      </w:r>
    </w:p>
    <w:p w14:paraId="58037C36" w14:textId="77777777" w:rsidR="00000000" w:rsidRPr="001A4C33" w:rsidRDefault="001A4C33" w:rsidP="001A4C33">
      <w:pPr>
        <w:pStyle w:val="opplisting"/>
      </w:pPr>
      <w:r w:rsidRPr="001A4C33">
        <w:t>Nord universitet</w:t>
      </w:r>
    </w:p>
    <w:p w14:paraId="18C105B3" w14:textId="77777777" w:rsidR="00000000" w:rsidRPr="001A4C33" w:rsidRDefault="001A4C33" w:rsidP="001A4C33">
      <w:pPr>
        <w:pStyle w:val="opplisting"/>
      </w:pPr>
      <w:r w:rsidRPr="001A4C33">
        <w:t>Norges bondelag</w:t>
      </w:r>
    </w:p>
    <w:p w14:paraId="400474F3" w14:textId="77777777" w:rsidR="00000000" w:rsidRPr="001A4C33" w:rsidRDefault="001A4C33" w:rsidP="001A4C33">
      <w:pPr>
        <w:pStyle w:val="opplisting"/>
      </w:pPr>
      <w:r w:rsidRPr="001A4C33">
        <w:t>Norges forskningsråd</w:t>
      </w:r>
    </w:p>
    <w:p w14:paraId="06076EB7" w14:textId="77777777" w:rsidR="00000000" w:rsidRPr="001A4C33" w:rsidRDefault="001A4C33" w:rsidP="001A4C33">
      <w:pPr>
        <w:pStyle w:val="opplisting"/>
      </w:pPr>
      <w:r w:rsidRPr="001A4C33">
        <w:t>Norges jeger- og fiskerforbund</w:t>
      </w:r>
    </w:p>
    <w:p w14:paraId="662F0D30" w14:textId="77777777" w:rsidR="00000000" w:rsidRPr="001A4C33" w:rsidRDefault="001A4C33" w:rsidP="001A4C33">
      <w:pPr>
        <w:pStyle w:val="opplisting"/>
      </w:pPr>
      <w:r w:rsidRPr="001A4C33">
        <w:t>Norges miljø- og biovitenskapelige universitet</w:t>
      </w:r>
    </w:p>
    <w:p w14:paraId="3619D8CF" w14:textId="77777777" w:rsidR="00000000" w:rsidRPr="001A4C33" w:rsidRDefault="001A4C33" w:rsidP="001A4C33">
      <w:pPr>
        <w:pStyle w:val="opplisting"/>
      </w:pPr>
      <w:r w:rsidRPr="001A4C33">
        <w:t>Norges miljøvernforbund</w:t>
      </w:r>
    </w:p>
    <w:p w14:paraId="189F4608" w14:textId="77777777" w:rsidR="00000000" w:rsidRPr="001A4C33" w:rsidRDefault="001A4C33" w:rsidP="001A4C33">
      <w:pPr>
        <w:pStyle w:val="opplisting"/>
      </w:pPr>
      <w:r w:rsidRPr="001A4C33">
        <w:t>Norges skogeierforbund</w:t>
      </w:r>
    </w:p>
    <w:p w14:paraId="314E69AA" w14:textId="77777777" w:rsidR="00000000" w:rsidRPr="001A4C33" w:rsidRDefault="001A4C33" w:rsidP="001A4C33">
      <w:pPr>
        <w:pStyle w:val="opplisting"/>
      </w:pPr>
      <w:r w:rsidRPr="001A4C33">
        <w:t>Norges teknisk-nat</w:t>
      </w:r>
      <w:r w:rsidRPr="001A4C33">
        <w:t>urvitenskapelige universitet (NTNU)</w:t>
      </w:r>
    </w:p>
    <w:p w14:paraId="2838608C" w14:textId="77777777" w:rsidR="00000000" w:rsidRPr="001A4C33" w:rsidRDefault="001A4C33" w:rsidP="001A4C33">
      <w:pPr>
        <w:pStyle w:val="opplisting"/>
      </w:pPr>
      <w:r w:rsidRPr="001A4C33">
        <w:t>Norges vassdrags- og energidirektorat (NVE)</w:t>
      </w:r>
    </w:p>
    <w:p w14:paraId="15DCA0C5" w14:textId="77777777" w:rsidR="00000000" w:rsidRPr="001A4C33" w:rsidRDefault="001A4C33" w:rsidP="001A4C33">
      <w:pPr>
        <w:pStyle w:val="opplisting"/>
      </w:pPr>
      <w:r w:rsidRPr="001A4C33">
        <w:t>Norsk bonde- og småbrukarlag</w:t>
      </w:r>
    </w:p>
    <w:p w14:paraId="4C106B19" w14:textId="77777777" w:rsidR="00000000" w:rsidRPr="001A4C33" w:rsidRDefault="001A4C33" w:rsidP="001A4C33">
      <w:pPr>
        <w:pStyle w:val="opplisting"/>
      </w:pPr>
      <w:r w:rsidRPr="001A4C33">
        <w:t>Norsk friluftsliv</w:t>
      </w:r>
    </w:p>
    <w:p w14:paraId="2CE98D80" w14:textId="77777777" w:rsidR="00000000" w:rsidRPr="001A4C33" w:rsidRDefault="001A4C33" w:rsidP="001A4C33">
      <w:pPr>
        <w:pStyle w:val="opplisting"/>
      </w:pPr>
      <w:r w:rsidRPr="001A4C33">
        <w:t>Norsk gartnerforbund</w:t>
      </w:r>
    </w:p>
    <w:p w14:paraId="16E6452A" w14:textId="77777777" w:rsidR="00000000" w:rsidRPr="001A4C33" w:rsidRDefault="001A4C33" w:rsidP="001A4C33">
      <w:pPr>
        <w:pStyle w:val="opplisting"/>
      </w:pPr>
      <w:r w:rsidRPr="001A4C33">
        <w:t>Norsk industri</w:t>
      </w:r>
    </w:p>
    <w:p w14:paraId="1AF811AF" w14:textId="77777777" w:rsidR="00000000" w:rsidRPr="001A4C33" w:rsidRDefault="001A4C33" w:rsidP="001A4C33">
      <w:pPr>
        <w:pStyle w:val="opplisting"/>
      </w:pPr>
      <w:r w:rsidRPr="001A4C33">
        <w:t>Norsk institutt for bioøkonomi (Nibio)</w:t>
      </w:r>
    </w:p>
    <w:p w14:paraId="39CB2D9B" w14:textId="77777777" w:rsidR="00000000" w:rsidRPr="001A4C33" w:rsidRDefault="001A4C33" w:rsidP="001A4C33">
      <w:pPr>
        <w:pStyle w:val="opplisting"/>
      </w:pPr>
      <w:r w:rsidRPr="001A4C33">
        <w:t>Norsk institutt for naturforskning</w:t>
      </w:r>
    </w:p>
    <w:p w14:paraId="42A174A4" w14:textId="77777777" w:rsidR="00000000" w:rsidRPr="001A4C33" w:rsidRDefault="001A4C33" w:rsidP="001A4C33">
      <w:pPr>
        <w:pStyle w:val="opplisting"/>
      </w:pPr>
      <w:r w:rsidRPr="001A4C33">
        <w:t>Norsk institutt for</w:t>
      </w:r>
      <w:r w:rsidRPr="001A4C33">
        <w:t xml:space="preserve"> vannforskning</w:t>
      </w:r>
    </w:p>
    <w:p w14:paraId="47048F8B" w14:textId="77777777" w:rsidR="00000000" w:rsidRPr="001A4C33" w:rsidRDefault="001A4C33" w:rsidP="001A4C33">
      <w:pPr>
        <w:pStyle w:val="opplisting"/>
      </w:pPr>
      <w:r w:rsidRPr="001A4C33">
        <w:t>Norsk landbruksrådgiving</w:t>
      </w:r>
    </w:p>
    <w:p w14:paraId="1503AAC7" w14:textId="77777777" w:rsidR="00000000" w:rsidRPr="001A4C33" w:rsidRDefault="001A4C33" w:rsidP="001A4C33">
      <w:pPr>
        <w:pStyle w:val="opplisting"/>
      </w:pPr>
      <w:r w:rsidRPr="001A4C33">
        <w:t>Norsk landbrukssamvirke</w:t>
      </w:r>
    </w:p>
    <w:p w14:paraId="48BB619E" w14:textId="77777777" w:rsidR="00000000" w:rsidRPr="001A4C33" w:rsidRDefault="001A4C33" w:rsidP="001A4C33">
      <w:pPr>
        <w:pStyle w:val="opplisting"/>
      </w:pPr>
      <w:r w:rsidRPr="001A4C33">
        <w:t>Norsk olje og gass</w:t>
      </w:r>
    </w:p>
    <w:p w14:paraId="579CD59F" w14:textId="77777777" w:rsidR="00000000" w:rsidRPr="001A4C33" w:rsidRDefault="001A4C33" w:rsidP="001A4C33">
      <w:pPr>
        <w:pStyle w:val="opplisting"/>
      </w:pPr>
      <w:r w:rsidRPr="001A4C33">
        <w:t>Norsk ornitologisk forening</w:t>
      </w:r>
    </w:p>
    <w:p w14:paraId="36BC0BD4" w14:textId="77777777" w:rsidR="00000000" w:rsidRPr="001A4C33" w:rsidRDefault="001A4C33" w:rsidP="001A4C33">
      <w:pPr>
        <w:pStyle w:val="opplisting"/>
      </w:pPr>
      <w:r w:rsidRPr="001A4C33">
        <w:t>Norsk plantevernforening</w:t>
      </w:r>
    </w:p>
    <w:p w14:paraId="671EA066" w14:textId="77777777" w:rsidR="00000000" w:rsidRPr="001A4C33" w:rsidRDefault="001A4C33" w:rsidP="001A4C33">
      <w:pPr>
        <w:pStyle w:val="opplisting"/>
      </w:pPr>
      <w:r w:rsidRPr="001A4C33">
        <w:t>Norsk polarinstitutt</w:t>
      </w:r>
    </w:p>
    <w:p w14:paraId="1CFC67D6" w14:textId="77777777" w:rsidR="00000000" w:rsidRPr="001A4C33" w:rsidRDefault="001A4C33" w:rsidP="001A4C33">
      <w:pPr>
        <w:pStyle w:val="opplisting"/>
      </w:pPr>
      <w:r w:rsidRPr="001A4C33">
        <w:t>Norsk sau og geit</w:t>
      </w:r>
    </w:p>
    <w:p w14:paraId="1A283D1C" w14:textId="77777777" w:rsidR="00000000" w:rsidRPr="001A4C33" w:rsidRDefault="001A4C33" w:rsidP="001A4C33">
      <w:pPr>
        <w:pStyle w:val="opplisting"/>
      </w:pPr>
      <w:r w:rsidRPr="001A4C33">
        <w:t>Norsk zoologisk forening</w:t>
      </w:r>
    </w:p>
    <w:p w14:paraId="14BD0FC6" w14:textId="77777777" w:rsidR="00000000" w:rsidRPr="001A4C33" w:rsidRDefault="001A4C33" w:rsidP="001A4C33">
      <w:pPr>
        <w:pStyle w:val="opplisting"/>
      </w:pPr>
      <w:r w:rsidRPr="001A4C33">
        <w:t>Norske felleskjøp SA</w:t>
      </w:r>
    </w:p>
    <w:p w14:paraId="3412E60A" w14:textId="77777777" w:rsidR="00000000" w:rsidRPr="001A4C33" w:rsidRDefault="001A4C33" w:rsidP="001A4C33">
      <w:pPr>
        <w:pStyle w:val="opplisting"/>
      </w:pPr>
      <w:r w:rsidRPr="001A4C33">
        <w:t>Norske landbrukstjenester</w:t>
      </w:r>
    </w:p>
    <w:p w14:paraId="540FCF92" w14:textId="77777777" w:rsidR="00000000" w:rsidRPr="001A4C33" w:rsidRDefault="001A4C33" w:rsidP="001A4C33">
      <w:pPr>
        <w:pStyle w:val="opplisting"/>
      </w:pPr>
      <w:r w:rsidRPr="001A4C33">
        <w:t>Norske reindriftsamers landsforbund</w:t>
      </w:r>
    </w:p>
    <w:p w14:paraId="7D9AE7E1" w14:textId="77777777" w:rsidR="00000000" w:rsidRPr="001A4C33" w:rsidRDefault="001A4C33" w:rsidP="001A4C33">
      <w:pPr>
        <w:pStyle w:val="opplisting"/>
      </w:pPr>
      <w:r w:rsidRPr="001A4C33">
        <w:t>Norske sjømatbedrifters landsforening</w:t>
      </w:r>
    </w:p>
    <w:p w14:paraId="3ABEACC2" w14:textId="77777777" w:rsidR="00000000" w:rsidRPr="001A4C33" w:rsidRDefault="001A4C33" w:rsidP="001A4C33">
      <w:pPr>
        <w:pStyle w:val="opplisting"/>
      </w:pPr>
      <w:r w:rsidRPr="001A4C33">
        <w:t>NORSKOG</w:t>
      </w:r>
    </w:p>
    <w:p w14:paraId="3FF6586E" w14:textId="77777777" w:rsidR="00000000" w:rsidRPr="001A4C33" w:rsidRDefault="001A4C33" w:rsidP="001A4C33">
      <w:pPr>
        <w:pStyle w:val="opplisting"/>
      </w:pPr>
      <w:r w:rsidRPr="001A4C33">
        <w:t>Nortura SA</w:t>
      </w:r>
    </w:p>
    <w:p w14:paraId="68AB5883" w14:textId="77777777" w:rsidR="00000000" w:rsidRPr="001A4C33" w:rsidRDefault="001A4C33" w:rsidP="001A4C33">
      <w:pPr>
        <w:pStyle w:val="opplisting"/>
      </w:pPr>
      <w:r w:rsidRPr="001A4C33">
        <w:t>NTNU Vitenskapsmuseet</w:t>
      </w:r>
    </w:p>
    <w:p w14:paraId="106F90A7" w14:textId="77777777" w:rsidR="00000000" w:rsidRPr="001A4C33" w:rsidRDefault="001A4C33" w:rsidP="001A4C33">
      <w:pPr>
        <w:pStyle w:val="opplisting"/>
      </w:pPr>
      <w:r w:rsidRPr="001A4C33">
        <w:t>Næringslivets hovedorganisasjon (NHO)</w:t>
      </w:r>
    </w:p>
    <w:p w14:paraId="230D2233" w14:textId="77777777" w:rsidR="00000000" w:rsidRPr="001A4C33" w:rsidRDefault="001A4C33" w:rsidP="001A4C33">
      <w:pPr>
        <w:pStyle w:val="opplisting"/>
      </w:pPr>
      <w:r w:rsidRPr="001A4C33">
        <w:t>OsloMet – storbyuniversitetet</w:t>
      </w:r>
    </w:p>
    <w:p w14:paraId="49E5B599" w14:textId="77777777" w:rsidR="00000000" w:rsidRPr="001A4C33" w:rsidRDefault="001A4C33" w:rsidP="001A4C33">
      <w:pPr>
        <w:pStyle w:val="opplisting"/>
      </w:pPr>
      <w:r w:rsidRPr="001A4C33">
        <w:t>Regelrådet</w:t>
      </w:r>
    </w:p>
    <w:p w14:paraId="0C749BD5" w14:textId="77777777" w:rsidR="00000000" w:rsidRPr="001A4C33" w:rsidRDefault="001A4C33" w:rsidP="001A4C33">
      <w:pPr>
        <w:pStyle w:val="opplisting"/>
      </w:pPr>
      <w:r w:rsidRPr="001A4C33">
        <w:t>Regnskogfondet</w:t>
      </w:r>
    </w:p>
    <w:p w14:paraId="708AE768" w14:textId="77777777" w:rsidR="00000000" w:rsidRPr="001A4C33" w:rsidRDefault="001A4C33" w:rsidP="001A4C33">
      <w:pPr>
        <w:pStyle w:val="opplisting"/>
      </w:pPr>
      <w:r w:rsidRPr="001A4C33">
        <w:t>Riksantikvaren</w:t>
      </w:r>
    </w:p>
    <w:p w14:paraId="1BDC875B" w14:textId="77777777" w:rsidR="00000000" w:rsidRPr="001A4C33" w:rsidRDefault="001A4C33" w:rsidP="001A4C33">
      <w:pPr>
        <w:pStyle w:val="opplisting"/>
      </w:pPr>
      <w:r w:rsidRPr="001A4C33">
        <w:t>SABIMA</w:t>
      </w:r>
      <w:r w:rsidRPr="001A4C33">
        <w:t xml:space="preserve"> – Samarbeidsrådet for biologisk mangfold</w:t>
      </w:r>
    </w:p>
    <w:p w14:paraId="76416A39" w14:textId="77777777" w:rsidR="00000000" w:rsidRPr="001A4C33" w:rsidRDefault="001A4C33" w:rsidP="001A4C33">
      <w:pPr>
        <w:pStyle w:val="opplisting"/>
      </w:pPr>
      <w:r w:rsidRPr="001A4C33">
        <w:t>Sametinget</w:t>
      </w:r>
    </w:p>
    <w:p w14:paraId="46950771" w14:textId="77777777" w:rsidR="00000000" w:rsidRPr="001A4C33" w:rsidRDefault="001A4C33" w:rsidP="001A4C33">
      <w:pPr>
        <w:pStyle w:val="opplisting"/>
      </w:pPr>
      <w:r w:rsidRPr="001A4C33">
        <w:t>SINTEF</w:t>
      </w:r>
    </w:p>
    <w:p w14:paraId="5E4B41E8" w14:textId="77777777" w:rsidR="00000000" w:rsidRPr="001A4C33" w:rsidRDefault="001A4C33" w:rsidP="001A4C33">
      <w:pPr>
        <w:pStyle w:val="opplisting"/>
      </w:pPr>
      <w:r w:rsidRPr="001A4C33">
        <w:t>Sjømat Norge</w:t>
      </w:r>
    </w:p>
    <w:p w14:paraId="082C428B" w14:textId="77777777" w:rsidR="00000000" w:rsidRPr="001A4C33" w:rsidRDefault="001A4C33" w:rsidP="001A4C33">
      <w:pPr>
        <w:pStyle w:val="opplisting"/>
      </w:pPr>
      <w:r w:rsidRPr="001A4C33">
        <w:lastRenderedPageBreak/>
        <w:t>Skogfrøverket</w:t>
      </w:r>
    </w:p>
    <w:p w14:paraId="25017922" w14:textId="77777777" w:rsidR="00000000" w:rsidRPr="001A4C33" w:rsidRDefault="001A4C33" w:rsidP="001A4C33">
      <w:pPr>
        <w:pStyle w:val="opplisting"/>
      </w:pPr>
      <w:r w:rsidRPr="001A4C33">
        <w:t>Spire – Utviklingsfondets ungdom</w:t>
      </w:r>
    </w:p>
    <w:p w14:paraId="4490CE64" w14:textId="77777777" w:rsidR="00000000" w:rsidRPr="001A4C33" w:rsidRDefault="001A4C33" w:rsidP="001A4C33">
      <w:pPr>
        <w:pStyle w:val="opplisting"/>
      </w:pPr>
      <w:r w:rsidRPr="001A4C33">
        <w:t>Statskog SF</w:t>
      </w:r>
    </w:p>
    <w:p w14:paraId="024A9F49" w14:textId="77777777" w:rsidR="00000000" w:rsidRPr="001A4C33" w:rsidRDefault="001A4C33" w:rsidP="001A4C33">
      <w:pPr>
        <w:pStyle w:val="opplisting"/>
      </w:pPr>
      <w:r w:rsidRPr="001A4C33">
        <w:t>Tromsø Museum, Universitetsmuseet</w:t>
      </w:r>
    </w:p>
    <w:p w14:paraId="03CD558A" w14:textId="77777777" w:rsidR="00000000" w:rsidRPr="001A4C33" w:rsidRDefault="001A4C33" w:rsidP="001A4C33">
      <w:pPr>
        <w:pStyle w:val="opplisting"/>
      </w:pPr>
      <w:r w:rsidRPr="001A4C33">
        <w:t>TYR Norsk kjøttfeavlslag</w:t>
      </w:r>
    </w:p>
    <w:p w14:paraId="77575471" w14:textId="77777777" w:rsidR="00000000" w:rsidRPr="001A4C33" w:rsidRDefault="001A4C33" w:rsidP="001A4C33">
      <w:pPr>
        <w:pStyle w:val="opplisting"/>
      </w:pPr>
      <w:r w:rsidRPr="001A4C33">
        <w:t>Unio</w:t>
      </w:r>
    </w:p>
    <w:p w14:paraId="6C4F648E" w14:textId="77777777" w:rsidR="00000000" w:rsidRPr="001A4C33" w:rsidRDefault="001A4C33" w:rsidP="001A4C33">
      <w:pPr>
        <w:pStyle w:val="opplisting"/>
      </w:pPr>
      <w:r w:rsidRPr="001A4C33">
        <w:t>Universitetet i Agder</w:t>
      </w:r>
    </w:p>
    <w:p w14:paraId="3CD193B2" w14:textId="77777777" w:rsidR="00000000" w:rsidRPr="001A4C33" w:rsidRDefault="001A4C33" w:rsidP="001A4C33">
      <w:pPr>
        <w:pStyle w:val="opplisting"/>
      </w:pPr>
      <w:r w:rsidRPr="001A4C33">
        <w:t>Universitetet i Bergen</w:t>
      </w:r>
    </w:p>
    <w:p w14:paraId="4F1BF419" w14:textId="77777777" w:rsidR="00000000" w:rsidRPr="001A4C33" w:rsidRDefault="001A4C33" w:rsidP="001A4C33">
      <w:pPr>
        <w:pStyle w:val="opplisting"/>
      </w:pPr>
      <w:r w:rsidRPr="001A4C33">
        <w:t>Universitetet i</w:t>
      </w:r>
      <w:r w:rsidRPr="001A4C33">
        <w:t xml:space="preserve"> Oslo</w:t>
      </w:r>
    </w:p>
    <w:p w14:paraId="7E703427" w14:textId="77777777" w:rsidR="00000000" w:rsidRPr="001A4C33" w:rsidRDefault="001A4C33" w:rsidP="001A4C33">
      <w:pPr>
        <w:pStyle w:val="opplisting"/>
      </w:pPr>
      <w:r w:rsidRPr="001A4C33">
        <w:t>Universitetet i Stavanger</w:t>
      </w:r>
    </w:p>
    <w:p w14:paraId="318DAA8A" w14:textId="77777777" w:rsidR="00000000" w:rsidRPr="001A4C33" w:rsidRDefault="001A4C33" w:rsidP="001A4C33">
      <w:pPr>
        <w:pStyle w:val="opplisting"/>
      </w:pPr>
      <w:r w:rsidRPr="001A4C33">
        <w:t>Universitetet i Sørøst-Norge</w:t>
      </w:r>
    </w:p>
    <w:p w14:paraId="22D4390A" w14:textId="77777777" w:rsidR="00000000" w:rsidRPr="001A4C33" w:rsidRDefault="001A4C33" w:rsidP="001A4C33">
      <w:pPr>
        <w:pStyle w:val="opplisting"/>
      </w:pPr>
      <w:r w:rsidRPr="001A4C33">
        <w:t>Universitetet i Tromsø</w:t>
      </w:r>
    </w:p>
    <w:p w14:paraId="429D045B" w14:textId="77777777" w:rsidR="00000000" w:rsidRPr="001A4C33" w:rsidRDefault="001A4C33" w:rsidP="001A4C33">
      <w:pPr>
        <w:pStyle w:val="opplisting"/>
      </w:pPr>
      <w:r w:rsidRPr="001A4C33">
        <w:t>Universitetsmuseet i Bergen, Universitetet i Bergen</w:t>
      </w:r>
    </w:p>
    <w:p w14:paraId="1CBCFB17" w14:textId="77777777" w:rsidR="00000000" w:rsidRPr="001A4C33" w:rsidRDefault="001A4C33" w:rsidP="001A4C33">
      <w:pPr>
        <w:pStyle w:val="opplisting"/>
      </w:pPr>
      <w:r w:rsidRPr="001A4C33">
        <w:t>Utviklingsfondet</w:t>
      </w:r>
    </w:p>
    <w:p w14:paraId="18F967A4" w14:textId="77777777" w:rsidR="00000000" w:rsidRPr="001A4C33" w:rsidRDefault="001A4C33" w:rsidP="001A4C33">
      <w:pPr>
        <w:pStyle w:val="opplisting"/>
      </w:pPr>
      <w:r w:rsidRPr="001A4C33">
        <w:t>Vitenskapskomiteen for mat og miljø</w:t>
      </w:r>
    </w:p>
    <w:p w14:paraId="3309C097" w14:textId="77777777" w:rsidR="00000000" w:rsidRPr="001A4C33" w:rsidRDefault="001A4C33" w:rsidP="001A4C33">
      <w:pPr>
        <w:pStyle w:val="opplisting"/>
      </w:pPr>
      <w:r w:rsidRPr="001A4C33">
        <w:t>WWF-Norge</w:t>
      </w:r>
    </w:p>
    <w:p w14:paraId="182E3BAC" w14:textId="77777777" w:rsidR="00000000" w:rsidRPr="001A4C33" w:rsidRDefault="001A4C33" w:rsidP="001A4C33">
      <w:r w:rsidRPr="001A4C33">
        <w:t>Det kom inn 18 høringsuttalelser. Føl</w:t>
      </w:r>
      <w:r w:rsidRPr="001A4C33">
        <w:t>gende 6 instanser hadde realitetsmerknader til lovendringen:</w:t>
      </w:r>
    </w:p>
    <w:p w14:paraId="40B3EEA8" w14:textId="77777777" w:rsidR="00000000" w:rsidRPr="001A4C33" w:rsidRDefault="001A4C33" w:rsidP="001A4C33">
      <w:pPr>
        <w:pStyle w:val="opplisting"/>
      </w:pPr>
      <w:r w:rsidRPr="001A4C33">
        <w:t>Avdeling for naturhistorie, Universitetsmuseet i Bergen</w:t>
      </w:r>
    </w:p>
    <w:p w14:paraId="51D76D36" w14:textId="77777777" w:rsidR="00000000" w:rsidRPr="001A4C33" w:rsidRDefault="001A4C33" w:rsidP="001A4C33">
      <w:pPr>
        <w:pStyle w:val="opplisting"/>
      </w:pPr>
      <w:r w:rsidRPr="001A4C33">
        <w:t>Bioteknologirådet</w:t>
      </w:r>
    </w:p>
    <w:p w14:paraId="508583B6" w14:textId="77777777" w:rsidR="00000000" w:rsidRPr="001A4C33" w:rsidRDefault="001A4C33" w:rsidP="001A4C33">
      <w:pPr>
        <w:pStyle w:val="opplisting"/>
      </w:pPr>
      <w:r w:rsidRPr="001A4C33">
        <w:t>Fridtjof Nansens Institutt</w:t>
      </w:r>
    </w:p>
    <w:p w14:paraId="2D1AC7D1" w14:textId="77777777" w:rsidR="00000000" w:rsidRPr="001A4C33" w:rsidRDefault="001A4C33" w:rsidP="001A4C33">
      <w:pPr>
        <w:pStyle w:val="opplisting"/>
      </w:pPr>
      <w:r w:rsidRPr="001A4C33">
        <w:t>Naturhistorisk museum, Universitetet i Oslo</w:t>
      </w:r>
    </w:p>
    <w:p w14:paraId="77706993" w14:textId="77777777" w:rsidR="00000000" w:rsidRPr="001A4C33" w:rsidRDefault="001A4C33" w:rsidP="001A4C33">
      <w:pPr>
        <w:pStyle w:val="opplisting"/>
      </w:pPr>
      <w:r w:rsidRPr="001A4C33">
        <w:t>NIBIO – Norsk institutt for bioøkonomi</w:t>
      </w:r>
    </w:p>
    <w:p w14:paraId="2E8F25A3" w14:textId="77777777" w:rsidR="00000000" w:rsidRPr="001A4C33" w:rsidRDefault="001A4C33" w:rsidP="001A4C33">
      <w:pPr>
        <w:pStyle w:val="opplisting"/>
      </w:pPr>
      <w:r w:rsidRPr="001A4C33">
        <w:t>NTNU Vitens</w:t>
      </w:r>
      <w:r w:rsidRPr="001A4C33">
        <w:t>kapsmuseet</w:t>
      </w:r>
    </w:p>
    <w:p w14:paraId="44A3B428" w14:textId="77777777" w:rsidR="00000000" w:rsidRPr="001A4C33" w:rsidRDefault="001A4C33" w:rsidP="001A4C33">
      <w:pPr>
        <w:pStyle w:val="Overskrift3"/>
      </w:pPr>
      <w:r w:rsidRPr="001A4C33">
        <w:t>Forslaget i høringsnotatet</w:t>
      </w:r>
    </w:p>
    <w:p w14:paraId="5743497B" w14:textId="77777777" w:rsidR="00000000" w:rsidRPr="001A4C33" w:rsidRDefault="001A4C33" w:rsidP="001A4C33">
      <w:r w:rsidRPr="001A4C33">
        <w:t xml:space="preserve">Høringsnotatet inneholdt forslag til endringer i naturmangfoldloven § 60 annet og tredje ledd slik at kravene til opplysninger som skal foreligge for utnytting av genetisk materiale med opprinnelse i andre </w:t>
      </w:r>
      <w:r w:rsidRPr="001A4C33">
        <w:t>land utvides til å omfatte opplysninger om gjensidig avtalte vilkår, som er et sentralt element i Nagoyaprotokollen. I tillegg foreslås det at opplysningskravene også skal gjelde for utnytting i Norge av tradisjonell kunnskap knyttet til genetisk materiale</w:t>
      </w:r>
      <w:r w:rsidRPr="001A4C33">
        <w:t xml:space="preserve"> med opprinnelse i andre land, i tråd med Nagoyaprotokollen artikkel 16. Det foreslås en hjemmel for i forskrift å stille krav om at det skal foreligge supplerende og mer detaljerte opplysninger for både genetisk materiale og tradisjonell kunnskap. I tille</w:t>
      </w:r>
      <w:r w:rsidRPr="001A4C33">
        <w:t xml:space="preserve">gg foreslås hjemmel for i forskrift å utpeke en myndighet som skal motta erklæringer om oppfyllelse av opplysningskravene fra utnyttere i Norge av genetisk materiale med opprinnelse i andre land og tradisjonell kunnskap knyttet til slikt materiale. </w:t>
      </w:r>
    </w:p>
    <w:p w14:paraId="4B66E38D" w14:textId="77777777" w:rsidR="00000000" w:rsidRPr="001A4C33" w:rsidRDefault="001A4C33" w:rsidP="001A4C33">
      <w:pPr>
        <w:pStyle w:val="Overskrift3"/>
      </w:pPr>
      <w:r w:rsidRPr="001A4C33">
        <w:t>Merknader fra høringsinstansene</w:t>
      </w:r>
    </w:p>
    <w:p w14:paraId="45347954" w14:textId="77777777" w:rsidR="00000000" w:rsidRPr="001A4C33" w:rsidRDefault="001A4C33" w:rsidP="001A4C33">
      <w:pPr>
        <w:rPr>
          <w:rStyle w:val="kursiv"/>
        </w:rPr>
      </w:pPr>
      <w:r w:rsidRPr="001A4C33">
        <w:rPr>
          <w:rStyle w:val="kursiv"/>
        </w:rPr>
        <w:t>Avdeling for naturhistorie, Universitetsmuseet i Bergen</w:t>
      </w:r>
      <w:r w:rsidRPr="001A4C33">
        <w:t xml:space="preserve"> ber om avklaring på hva som anses som tilfredsstillende tilgjengeliggjøring av informasjon om materiale som tas ut av en offentlig samling, og om kravet til tilgj</w:t>
      </w:r>
      <w:r w:rsidRPr="001A4C33">
        <w:t xml:space="preserve">engeliggjøring av informasjon også gjelder for materiale som er innlemmet i den offentlige samlingen før ikrafttredelse av naturmangfoldloven. De spør om </w:t>
      </w:r>
      <w:r w:rsidRPr="001A4C33">
        <w:lastRenderedPageBreak/>
        <w:t xml:space="preserve">digital gensekvensinformasjon (DSI) omfattes av forskriften. Til slutt spør de om forskriften gjelder </w:t>
      </w:r>
      <w:r w:rsidRPr="001A4C33">
        <w:t>for forskning som ikke mottar forskningmidler/forskningsstøtte og som ikke resulterer i kommersielle produkter.</w:t>
      </w:r>
    </w:p>
    <w:p w14:paraId="091F74F2" w14:textId="77777777" w:rsidR="00000000" w:rsidRPr="001A4C33" w:rsidRDefault="001A4C33" w:rsidP="001A4C33">
      <w:pPr>
        <w:rPr>
          <w:rStyle w:val="kursiv"/>
        </w:rPr>
      </w:pPr>
      <w:r w:rsidRPr="001A4C33">
        <w:rPr>
          <w:rStyle w:val="kursiv"/>
        </w:rPr>
        <w:t>Bioteknologirådet</w:t>
      </w:r>
      <w:r w:rsidRPr="001A4C33">
        <w:t xml:space="preserve"> støtter intensjonen til høringen – å sørge for større etterlevelse av Nagoyaprotokollen i norsk lov.</w:t>
      </w:r>
    </w:p>
    <w:p w14:paraId="16D60AD5" w14:textId="77777777" w:rsidR="00000000" w:rsidRPr="001A4C33" w:rsidRDefault="001A4C33" w:rsidP="001A4C33">
      <w:pPr>
        <w:rPr>
          <w:rStyle w:val="kursiv"/>
        </w:rPr>
      </w:pPr>
      <w:r w:rsidRPr="001A4C33">
        <w:rPr>
          <w:rStyle w:val="kursiv"/>
        </w:rPr>
        <w:t>Fridtjof Nansens Institut</w:t>
      </w:r>
      <w:r w:rsidRPr="001A4C33">
        <w:rPr>
          <w:rStyle w:val="kursiv"/>
        </w:rPr>
        <w:t>t</w:t>
      </w:r>
      <w:r w:rsidRPr="001A4C33">
        <w:t xml:space="preserve"> (FNI) ønsker de foreslåtte lovendringene velkommen. Norges forbud mot import av genetisk materiale i strid med opprinnelseslandets lovgivning er fortsatt en viktig bestemmelse, men som KLD anser FNI det, ikke lenger tilstrekkelig etter at Nagoyaprotokoll</w:t>
      </w:r>
      <w:r w:rsidRPr="001A4C33">
        <w:t>en innførte «due diligence»-krav til brukere samt regler om tilgang til tradisjonell kunnskap fra urfolk og lokalsamfunn. FNI anser at disse er godt implementert med forslag til nye regler og at de også fint supplerer de eksisterende reglene fra 2009.</w:t>
      </w:r>
    </w:p>
    <w:p w14:paraId="2C6A5995" w14:textId="77777777" w:rsidR="00000000" w:rsidRPr="001A4C33" w:rsidRDefault="001A4C33" w:rsidP="001A4C33">
      <w:pPr>
        <w:rPr>
          <w:rStyle w:val="kursiv"/>
        </w:rPr>
      </w:pPr>
      <w:r w:rsidRPr="001A4C33">
        <w:rPr>
          <w:rStyle w:val="kursiv"/>
        </w:rPr>
        <w:t>Naturhistorisk museum, Universitetet i Oslo</w:t>
      </w:r>
      <w:r w:rsidRPr="001A4C33">
        <w:t xml:space="preserve"> har innspill til nml. § 59, som ikke er på høring. Til nml. § 60 ber de om omformulering av den foreslåtte lovteksten for å tydeliggjøre at DSI ikke er omfattet.</w:t>
      </w:r>
    </w:p>
    <w:p w14:paraId="06FB788F" w14:textId="77777777" w:rsidR="00000000" w:rsidRPr="001A4C33" w:rsidRDefault="001A4C33" w:rsidP="001A4C33">
      <w:pPr>
        <w:rPr>
          <w:rStyle w:val="kursiv"/>
        </w:rPr>
      </w:pPr>
      <w:r w:rsidRPr="001A4C33">
        <w:rPr>
          <w:rStyle w:val="kursiv"/>
        </w:rPr>
        <w:t>Norsk institutt for bioøkonomi (NIBIO)</w:t>
      </w:r>
      <w:r w:rsidRPr="001A4C33">
        <w:t xml:space="preserve"> ber om en t</w:t>
      </w:r>
      <w:r w:rsidRPr="001A4C33">
        <w:t>ydeliggjøring av hva som ligger i begrepet «utnytting av genetisk materiale» og spør om ordet «utnytting» sidestilles med tidligere definisjoner av «bioprospektering».</w:t>
      </w:r>
    </w:p>
    <w:p w14:paraId="784CA7BD" w14:textId="77777777" w:rsidR="00000000" w:rsidRPr="001A4C33" w:rsidRDefault="001A4C33" w:rsidP="001A4C33">
      <w:r w:rsidRPr="001A4C33">
        <w:rPr>
          <w:rStyle w:val="kursiv"/>
        </w:rPr>
        <w:t>NTNU Vitenskapsmuseet</w:t>
      </w:r>
      <w:r w:rsidRPr="001A4C33">
        <w:t xml:space="preserve"> gjør oppmerksom på at omtalen av to av definisjonene i merknadene </w:t>
      </w:r>
      <w:r w:rsidRPr="001A4C33">
        <w:t>må omskrives for at ikke loven skal virke mot sin hensikt og hindre internasjonalt samarbeid. De gjør oppmerksom på at termen «dets molekylære strukturer og bruk av informasjonen i disse» i merknadene til naturmangfoldloven § 60 kan forstås som å inkludere</w:t>
      </w:r>
      <w:r w:rsidRPr="001A4C33">
        <w:t xml:space="preserve"> alle typer DNA- eller proteinsekvensinformasjon, såkalt digital sekvensinformasjon (DSI), og foreslår at den strykes. NTNU Vitenskapsmuseet ber om en klargjøring av om en amatør/hobbysamler ikke omfattes av regelverket, og påpeker at dette i så fall vil v</w:t>
      </w:r>
      <w:r w:rsidRPr="001A4C33">
        <w:t>ære et smutthull siden offentlige samlinger ofte mottar donasjoner fra private samlere. De peker på at det vil være lettere for offentlige samlinger å ta imot donasjoner av private samlere hvis også de omfattes av regelverket.</w:t>
      </w:r>
    </w:p>
    <w:p w14:paraId="2FCBFACB" w14:textId="77777777" w:rsidR="00000000" w:rsidRPr="001A4C33" w:rsidRDefault="001A4C33" w:rsidP="001A4C33">
      <w:pPr>
        <w:pStyle w:val="Overskrift3"/>
      </w:pPr>
      <w:r w:rsidRPr="001A4C33">
        <w:t>Departementets vu</w:t>
      </w:r>
      <w:r w:rsidRPr="001A4C33">
        <w:t>rderinger</w:t>
      </w:r>
    </w:p>
    <w:p w14:paraId="3F60FE69" w14:textId="77777777" w:rsidR="00000000" w:rsidRPr="001A4C33" w:rsidRDefault="001A4C33" w:rsidP="001A4C33">
      <w:r w:rsidRPr="001A4C33">
        <w:t>For forståelsen av termen «utnytting av genetisk materiale» viser vi til merknadene til endringene i naturmangfoldloven § 60. Departementet ønsker også å klargjøre at «utnytting» ikke har sammenheng med definisjonen av bioprospektering.</w:t>
      </w:r>
    </w:p>
    <w:p w14:paraId="070CD29F" w14:textId="77777777" w:rsidR="00000000" w:rsidRPr="001A4C33" w:rsidRDefault="001A4C33" w:rsidP="001A4C33">
      <w:r w:rsidRPr="001A4C33">
        <w:t>Siden for</w:t>
      </w:r>
      <w:r w:rsidRPr="001A4C33">
        <w:t>slaget ikke omfatter digital gensekvensinformasjon (DSI) er «dets molekylære strukturer og bruk av informasjonen i disse» tatt ut av beskrivelsen av hva som menes med «utnytting», i tråd med høringsinnspillene.</w:t>
      </w:r>
    </w:p>
    <w:p w14:paraId="11F8D463" w14:textId="77777777" w:rsidR="00000000" w:rsidRPr="001A4C33" w:rsidRDefault="001A4C33" w:rsidP="001A4C33">
      <w:r w:rsidRPr="001A4C33">
        <w:t>Departementet klargjør at forslaget ikke gjel</w:t>
      </w:r>
      <w:r w:rsidRPr="001A4C33">
        <w:t>der for forskning som ikke mottar forskningmidler/forskningsstøtte og som ikke resulterer i kommersielle produkter. Med andre ord er amatører/hobbysamlere ikke omfattet av regelverket, jf. termen «forskningsøyemed» i nml. § 60, altså der forskningsstøtte m</w:t>
      </w:r>
      <w:r w:rsidRPr="001A4C33">
        <w:t>ottas. Dette er basert på en avveining hvor det legges vekt på at regelverket ikke skal bli for omfattende eller unødvendig belastende. Departementet er klar over den potensielle åpningen for mulig omgåelse, og håper det ikke vil stå i veien for at offentl</w:t>
      </w:r>
      <w:r w:rsidRPr="001A4C33">
        <w:t>ige samlinger vil fortsette å ta imot donasjoner fra private samlere.</w:t>
      </w:r>
    </w:p>
    <w:p w14:paraId="11F89D67" w14:textId="77777777" w:rsidR="00000000" w:rsidRPr="001A4C33" w:rsidRDefault="001A4C33" w:rsidP="001A4C33">
      <w:r w:rsidRPr="001A4C33">
        <w:lastRenderedPageBreak/>
        <w:t>Departementet viser til at spørsmålet om tilgjengeliggjøring av informasjon om materiale som tas ut av en offentlig samling ikke er en del av høringen.</w:t>
      </w:r>
    </w:p>
    <w:p w14:paraId="09BB3E2E" w14:textId="77777777" w:rsidR="00000000" w:rsidRPr="001A4C33" w:rsidRDefault="001A4C33" w:rsidP="001A4C33">
      <w:pPr>
        <w:pStyle w:val="Overskrift1"/>
      </w:pPr>
      <w:r w:rsidRPr="001A4C33">
        <w:t>Ø</w:t>
      </w:r>
      <w:r w:rsidRPr="001A4C33">
        <w:t>konomiske og administrative konsekvenser av lovforslaget</w:t>
      </w:r>
    </w:p>
    <w:p w14:paraId="6F4D224E" w14:textId="77777777" w:rsidR="00000000" w:rsidRPr="001A4C33" w:rsidRDefault="001A4C33" w:rsidP="001A4C33">
      <w:r w:rsidRPr="001A4C33">
        <w:t>For Miljødirektoratet vil det påløpe administrative og økonomiske konsekvenser knyttet til oppfølgingen av lov- og forskriftsendringene. Dette gjelder arbeid med systematisering av innkomne erklæring</w:t>
      </w:r>
      <w:r w:rsidRPr="001A4C33">
        <w:t>er, arbeid med å gjøre opplysningene fortløpende tilgjengelig for departementet, tilpasning av elektronisk søknadssenter, samarbeid med private aktører, kontakt med den internasjonale informasjonsutvekslingsmekanismen etter Nagoyaprotokollen artikkel 14 og</w:t>
      </w:r>
      <w:r w:rsidRPr="001A4C33">
        <w:t xml:space="preserve"> parten som har gitt samtykke til utnytting. For Miljødirektoratet anslås merbehovet til ¼ årsverk, som dekkes innenfor gjeldende budsjettrammer.</w:t>
      </w:r>
    </w:p>
    <w:p w14:paraId="7D2A01FE" w14:textId="77777777" w:rsidR="00000000" w:rsidRPr="001A4C33" w:rsidRDefault="001A4C33" w:rsidP="001A4C33">
      <w:r w:rsidRPr="001A4C33">
        <w:t>De foreslåtte reglene vil ha økonomiske og administrative konsekvenser for forskere og næringslivet, som må sø</w:t>
      </w:r>
      <w:r w:rsidRPr="001A4C33">
        <w:t>rge for å inneha nødvendige opplysninger samt avgi erklæring til Miljødirektoratet i tråd med forslaget. Aktørene har imidlertid allerede etter gjeldende rett plikt til å ha opplysninger om samtykke, vilkår og opprinnelse for genetisk materiale dersom de u</w:t>
      </w:r>
      <w:r w:rsidRPr="001A4C33">
        <w:t>tnytter genetisk materiale fra et land som har slike krav.</w:t>
      </w:r>
    </w:p>
    <w:p w14:paraId="4F9B709F" w14:textId="77777777" w:rsidR="00000000" w:rsidRPr="001A4C33" w:rsidRDefault="001A4C33" w:rsidP="001A4C33">
      <w:r w:rsidRPr="001A4C33">
        <w:t>Forslaget kan ha positive konsekvenser for tilbyderne i andre land av genetisk materiale og tradisjonell kunnskap om utnytting av slikt materiale, ved å legge til rette for at disse får informasjon</w:t>
      </w:r>
      <w:r w:rsidRPr="001A4C33">
        <w:t xml:space="preserve"> om utnytting her i landet, og dermed kan håndheve eventuelle gjensidig avtalte vilkår om fordelsdeling.</w:t>
      </w:r>
    </w:p>
    <w:p w14:paraId="193C6DA3" w14:textId="77777777" w:rsidR="00000000" w:rsidRPr="001A4C33" w:rsidRDefault="001A4C33" w:rsidP="001A4C33">
      <w:pPr>
        <w:pStyle w:val="Overskrift1"/>
      </w:pPr>
      <w:r w:rsidRPr="001A4C33">
        <w:t>Merknader til de enkelte paragrafene i lovforslaget</w:t>
      </w:r>
    </w:p>
    <w:p w14:paraId="3E46D2F1" w14:textId="77777777" w:rsidR="00000000" w:rsidRPr="001A4C33" w:rsidRDefault="001A4C33" w:rsidP="001A4C33">
      <w:pPr>
        <w:pStyle w:val="Overskrift2"/>
      </w:pPr>
      <w:r w:rsidRPr="001A4C33">
        <w:t>Til endringene i naturmangfoldloven § 60</w:t>
      </w:r>
    </w:p>
    <w:p w14:paraId="3E174164" w14:textId="77777777" w:rsidR="00000000" w:rsidRPr="001A4C33" w:rsidRDefault="001A4C33" w:rsidP="001A4C33">
      <w:r w:rsidRPr="001A4C33">
        <w:t>Det foreslås</w:t>
      </w:r>
      <w:r w:rsidRPr="001A4C33">
        <w:t xml:space="preserve"> ingen endringer i første ledd. I </w:t>
      </w:r>
      <w:r w:rsidRPr="001A4C33">
        <w:rPr>
          <w:rStyle w:val="kursiv"/>
        </w:rPr>
        <w:t>annet</w:t>
      </w:r>
      <w:r w:rsidRPr="001A4C33">
        <w:t xml:space="preserve"> og </w:t>
      </w:r>
      <w:r w:rsidRPr="001A4C33">
        <w:rPr>
          <w:rStyle w:val="kursiv"/>
        </w:rPr>
        <w:t>tredje ledd</w:t>
      </w:r>
      <w:r w:rsidRPr="001A4C33">
        <w:t xml:space="preserve"> foreslås det at de krav til opplysninger som skal foreligge for genetisk materiale, også skal gjelde for tradisjonell kunnskap knyttet til genetisk materiale. Dette er i tråd med Nagoyaprotokollen arti</w:t>
      </w:r>
      <w:r w:rsidRPr="001A4C33">
        <w:t xml:space="preserve">kkel 16, og tilsvarer reguleringen i patentloven § 8 b og planteforedlerloven § 4 tredje ledd. I tillegg tas det inn krav om at det for både genetisk materiale og tradisjonell kunnskap skal foreligge opplysninger om gjensidig avtalte vilkår. Dette er ikke </w:t>
      </w:r>
      <w:r w:rsidRPr="001A4C33">
        <w:t>et uttrykkelig krav etter lovteksten i dag, men er sentralt i Nagoyaprotokollen artikkel 15 og 16. Det er derfor naturlig at opplysninger om slike vilkår også inngår i kravene til opplysninger som brukerne skal inneha etter naturmangfoldloven § 60. Dette v</w:t>
      </w:r>
      <w:r w:rsidRPr="001A4C33">
        <w:t>il være vilkår for utnyttingen av det genetiske materialet i form av en privatrettslig avtale, og tilsvarer det som i Nagoyaprotokollen er benevnt som «mutually agreed terms», MAT.</w:t>
      </w:r>
    </w:p>
    <w:p w14:paraId="1D346B01" w14:textId="77777777" w:rsidR="00000000" w:rsidRPr="001A4C33" w:rsidRDefault="001A4C33" w:rsidP="001A4C33">
      <w:r w:rsidRPr="001A4C33">
        <w:t>Det følger av forarbeidene til naturmangfoldloven (Ot.prp. nr. 52 (2008–200</w:t>
      </w:r>
      <w:r w:rsidRPr="001A4C33">
        <w:t>9)), at «utnytting av genetisk materiale skal være til mest mulig gagn for miljø og mennesker», og at «utnyttingen må her forstås i vid forstand, slik at det også omfatter selve uttaket av det genetiske materialet og eventuell etablering av immaterialretti</w:t>
      </w:r>
      <w:r w:rsidRPr="001A4C33">
        <w:t>gheter».</w:t>
      </w:r>
    </w:p>
    <w:p w14:paraId="7EF9B863" w14:textId="77777777" w:rsidR="00000000" w:rsidRPr="001A4C33" w:rsidRDefault="001A4C33" w:rsidP="001A4C33">
      <w:r w:rsidRPr="001A4C33">
        <w:lastRenderedPageBreak/>
        <w:t xml:space="preserve">I </w:t>
      </w:r>
      <w:r w:rsidRPr="001A4C33">
        <w:rPr>
          <w:rStyle w:val="kursiv"/>
        </w:rPr>
        <w:t>fjerde ledd</w:t>
      </w:r>
      <w:r w:rsidRPr="001A4C33">
        <w:t xml:space="preserve"> utgår den nåværende hjemmelen for forskrifter om at det skal følge med opplysninger om det hvis utnyttingen av materialet gjør bruk av urfolk eller lokalsamfunns tradisjonelle kunnskap. Bestemmelser om krav til dette vil etter endrin</w:t>
      </w:r>
      <w:r w:rsidRPr="001A4C33">
        <w:t xml:space="preserve">gen følge direkte av de nye bestemmelsene i annet og tredje ledd. I stedet tas det i </w:t>
      </w:r>
      <w:r w:rsidRPr="001A4C33">
        <w:rPr>
          <w:rStyle w:val="kursiv"/>
        </w:rPr>
        <w:t>fjerde ledd bokstav a</w:t>
      </w:r>
      <w:r w:rsidRPr="001A4C33">
        <w:t xml:space="preserve"> inn en ny hjemmel for Kongen til å gi forskrift om nærmere krav til opplysninger som skal foreligge etter annet og tredje ledd. Det siktes her til me</w:t>
      </w:r>
      <w:r w:rsidRPr="001A4C33">
        <w:t>r detaljerte opplysninger om opprinnelsen for materialet og kunnskapen, og om innhentingen av samtykke og gjensidig avtalte vilkår. Dette kan bl.a. omfatte internasjonalt anerkjente overensstemmelsessertifikater som angitt i Nagoyaprotokollen artikkel 17 n</w:t>
      </w:r>
      <w:r w:rsidRPr="001A4C33">
        <w:t>r. 1 bokstav a punkt iii og nr. 2 til 4. I tillegg slås det fast i bokstav a at det i forskrift også kan oppstilles krav til ytterligere opplysninger utover dem som skal foreligge etter annet og tredje ledd, slik som nærmere opplysninger om materialet elle</w:t>
      </w:r>
      <w:r w:rsidRPr="001A4C33">
        <w:t>r kunnskapen og utnyttingen, og om relevant nasjonalt regelverk om tilgang og fordelsdeling. I høringsforslaget ble det lagt opp til at det i forskrift oppstilles opplysningskrav som ligger nært opp til kravene etter forordning (EU) nr. 115/2014 artikkel 4</w:t>
      </w:r>
      <w:r w:rsidRPr="001A4C33">
        <w:t>, og som vil legge godt til rette for å oppfylle kontrollkravene etter Nagoyaprotokollen artikkel 17. Et alternativ kunne være å ta de mer detaljerte kravene direkte inn i lovteksten, men departementet har foreløpig vurdert det slik at det passer bedre å t</w:t>
      </w:r>
      <w:r w:rsidRPr="001A4C33">
        <w:t>a dette inn i forskrift.</w:t>
      </w:r>
    </w:p>
    <w:p w14:paraId="4D23A28E" w14:textId="77777777" w:rsidR="00000000" w:rsidRPr="001A4C33" w:rsidRDefault="001A4C33" w:rsidP="001A4C33">
      <w:r w:rsidRPr="001A4C33">
        <w:t xml:space="preserve">Det gis også en hjemmel i </w:t>
      </w:r>
      <w:r w:rsidRPr="001A4C33">
        <w:rPr>
          <w:rStyle w:val="kursiv"/>
        </w:rPr>
        <w:t>bokstav b</w:t>
      </w:r>
      <w:r w:rsidRPr="001A4C33">
        <w:t xml:space="preserve"> for Kongen til å vedta forskrift om krav til bevaring og overføring av opplysningene til senere brukere. Departementet ser det som hensiktsmessig å oppstille krav om at dokumentasjonen for materi</w:t>
      </w:r>
      <w:r w:rsidRPr="001A4C33">
        <w:t>alet eller kunnskapen skal oppbevares i en viss tidsperiode etter utnyttingen, og om at opplysningene skal overføres til etterfølgere som fortsetter utnyttingen av materialet eller kunnskapen.</w:t>
      </w:r>
    </w:p>
    <w:p w14:paraId="6B1FED56" w14:textId="77777777" w:rsidR="00000000" w:rsidRPr="001A4C33" w:rsidRDefault="001A4C33" w:rsidP="001A4C33">
      <w:r w:rsidRPr="001A4C33">
        <w:t xml:space="preserve">I fjerde ledd </w:t>
      </w:r>
      <w:r w:rsidRPr="001A4C33">
        <w:rPr>
          <w:rStyle w:val="kursiv"/>
        </w:rPr>
        <w:t>bokstav c</w:t>
      </w:r>
      <w:r w:rsidRPr="001A4C33">
        <w:t xml:space="preserve"> gis det hjemmel for at Kongen i forskri</w:t>
      </w:r>
      <w:r w:rsidRPr="001A4C33">
        <w:t>ft kan fastsette regler om krav til avgivelse fra brukerne av erklæring til en av Kongen utpekt myndighet om oppfyllelse av kravene etter annet og tredje ledd samt de utfyllende kravene fastsatt i forskrift etter fjerde ledd bokstav a. I høringsforslaget b</w:t>
      </w:r>
      <w:r w:rsidRPr="001A4C33">
        <w:t>le det lagt opp til at Miljødirektoratet utpekes til den myndigheten som skal motta slike erklæringer fra utnyttere av genetisk materiale og tradisjonell kunnskap, og at det utarbeides faste skjemaer som kan benyttes for erklæringene. Ved å motta og videre</w:t>
      </w:r>
      <w:r w:rsidRPr="001A4C33">
        <w:t>formidle opplysningene i tråd med Nagoyaprotokollen artikkel 17 nr. 1 bokstav a punkt iii, vil Miljødirektoratet oppfylle funksjonene som sjekkpunkt etter Nagoyaprotokollen artikkel 17. Det er presisert i bokstav c at erklæring skal avgis når det mottas mi</w:t>
      </w:r>
      <w:r w:rsidRPr="001A4C33">
        <w:t>dler til forskning som innebærer utnytting av genetisk materiale og tradisjonell kunnskap knyttet til slikt materiale. Dersom det ikke er mottatt forskningsmidler skal erklæring avgis når et produkt er ferdig utviklet ved utnytting av slikt materiale eller</w:t>
      </w:r>
      <w:r w:rsidRPr="001A4C33">
        <w:t xml:space="preserve"> slik kunnskap. Nærmere detaljer om tidspunktene for avgivelse av erklæring vil kunne fastsettes i forskrift. Det vil være et krav om å avgi erklæring uavhengig av om midlene til forskning stammer fra en offentlig myndighet, slik som Forskningsrådet, Innov</w:t>
      </w:r>
      <w:r w:rsidRPr="001A4C33">
        <w:t>asjon Norge, universiteter eller andre forskningsinstitusjoner e.l., eller fra en privat aktør eller kommersiell kilde. Det vil imidlertid ikke dekke interne overføringer innenfor en offentlig eller privat enhets eget budsjett, og bakgrunnen for dette er p</w:t>
      </w:r>
      <w:r w:rsidRPr="001A4C33">
        <w:t>rimært at det ville vært vanskelig å kontrollere at regelverket ble fulgt. Når det gjelder stadiet for et ferdig produkt ble det i høringsforslaget lagt opp til at det i forskrift fastsettes alternative tidspunkter for når erklæring skal avgis, og at erklæ</w:t>
      </w:r>
      <w:r w:rsidRPr="001A4C33">
        <w:t xml:space="preserve">ring skal avgis på det første av de aktuelle tidspunktene i det enkelte tilfellet. Dersom det dreier seg om et legemiddel eller andre produkter hvor det er </w:t>
      </w:r>
      <w:r w:rsidRPr="001A4C33">
        <w:lastRenderedPageBreak/>
        <w:t xml:space="preserve">krav om markedsføringstillatelse, skal erklæringen avgis når det søkes om markedsføringstillatelse, </w:t>
      </w:r>
      <w:r w:rsidRPr="001A4C33">
        <w:t>alternativt når det gis notifikasjon om et produkt til myndighetene før det plasseres på markedet der dette kreves. Der det ikke gjelder krav til markedsføringstillatelse eller notifikasjon skal erklæringen avgis før produktet faktisk plasseres på markedet</w:t>
      </w:r>
      <w:r w:rsidRPr="001A4C33">
        <w:t>.</w:t>
      </w:r>
    </w:p>
    <w:p w14:paraId="42E0EE95" w14:textId="77777777" w:rsidR="00000000" w:rsidRPr="001A4C33" w:rsidRDefault="001A4C33" w:rsidP="001A4C33">
      <w:r w:rsidRPr="001A4C33">
        <w:t>Dobbeltrapportering bør som utgangspunkt unngås, for å gi minst mulig byrde for næringslivet knyttet til oppfyllelse av kravene. Mottas det for eksempel forskningsmidler fra flere kilder, vil det være tilstrekkelig å avgi erklæring én gang, og er flere a</w:t>
      </w:r>
      <w:r w:rsidRPr="001A4C33">
        <w:t>ktører involvert er det tilstrekkelig at én av dem avgir erklæring. Det kan likevel bli en dobbeltrapportering ved at erklæring både skal gis ved mottak av forskningsmidler og på tidspunktet for et ferdig utviklet produkt. Det vil imidlertid være en slik f</w:t>
      </w:r>
      <w:r w:rsidRPr="001A4C33">
        <w:t>orskjell mellom disse stadiene at det er hensiktsmessig at erklæring innleveres på ny, for eksempel vil en forpliktelse til fordelsdeling kunne være mer aktuelt på tidspunktet for et ferdig utviklet produkt enn på forskningsstadiet.</w:t>
      </w:r>
    </w:p>
    <w:p w14:paraId="4A2DAB29" w14:textId="77777777" w:rsidR="00000000" w:rsidRPr="001A4C33" w:rsidRDefault="001A4C33" w:rsidP="001A4C33">
      <w:r w:rsidRPr="001A4C33">
        <w:t xml:space="preserve">Etter fjerde ledd </w:t>
      </w:r>
      <w:r w:rsidRPr="001A4C33">
        <w:rPr>
          <w:rStyle w:val="kursiv"/>
        </w:rPr>
        <w:t>bokst</w:t>
      </w:r>
      <w:r w:rsidRPr="001A4C33">
        <w:rPr>
          <w:rStyle w:val="kursiv"/>
        </w:rPr>
        <w:t>av d</w:t>
      </w:r>
      <w:r w:rsidRPr="001A4C33">
        <w:t xml:space="preserve"> kan Kongen også gi forskrift om den utpekte myndighetens behandling av mottatte opplysninger, og om videreformidling av opplysningene. Med videreformidling siktes det til formidling av opplysningene til kompetente myndigheter i leverandørlandet og opp</w:t>
      </w:r>
      <w:r w:rsidRPr="001A4C33">
        <w:t xml:space="preserve">rinnelseslandet for materialet. I høringsforslaget ble det lagt opp til at det fastsettes i forskrift at opplysningene skal formidles til den internasjonale informasjonsutvekslingsmekanismen etter Nagoyaprotokollen artikkel 14, og til departementet. Dette </w:t>
      </w:r>
      <w:r w:rsidRPr="001A4C33">
        <w:t>vil oppfylle kravene til videreformidling etter Nagoyaprotokollen artikkel 17 nr. 1 bokstav a punkt iii.</w:t>
      </w:r>
    </w:p>
    <w:p w14:paraId="550C2659" w14:textId="77777777" w:rsidR="00000000" w:rsidRPr="001A4C33" w:rsidRDefault="001A4C33" w:rsidP="001A4C33">
      <w:r w:rsidRPr="001A4C33">
        <w:t>Det følger av artikkel 17 nr. 1 bokstav a punkt iii at kravet til videreformidling gjelder med forbehold for krav til beskyttelse av konfidensiell info</w:t>
      </w:r>
      <w:r w:rsidRPr="001A4C33">
        <w:t>rmasjon. Dette innebærer blant annet at der det gjelder en lovbestemt taushetsplikt, for eksempel fordi opplysningene utgjør forretningshemmeligheter for avsenderen, kan det være begrensninger i adgangen til videreformidling som Miljødirektoratet vil måtte</w:t>
      </w:r>
      <w:r w:rsidRPr="001A4C33">
        <w:t xml:space="preserve"> overholde.</w:t>
      </w:r>
    </w:p>
    <w:p w14:paraId="4E281818" w14:textId="77777777" w:rsidR="00000000" w:rsidRPr="001A4C33" w:rsidRDefault="001A4C33" w:rsidP="001A4C33">
      <w:pPr>
        <w:pStyle w:val="Overskrift2"/>
      </w:pPr>
      <w:r w:rsidRPr="001A4C33">
        <w:t>Merknader til ikraftsettingsbestemmelsene</w:t>
      </w:r>
    </w:p>
    <w:p w14:paraId="733142E8" w14:textId="77777777" w:rsidR="00000000" w:rsidRPr="001A4C33" w:rsidRDefault="001A4C33" w:rsidP="001A4C33">
      <w:r w:rsidRPr="001A4C33">
        <w:t>Det foreslås at endringene i naturmangfoldloven gjelder fra den tid Kongen bestemmer.</w:t>
      </w:r>
    </w:p>
    <w:p w14:paraId="43E0B797" w14:textId="77777777" w:rsidR="00000000" w:rsidRPr="001A4C33" w:rsidRDefault="001A4C33" w:rsidP="001A4C33">
      <w:pPr>
        <w:pStyle w:val="a-tilraar-dep"/>
      </w:pPr>
      <w:r w:rsidRPr="001A4C33">
        <w:t>Klima- og miljødepartementet</w:t>
      </w:r>
    </w:p>
    <w:p w14:paraId="1EEFF8B2" w14:textId="77777777" w:rsidR="00000000" w:rsidRPr="001A4C33" w:rsidRDefault="001A4C33" w:rsidP="001A4C33">
      <w:pPr>
        <w:pStyle w:val="a-tilraar-tit"/>
      </w:pPr>
      <w:r w:rsidRPr="001A4C33">
        <w:t>tilrår:</w:t>
      </w:r>
    </w:p>
    <w:p w14:paraId="77247A29" w14:textId="77777777" w:rsidR="00000000" w:rsidRPr="001A4C33" w:rsidRDefault="001A4C33" w:rsidP="001A4C33">
      <w:r w:rsidRPr="001A4C33">
        <w:t>At Deres Majestet godkjenner og skriver under et fremlagt forslag til proposisjon til Stortinget</w:t>
      </w:r>
      <w:r w:rsidRPr="001A4C33">
        <w:t xml:space="preserve"> om endringer i naturmangfoldloven (utnytting av genetisk materiale med opprinnelse i andre land og tradisjonell kunnskap knyttet til utnytting av slikt materia</w:t>
      </w:r>
      <w:r w:rsidRPr="001A4C33">
        <w:t>le).</w:t>
      </w:r>
    </w:p>
    <w:p w14:paraId="4D6F6B42" w14:textId="77777777" w:rsidR="00000000" w:rsidRPr="001A4C33" w:rsidRDefault="001A4C33" w:rsidP="001A4C33">
      <w:pPr>
        <w:pStyle w:val="a-konge-tekst"/>
        <w:rPr>
          <w:rStyle w:val="halvfet0"/>
        </w:rPr>
      </w:pPr>
      <w:r w:rsidRPr="001A4C33">
        <w:rPr>
          <w:rStyle w:val="halvfet0"/>
        </w:rPr>
        <w:lastRenderedPageBreak/>
        <w:t>Vi HARALD,</w:t>
      </w:r>
      <w:r w:rsidRPr="001A4C33">
        <w:t xml:space="preserve"> Norges Konge,</w:t>
      </w:r>
    </w:p>
    <w:p w14:paraId="4672A043" w14:textId="77777777" w:rsidR="00000000" w:rsidRPr="001A4C33" w:rsidRDefault="001A4C33" w:rsidP="001A4C33">
      <w:pPr>
        <w:pStyle w:val="a-konge-tit"/>
      </w:pPr>
      <w:r w:rsidRPr="001A4C33">
        <w:t>stadfester:</w:t>
      </w:r>
    </w:p>
    <w:p w14:paraId="367B09A6" w14:textId="77777777" w:rsidR="00000000" w:rsidRPr="001A4C33" w:rsidRDefault="001A4C33" w:rsidP="001A4C33">
      <w:r w:rsidRPr="001A4C33">
        <w:t>Stortinget blir bedt om å gjøre vedtak til lov om endringer i naturmangfoldloven (utnytting av genetisk materiale med opprinnelse i andre land og tradisjonell kunnskap knyttet til utnytting av slikt materiale) i sa</w:t>
      </w:r>
      <w:r w:rsidRPr="001A4C33">
        <w:t>msvar med et vedlagt forslag.</w:t>
      </w:r>
    </w:p>
    <w:p w14:paraId="292E00F2" w14:textId="77777777" w:rsidR="00000000" w:rsidRPr="001A4C33" w:rsidRDefault="001A4C33" w:rsidP="001A4C33">
      <w:pPr>
        <w:pStyle w:val="a-vedtak-tit"/>
      </w:pPr>
      <w:r w:rsidRPr="001A4C33">
        <w:t xml:space="preserve">Forslag </w:t>
      </w:r>
    </w:p>
    <w:p w14:paraId="64E6FD02" w14:textId="77777777" w:rsidR="00000000" w:rsidRPr="001A4C33" w:rsidRDefault="001A4C33" w:rsidP="001A4C33">
      <w:pPr>
        <w:pStyle w:val="a-vedtak-tit"/>
      </w:pPr>
      <w:r w:rsidRPr="001A4C33">
        <w:t xml:space="preserve">til lov om endringer i naturmangfoldloven </w:t>
      </w:r>
      <w:r w:rsidRPr="001A4C33">
        <w:br/>
        <w:t>(utnytting av genetisk materiale med opprinnelse i andre land og tradisjonell kunnskap knyttet til utnytting av slikt materiale)</w:t>
      </w:r>
    </w:p>
    <w:p w14:paraId="0C851F4E" w14:textId="77777777" w:rsidR="00000000" w:rsidRPr="001A4C33" w:rsidRDefault="001A4C33" w:rsidP="001A4C33">
      <w:pPr>
        <w:pStyle w:val="a-vedtak-del"/>
      </w:pPr>
      <w:r w:rsidRPr="001A4C33">
        <w:t>I</w:t>
      </w:r>
    </w:p>
    <w:p w14:paraId="6A0EA430" w14:textId="77777777" w:rsidR="00000000" w:rsidRPr="001A4C33" w:rsidRDefault="001A4C33" w:rsidP="001A4C33">
      <w:pPr>
        <w:pStyle w:val="l-tit-endr-lov"/>
      </w:pPr>
      <w:r w:rsidRPr="001A4C33">
        <w:t xml:space="preserve">I lov 19. juni 2009 nr. 100 om forvaltning </w:t>
      </w:r>
      <w:r w:rsidRPr="001A4C33">
        <w:t>av naturens mangfold gjøres følgende endringer:</w:t>
      </w:r>
    </w:p>
    <w:p w14:paraId="4EBDAFC3" w14:textId="77777777" w:rsidR="00000000" w:rsidRPr="001A4C33" w:rsidRDefault="001A4C33" w:rsidP="001A4C33">
      <w:pPr>
        <w:pStyle w:val="l-tit-endr-ledd"/>
      </w:pPr>
      <w:r w:rsidRPr="001A4C33">
        <w:t>§ 60 annet til fjerde ledd skal lyde:</w:t>
      </w:r>
    </w:p>
    <w:p w14:paraId="5E0C9C03" w14:textId="77777777" w:rsidR="00000000" w:rsidRPr="001A4C33" w:rsidRDefault="001A4C33" w:rsidP="001A4C33">
      <w:pPr>
        <w:pStyle w:val="l-ledd"/>
      </w:pPr>
      <w:r w:rsidRPr="001A4C33">
        <w:t xml:space="preserve">Når genetisk materiale, </w:t>
      </w:r>
      <w:r w:rsidRPr="001A4C33">
        <w:rPr>
          <w:rStyle w:val="l-endring"/>
        </w:rPr>
        <w:t>eller tradisjonell kunnskap knyttet til slikt materiale,</w:t>
      </w:r>
      <w:r w:rsidRPr="001A4C33">
        <w:t xml:space="preserve"> fra et annet land utnyttes i Norge i forsknings- eller næringsøyemed, skal det følge med </w:t>
      </w:r>
      <w:r w:rsidRPr="001A4C33">
        <w:t xml:space="preserve">opplysninger om hvilket land det genetiske materialet </w:t>
      </w:r>
      <w:r w:rsidRPr="001A4C33">
        <w:rPr>
          <w:rStyle w:val="l-endring"/>
        </w:rPr>
        <w:t>eller kunnskapen</w:t>
      </w:r>
      <w:r w:rsidRPr="001A4C33">
        <w:t xml:space="preserve"> er mottatt eller hentet fra (leverandørland). Hvis nasjonal rett i leverandørlandet krever samtykke til uttak av biologisk materiale </w:t>
      </w:r>
      <w:r w:rsidRPr="001A4C33">
        <w:rPr>
          <w:rStyle w:val="l-endring"/>
        </w:rPr>
        <w:t>eller bruk av tradisjonell kunnskap</w:t>
      </w:r>
      <w:r w:rsidRPr="001A4C33">
        <w:t xml:space="preserve">, skal det følge </w:t>
      </w:r>
      <w:r w:rsidRPr="001A4C33">
        <w:t xml:space="preserve">med opplysning om slikt samtykke er innhentet </w:t>
      </w:r>
      <w:r w:rsidRPr="001A4C33">
        <w:rPr>
          <w:rStyle w:val="l-endring"/>
        </w:rPr>
        <w:t>og om det foreligger gjensidig avtalte vilkår</w:t>
      </w:r>
      <w:r w:rsidRPr="001A4C33">
        <w:t>.</w:t>
      </w:r>
    </w:p>
    <w:p w14:paraId="24CA0691" w14:textId="77777777" w:rsidR="00000000" w:rsidRPr="001A4C33" w:rsidRDefault="001A4C33" w:rsidP="001A4C33">
      <w:pPr>
        <w:pStyle w:val="l-ledd"/>
      </w:pPr>
      <w:r w:rsidRPr="001A4C33">
        <w:t xml:space="preserve">Hvis leverandørlandet er et annet land enn opprinnelseslandet for det genetiske materialet </w:t>
      </w:r>
      <w:r w:rsidRPr="001A4C33">
        <w:rPr>
          <w:rStyle w:val="l-endring"/>
        </w:rPr>
        <w:t>eller den tradisjonelle kunnskapen</w:t>
      </w:r>
      <w:r w:rsidRPr="001A4C33">
        <w:t xml:space="preserve">, skal </w:t>
      </w:r>
      <w:r w:rsidRPr="001A4C33">
        <w:rPr>
          <w:rStyle w:val="l-endring"/>
        </w:rPr>
        <w:t>det</w:t>
      </w:r>
      <w:r w:rsidRPr="001A4C33">
        <w:t xml:space="preserve"> også </w:t>
      </w:r>
      <w:r w:rsidRPr="001A4C33">
        <w:rPr>
          <w:rStyle w:val="l-endring"/>
        </w:rPr>
        <w:t>følge med opplysning o</w:t>
      </w:r>
      <w:r w:rsidRPr="001A4C33">
        <w:rPr>
          <w:rStyle w:val="l-endring"/>
        </w:rPr>
        <w:t>m opprinnelsesland.</w:t>
      </w:r>
      <w:r w:rsidRPr="001A4C33">
        <w:t xml:space="preserve"> Med opprinnelsesland menes det landet der materialet ble hentet ut fra sine naturlige omgivelser </w:t>
      </w:r>
      <w:r w:rsidRPr="001A4C33">
        <w:rPr>
          <w:rStyle w:val="l-endring"/>
        </w:rPr>
        <w:t>og for tradisjonell kunnskap det landet der kunnskapen ble utviklet</w:t>
      </w:r>
      <w:r w:rsidRPr="001A4C33">
        <w:t>. Hvis nasjonal rett i opprinnelseslandet krever samtykke til uttak av g</w:t>
      </w:r>
      <w:r w:rsidRPr="001A4C33">
        <w:t xml:space="preserve">enetisk materiale </w:t>
      </w:r>
      <w:r w:rsidRPr="001A4C33">
        <w:rPr>
          <w:rStyle w:val="l-endring"/>
        </w:rPr>
        <w:t>eller bruk av tradisjonell kunnskap</w:t>
      </w:r>
      <w:r w:rsidRPr="001A4C33">
        <w:t xml:space="preserve">, skal det </w:t>
      </w:r>
      <w:r w:rsidRPr="001A4C33">
        <w:rPr>
          <w:rStyle w:val="l-endring"/>
        </w:rPr>
        <w:t>følge med opplysning</w:t>
      </w:r>
      <w:r w:rsidRPr="001A4C33">
        <w:t xml:space="preserve"> om slikt samtykke er innhentet </w:t>
      </w:r>
      <w:r w:rsidRPr="001A4C33">
        <w:rPr>
          <w:rStyle w:val="l-endring"/>
        </w:rPr>
        <w:t>og om det foreligger gjensidig avtalte vilkår.</w:t>
      </w:r>
      <w:r w:rsidRPr="001A4C33">
        <w:t xml:space="preserve"> Er opplysningene etter dette leddet ukjent, skal det opplyses om dette.</w:t>
      </w:r>
    </w:p>
    <w:p w14:paraId="756ABC98" w14:textId="77777777" w:rsidR="00000000" w:rsidRPr="001A4C33" w:rsidRDefault="001A4C33" w:rsidP="001A4C33">
      <w:pPr>
        <w:pStyle w:val="l-ledd"/>
      </w:pPr>
      <w:r w:rsidRPr="001A4C33">
        <w:t>Kongen kan gi forskrift om</w:t>
      </w:r>
    </w:p>
    <w:p w14:paraId="1AD1FDD8" w14:textId="77777777" w:rsidR="00000000" w:rsidRPr="001A4C33" w:rsidRDefault="001A4C33" w:rsidP="001A4C33">
      <w:pPr>
        <w:pStyle w:val="friliste"/>
      </w:pPr>
      <w:r w:rsidRPr="001A4C33">
        <w:t>a.</w:t>
      </w:r>
      <w:r w:rsidRPr="001A4C33">
        <w:tab/>
      </w:r>
      <w:r w:rsidRPr="001A4C33">
        <w:rPr>
          <w:rStyle w:val="l-endring"/>
        </w:rPr>
        <w:t>nærmere krav til opplysningene som skal foreligge etter annet og tredje ledd, og krav til ytterligere opplysninger</w:t>
      </w:r>
    </w:p>
    <w:p w14:paraId="05040D3B" w14:textId="77777777" w:rsidR="00000000" w:rsidRPr="001A4C33" w:rsidRDefault="001A4C33" w:rsidP="001A4C33">
      <w:pPr>
        <w:pStyle w:val="friliste"/>
      </w:pPr>
      <w:r w:rsidRPr="001A4C33">
        <w:t>b.</w:t>
      </w:r>
      <w:r w:rsidRPr="001A4C33">
        <w:tab/>
      </w:r>
      <w:r w:rsidRPr="001A4C33">
        <w:rPr>
          <w:rStyle w:val="l-endring"/>
        </w:rPr>
        <w:t>plikt for utnytteren til bevaring o</w:t>
      </w:r>
      <w:r w:rsidRPr="001A4C33">
        <w:rPr>
          <w:rStyle w:val="l-endring"/>
        </w:rPr>
        <w:t>g overføring av opplysningene til senere brukere</w:t>
      </w:r>
    </w:p>
    <w:p w14:paraId="077C4809" w14:textId="77777777" w:rsidR="00000000" w:rsidRPr="001A4C33" w:rsidRDefault="001A4C33" w:rsidP="001A4C33">
      <w:pPr>
        <w:pStyle w:val="friliste"/>
      </w:pPr>
      <w:r w:rsidRPr="001A4C33">
        <w:t>c.</w:t>
      </w:r>
      <w:r w:rsidRPr="001A4C33">
        <w:tab/>
      </w:r>
      <w:r w:rsidRPr="001A4C33">
        <w:rPr>
          <w:rStyle w:val="l-endring"/>
        </w:rPr>
        <w:t>at utnytteren skal gi erklæring til en utpekt myndighet om oppfyllelse av opplysningskravene når det mottas midler til forskning som omfatter utnytting av genetisk materiale eller tradisjonell kunnskap kn</w:t>
      </w:r>
      <w:r w:rsidRPr="001A4C33">
        <w:rPr>
          <w:rStyle w:val="l-endring"/>
        </w:rPr>
        <w:t>yttet til slikt materiale, og når det utvikles produkter ved utnytting av slikt materiale eller slik kunnskap</w:t>
      </w:r>
    </w:p>
    <w:p w14:paraId="45E42C34" w14:textId="77777777" w:rsidR="00000000" w:rsidRPr="001A4C33" w:rsidRDefault="001A4C33" w:rsidP="001A4C33">
      <w:pPr>
        <w:pStyle w:val="friliste"/>
      </w:pPr>
      <w:r w:rsidRPr="001A4C33">
        <w:t>d.</w:t>
      </w:r>
      <w:r w:rsidRPr="001A4C33">
        <w:tab/>
      </w:r>
      <w:r w:rsidRPr="001A4C33">
        <w:rPr>
          <w:rStyle w:val="l-endring"/>
        </w:rPr>
        <w:t>den utpekte myndighetens behandling og videreformidling av opplysningene.</w:t>
      </w:r>
    </w:p>
    <w:p w14:paraId="5D80A3CD" w14:textId="77777777" w:rsidR="00000000" w:rsidRPr="001A4C33" w:rsidRDefault="001A4C33" w:rsidP="001A4C33">
      <w:pPr>
        <w:pStyle w:val="a-vedtak-del"/>
      </w:pPr>
      <w:r w:rsidRPr="001A4C33">
        <w:t>II</w:t>
      </w:r>
    </w:p>
    <w:p w14:paraId="2B18D24E" w14:textId="77777777" w:rsidR="00000000" w:rsidRPr="001A4C33" w:rsidRDefault="001A4C33" w:rsidP="001A4C33">
      <w:pPr>
        <w:pStyle w:val="Nummerertliste"/>
      </w:pPr>
      <w:r w:rsidRPr="001A4C33">
        <w:t>Loven gjelder fra den tid Kongen bestemmer.</w:t>
      </w:r>
    </w:p>
    <w:p w14:paraId="7248C436" w14:textId="77777777" w:rsidR="00000000" w:rsidRPr="001A4C33" w:rsidRDefault="001A4C33" w:rsidP="001A4C33">
      <w:pPr>
        <w:pStyle w:val="Nummerertliste"/>
      </w:pPr>
      <w:r w:rsidRPr="001A4C33">
        <w:lastRenderedPageBreak/>
        <w:t>Loven gjelder bare for utnytting i forsknings- eller næringsøyemed der forskningsstøtte mottas eller et produkt er ferdig utviklet etter at loven har trådt i kraft.</w:t>
      </w:r>
    </w:p>
    <w:p w14:paraId="6C9C4F90" w14:textId="77777777" w:rsidR="00000000" w:rsidRPr="001A4C33" w:rsidRDefault="001A4C33" w:rsidP="001A4C33">
      <w:pPr>
        <w:pStyle w:val="Nummerertliste"/>
      </w:pPr>
      <w:r w:rsidRPr="001A4C33">
        <w:t>Kongen kan gi nærmere overgangsregl</w:t>
      </w:r>
      <w:r w:rsidRPr="001A4C33">
        <w:t>er.</w:t>
      </w:r>
    </w:p>
    <w:p w14:paraId="43A54292" w14:textId="77777777" w:rsidR="00000000" w:rsidRPr="001A4C33" w:rsidRDefault="001A4C33" w:rsidP="001A4C33"/>
    <w:sectPr w:rsidR="00000000" w:rsidRPr="001A4C3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AC8E" w14:textId="77777777" w:rsidR="00000000" w:rsidRDefault="001A4C33">
      <w:pPr>
        <w:spacing w:after="0" w:line="240" w:lineRule="auto"/>
      </w:pPr>
      <w:r>
        <w:separator/>
      </w:r>
    </w:p>
  </w:endnote>
  <w:endnote w:type="continuationSeparator" w:id="0">
    <w:p w14:paraId="1AADE8D4" w14:textId="77777777" w:rsidR="00000000" w:rsidRDefault="001A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760D" w14:textId="77777777" w:rsidR="00000000" w:rsidRPr="001A4C33" w:rsidRDefault="001A4C33" w:rsidP="001A4C3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481E" w14:textId="77777777" w:rsidR="00000000" w:rsidRPr="001A4C33" w:rsidRDefault="001A4C33" w:rsidP="001A4C3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5969" w14:textId="77777777" w:rsidR="00000000" w:rsidRPr="001A4C33" w:rsidRDefault="001A4C33" w:rsidP="001A4C3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7DAF" w14:textId="77777777" w:rsidR="00000000" w:rsidRDefault="001A4C33">
      <w:pPr>
        <w:spacing w:after="0" w:line="240" w:lineRule="auto"/>
      </w:pPr>
      <w:r>
        <w:separator/>
      </w:r>
    </w:p>
  </w:footnote>
  <w:footnote w:type="continuationSeparator" w:id="0">
    <w:p w14:paraId="59E291B2" w14:textId="77777777" w:rsidR="00000000" w:rsidRDefault="001A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473C" w14:textId="5F5B3CBB" w:rsidR="00000000" w:rsidRPr="001A4C33" w:rsidRDefault="001A4C33" w:rsidP="001A4C3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CB66" w14:textId="4DF8DDA1" w:rsidR="00000000" w:rsidRPr="001A4C33" w:rsidRDefault="001A4C33" w:rsidP="001A4C3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C036" w14:textId="77777777" w:rsidR="00000000" w:rsidRPr="001A4C33" w:rsidRDefault="001A4C33" w:rsidP="001A4C3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609E6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B28D43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B7A568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514483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868F1E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644A19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A4C33"/>
    <w:rsid w:val="001A4C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C5083"/>
  <w14:defaultImageDpi w14:val="0"/>
  <w15:docId w15:val="{17DB2246-C233-4EC3-9581-5790C10C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C3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A4C33"/>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A4C33"/>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1A4C33"/>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1A4C33"/>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1A4C33"/>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1A4C33"/>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1A4C33"/>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1A4C33"/>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1A4C33"/>
    <w:pPr>
      <w:numPr>
        <w:ilvl w:val="8"/>
        <w:numId w:val="24"/>
      </w:numPr>
      <w:spacing w:before="240" w:after="60"/>
      <w:outlineLvl w:val="8"/>
    </w:pPr>
    <w:rPr>
      <w:rFonts w:ascii="Arial" w:hAnsi="Arial"/>
      <w:i/>
      <w:sz w:val="18"/>
    </w:rPr>
  </w:style>
  <w:style w:type="character" w:default="1" w:styleId="Standardskriftforavsnitt">
    <w:name w:val="Default Paragraph Font"/>
    <w:uiPriority w:val="1"/>
    <w:unhideWhenUsed/>
    <w:rsid w:val="001A4C3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A4C3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A4C33"/>
    <w:pPr>
      <w:keepNext/>
      <w:keepLines/>
      <w:spacing w:before="240" w:after="240"/>
    </w:pPr>
  </w:style>
  <w:style w:type="paragraph" w:customStyle="1" w:styleId="a-konge-tit">
    <w:name w:val="a-konge-tit"/>
    <w:basedOn w:val="Normal"/>
    <w:next w:val="Normal"/>
    <w:rsid w:val="001A4C33"/>
    <w:pPr>
      <w:keepNext/>
      <w:keepLines/>
      <w:spacing w:before="240"/>
      <w:jc w:val="center"/>
    </w:pPr>
    <w:rPr>
      <w:spacing w:val="30"/>
    </w:rPr>
  </w:style>
  <w:style w:type="paragraph" w:customStyle="1" w:styleId="a-tilraar-dep">
    <w:name w:val="a-tilraar-dep"/>
    <w:basedOn w:val="Normal"/>
    <w:next w:val="Normal"/>
    <w:rsid w:val="001A4C3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A4C3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A4C3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A4C3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A4C3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A4C3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A4C33"/>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A4C33"/>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A4C3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A4C3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A4C3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A4C33"/>
  </w:style>
  <w:style w:type="paragraph" w:customStyle="1" w:styleId="Def">
    <w:name w:val="Def"/>
    <w:basedOn w:val="hengende-innrykk"/>
    <w:rsid w:val="001A4C33"/>
    <w:pPr>
      <w:spacing w:line="240" w:lineRule="auto"/>
      <w:ind w:left="0" w:firstLine="0"/>
    </w:pPr>
    <w:rPr>
      <w:rFonts w:ascii="Times" w:eastAsia="Batang" w:hAnsi="Times"/>
      <w:spacing w:val="0"/>
      <w:szCs w:val="20"/>
    </w:rPr>
  </w:style>
  <w:style w:type="paragraph" w:customStyle="1" w:styleId="del-nr">
    <w:name w:val="del-nr"/>
    <w:basedOn w:val="Normal"/>
    <w:qFormat/>
    <w:rsid w:val="001A4C3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A4C3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A4C33"/>
  </w:style>
  <w:style w:type="paragraph" w:customStyle="1" w:styleId="figur-noter">
    <w:name w:val="figur-noter"/>
    <w:basedOn w:val="Normal"/>
    <w:next w:val="Normal"/>
    <w:rsid w:val="001A4C3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A4C3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A4C33"/>
    <w:rPr>
      <w:sz w:val="20"/>
    </w:rPr>
  </w:style>
  <w:style w:type="character" w:customStyle="1" w:styleId="FotnotetekstTegn">
    <w:name w:val="Fotnotetekst Tegn"/>
    <w:link w:val="Fotnotetekst"/>
    <w:rsid w:val="001A4C3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A4C33"/>
    <w:pPr>
      <w:ind w:left="1418" w:hanging="1418"/>
    </w:pPr>
  </w:style>
  <w:style w:type="paragraph" w:customStyle="1" w:styleId="i-budkap-over">
    <w:name w:val="i-budkap-over"/>
    <w:basedOn w:val="Normal"/>
    <w:next w:val="Normal"/>
    <w:rsid w:val="001A4C33"/>
    <w:pPr>
      <w:jc w:val="right"/>
    </w:pPr>
    <w:rPr>
      <w:rFonts w:ascii="Times" w:hAnsi="Times"/>
      <w:b/>
      <w:noProof/>
    </w:rPr>
  </w:style>
  <w:style w:type="paragraph" w:customStyle="1" w:styleId="i-dep">
    <w:name w:val="i-dep"/>
    <w:basedOn w:val="Normal"/>
    <w:next w:val="Normal"/>
    <w:rsid w:val="001A4C3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A4C3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A4C33"/>
    <w:pPr>
      <w:ind w:left="1985" w:hanging="1985"/>
    </w:pPr>
    <w:rPr>
      <w:spacing w:val="0"/>
    </w:rPr>
  </w:style>
  <w:style w:type="paragraph" w:customStyle="1" w:styleId="i-statsrdato">
    <w:name w:val="i-statsr.dato"/>
    <w:basedOn w:val="Normal"/>
    <w:next w:val="Normal"/>
    <w:rsid w:val="001A4C33"/>
    <w:pPr>
      <w:spacing w:after="0"/>
      <w:jc w:val="center"/>
    </w:pPr>
    <w:rPr>
      <w:rFonts w:ascii="Times" w:hAnsi="Times"/>
      <w:i/>
      <w:noProof/>
    </w:rPr>
  </w:style>
  <w:style w:type="paragraph" w:customStyle="1" w:styleId="i-termin">
    <w:name w:val="i-termin"/>
    <w:basedOn w:val="Normal"/>
    <w:next w:val="Normal"/>
    <w:rsid w:val="001A4C33"/>
    <w:pPr>
      <w:spacing w:before="360"/>
      <w:jc w:val="center"/>
    </w:pPr>
    <w:rPr>
      <w:b/>
      <w:noProof/>
      <w:sz w:val="28"/>
    </w:rPr>
  </w:style>
  <w:style w:type="paragraph" w:customStyle="1" w:styleId="i-tit">
    <w:name w:val="i-tit"/>
    <w:basedOn w:val="Normal"/>
    <w:next w:val="i-statsrdato"/>
    <w:rsid w:val="001A4C3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A4C33"/>
  </w:style>
  <w:style w:type="paragraph" w:customStyle="1" w:styleId="Kilde">
    <w:name w:val="Kilde"/>
    <w:basedOn w:val="Normal"/>
    <w:next w:val="Normal"/>
    <w:rsid w:val="001A4C3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1A4C33"/>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A4C3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A4C3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A4C3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A4C3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A4C33"/>
    <w:pPr>
      <w:spacing w:after="0"/>
    </w:pPr>
  </w:style>
  <w:style w:type="paragraph" w:customStyle="1" w:styleId="l-tit-endr-avsnitt">
    <w:name w:val="l-tit-endr-avsnitt"/>
    <w:basedOn w:val="l-tit-endr-lovkap"/>
    <w:qFormat/>
    <w:rsid w:val="001A4C33"/>
  </w:style>
  <w:style w:type="paragraph" w:customStyle="1" w:styleId="l-tit-endr-ledd">
    <w:name w:val="l-tit-endr-ledd"/>
    <w:basedOn w:val="Normal"/>
    <w:qFormat/>
    <w:rsid w:val="001A4C33"/>
    <w:pPr>
      <w:keepNext/>
      <w:spacing w:before="240" w:after="0" w:line="240" w:lineRule="auto"/>
    </w:pPr>
    <w:rPr>
      <w:rFonts w:ascii="Times" w:hAnsi="Times"/>
      <w:noProof/>
      <w:lang w:val="nn-NO"/>
    </w:rPr>
  </w:style>
  <w:style w:type="paragraph" w:customStyle="1" w:styleId="l-tit-endr-lov">
    <w:name w:val="l-tit-endr-lov"/>
    <w:basedOn w:val="Normal"/>
    <w:qFormat/>
    <w:rsid w:val="001A4C3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A4C33"/>
    <w:pPr>
      <w:keepNext/>
      <w:spacing w:before="240" w:after="0" w:line="240" w:lineRule="auto"/>
    </w:pPr>
    <w:rPr>
      <w:rFonts w:ascii="Times" w:hAnsi="Times"/>
      <w:noProof/>
      <w:lang w:val="nn-NO"/>
    </w:rPr>
  </w:style>
  <w:style w:type="paragraph" w:customStyle="1" w:styleId="l-tit-endr-lovkap">
    <w:name w:val="l-tit-endr-lovkap"/>
    <w:basedOn w:val="Normal"/>
    <w:qFormat/>
    <w:rsid w:val="001A4C33"/>
    <w:pPr>
      <w:keepNext/>
      <w:spacing w:before="240" w:after="0" w:line="240" w:lineRule="auto"/>
    </w:pPr>
    <w:rPr>
      <w:rFonts w:ascii="Times" w:hAnsi="Times"/>
      <w:noProof/>
      <w:lang w:val="nn-NO"/>
    </w:rPr>
  </w:style>
  <w:style w:type="paragraph" w:customStyle="1" w:styleId="l-tit-endr-punktum">
    <w:name w:val="l-tit-endr-punktum"/>
    <w:basedOn w:val="l-tit-endr-ledd"/>
    <w:qFormat/>
    <w:rsid w:val="001A4C3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A4C33"/>
    <w:pPr>
      <w:spacing w:before="60" w:after="0"/>
      <w:ind w:left="397"/>
    </w:pPr>
    <w:rPr>
      <w:spacing w:val="0"/>
    </w:rPr>
  </w:style>
  <w:style w:type="paragraph" w:customStyle="1" w:styleId="Listeavsnitt2">
    <w:name w:val="Listeavsnitt 2"/>
    <w:basedOn w:val="Normal"/>
    <w:qFormat/>
    <w:rsid w:val="001A4C33"/>
    <w:pPr>
      <w:spacing w:before="60" w:after="0"/>
      <w:ind w:left="794"/>
    </w:pPr>
    <w:rPr>
      <w:spacing w:val="0"/>
    </w:rPr>
  </w:style>
  <w:style w:type="paragraph" w:customStyle="1" w:styleId="Listeavsnitt3">
    <w:name w:val="Listeavsnitt 3"/>
    <w:basedOn w:val="Normal"/>
    <w:qFormat/>
    <w:rsid w:val="001A4C33"/>
    <w:pPr>
      <w:spacing w:before="60" w:after="0"/>
      <w:ind w:left="1191"/>
    </w:pPr>
    <w:rPr>
      <w:spacing w:val="0"/>
    </w:rPr>
  </w:style>
  <w:style w:type="paragraph" w:customStyle="1" w:styleId="Listeavsnitt4">
    <w:name w:val="Listeavsnitt 4"/>
    <w:basedOn w:val="Normal"/>
    <w:qFormat/>
    <w:rsid w:val="001A4C33"/>
    <w:pPr>
      <w:spacing w:before="60" w:after="0"/>
      <w:ind w:left="1588"/>
    </w:pPr>
    <w:rPr>
      <w:spacing w:val="0"/>
    </w:rPr>
  </w:style>
  <w:style w:type="paragraph" w:customStyle="1" w:styleId="Listeavsnitt5">
    <w:name w:val="Listeavsnitt 5"/>
    <w:basedOn w:val="Normal"/>
    <w:qFormat/>
    <w:rsid w:val="001A4C3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A4C3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A4C3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A4C3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A4C33"/>
    <w:pPr>
      <w:keepNext/>
      <w:keepLines/>
      <w:spacing w:before="360"/>
    </w:pPr>
    <w:rPr>
      <w:rFonts w:ascii="Arial" w:hAnsi="Arial"/>
      <w:b/>
      <w:sz w:val="28"/>
    </w:rPr>
  </w:style>
  <w:style w:type="character" w:customStyle="1" w:styleId="UndertittelTegn">
    <w:name w:val="Undertittel Tegn"/>
    <w:link w:val="Undertittel"/>
    <w:rsid w:val="001A4C3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A4C3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A4C3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A4C3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A4C3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A4C3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A4C3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A4C3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A4C3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A4C3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A4C33"/>
    <w:pPr>
      <w:numPr>
        <w:numId w:val="0"/>
      </w:numPr>
    </w:pPr>
    <w:rPr>
      <w:b w:val="0"/>
      <w:i/>
    </w:rPr>
  </w:style>
  <w:style w:type="paragraph" w:customStyle="1" w:styleId="Undervedl-tittel">
    <w:name w:val="Undervedl-tittel"/>
    <w:basedOn w:val="Normal"/>
    <w:next w:val="Normal"/>
    <w:rsid w:val="001A4C3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A4C33"/>
    <w:pPr>
      <w:numPr>
        <w:numId w:val="0"/>
      </w:numPr>
      <w:outlineLvl w:val="9"/>
    </w:pPr>
  </w:style>
  <w:style w:type="paragraph" w:customStyle="1" w:styleId="v-Overskrift2">
    <w:name w:val="v-Overskrift 2"/>
    <w:basedOn w:val="Overskrift2"/>
    <w:next w:val="Normal"/>
    <w:rsid w:val="001A4C3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A4C3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A4C33"/>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A4C3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A4C3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A4C33"/>
    <w:pPr>
      <w:keepNext/>
      <w:keepLines/>
      <w:spacing w:before="720"/>
      <w:jc w:val="center"/>
    </w:pPr>
    <w:rPr>
      <w:rFonts w:ascii="Times" w:hAnsi="Times"/>
      <w:b/>
      <w:noProof/>
      <w:sz w:val="56"/>
    </w:rPr>
  </w:style>
  <w:style w:type="paragraph" w:customStyle="1" w:styleId="i-sesjon">
    <w:name w:val="i-sesjon"/>
    <w:basedOn w:val="Normal"/>
    <w:next w:val="Normal"/>
    <w:rsid w:val="001A4C33"/>
    <w:pPr>
      <w:jc w:val="center"/>
    </w:pPr>
    <w:rPr>
      <w:rFonts w:ascii="Times" w:hAnsi="Times"/>
      <w:b/>
      <w:noProof/>
      <w:sz w:val="28"/>
    </w:rPr>
  </w:style>
  <w:style w:type="paragraph" w:customStyle="1" w:styleId="i-mtit">
    <w:name w:val="i-mtit"/>
    <w:basedOn w:val="Normal"/>
    <w:next w:val="Normal"/>
    <w:rsid w:val="001A4C3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A4C33"/>
    <w:rPr>
      <w:rFonts w:ascii="Arial" w:eastAsia="Times New Roman" w:hAnsi="Arial"/>
      <w:b/>
      <w:spacing w:val="4"/>
      <w:sz w:val="28"/>
    </w:rPr>
  </w:style>
  <w:style w:type="character" w:customStyle="1" w:styleId="Overskrift3Tegn">
    <w:name w:val="Overskrift 3 Tegn"/>
    <w:link w:val="Overskrift3"/>
    <w:rsid w:val="001A4C33"/>
    <w:rPr>
      <w:rFonts w:ascii="Arial" w:eastAsia="Times New Roman" w:hAnsi="Arial"/>
      <w:b/>
      <w:sz w:val="24"/>
    </w:rPr>
  </w:style>
  <w:style w:type="character" w:customStyle="1" w:styleId="Overskrift4Tegn">
    <w:name w:val="Overskrift 4 Tegn"/>
    <w:link w:val="Overskrift4"/>
    <w:rsid w:val="001A4C33"/>
    <w:rPr>
      <w:rFonts w:ascii="Arial" w:eastAsia="Times New Roman" w:hAnsi="Arial"/>
      <w:i/>
      <w:spacing w:val="4"/>
      <w:sz w:val="24"/>
    </w:rPr>
  </w:style>
  <w:style w:type="character" w:customStyle="1" w:styleId="Overskrift5Tegn">
    <w:name w:val="Overskrift 5 Tegn"/>
    <w:link w:val="Overskrift5"/>
    <w:rsid w:val="001A4C33"/>
    <w:rPr>
      <w:rFonts w:ascii="Arial" w:eastAsia="Times New Roman" w:hAnsi="Arial"/>
      <w:i/>
      <w:sz w:val="24"/>
    </w:rPr>
  </w:style>
  <w:style w:type="paragraph" w:styleId="Liste">
    <w:name w:val="List"/>
    <w:basedOn w:val="Normal"/>
    <w:rsid w:val="001A4C33"/>
    <w:pPr>
      <w:numPr>
        <w:numId w:val="29"/>
      </w:numPr>
      <w:spacing w:line="240" w:lineRule="auto"/>
      <w:contextualSpacing/>
    </w:pPr>
  </w:style>
  <w:style w:type="paragraph" w:styleId="Liste2">
    <w:name w:val="List 2"/>
    <w:basedOn w:val="Normal"/>
    <w:rsid w:val="001A4C33"/>
    <w:pPr>
      <w:numPr>
        <w:ilvl w:val="1"/>
        <w:numId w:val="29"/>
      </w:numPr>
      <w:spacing w:after="0"/>
    </w:pPr>
  </w:style>
  <w:style w:type="paragraph" w:styleId="Liste3">
    <w:name w:val="List 3"/>
    <w:basedOn w:val="Normal"/>
    <w:rsid w:val="001A4C33"/>
    <w:pPr>
      <w:numPr>
        <w:ilvl w:val="2"/>
        <w:numId w:val="29"/>
      </w:numPr>
      <w:spacing w:after="0"/>
    </w:pPr>
    <w:rPr>
      <w:spacing w:val="0"/>
    </w:rPr>
  </w:style>
  <w:style w:type="paragraph" w:styleId="Liste4">
    <w:name w:val="List 4"/>
    <w:basedOn w:val="Normal"/>
    <w:rsid w:val="001A4C33"/>
    <w:pPr>
      <w:numPr>
        <w:ilvl w:val="3"/>
        <w:numId w:val="29"/>
      </w:numPr>
      <w:spacing w:after="0"/>
    </w:pPr>
    <w:rPr>
      <w:spacing w:val="0"/>
    </w:rPr>
  </w:style>
  <w:style w:type="paragraph" w:styleId="Liste5">
    <w:name w:val="List 5"/>
    <w:basedOn w:val="Normal"/>
    <w:rsid w:val="001A4C33"/>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A4C33"/>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A4C33"/>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A4C33"/>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A4C33"/>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A4C33"/>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1A4C33"/>
    <w:pPr>
      <w:numPr>
        <w:numId w:val="37"/>
      </w:numPr>
      <w:tabs>
        <w:tab w:val="left" w:pos="397"/>
      </w:tabs>
      <w:ind w:left="397" w:hanging="397"/>
    </w:pPr>
  </w:style>
  <w:style w:type="paragraph" w:customStyle="1" w:styleId="Listebombe2">
    <w:name w:val="Liste bombe 2"/>
    <w:basedOn w:val="Liste2"/>
    <w:qFormat/>
    <w:rsid w:val="001A4C33"/>
    <w:pPr>
      <w:numPr>
        <w:ilvl w:val="0"/>
        <w:numId w:val="38"/>
      </w:numPr>
      <w:ind w:left="794" w:hanging="397"/>
    </w:pPr>
  </w:style>
  <w:style w:type="paragraph" w:customStyle="1" w:styleId="Listebombe3">
    <w:name w:val="Liste bombe 3"/>
    <w:basedOn w:val="Liste3"/>
    <w:qFormat/>
    <w:rsid w:val="001A4C33"/>
    <w:pPr>
      <w:numPr>
        <w:ilvl w:val="0"/>
        <w:numId w:val="39"/>
      </w:numPr>
      <w:ind w:left="1191" w:hanging="397"/>
    </w:pPr>
  </w:style>
  <w:style w:type="paragraph" w:customStyle="1" w:styleId="Listebombe4">
    <w:name w:val="Liste bombe 4"/>
    <w:basedOn w:val="Liste4"/>
    <w:qFormat/>
    <w:rsid w:val="001A4C33"/>
    <w:pPr>
      <w:numPr>
        <w:ilvl w:val="0"/>
        <w:numId w:val="40"/>
      </w:numPr>
      <w:ind w:left="1588" w:hanging="397"/>
    </w:pPr>
  </w:style>
  <w:style w:type="paragraph" w:customStyle="1" w:styleId="Listebombe5">
    <w:name w:val="Liste bombe 5"/>
    <w:basedOn w:val="Liste5"/>
    <w:qFormat/>
    <w:rsid w:val="001A4C33"/>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A4C33"/>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A4C33"/>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A4C33"/>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A4C33"/>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A4C33"/>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A4C33"/>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A4C33"/>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A4C33"/>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A4C33"/>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A4C33"/>
    <w:pPr>
      <w:numPr>
        <w:ilvl w:val="4"/>
        <w:numId w:val="36"/>
      </w:numPr>
      <w:spacing w:after="0"/>
    </w:pPr>
  </w:style>
  <w:style w:type="paragraph" w:customStyle="1" w:styleId="opplisting2">
    <w:name w:val="opplisting 2"/>
    <w:basedOn w:val="Normal"/>
    <w:qFormat/>
    <w:rsid w:val="001A4C33"/>
    <w:pPr>
      <w:spacing w:after="0"/>
      <w:ind w:left="397"/>
    </w:pPr>
    <w:rPr>
      <w:spacing w:val="0"/>
      <w:lang w:val="en-US"/>
    </w:rPr>
  </w:style>
  <w:style w:type="paragraph" w:customStyle="1" w:styleId="opplisting3">
    <w:name w:val="opplisting 3"/>
    <w:basedOn w:val="Normal"/>
    <w:qFormat/>
    <w:rsid w:val="001A4C33"/>
    <w:pPr>
      <w:spacing w:after="0"/>
      <w:ind w:left="794"/>
    </w:pPr>
    <w:rPr>
      <w:spacing w:val="0"/>
    </w:rPr>
  </w:style>
  <w:style w:type="paragraph" w:customStyle="1" w:styleId="opplisting4">
    <w:name w:val="opplisting 4"/>
    <w:basedOn w:val="Normal"/>
    <w:qFormat/>
    <w:rsid w:val="001A4C33"/>
    <w:pPr>
      <w:spacing w:after="0"/>
      <w:ind w:left="1191"/>
    </w:pPr>
    <w:rPr>
      <w:spacing w:val="0"/>
    </w:rPr>
  </w:style>
  <w:style w:type="paragraph" w:customStyle="1" w:styleId="opplisting5">
    <w:name w:val="opplisting 5"/>
    <w:basedOn w:val="Normal"/>
    <w:qFormat/>
    <w:rsid w:val="001A4C33"/>
    <w:pPr>
      <w:spacing w:after="0"/>
      <w:ind w:left="1588"/>
    </w:pPr>
    <w:rPr>
      <w:spacing w:val="0"/>
    </w:rPr>
  </w:style>
  <w:style w:type="paragraph" w:customStyle="1" w:styleId="friliste">
    <w:name w:val="friliste"/>
    <w:basedOn w:val="Normal"/>
    <w:qFormat/>
    <w:rsid w:val="001A4C33"/>
    <w:pPr>
      <w:tabs>
        <w:tab w:val="left" w:pos="397"/>
      </w:tabs>
      <w:spacing w:after="0"/>
      <w:ind w:left="397" w:hanging="397"/>
    </w:pPr>
    <w:rPr>
      <w:spacing w:val="0"/>
    </w:rPr>
  </w:style>
  <w:style w:type="paragraph" w:customStyle="1" w:styleId="friliste2">
    <w:name w:val="friliste 2"/>
    <w:basedOn w:val="Normal"/>
    <w:qFormat/>
    <w:rsid w:val="001A4C33"/>
    <w:pPr>
      <w:tabs>
        <w:tab w:val="left" w:pos="794"/>
      </w:tabs>
      <w:spacing w:after="0"/>
      <w:ind w:left="794" w:hanging="397"/>
    </w:pPr>
    <w:rPr>
      <w:spacing w:val="0"/>
    </w:rPr>
  </w:style>
  <w:style w:type="paragraph" w:customStyle="1" w:styleId="friliste3">
    <w:name w:val="friliste 3"/>
    <w:basedOn w:val="Normal"/>
    <w:qFormat/>
    <w:rsid w:val="001A4C33"/>
    <w:pPr>
      <w:tabs>
        <w:tab w:val="left" w:pos="1191"/>
      </w:tabs>
      <w:spacing w:after="0"/>
      <w:ind w:left="1191" w:hanging="397"/>
    </w:pPr>
    <w:rPr>
      <w:spacing w:val="0"/>
    </w:rPr>
  </w:style>
  <w:style w:type="paragraph" w:customStyle="1" w:styleId="friliste4">
    <w:name w:val="friliste 4"/>
    <w:basedOn w:val="Normal"/>
    <w:qFormat/>
    <w:rsid w:val="001A4C33"/>
    <w:pPr>
      <w:tabs>
        <w:tab w:val="left" w:pos="1588"/>
      </w:tabs>
      <w:spacing w:after="0"/>
      <w:ind w:left="1588" w:hanging="397"/>
    </w:pPr>
    <w:rPr>
      <w:spacing w:val="0"/>
    </w:rPr>
  </w:style>
  <w:style w:type="paragraph" w:customStyle="1" w:styleId="friliste5">
    <w:name w:val="friliste 5"/>
    <w:basedOn w:val="Normal"/>
    <w:qFormat/>
    <w:rsid w:val="001A4C3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A4C33"/>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A4C33"/>
    <w:pPr>
      <w:numPr>
        <w:numId w:val="35"/>
      </w:numPr>
    </w:pPr>
  </w:style>
  <w:style w:type="paragraph" w:customStyle="1" w:styleId="avsnitt-undertittel">
    <w:name w:val="avsnitt-undertittel"/>
    <w:basedOn w:val="Normal"/>
    <w:next w:val="Normal"/>
    <w:rsid w:val="001A4C3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A4C33"/>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A4C33"/>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A4C33"/>
    <w:pPr>
      <w:numPr>
        <w:numId w:val="35"/>
      </w:numPr>
    </w:pPr>
  </w:style>
  <w:style w:type="paragraph" w:customStyle="1" w:styleId="avsnitt-under-undertittel">
    <w:name w:val="avsnitt-under-undertittel"/>
    <w:basedOn w:val="Normal"/>
    <w:next w:val="Normal"/>
    <w:rsid w:val="001A4C33"/>
    <w:pPr>
      <w:keepNext/>
      <w:keepLines/>
      <w:spacing w:before="360" w:line="240" w:lineRule="auto"/>
    </w:pPr>
    <w:rPr>
      <w:rFonts w:eastAsia="Batang"/>
      <w:i/>
      <w:spacing w:val="0"/>
      <w:szCs w:val="20"/>
    </w:rPr>
  </w:style>
  <w:style w:type="paragraph" w:customStyle="1" w:styleId="blokksit">
    <w:name w:val="blokksit"/>
    <w:basedOn w:val="Normal"/>
    <w:qFormat/>
    <w:rsid w:val="001A4C3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A4C33"/>
    <w:pPr>
      <w:spacing w:before="180" w:after="0"/>
    </w:pPr>
    <w:rPr>
      <w:rFonts w:ascii="Times" w:hAnsi="Times"/>
      <w:i/>
    </w:rPr>
  </w:style>
  <w:style w:type="paragraph" w:customStyle="1" w:styleId="l-ledd">
    <w:name w:val="l-ledd"/>
    <w:basedOn w:val="Normal"/>
    <w:qFormat/>
    <w:rsid w:val="001A4C33"/>
    <w:pPr>
      <w:spacing w:after="0"/>
      <w:ind w:firstLine="397"/>
    </w:pPr>
    <w:rPr>
      <w:rFonts w:ascii="Times" w:hAnsi="Times"/>
    </w:rPr>
  </w:style>
  <w:style w:type="paragraph" w:customStyle="1" w:styleId="l-tit-endr-paragraf">
    <w:name w:val="l-tit-endr-paragraf"/>
    <w:basedOn w:val="Normal"/>
    <w:qFormat/>
    <w:rsid w:val="001A4C3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A4C33"/>
    <w:pPr>
      <w:keepNext/>
      <w:keepLines/>
      <w:numPr>
        <w:ilvl w:val="7"/>
        <w:numId w:val="44"/>
      </w:numPr>
      <w:spacing w:before="360" w:after="80"/>
      <w:jc w:val="center"/>
    </w:pPr>
    <w:rPr>
      <w:rFonts w:ascii="Arial" w:hAnsi="Arial"/>
      <w:b/>
    </w:rPr>
  </w:style>
  <w:style w:type="paragraph" w:customStyle="1" w:styleId="opplisting">
    <w:name w:val="opplisting"/>
    <w:basedOn w:val="Normal"/>
    <w:rsid w:val="001A4C33"/>
    <w:pPr>
      <w:spacing w:after="0"/>
    </w:pPr>
    <w:rPr>
      <w:rFonts w:ascii="Times" w:hAnsi="Times" w:cs="Times New Roman"/>
      <w:spacing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A4C33"/>
    <w:rPr>
      <w:rFonts w:ascii="Times New Roman" w:eastAsia="Times New Roman" w:hAnsi="Times New Roman"/>
      <w:spacing w:val="4"/>
      <w:sz w:val="20"/>
    </w:rPr>
  </w:style>
  <w:style w:type="character" w:customStyle="1" w:styleId="DatoTegn">
    <w:name w:val="Dato Tegn"/>
    <w:link w:val="Dato0"/>
    <w:rsid w:val="001A4C33"/>
    <w:rPr>
      <w:rFonts w:ascii="Times New Roman" w:eastAsia="Times New Roman" w:hAnsi="Times New Roman"/>
      <w:spacing w:val="4"/>
      <w:sz w:val="24"/>
    </w:rPr>
  </w:style>
  <w:style w:type="character" w:styleId="Fotnotereferanse">
    <w:name w:val="footnote reference"/>
    <w:rsid w:val="001A4C33"/>
    <w:rPr>
      <w:vertAlign w:val="superscript"/>
    </w:rPr>
  </w:style>
  <w:style w:type="character" w:customStyle="1" w:styleId="gjennomstreket">
    <w:name w:val="gjennomstreket"/>
    <w:uiPriority w:val="1"/>
    <w:rsid w:val="001A4C33"/>
    <w:rPr>
      <w:strike/>
      <w:dstrike w:val="0"/>
    </w:rPr>
  </w:style>
  <w:style w:type="character" w:customStyle="1" w:styleId="halvfet0">
    <w:name w:val="halvfet"/>
    <w:rsid w:val="001A4C33"/>
    <w:rPr>
      <w:b/>
    </w:rPr>
  </w:style>
  <w:style w:type="character" w:styleId="Hyperkobling">
    <w:name w:val="Hyperlink"/>
    <w:uiPriority w:val="99"/>
    <w:unhideWhenUsed/>
    <w:rsid w:val="001A4C33"/>
    <w:rPr>
      <w:color w:val="0000FF"/>
      <w:u w:val="single"/>
    </w:rPr>
  </w:style>
  <w:style w:type="character" w:customStyle="1" w:styleId="kursiv">
    <w:name w:val="kursiv"/>
    <w:rsid w:val="001A4C33"/>
    <w:rPr>
      <w:i/>
    </w:rPr>
  </w:style>
  <w:style w:type="character" w:customStyle="1" w:styleId="l-endring">
    <w:name w:val="l-endring"/>
    <w:rsid w:val="001A4C3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A4C33"/>
  </w:style>
  <w:style w:type="character" w:styleId="Plassholdertekst">
    <w:name w:val="Placeholder Text"/>
    <w:uiPriority w:val="99"/>
    <w:rsid w:val="001A4C33"/>
    <w:rPr>
      <w:color w:val="808080"/>
    </w:rPr>
  </w:style>
  <w:style w:type="character" w:customStyle="1" w:styleId="regular">
    <w:name w:val="regular"/>
    <w:uiPriority w:val="1"/>
    <w:qFormat/>
    <w:rsid w:val="001A4C3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A4C33"/>
    <w:rPr>
      <w:vertAlign w:val="superscript"/>
    </w:rPr>
  </w:style>
  <w:style w:type="character" w:customStyle="1" w:styleId="skrift-senket">
    <w:name w:val="skrift-senket"/>
    <w:rsid w:val="001A4C33"/>
    <w:rPr>
      <w:vertAlign w:val="subscript"/>
    </w:rPr>
  </w:style>
  <w:style w:type="character" w:customStyle="1" w:styleId="SluttnotetekstTegn">
    <w:name w:val="Sluttnotetekst Tegn"/>
    <w:link w:val="Sluttnotetekst"/>
    <w:uiPriority w:val="99"/>
    <w:semiHidden/>
    <w:rsid w:val="001A4C33"/>
    <w:rPr>
      <w:rFonts w:ascii="Times New Roman" w:eastAsia="Times New Roman" w:hAnsi="Times New Roman"/>
      <w:spacing w:val="4"/>
      <w:sz w:val="20"/>
      <w:szCs w:val="20"/>
    </w:rPr>
  </w:style>
  <w:style w:type="character" w:customStyle="1" w:styleId="sperret0">
    <w:name w:val="sperret"/>
    <w:rsid w:val="001A4C33"/>
    <w:rPr>
      <w:spacing w:val="30"/>
    </w:rPr>
  </w:style>
  <w:style w:type="character" w:customStyle="1" w:styleId="SterktsitatTegn">
    <w:name w:val="Sterkt sitat Tegn"/>
    <w:link w:val="Sterktsitat"/>
    <w:uiPriority w:val="30"/>
    <w:rsid w:val="001A4C33"/>
    <w:rPr>
      <w:rFonts w:ascii="Times New Roman" w:eastAsia="Times New Roman" w:hAnsi="Times New Roman"/>
      <w:b/>
      <w:bCs/>
      <w:i/>
      <w:iCs/>
      <w:color w:val="4F81BD"/>
      <w:spacing w:val="4"/>
      <w:sz w:val="24"/>
    </w:rPr>
  </w:style>
  <w:style w:type="character" w:customStyle="1" w:styleId="Stikkord">
    <w:name w:val="Stikkord"/>
    <w:rsid w:val="001A4C33"/>
    <w:rPr>
      <w:color w:val="0000FF"/>
    </w:rPr>
  </w:style>
  <w:style w:type="character" w:customStyle="1" w:styleId="stikkord0">
    <w:name w:val="stikkord"/>
    <w:uiPriority w:val="99"/>
  </w:style>
  <w:style w:type="character" w:styleId="Sterk">
    <w:name w:val="Strong"/>
    <w:uiPriority w:val="22"/>
    <w:qFormat/>
    <w:rsid w:val="001A4C33"/>
    <w:rPr>
      <w:b/>
      <w:bCs/>
    </w:rPr>
  </w:style>
  <w:style w:type="character" w:customStyle="1" w:styleId="TopptekstTegn">
    <w:name w:val="Topptekst Tegn"/>
    <w:link w:val="Topptekst"/>
    <w:rsid w:val="001A4C33"/>
    <w:rPr>
      <w:rFonts w:ascii="Times New Roman" w:eastAsia="Times New Roman" w:hAnsi="Times New Roman"/>
      <w:sz w:val="20"/>
    </w:rPr>
  </w:style>
  <w:style w:type="character" w:customStyle="1" w:styleId="UnderskriftTegn">
    <w:name w:val="Underskrift Tegn"/>
    <w:link w:val="Underskrift"/>
    <w:uiPriority w:val="99"/>
    <w:rsid w:val="001A4C33"/>
    <w:rPr>
      <w:rFonts w:ascii="Times New Roman" w:eastAsia="Times New Roman" w:hAnsi="Times New Roman"/>
      <w:spacing w:val="4"/>
      <w:sz w:val="24"/>
    </w:rPr>
  </w:style>
  <w:style w:type="character" w:customStyle="1" w:styleId="Overskrift6Tegn">
    <w:name w:val="Overskrift 6 Tegn"/>
    <w:link w:val="Overskrift6"/>
    <w:rsid w:val="001A4C33"/>
    <w:rPr>
      <w:rFonts w:ascii="Arial" w:eastAsia="Times New Roman" w:hAnsi="Arial"/>
      <w:i/>
      <w:spacing w:val="4"/>
    </w:rPr>
  </w:style>
  <w:style w:type="character" w:customStyle="1" w:styleId="Overskrift7Tegn">
    <w:name w:val="Overskrift 7 Tegn"/>
    <w:link w:val="Overskrift7"/>
    <w:rsid w:val="001A4C33"/>
    <w:rPr>
      <w:rFonts w:ascii="Arial" w:eastAsia="Times New Roman" w:hAnsi="Arial"/>
      <w:spacing w:val="4"/>
      <w:sz w:val="24"/>
    </w:rPr>
  </w:style>
  <w:style w:type="character" w:customStyle="1" w:styleId="Overskrift8Tegn">
    <w:name w:val="Overskrift 8 Tegn"/>
    <w:link w:val="Overskrift8"/>
    <w:rsid w:val="001A4C33"/>
    <w:rPr>
      <w:rFonts w:ascii="Arial" w:eastAsia="Times New Roman" w:hAnsi="Arial"/>
      <w:i/>
      <w:spacing w:val="4"/>
      <w:sz w:val="24"/>
    </w:rPr>
  </w:style>
  <w:style w:type="character" w:customStyle="1" w:styleId="Overskrift9Tegn">
    <w:name w:val="Overskrift 9 Tegn"/>
    <w:link w:val="Overskrift9"/>
    <w:rsid w:val="001A4C33"/>
    <w:rPr>
      <w:rFonts w:ascii="Arial" w:eastAsia="Times New Roman" w:hAnsi="Arial"/>
      <w:i/>
      <w:spacing w:val="4"/>
      <w:sz w:val="18"/>
    </w:rPr>
  </w:style>
  <w:style w:type="table" w:customStyle="1" w:styleId="Tabell-VM">
    <w:name w:val="Tabell-VM"/>
    <w:basedOn w:val="Tabelltemaer"/>
    <w:uiPriority w:val="99"/>
    <w:qFormat/>
    <w:rsid w:val="001A4C3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A4C3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A4C3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A4C3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A4C3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A4C33"/>
    <w:pPr>
      <w:tabs>
        <w:tab w:val="center" w:pos="4153"/>
        <w:tab w:val="right" w:pos="8306"/>
      </w:tabs>
    </w:pPr>
    <w:rPr>
      <w:sz w:val="20"/>
    </w:rPr>
  </w:style>
  <w:style w:type="character" w:customStyle="1" w:styleId="BunntekstTegn1">
    <w:name w:val="Bunntekst Tegn1"/>
    <w:basedOn w:val="Standardskriftforavsnitt"/>
    <w:uiPriority w:val="99"/>
    <w:semiHidden/>
    <w:rsid w:val="001A4C33"/>
    <w:rPr>
      <w:rFonts w:ascii="Times New Roman" w:eastAsia="Times New Roman" w:hAnsi="Times New Roman"/>
      <w:spacing w:val="4"/>
      <w:sz w:val="24"/>
    </w:rPr>
  </w:style>
  <w:style w:type="paragraph" w:styleId="INNH1">
    <w:name w:val="toc 1"/>
    <w:basedOn w:val="Normal"/>
    <w:next w:val="Normal"/>
    <w:rsid w:val="001A4C33"/>
    <w:pPr>
      <w:tabs>
        <w:tab w:val="right" w:leader="dot" w:pos="8306"/>
      </w:tabs>
    </w:pPr>
    <w:rPr>
      <w:spacing w:val="0"/>
    </w:rPr>
  </w:style>
  <w:style w:type="paragraph" w:styleId="INNH2">
    <w:name w:val="toc 2"/>
    <w:basedOn w:val="Normal"/>
    <w:next w:val="Normal"/>
    <w:rsid w:val="001A4C33"/>
    <w:pPr>
      <w:tabs>
        <w:tab w:val="right" w:leader="dot" w:pos="8306"/>
      </w:tabs>
      <w:ind w:left="200"/>
    </w:pPr>
    <w:rPr>
      <w:spacing w:val="0"/>
    </w:rPr>
  </w:style>
  <w:style w:type="paragraph" w:styleId="INNH3">
    <w:name w:val="toc 3"/>
    <w:basedOn w:val="Normal"/>
    <w:next w:val="Normal"/>
    <w:rsid w:val="001A4C33"/>
    <w:pPr>
      <w:tabs>
        <w:tab w:val="right" w:leader="dot" w:pos="8306"/>
      </w:tabs>
      <w:ind w:left="400"/>
    </w:pPr>
    <w:rPr>
      <w:spacing w:val="0"/>
    </w:rPr>
  </w:style>
  <w:style w:type="paragraph" w:styleId="INNH4">
    <w:name w:val="toc 4"/>
    <w:basedOn w:val="Normal"/>
    <w:next w:val="Normal"/>
    <w:rsid w:val="001A4C33"/>
    <w:pPr>
      <w:tabs>
        <w:tab w:val="right" w:leader="dot" w:pos="8306"/>
      </w:tabs>
      <w:ind w:left="600"/>
    </w:pPr>
    <w:rPr>
      <w:spacing w:val="0"/>
    </w:rPr>
  </w:style>
  <w:style w:type="paragraph" w:styleId="INNH5">
    <w:name w:val="toc 5"/>
    <w:basedOn w:val="Normal"/>
    <w:next w:val="Normal"/>
    <w:rsid w:val="001A4C33"/>
    <w:pPr>
      <w:tabs>
        <w:tab w:val="right" w:leader="dot" w:pos="8306"/>
      </w:tabs>
      <w:ind w:left="800"/>
    </w:pPr>
    <w:rPr>
      <w:spacing w:val="0"/>
    </w:rPr>
  </w:style>
  <w:style w:type="character" w:styleId="Merknadsreferanse">
    <w:name w:val="annotation reference"/>
    <w:rsid w:val="001A4C33"/>
    <w:rPr>
      <w:sz w:val="16"/>
    </w:rPr>
  </w:style>
  <w:style w:type="paragraph" w:styleId="Merknadstekst">
    <w:name w:val="annotation text"/>
    <w:basedOn w:val="Normal"/>
    <w:link w:val="MerknadstekstTegn"/>
    <w:rsid w:val="001A4C33"/>
    <w:rPr>
      <w:spacing w:val="0"/>
      <w:sz w:val="20"/>
    </w:rPr>
  </w:style>
  <w:style w:type="character" w:customStyle="1" w:styleId="MerknadstekstTegn">
    <w:name w:val="Merknadstekst Tegn"/>
    <w:link w:val="Merknadstekst"/>
    <w:rsid w:val="001A4C33"/>
    <w:rPr>
      <w:rFonts w:ascii="Times New Roman" w:eastAsia="Times New Roman" w:hAnsi="Times New Roman"/>
      <w:sz w:val="20"/>
    </w:rPr>
  </w:style>
  <w:style w:type="paragraph" w:styleId="Punktliste">
    <w:name w:val="List Bullet"/>
    <w:basedOn w:val="Normal"/>
    <w:rsid w:val="001A4C33"/>
    <w:pPr>
      <w:spacing w:after="0"/>
      <w:ind w:left="284" w:hanging="284"/>
    </w:pPr>
  </w:style>
  <w:style w:type="paragraph" w:styleId="Punktliste2">
    <w:name w:val="List Bullet 2"/>
    <w:basedOn w:val="Normal"/>
    <w:rsid w:val="001A4C33"/>
    <w:pPr>
      <w:spacing w:after="0"/>
      <w:ind w:left="568" w:hanging="284"/>
    </w:pPr>
  </w:style>
  <w:style w:type="paragraph" w:styleId="Punktliste3">
    <w:name w:val="List Bullet 3"/>
    <w:basedOn w:val="Normal"/>
    <w:rsid w:val="001A4C33"/>
    <w:pPr>
      <w:spacing w:after="0"/>
      <w:ind w:left="851" w:hanging="284"/>
    </w:pPr>
  </w:style>
  <w:style w:type="paragraph" w:styleId="Punktliste4">
    <w:name w:val="List Bullet 4"/>
    <w:basedOn w:val="Normal"/>
    <w:rsid w:val="001A4C33"/>
    <w:pPr>
      <w:spacing w:after="0"/>
      <w:ind w:left="1135" w:hanging="284"/>
    </w:pPr>
    <w:rPr>
      <w:spacing w:val="0"/>
    </w:rPr>
  </w:style>
  <w:style w:type="paragraph" w:styleId="Punktliste5">
    <w:name w:val="List Bullet 5"/>
    <w:basedOn w:val="Normal"/>
    <w:rsid w:val="001A4C33"/>
    <w:pPr>
      <w:spacing w:after="0"/>
      <w:ind w:left="1418" w:hanging="284"/>
    </w:pPr>
    <w:rPr>
      <w:spacing w:val="0"/>
    </w:rPr>
  </w:style>
  <w:style w:type="paragraph" w:styleId="Topptekst">
    <w:name w:val="header"/>
    <w:basedOn w:val="Normal"/>
    <w:link w:val="TopptekstTegn"/>
    <w:rsid w:val="001A4C3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A4C33"/>
    <w:rPr>
      <w:rFonts w:ascii="Times New Roman" w:eastAsia="Times New Roman" w:hAnsi="Times New Roman"/>
      <w:spacing w:val="4"/>
      <w:sz w:val="24"/>
    </w:rPr>
  </w:style>
  <w:style w:type="table" w:customStyle="1" w:styleId="StandardTabell">
    <w:name w:val="StandardTabell"/>
    <w:basedOn w:val="Vanligtabell"/>
    <w:uiPriority w:val="99"/>
    <w:qFormat/>
    <w:rsid w:val="001A4C3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A4C3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A4C3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A4C33"/>
    <w:pPr>
      <w:spacing w:after="0" w:line="240" w:lineRule="auto"/>
      <w:ind w:left="240" w:hanging="240"/>
    </w:pPr>
  </w:style>
  <w:style w:type="paragraph" w:styleId="Indeks2">
    <w:name w:val="index 2"/>
    <w:basedOn w:val="Normal"/>
    <w:next w:val="Normal"/>
    <w:autoRedefine/>
    <w:uiPriority w:val="99"/>
    <w:semiHidden/>
    <w:unhideWhenUsed/>
    <w:rsid w:val="001A4C33"/>
    <w:pPr>
      <w:spacing w:after="0" w:line="240" w:lineRule="auto"/>
      <w:ind w:left="480" w:hanging="240"/>
    </w:pPr>
  </w:style>
  <w:style w:type="paragraph" w:styleId="Indeks3">
    <w:name w:val="index 3"/>
    <w:basedOn w:val="Normal"/>
    <w:next w:val="Normal"/>
    <w:autoRedefine/>
    <w:uiPriority w:val="99"/>
    <w:semiHidden/>
    <w:unhideWhenUsed/>
    <w:rsid w:val="001A4C33"/>
    <w:pPr>
      <w:spacing w:after="0" w:line="240" w:lineRule="auto"/>
      <w:ind w:left="720" w:hanging="240"/>
    </w:pPr>
  </w:style>
  <w:style w:type="paragraph" w:styleId="Indeks4">
    <w:name w:val="index 4"/>
    <w:basedOn w:val="Normal"/>
    <w:next w:val="Normal"/>
    <w:autoRedefine/>
    <w:uiPriority w:val="99"/>
    <w:semiHidden/>
    <w:unhideWhenUsed/>
    <w:rsid w:val="001A4C33"/>
    <w:pPr>
      <w:spacing w:after="0" w:line="240" w:lineRule="auto"/>
      <w:ind w:left="960" w:hanging="240"/>
    </w:pPr>
  </w:style>
  <w:style w:type="paragraph" w:styleId="Indeks5">
    <w:name w:val="index 5"/>
    <w:basedOn w:val="Normal"/>
    <w:next w:val="Normal"/>
    <w:autoRedefine/>
    <w:uiPriority w:val="99"/>
    <w:semiHidden/>
    <w:unhideWhenUsed/>
    <w:rsid w:val="001A4C33"/>
    <w:pPr>
      <w:spacing w:after="0" w:line="240" w:lineRule="auto"/>
      <w:ind w:left="1200" w:hanging="240"/>
    </w:pPr>
  </w:style>
  <w:style w:type="paragraph" w:styleId="Indeks6">
    <w:name w:val="index 6"/>
    <w:basedOn w:val="Normal"/>
    <w:next w:val="Normal"/>
    <w:autoRedefine/>
    <w:uiPriority w:val="99"/>
    <w:semiHidden/>
    <w:unhideWhenUsed/>
    <w:rsid w:val="001A4C33"/>
    <w:pPr>
      <w:spacing w:after="0" w:line="240" w:lineRule="auto"/>
      <w:ind w:left="1440" w:hanging="240"/>
    </w:pPr>
  </w:style>
  <w:style w:type="paragraph" w:styleId="Indeks7">
    <w:name w:val="index 7"/>
    <w:basedOn w:val="Normal"/>
    <w:next w:val="Normal"/>
    <w:autoRedefine/>
    <w:uiPriority w:val="99"/>
    <w:semiHidden/>
    <w:unhideWhenUsed/>
    <w:rsid w:val="001A4C33"/>
    <w:pPr>
      <w:spacing w:after="0" w:line="240" w:lineRule="auto"/>
      <w:ind w:left="1680" w:hanging="240"/>
    </w:pPr>
  </w:style>
  <w:style w:type="paragraph" w:styleId="Indeks8">
    <w:name w:val="index 8"/>
    <w:basedOn w:val="Normal"/>
    <w:next w:val="Normal"/>
    <w:autoRedefine/>
    <w:uiPriority w:val="99"/>
    <w:semiHidden/>
    <w:unhideWhenUsed/>
    <w:rsid w:val="001A4C33"/>
    <w:pPr>
      <w:spacing w:after="0" w:line="240" w:lineRule="auto"/>
      <w:ind w:left="1920" w:hanging="240"/>
    </w:pPr>
  </w:style>
  <w:style w:type="paragraph" w:styleId="Indeks9">
    <w:name w:val="index 9"/>
    <w:basedOn w:val="Normal"/>
    <w:next w:val="Normal"/>
    <w:autoRedefine/>
    <w:uiPriority w:val="99"/>
    <w:semiHidden/>
    <w:unhideWhenUsed/>
    <w:rsid w:val="001A4C33"/>
    <w:pPr>
      <w:spacing w:after="0" w:line="240" w:lineRule="auto"/>
      <w:ind w:left="2160" w:hanging="240"/>
    </w:pPr>
  </w:style>
  <w:style w:type="paragraph" w:styleId="INNH6">
    <w:name w:val="toc 6"/>
    <w:basedOn w:val="Normal"/>
    <w:next w:val="Normal"/>
    <w:autoRedefine/>
    <w:uiPriority w:val="39"/>
    <w:semiHidden/>
    <w:unhideWhenUsed/>
    <w:rsid w:val="001A4C33"/>
    <w:pPr>
      <w:spacing w:after="100"/>
      <w:ind w:left="1200"/>
    </w:pPr>
  </w:style>
  <w:style w:type="paragraph" w:styleId="INNH7">
    <w:name w:val="toc 7"/>
    <w:basedOn w:val="Normal"/>
    <w:next w:val="Normal"/>
    <w:autoRedefine/>
    <w:uiPriority w:val="39"/>
    <w:semiHidden/>
    <w:unhideWhenUsed/>
    <w:rsid w:val="001A4C33"/>
    <w:pPr>
      <w:spacing w:after="100"/>
      <w:ind w:left="1440"/>
    </w:pPr>
  </w:style>
  <w:style w:type="paragraph" w:styleId="INNH8">
    <w:name w:val="toc 8"/>
    <w:basedOn w:val="Normal"/>
    <w:next w:val="Normal"/>
    <w:autoRedefine/>
    <w:uiPriority w:val="39"/>
    <w:semiHidden/>
    <w:unhideWhenUsed/>
    <w:rsid w:val="001A4C33"/>
    <w:pPr>
      <w:spacing w:after="100"/>
      <w:ind w:left="1680"/>
    </w:pPr>
  </w:style>
  <w:style w:type="paragraph" w:styleId="INNH9">
    <w:name w:val="toc 9"/>
    <w:basedOn w:val="Normal"/>
    <w:next w:val="Normal"/>
    <w:autoRedefine/>
    <w:uiPriority w:val="39"/>
    <w:semiHidden/>
    <w:unhideWhenUsed/>
    <w:rsid w:val="001A4C33"/>
    <w:pPr>
      <w:spacing w:after="100"/>
      <w:ind w:left="1920"/>
    </w:pPr>
  </w:style>
  <w:style w:type="paragraph" w:styleId="Vanliginnrykk">
    <w:name w:val="Normal Indent"/>
    <w:basedOn w:val="Normal"/>
    <w:uiPriority w:val="99"/>
    <w:semiHidden/>
    <w:unhideWhenUsed/>
    <w:rsid w:val="001A4C33"/>
    <w:pPr>
      <w:ind w:left="708"/>
    </w:pPr>
  </w:style>
  <w:style w:type="paragraph" w:styleId="Stikkordregisteroverskrift">
    <w:name w:val="index heading"/>
    <w:basedOn w:val="Normal"/>
    <w:next w:val="Indeks1"/>
    <w:uiPriority w:val="99"/>
    <w:semiHidden/>
    <w:unhideWhenUsed/>
    <w:rsid w:val="001A4C33"/>
    <w:rPr>
      <w:rFonts w:ascii="Cambria" w:hAnsi="Cambria" w:cs="Times New Roman"/>
      <w:b/>
      <w:bCs/>
    </w:rPr>
  </w:style>
  <w:style w:type="paragraph" w:styleId="Bildetekst">
    <w:name w:val="caption"/>
    <w:basedOn w:val="Normal"/>
    <w:next w:val="Normal"/>
    <w:uiPriority w:val="35"/>
    <w:semiHidden/>
    <w:unhideWhenUsed/>
    <w:qFormat/>
    <w:rsid w:val="001A4C3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A4C33"/>
    <w:pPr>
      <w:spacing w:after="0"/>
    </w:pPr>
  </w:style>
  <w:style w:type="paragraph" w:styleId="Konvoluttadresse">
    <w:name w:val="envelope address"/>
    <w:basedOn w:val="Normal"/>
    <w:uiPriority w:val="99"/>
    <w:semiHidden/>
    <w:unhideWhenUsed/>
    <w:rsid w:val="001A4C3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A4C33"/>
  </w:style>
  <w:style w:type="character" w:styleId="Sluttnotereferanse">
    <w:name w:val="endnote reference"/>
    <w:uiPriority w:val="99"/>
    <w:semiHidden/>
    <w:unhideWhenUsed/>
    <w:rsid w:val="001A4C33"/>
    <w:rPr>
      <w:vertAlign w:val="superscript"/>
    </w:rPr>
  </w:style>
  <w:style w:type="paragraph" w:styleId="Sluttnotetekst">
    <w:name w:val="endnote text"/>
    <w:basedOn w:val="Normal"/>
    <w:link w:val="SluttnotetekstTegn"/>
    <w:uiPriority w:val="99"/>
    <w:semiHidden/>
    <w:unhideWhenUsed/>
    <w:rsid w:val="001A4C33"/>
    <w:pPr>
      <w:spacing w:after="0" w:line="240" w:lineRule="auto"/>
    </w:pPr>
    <w:rPr>
      <w:sz w:val="20"/>
      <w:szCs w:val="20"/>
    </w:rPr>
  </w:style>
  <w:style w:type="character" w:customStyle="1" w:styleId="SluttnotetekstTegn1">
    <w:name w:val="Sluttnotetekst Tegn1"/>
    <w:basedOn w:val="Standardskriftforavsnitt"/>
    <w:uiPriority w:val="99"/>
    <w:semiHidden/>
    <w:rsid w:val="001A4C3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A4C33"/>
    <w:pPr>
      <w:spacing w:after="0"/>
      <w:ind w:left="240" w:hanging="240"/>
    </w:pPr>
  </w:style>
  <w:style w:type="paragraph" w:styleId="Makrotekst">
    <w:name w:val="macro"/>
    <w:link w:val="MakrotekstTegn"/>
    <w:uiPriority w:val="99"/>
    <w:semiHidden/>
    <w:unhideWhenUsed/>
    <w:rsid w:val="001A4C3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A4C33"/>
    <w:rPr>
      <w:rFonts w:ascii="Consolas" w:eastAsia="Times New Roman" w:hAnsi="Consolas"/>
      <w:spacing w:val="4"/>
    </w:rPr>
  </w:style>
  <w:style w:type="paragraph" w:styleId="Kildelisteoverskrift">
    <w:name w:val="toa heading"/>
    <w:basedOn w:val="Normal"/>
    <w:next w:val="Normal"/>
    <w:uiPriority w:val="99"/>
    <w:semiHidden/>
    <w:unhideWhenUsed/>
    <w:rsid w:val="001A4C33"/>
    <w:pPr>
      <w:spacing w:before="120"/>
    </w:pPr>
    <w:rPr>
      <w:rFonts w:ascii="Cambria" w:hAnsi="Cambria" w:cs="Times New Roman"/>
      <w:b/>
      <w:bCs/>
      <w:szCs w:val="24"/>
    </w:rPr>
  </w:style>
  <w:style w:type="paragraph" w:styleId="Tittel">
    <w:name w:val="Title"/>
    <w:basedOn w:val="Normal"/>
    <w:next w:val="Normal"/>
    <w:link w:val="TittelTegn"/>
    <w:uiPriority w:val="10"/>
    <w:qFormat/>
    <w:rsid w:val="001A4C3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A4C3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A4C33"/>
    <w:pPr>
      <w:spacing w:after="0" w:line="240" w:lineRule="auto"/>
      <w:ind w:left="4252"/>
    </w:pPr>
  </w:style>
  <w:style w:type="character" w:customStyle="1" w:styleId="HilsenTegn">
    <w:name w:val="Hilsen Tegn"/>
    <w:link w:val="Hilsen"/>
    <w:uiPriority w:val="99"/>
    <w:semiHidden/>
    <w:rsid w:val="001A4C33"/>
    <w:rPr>
      <w:rFonts w:ascii="Times New Roman" w:eastAsia="Times New Roman" w:hAnsi="Times New Roman"/>
      <w:spacing w:val="4"/>
      <w:sz w:val="24"/>
    </w:rPr>
  </w:style>
  <w:style w:type="paragraph" w:styleId="Underskrift">
    <w:name w:val="Signature"/>
    <w:basedOn w:val="Normal"/>
    <w:link w:val="UnderskriftTegn"/>
    <w:uiPriority w:val="99"/>
    <w:unhideWhenUsed/>
    <w:rsid w:val="001A4C33"/>
    <w:pPr>
      <w:spacing w:after="0" w:line="240" w:lineRule="auto"/>
      <w:ind w:left="4252"/>
    </w:pPr>
  </w:style>
  <w:style w:type="character" w:customStyle="1" w:styleId="UnderskriftTegn1">
    <w:name w:val="Underskrift Tegn1"/>
    <w:basedOn w:val="Standardskriftforavsnitt"/>
    <w:uiPriority w:val="99"/>
    <w:semiHidden/>
    <w:rsid w:val="001A4C33"/>
    <w:rPr>
      <w:rFonts w:ascii="Times New Roman" w:eastAsia="Times New Roman" w:hAnsi="Times New Roman"/>
      <w:spacing w:val="4"/>
      <w:sz w:val="24"/>
    </w:rPr>
  </w:style>
  <w:style w:type="paragraph" w:styleId="Liste-forts">
    <w:name w:val="List Continue"/>
    <w:basedOn w:val="Normal"/>
    <w:uiPriority w:val="99"/>
    <w:semiHidden/>
    <w:unhideWhenUsed/>
    <w:rsid w:val="001A4C33"/>
    <w:pPr>
      <w:ind w:left="283"/>
      <w:contextualSpacing/>
    </w:pPr>
  </w:style>
  <w:style w:type="paragraph" w:styleId="Liste-forts2">
    <w:name w:val="List Continue 2"/>
    <w:basedOn w:val="Normal"/>
    <w:uiPriority w:val="99"/>
    <w:semiHidden/>
    <w:unhideWhenUsed/>
    <w:rsid w:val="001A4C33"/>
    <w:pPr>
      <w:ind w:left="566"/>
      <w:contextualSpacing/>
    </w:pPr>
  </w:style>
  <w:style w:type="paragraph" w:styleId="Liste-forts3">
    <w:name w:val="List Continue 3"/>
    <w:basedOn w:val="Normal"/>
    <w:uiPriority w:val="99"/>
    <w:semiHidden/>
    <w:unhideWhenUsed/>
    <w:rsid w:val="001A4C33"/>
    <w:pPr>
      <w:ind w:left="849"/>
      <w:contextualSpacing/>
    </w:pPr>
  </w:style>
  <w:style w:type="paragraph" w:styleId="Liste-forts4">
    <w:name w:val="List Continue 4"/>
    <w:basedOn w:val="Normal"/>
    <w:uiPriority w:val="99"/>
    <w:semiHidden/>
    <w:unhideWhenUsed/>
    <w:rsid w:val="001A4C33"/>
    <w:pPr>
      <w:ind w:left="1132"/>
      <w:contextualSpacing/>
    </w:pPr>
  </w:style>
  <w:style w:type="paragraph" w:styleId="Liste-forts5">
    <w:name w:val="List Continue 5"/>
    <w:basedOn w:val="Normal"/>
    <w:uiPriority w:val="99"/>
    <w:semiHidden/>
    <w:unhideWhenUsed/>
    <w:rsid w:val="001A4C33"/>
    <w:pPr>
      <w:ind w:left="1415"/>
      <w:contextualSpacing/>
    </w:pPr>
  </w:style>
  <w:style w:type="paragraph" w:styleId="Meldingshode">
    <w:name w:val="Message Header"/>
    <w:basedOn w:val="Normal"/>
    <w:link w:val="MeldingshodeTegn"/>
    <w:uiPriority w:val="99"/>
    <w:semiHidden/>
    <w:unhideWhenUsed/>
    <w:rsid w:val="001A4C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A4C3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A4C33"/>
  </w:style>
  <w:style w:type="character" w:customStyle="1" w:styleId="InnledendehilsenTegn">
    <w:name w:val="Innledende hilsen Tegn"/>
    <w:link w:val="Innledendehilsen"/>
    <w:uiPriority w:val="99"/>
    <w:semiHidden/>
    <w:rsid w:val="001A4C33"/>
    <w:rPr>
      <w:rFonts w:ascii="Times New Roman" w:eastAsia="Times New Roman" w:hAnsi="Times New Roman"/>
      <w:spacing w:val="4"/>
      <w:sz w:val="24"/>
    </w:rPr>
  </w:style>
  <w:style w:type="paragraph" w:styleId="Dato0">
    <w:name w:val="Date"/>
    <w:basedOn w:val="Normal"/>
    <w:next w:val="Normal"/>
    <w:link w:val="DatoTegn"/>
    <w:rsid w:val="001A4C33"/>
  </w:style>
  <w:style w:type="character" w:customStyle="1" w:styleId="DatoTegn1">
    <w:name w:val="Dato Tegn1"/>
    <w:basedOn w:val="Standardskriftforavsnitt"/>
    <w:uiPriority w:val="99"/>
    <w:semiHidden/>
    <w:rsid w:val="001A4C3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A4C33"/>
    <w:pPr>
      <w:spacing w:after="0" w:line="240" w:lineRule="auto"/>
    </w:pPr>
  </w:style>
  <w:style w:type="character" w:customStyle="1" w:styleId="NotatoverskriftTegn">
    <w:name w:val="Notatoverskrift Tegn"/>
    <w:link w:val="Notatoverskrift"/>
    <w:uiPriority w:val="99"/>
    <w:semiHidden/>
    <w:rsid w:val="001A4C33"/>
    <w:rPr>
      <w:rFonts w:ascii="Times New Roman" w:eastAsia="Times New Roman" w:hAnsi="Times New Roman"/>
      <w:spacing w:val="4"/>
      <w:sz w:val="24"/>
    </w:rPr>
  </w:style>
  <w:style w:type="paragraph" w:styleId="Blokktekst">
    <w:name w:val="Block Text"/>
    <w:basedOn w:val="Normal"/>
    <w:uiPriority w:val="99"/>
    <w:semiHidden/>
    <w:unhideWhenUsed/>
    <w:rsid w:val="001A4C3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A4C33"/>
    <w:rPr>
      <w:color w:val="800080"/>
      <w:u w:val="single"/>
    </w:rPr>
  </w:style>
  <w:style w:type="character" w:styleId="Utheving">
    <w:name w:val="Emphasis"/>
    <w:uiPriority w:val="20"/>
    <w:qFormat/>
    <w:rsid w:val="001A4C33"/>
    <w:rPr>
      <w:i/>
      <w:iCs/>
    </w:rPr>
  </w:style>
  <w:style w:type="paragraph" w:styleId="Dokumentkart">
    <w:name w:val="Document Map"/>
    <w:basedOn w:val="Normal"/>
    <w:link w:val="DokumentkartTegn"/>
    <w:uiPriority w:val="99"/>
    <w:semiHidden/>
    <w:rsid w:val="001A4C33"/>
    <w:pPr>
      <w:shd w:val="clear" w:color="auto" w:fill="000080"/>
    </w:pPr>
    <w:rPr>
      <w:rFonts w:ascii="Tahoma" w:hAnsi="Tahoma" w:cs="Tahoma"/>
    </w:rPr>
  </w:style>
  <w:style w:type="character" w:customStyle="1" w:styleId="DokumentkartTegn">
    <w:name w:val="Dokumentkart Tegn"/>
    <w:link w:val="Dokumentkart"/>
    <w:uiPriority w:val="99"/>
    <w:semiHidden/>
    <w:rsid w:val="001A4C3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A4C33"/>
    <w:rPr>
      <w:rFonts w:ascii="Courier New" w:hAnsi="Courier New" w:cs="Courier New"/>
      <w:sz w:val="20"/>
    </w:rPr>
  </w:style>
  <w:style w:type="character" w:customStyle="1" w:styleId="RentekstTegn">
    <w:name w:val="Ren tekst Tegn"/>
    <w:link w:val="Rentekst"/>
    <w:uiPriority w:val="99"/>
    <w:semiHidden/>
    <w:rsid w:val="001A4C3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A4C33"/>
    <w:pPr>
      <w:spacing w:after="0" w:line="240" w:lineRule="auto"/>
    </w:pPr>
  </w:style>
  <w:style w:type="character" w:customStyle="1" w:styleId="E-postsignaturTegn">
    <w:name w:val="E-postsignatur Tegn"/>
    <w:link w:val="E-postsignatur"/>
    <w:uiPriority w:val="99"/>
    <w:semiHidden/>
    <w:rsid w:val="001A4C33"/>
    <w:rPr>
      <w:rFonts w:ascii="Times New Roman" w:eastAsia="Times New Roman" w:hAnsi="Times New Roman"/>
      <w:spacing w:val="4"/>
      <w:sz w:val="24"/>
    </w:rPr>
  </w:style>
  <w:style w:type="paragraph" w:styleId="NormalWeb">
    <w:name w:val="Normal (Web)"/>
    <w:basedOn w:val="Normal"/>
    <w:uiPriority w:val="99"/>
    <w:semiHidden/>
    <w:unhideWhenUsed/>
    <w:rsid w:val="001A4C33"/>
    <w:rPr>
      <w:szCs w:val="24"/>
    </w:rPr>
  </w:style>
  <w:style w:type="character" w:styleId="HTML-akronym">
    <w:name w:val="HTML Acronym"/>
    <w:basedOn w:val="Standardskriftforavsnitt"/>
    <w:uiPriority w:val="99"/>
    <w:semiHidden/>
    <w:unhideWhenUsed/>
    <w:rsid w:val="001A4C33"/>
  </w:style>
  <w:style w:type="paragraph" w:styleId="HTML-adresse">
    <w:name w:val="HTML Address"/>
    <w:basedOn w:val="Normal"/>
    <w:link w:val="HTML-adresseTegn"/>
    <w:uiPriority w:val="99"/>
    <w:semiHidden/>
    <w:unhideWhenUsed/>
    <w:rsid w:val="001A4C33"/>
    <w:pPr>
      <w:spacing w:after="0" w:line="240" w:lineRule="auto"/>
    </w:pPr>
    <w:rPr>
      <w:i/>
      <w:iCs/>
    </w:rPr>
  </w:style>
  <w:style w:type="character" w:customStyle="1" w:styleId="HTML-adresseTegn">
    <w:name w:val="HTML-adresse Tegn"/>
    <w:link w:val="HTML-adresse"/>
    <w:uiPriority w:val="99"/>
    <w:semiHidden/>
    <w:rsid w:val="001A4C33"/>
    <w:rPr>
      <w:rFonts w:ascii="Times New Roman" w:eastAsia="Times New Roman" w:hAnsi="Times New Roman"/>
      <w:i/>
      <w:iCs/>
      <w:spacing w:val="4"/>
      <w:sz w:val="24"/>
    </w:rPr>
  </w:style>
  <w:style w:type="character" w:styleId="HTML-sitat">
    <w:name w:val="HTML Cite"/>
    <w:uiPriority w:val="99"/>
    <w:semiHidden/>
    <w:unhideWhenUsed/>
    <w:rsid w:val="001A4C33"/>
    <w:rPr>
      <w:i/>
      <w:iCs/>
    </w:rPr>
  </w:style>
  <w:style w:type="character" w:styleId="HTML-kode">
    <w:name w:val="HTML Code"/>
    <w:uiPriority w:val="99"/>
    <w:semiHidden/>
    <w:unhideWhenUsed/>
    <w:rsid w:val="001A4C33"/>
    <w:rPr>
      <w:rFonts w:ascii="Consolas" w:hAnsi="Consolas"/>
      <w:sz w:val="20"/>
      <w:szCs w:val="20"/>
    </w:rPr>
  </w:style>
  <w:style w:type="character" w:styleId="HTML-definisjon">
    <w:name w:val="HTML Definition"/>
    <w:uiPriority w:val="99"/>
    <w:semiHidden/>
    <w:unhideWhenUsed/>
    <w:rsid w:val="001A4C33"/>
    <w:rPr>
      <w:i/>
      <w:iCs/>
    </w:rPr>
  </w:style>
  <w:style w:type="character" w:styleId="HTML-tastatur">
    <w:name w:val="HTML Keyboard"/>
    <w:uiPriority w:val="99"/>
    <w:semiHidden/>
    <w:unhideWhenUsed/>
    <w:rsid w:val="001A4C33"/>
    <w:rPr>
      <w:rFonts w:ascii="Consolas" w:hAnsi="Consolas"/>
      <w:sz w:val="20"/>
      <w:szCs w:val="20"/>
    </w:rPr>
  </w:style>
  <w:style w:type="paragraph" w:styleId="HTML-forhndsformatert">
    <w:name w:val="HTML Preformatted"/>
    <w:basedOn w:val="Normal"/>
    <w:link w:val="HTML-forhndsformatertTegn"/>
    <w:uiPriority w:val="99"/>
    <w:semiHidden/>
    <w:unhideWhenUsed/>
    <w:rsid w:val="001A4C3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A4C33"/>
    <w:rPr>
      <w:rFonts w:ascii="Consolas" w:eastAsia="Times New Roman" w:hAnsi="Consolas"/>
      <w:spacing w:val="4"/>
      <w:sz w:val="20"/>
      <w:szCs w:val="20"/>
    </w:rPr>
  </w:style>
  <w:style w:type="character" w:styleId="HTML-eksempel">
    <w:name w:val="HTML Sample"/>
    <w:uiPriority w:val="99"/>
    <w:semiHidden/>
    <w:unhideWhenUsed/>
    <w:rsid w:val="001A4C33"/>
    <w:rPr>
      <w:rFonts w:ascii="Consolas" w:hAnsi="Consolas"/>
      <w:sz w:val="24"/>
      <w:szCs w:val="24"/>
    </w:rPr>
  </w:style>
  <w:style w:type="character" w:styleId="HTML-skrivemaskin">
    <w:name w:val="HTML Typewriter"/>
    <w:uiPriority w:val="99"/>
    <w:semiHidden/>
    <w:unhideWhenUsed/>
    <w:rsid w:val="001A4C33"/>
    <w:rPr>
      <w:rFonts w:ascii="Consolas" w:hAnsi="Consolas"/>
      <w:sz w:val="20"/>
      <w:szCs w:val="20"/>
    </w:rPr>
  </w:style>
  <w:style w:type="character" w:styleId="HTML-variabel">
    <w:name w:val="HTML Variable"/>
    <w:uiPriority w:val="99"/>
    <w:semiHidden/>
    <w:unhideWhenUsed/>
    <w:rsid w:val="001A4C33"/>
    <w:rPr>
      <w:i/>
      <w:iCs/>
    </w:rPr>
  </w:style>
  <w:style w:type="paragraph" w:styleId="Kommentaremne">
    <w:name w:val="annotation subject"/>
    <w:basedOn w:val="Merknadstekst"/>
    <w:next w:val="Merknadstekst"/>
    <w:link w:val="KommentaremneTegn"/>
    <w:uiPriority w:val="99"/>
    <w:semiHidden/>
    <w:unhideWhenUsed/>
    <w:rsid w:val="001A4C33"/>
    <w:pPr>
      <w:spacing w:line="240" w:lineRule="auto"/>
    </w:pPr>
    <w:rPr>
      <w:b/>
      <w:bCs/>
      <w:spacing w:val="4"/>
      <w:szCs w:val="20"/>
    </w:rPr>
  </w:style>
  <w:style w:type="character" w:customStyle="1" w:styleId="KommentaremneTegn">
    <w:name w:val="Kommentaremne Tegn"/>
    <w:link w:val="Kommentaremne"/>
    <w:uiPriority w:val="99"/>
    <w:semiHidden/>
    <w:rsid w:val="001A4C3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A4C3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A4C33"/>
    <w:rPr>
      <w:rFonts w:ascii="Tahoma" w:eastAsia="Times New Roman" w:hAnsi="Tahoma" w:cs="Tahoma"/>
      <w:spacing w:val="4"/>
      <w:sz w:val="16"/>
      <w:szCs w:val="16"/>
    </w:rPr>
  </w:style>
  <w:style w:type="table" w:styleId="Tabellrutenett">
    <w:name w:val="Table Grid"/>
    <w:aliases w:val="MetadataTabellss"/>
    <w:basedOn w:val="Vanligtabell"/>
    <w:uiPriority w:val="59"/>
    <w:rsid w:val="001A4C3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A4C3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A4C3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A4C33"/>
    <w:rPr>
      <w:rFonts w:ascii="Times New Roman" w:eastAsia="Times New Roman" w:hAnsi="Times New Roman"/>
      <w:i/>
      <w:iCs/>
      <w:color w:val="4472C4" w:themeColor="accent1"/>
      <w:spacing w:val="4"/>
      <w:sz w:val="24"/>
    </w:rPr>
  </w:style>
  <w:style w:type="character" w:styleId="Svakutheving">
    <w:name w:val="Subtle Emphasis"/>
    <w:uiPriority w:val="19"/>
    <w:qFormat/>
    <w:rsid w:val="001A4C33"/>
    <w:rPr>
      <w:i/>
      <w:iCs/>
      <w:color w:val="808080"/>
    </w:rPr>
  </w:style>
  <w:style w:type="character" w:styleId="Sterkutheving">
    <w:name w:val="Intense Emphasis"/>
    <w:uiPriority w:val="21"/>
    <w:qFormat/>
    <w:rsid w:val="001A4C33"/>
    <w:rPr>
      <w:b/>
      <w:bCs/>
      <w:i/>
      <w:iCs/>
      <w:color w:val="4F81BD"/>
    </w:rPr>
  </w:style>
  <w:style w:type="character" w:styleId="Svakreferanse">
    <w:name w:val="Subtle Reference"/>
    <w:uiPriority w:val="31"/>
    <w:qFormat/>
    <w:rsid w:val="001A4C33"/>
    <w:rPr>
      <w:smallCaps/>
      <w:color w:val="C0504D"/>
      <w:u w:val="single"/>
    </w:rPr>
  </w:style>
  <w:style w:type="character" w:styleId="Sterkreferanse">
    <w:name w:val="Intense Reference"/>
    <w:uiPriority w:val="32"/>
    <w:qFormat/>
    <w:rsid w:val="001A4C33"/>
    <w:rPr>
      <w:b/>
      <w:bCs/>
      <w:smallCaps/>
      <w:color w:val="C0504D"/>
      <w:spacing w:val="5"/>
      <w:u w:val="single"/>
    </w:rPr>
  </w:style>
  <w:style w:type="character" w:styleId="Boktittel">
    <w:name w:val="Book Title"/>
    <w:uiPriority w:val="33"/>
    <w:qFormat/>
    <w:rsid w:val="001A4C33"/>
    <w:rPr>
      <w:b/>
      <w:bCs/>
      <w:smallCaps/>
      <w:spacing w:val="5"/>
    </w:rPr>
  </w:style>
  <w:style w:type="paragraph" w:styleId="Bibliografi">
    <w:name w:val="Bibliography"/>
    <w:basedOn w:val="Normal"/>
    <w:next w:val="Normal"/>
    <w:uiPriority w:val="37"/>
    <w:semiHidden/>
    <w:unhideWhenUsed/>
    <w:rsid w:val="001A4C33"/>
  </w:style>
  <w:style w:type="paragraph" w:styleId="Overskriftforinnholdsfortegnelse">
    <w:name w:val="TOC Heading"/>
    <w:basedOn w:val="Overskrift1"/>
    <w:next w:val="Normal"/>
    <w:uiPriority w:val="39"/>
    <w:semiHidden/>
    <w:unhideWhenUsed/>
    <w:qFormat/>
    <w:rsid w:val="001A4C3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A4C33"/>
    <w:pPr>
      <w:numPr>
        <w:numId w:val="26"/>
      </w:numPr>
    </w:pPr>
  </w:style>
  <w:style w:type="numbering" w:customStyle="1" w:styleId="NrListeStil">
    <w:name w:val="NrListeStil"/>
    <w:uiPriority w:val="99"/>
    <w:rsid w:val="001A4C33"/>
    <w:pPr>
      <w:numPr>
        <w:numId w:val="27"/>
      </w:numPr>
    </w:pPr>
  </w:style>
  <w:style w:type="numbering" w:customStyle="1" w:styleId="RomListeStil">
    <w:name w:val="RomListeStil"/>
    <w:uiPriority w:val="99"/>
    <w:rsid w:val="001A4C33"/>
    <w:pPr>
      <w:numPr>
        <w:numId w:val="28"/>
      </w:numPr>
    </w:pPr>
  </w:style>
  <w:style w:type="numbering" w:customStyle="1" w:styleId="StrekListeStil">
    <w:name w:val="StrekListeStil"/>
    <w:uiPriority w:val="99"/>
    <w:rsid w:val="001A4C33"/>
    <w:pPr>
      <w:numPr>
        <w:numId w:val="29"/>
      </w:numPr>
    </w:pPr>
  </w:style>
  <w:style w:type="numbering" w:customStyle="1" w:styleId="OpplistingListeStil">
    <w:name w:val="OpplistingListeStil"/>
    <w:uiPriority w:val="99"/>
    <w:rsid w:val="001A4C33"/>
    <w:pPr>
      <w:numPr>
        <w:numId w:val="30"/>
      </w:numPr>
    </w:pPr>
  </w:style>
  <w:style w:type="numbering" w:customStyle="1" w:styleId="l-NummerertListeStil">
    <w:name w:val="l-NummerertListeStil"/>
    <w:uiPriority w:val="99"/>
    <w:rsid w:val="001A4C33"/>
    <w:pPr>
      <w:numPr>
        <w:numId w:val="31"/>
      </w:numPr>
    </w:pPr>
  </w:style>
  <w:style w:type="numbering" w:customStyle="1" w:styleId="l-AlfaListeStil">
    <w:name w:val="l-AlfaListeStil"/>
    <w:uiPriority w:val="99"/>
    <w:rsid w:val="001A4C33"/>
    <w:pPr>
      <w:numPr>
        <w:numId w:val="32"/>
      </w:numPr>
    </w:pPr>
  </w:style>
  <w:style w:type="numbering" w:customStyle="1" w:styleId="OverskrifterListeStil">
    <w:name w:val="OverskrifterListeStil"/>
    <w:uiPriority w:val="99"/>
    <w:rsid w:val="001A4C33"/>
    <w:pPr>
      <w:numPr>
        <w:numId w:val="33"/>
      </w:numPr>
    </w:pPr>
  </w:style>
  <w:style w:type="numbering" w:customStyle="1" w:styleId="l-ListeStilMal">
    <w:name w:val="l-ListeStilMal"/>
    <w:uiPriority w:val="99"/>
    <w:rsid w:val="001A4C33"/>
    <w:pPr>
      <w:numPr>
        <w:numId w:val="34"/>
      </w:numPr>
    </w:pPr>
  </w:style>
  <w:style w:type="paragraph" w:styleId="Avsenderadresse">
    <w:name w:val="envelope return"/>
    <w:basedOn w:val="Normal"/>
    <w:uiPriority w:val="99"/>
    <w:semiHidden/>
    <w:unhideWhenUsed/>
    <w:rsid w:val="001A4C3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A4C33"/>
  </w:style>
  <w:style w:type="character" w:customStyle="1" w:styleId="BrdtekstTegn">
    <w:name w:val="Brødtekst Tegn"/>
    <w:link w:val="Brdtekst"/>
    <w:semiHidden/>
    <w:rsid w:val="001A4C3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A4C33"/>
    <w:pPr>
      <w:ind w:firstLine="360"/>
    </w:pPr>
  </w:style>
  <w:style w:type="character" w:customStyle="1" w:styleId="Brdtekst-frsteinnrykkTegn">
    <w:name w:val="Brødtekst - første innrykk Tegn"/>
    <w:link w:val="Brdtekst-frsteinnrykk"/>
    <w:uiPriority w:val="99"/>
    <w:semiHidden/>
    <w:rsid w:val="001A4C3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A4C33"/>
    <w:pPr>
      <w:ind w:left="283"/>
    </w:pPr>
  </w:style>
  <w:style w:type="character" w:customStyle="1" w:styleId="BrdtekstinnrykkTegn">
    <w:name w:val="Brødtekstinnrykk Tegn"/>
    <w:link w:val="Brdtekstinnrykk"/>
    <w:uiPriority w:val="99"/>
    <w:semiHidden/>
    <w:rsid w:val="001A4C3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A4C33"/>
    <w:pPr>
      <w:ind w:left="360" w:firstLine="360"/>
    </w:pPr>
  </w:style>
  <w:style w:type="character" w:customStyle="1" w:styleId="Brdtekst-frsteinnrykk2Tegn">
    <w:name w:val="Brødtekst - første innrykk 2 Tegn"/>
    <w:link w:val="Brdtekst-frsteinnrykk2"/>
    <w:uiPriority w:val="99"/>
    <w:semiHidden/>
    <w:rsid w:val="001A4C3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A4C33"/>
    <w:pPr>
      <w:spacing w:line="480" w:lineRule="auto"/>
    </w:pPr>
  </w:style>
  <w:style w:type="character" w:customStyle="1" w:styleId="Brdtekst2Tegn">
    <w:name w:val="Brødtekst 2 Tegn"/>
    <w:link w:val="Brdtekst2"/>
    <w:uiPriority w:val="99"/>
    <w:semiHidden/>
    <w:rsid w:val="001A4C3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A4C33"/>
    <w:rPr>
      <w:sz w:val="16"/>
      <w:szCs w:val="16"/>
    </w:rPr>
  </w:style>
  <w:style w:type="character" w:customStyle="1" w:styleId="Brdtekst3Tegn">
    <w:name w:val="Brødtekst 3 Tegn"/>
    <w:link w:val="Brdtekst3"/>
    <w:uiPriority w:val="99"/>
    <w:semiHidden/>
    <w:rsid w:val="001A4C3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A4C33"/>
    <w:pPr>
      <w:spacing w:line="480" w:lineRule="auto"/>
      <w:ind w:left="283"/>
    </w:pPr>
  </w:style>
  <w:style w:type="character" w:customStyle="1" w:styleId="Brdtekstinnrykk2Tegn">
    <w:name w:val="Brødtekstinnrykk 2 Tegn"/>
    <w:link w:val="Brdtekstinnrykk2"/>
    <w:uiPriority w:val="99"/>
    <w:semiHidden/>
    <w:rsid w:val="001A4C3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A4C33"/>
    <w:pPr>
      <w:ind w:left="283"/>
    </w:pPr>
    <w:rPr>
      <w:sz w:val="16"/>
      <w:szCs w:val="16"/>
    </w:rPr>
  </w:style>
  <w:style w:type="character" w:customStyle="1" w:styleId="Brdtekstinnrykk3Tegn">
    <w:name w:val="Brødtekstinnrykk 3 Tegn"/>
    <w:link w:val="Brdtekstinnrykk3"/>
    <w:uiPriority w:val="99"/>
    <w:semiHidden/>
    <w:rsid w:val="001A4C33"/>
    <w:rPr>
      <w:rFonts w:ascii="Times New Roman" w:eastAsia="Times New Roman" w:hAnsi="Times New Roman"/>
      <w:spacing w:val="4"/>
      <w:sz w:val="16"/>
      <w:szCs w:val="16"/>
    </w:rPr>
  </w:style>
  <w:style w:type="paragraph" w:customStyle="1" w:styleId="Sammendrag">
    <w:name w:val="Sammendrag"/>
    <w:basedOn w:val="Overskrift1"/>
    <w:qFormat/>
    <w:rsid w:val="001A4C33"/>
    <w:pPr>
      <w:numPr>
        <w:numId w:val="0"/>
      </w:numPr>
    </w:pPr>
  </w:style>
  <w:style w:type="paragraph" w:customStyle="1" w:styleId="TrykkeriMerknad">
    <w:name w:val="TrykkeriMerknad"/>
    <w:basedOn w:val="Normal"/>
    <w:qFormat/>
    <w:rsid w:val="001A4C33"/>
    <w:pPr>
      <w:spacing w:before="60"/>
    </w:pPr>
    <w:rPr>
      <w:rFonts w:ascii="Arial" w:hAnsi="Arial"/>
      <w:color w:val="943634"/>
      <w:sz w:val="26"/>
    </w:rPr>
  </w:style>
  <w:style w:type="paragraph" w:customStyle="1" w:styleId="ForfatterMerknad">
    <w:name w:val="ForfatterMerknad"/>
    <w:basedOn w:val="TrykkeriMerknad"/>
    <w:qFormat/>
    <w:rsid w:val="001A4C33"/>
    <w:pPr>
      <w:shd w:val="clear" w:color="auto" w:fill="FFFF99"/>
      <w:spacing w:line="240" w:lineRule="auto"/>
    </w:pPr>
    <w:rPr>
      <w:color w:val="632423"/>
    </w:rPr>
  </w:style>
  <w:style w:type="paragraph" w:customStyle="1" w:styleId="tblRad">
    <w:name w:val="tblRad"/>
    <w:rsid w:val="001A4C3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A4C33"/>
  </w:style>
  <w:style w:type="paragraph" w:customStyle="1" w:styleId="tbl2LinjeSumBold">
    <w:name w:val="tbl2LinjeSumBold"/>
    <w:basedOn w:val="tblRad"/>
    <w:rsid w:val="001A4C33"/>
  </w:style>
  <w:style w:type="paragraph" w:customStyle="1" w:styleId="tblDelsum1">
    <w:name w:val="tblDelsum1"/>
    <w:basedOn w:val="tblRad"/>
    <w:rsid w:val="001A4C33"/>
  </w:style>
  <w:style w:type="paragraph" w:customStyle="1" w:styleId="tblDelsum1-Kapittel">
    <w:name w:val="tblDelsum1 - Kapittel"/>
    <w:basedOn w:val="tblDelsum1"/>
    <w:rsid w:val="001A4C33"/>
    <w:pPr>
      <w:keepNext w:val="0"/>
    </w:pPr>
  </w:style>
  <w:style w:type="paragraph" w:customStyle="1" w:styleId="tblDelsum2">
    <w:name w:val="tblDelsum2"/>
    <w:basedOn w:val="tblRad"/>
    <w:rsid w:val="001A4C33"/>
  </w:style>
  <w:style w:type="paragraph" w:customStyle="1" w:styleId="tblDelsum2-Kapittel">
    <w:name w:val="tblDelsum2 - Kapittel"/>
    <w:basedOn w:val="tblDelsum2"/>
    <w:rsid w:val="001A4C33"/>
    <w:pPr>
      <w:keepNext w:val="0"/>
    </w:pPr>
  </w:style>
  <w:style w:type="paragraph" w:customStyle="1" w:styleId="tblTabelloverskrift">
    <w:name w:val="tblTabelloverskrift"/>
    <w:rsid w:val="001A4C3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A4C33"/>
    <w:pPr>
      <w:spacing w:after="0"/>
      <w:jc w:val="right"/>
    </w:pPr>
    <w:rPr>
      <w:b w:val="0"/>
      <w:caps w:val="0"/>
      <w:sz w:val="16"/>
    </w:rPr>
  </w:style>
  <w:style w:type="paragraph" w:customStyle="1" w:styleId="tblKategoriOverskrift">
    <w:name w:val="tblKategoriOverskrift"/>
    <w:basedOn w:val="tblRad"/>
    <w:rsid w:val="001A4C33"/>
    <w:pPr>
      <w:spacing w:before="120"/>
    </w:pPr>
  </w:style>
  <w:style w:type="paragraph" w:customStyle="1" w:styleId="tblKolonneoverskrift">
    <w:name w:val="tblKolonneoverskrift"/>
    <w:basedOn w:val="Normal"/>
    <w:rsid w:val="001A4C3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A4C33"/>
    <w:pPr>
      <w:spacing w:after="360"/>
      <w:jc w:val="center"/>
    </w:pPr>
    <w:rPr>
      <w:b w:val="0"/>
      <w:caps w:val="0"/>
    </w:rPr>
  </w:style>
  <w:style w:type="paragraph" w:customStyle="1" w:styleId="tblKolonneoverskrift-Vedtak">
    <w:name w:val="tblKolonneoverskrift - Vedtak"/>
    <w:basedOn w:val="tblTabelloverskrift-Vedtak"/>
    <w:rsid w:val="001A4C33"/>
    <w:pPr>
      <w:spacing w:after="0"/>
    </w:pPr>
  </w:style>
  <w:style w:type="paragraph" w:customStyle="1" w:styleId="tblOverskrift-Vedtak">
    <w:name w:val="tblOverskrift - Vedtak"/>
    <w:basedOn w:val="tblRad"/>
    <w:rsid w:val="001A4C33"/>
    <w:pPr>
      <w:spacing w:before="360"/>
      <w:jc w:val="center"/>
    </w:pPr>
  </w:style>
  <w:style w:type="paragraph" w:customStyle="1" w:styleId="tblRadBold">
    <w:name w:val="tblRadBold"/>
    <w:basedOn w:val="tblRad"/>
    <w:rsid w:val="001A4C33"/>
  </w:style>
  <w:style w:type="paragraph" w:customStyle="1" w:styleId="tblRadItalic">
    <w:name w:val="tblRadItalic"/>
    <w:basedOn w:val="tblRad"/>
    <w:rsid w:val="001A4C33"/>
  </w:style>
  <w:style w:type="paragraph" w:customStyle="1" w:styleId="tblRadItalicSiste">
    <w:name w:val="tblRadItalicSiste"/>
    <w:basedOn w:val="tblRadItalic"/>
    <w:rsid w:val="001A4C33"/>
  </w:style>
  <w:style w:type="paragraph" w:customStyle="1" w:styleId="tblRadMedLuft">
    <w:name w:val="tblRadMedLuft"/>
    <w:basedOn w:val="tblRad"/>
    <w:rsid w:val="001A4C33"/>
    <w:pPr>
      <w:spacing w:before="120"/>
    </w:pPr>
  </w:style>
  <w:style w:type="paragraph" w:customStyle="1" w:styleId="tblRadMedLuftSiste">
    <w:name w:val="tblRadMedLuftSiste"/>
    <w:basedOn w:val="tblRadMedLuft"/>
    <w:rsid w:val="001A4C33"/>
    <w:pPr>
      <w:spacing w:after="120"/>
    </w:pPr>
  </w:style>
  <w:style w:type="paragraph" w:customStyle="1" w:styleId="tblRadMedLuftSiste-Vedtak">
    <w:name w:val="tblRadMedLuftSiste - Vedtak"/>
    <w:basedOn w:val="tblRadMedLuftSiste"/>
    <w:rsid w:val="001A4C33"/>
    <w:pPr>
      <w:keepNext w:val="0"/>
    </w:pPr>
  </w:style>
  <w:style w:type="paragraph" w:customStyle="1" w:styleId="tblRadSiste">
    <w:name w:val="tblRadSiste"/>
    <w:basedOn w:val="tblRad"/>
    <w:rsid w:val="001A4C33"/>
  </w:style>
  <w:style w:type="paragraph" w:customStyle="1" w:styleId="tblSluttsum">
    <w:name w:val="tblSluttsum"/>
    <w:basedOn w:val="tblRad"/>
    <w:rsid w:val="001A4C33"/>
    <w:pPr>
      <w:spacing w:before="120"/>
    </w:pPr>
  </w:style>
  <w:style w:type="table" w:customStyle="1" w:styleId="MetadataTabell">
    <w:name w:val="MetadataTabell"/>
    <w:basedOn w:val="Rutenettabelllys"/>
    <w:uiPriority w:val="99"/>
    <w:rsid w:val="001A4C33"/>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A4C33"/>
    <w:pPr>
      <w:spacing w:before="60" w:after="60"/>
    </w:pPr>
    <w:rPr>
      <w:rFonts w:ascii="Consolas" w:hAnsi="Consolas"/>
      <w:color w:val="C0504D"/>
      <w:sz w:val="26"/>
    </w:rPr>
  </w:style>
  <w:style w:type="table" w:styleId="Rutenettabelllys">
    <w:name w:val="Grid Table Light"/>
    <w:basedOn w:val="Vanligtabell"/>
    <w:uiPriority w:val="40"/>
    <w:rsid w:val="001A4C33"/>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A4C33"/>
    <w:pPr>
      <w:spacing w:before="60" w:after="60"/>
    </w:pPr>
    <w:rPr>
      <w:rFonts w:ascii="Consolas" w:hAnsi="Consolas"/>
      <w:color w:val="365F9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15</Pages>
  <Words>6081</Words>
  <Characters>32235</Characters>
  <Application>Microsoft Office Word</Application>
  <DocSecurity>0</DocSecurity>
  <Lines>268</Lines>
  <Paragraphs>76</Paragraphs>
  <ScaleCrop>false</ScaleCrop>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2022-04-05T13:29:00Z</dcterms:created>
  <dcterms:modified xsi:type="dcterms:W3CDTF">2022-04-05T13:29:00Z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2022-04-05T13:27:14Z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d1430c92-9ec4-4ae0-aa19-bf512e908581</vt:lpwstr>
  </property>
  <property fmtid="{D5CDD505-2E9C-101B-9397-08002B2CF9AE}" pid="8" name="MSIP_Label_b22f7043-6caf-4431-9109-8eff758a1d8b_ContentBits">
    <vt:lpwstr>0</vt:lpwstr>
  </property>
</Properties>
</file>