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51D8E6" w14:textId="77777777" w:rsidR="003B2807" w:rsidRDefault="003B2807" w:rsidP="003B2807">
      <w:pPr>
        <w:jc w:val="center"/>
        <w:rPr>
          <w:b/>
          <w:sz w:val="32"/>
          <w:szCs w:val="32"/>
        </w:rPr>
      </w:pPr>
      <w:bookmarkStart w:id="0" w:name="_Hlk76377647"/>
    </w:p>
    <w:p w14:paraId="68FAB59C" w14:textId="77777777" w:rsidR="003B2807" w:rsidRDefault="003B2807" w:rsidP="003B2807">
      <w:pPr>
        <w:jc w:val="center"/>
        <w:rPr>
          <w:b/>
          <w:sz w:val="32"/>
          <w:szCs w:val="32"/>
        </w:rPr>
      </w:pPr>
    </w:p>
    <w:p w14:paraId="75161B81" w14:textId="77777777" w:rsidR="003B2807" w:rsidRDefault="003B2807" w:rsidP="003B2807">
      <w:pPr>
        <w:jc w:val="center"/>
        <w:rPr>
          <w:b/>
          <w:sz w:val="32"/>
          <w:szCs w:val="32"/>
        </w:rPr>
      </w:pPr>
    </w:p>
    <w:p w14:paraId="6C2A0B0A" w14:textId="77777777" w:rsidR="003B2807" w:rsidRDefault="003B2807" w:rsidP="003B2807">
      <w:pPr>
        <w:jc w:val="center"/>
        <w:rPr>
          <w:b/>
          <w:sz w:val="32"/>
          <w:szCs w:val="32"/>
        </w:rPr>
      </w:pPr>
    </w:p>
    <w:p w14:paraId="23F65D1F" w14:textId="77777777" w:rsidR="003B2807" w:rsidRDefault="003B2807" w:rsidP="003B2807">
      <w:pPr>
        <w:jc w:val="center"/>
        <w:rPr>
          <w:b/>
          <w:sz w:val="32"/>
          <w:szCs w:val="32"/>
        </w:rPr>
      </w:pPr>
    </w:p>
    <w:p w14:paraId="3D5F23B0" w14:textId="77777777" w:rsidR="003B2807" w:rsidRDefault="003B2807" w:rsidP="003B2807">
      <w:pPr>
        <w:jc w:val="center"/>
        <w:rPr>
          <w:b/>
          <w:sz w:val="32"/>
          <w:szCs w:val="32"/>
        </w:rPr>
      </w:pPr>
    </w:p>
    <w:p w14:paraId="05E8DDF9" w14:textId="77777777" w:rsidR="003B2807" w:rsidRDefault="003B2807" w:rsidP="003B2807">
      <w:pPr>
        <w:jc w:val="center"/>
        <w:rPr>
          <w:b/>
          <w:sz w:val="32"/>
          <w:szCs w:val="32"/>
        </w:rPr>
      </w:pPr>
    </w:p>
    <w:p w14:paraId="5198546D" w14:textId="77777777" w:rsidR="003B2807" w:rsidRDefault="003B2807" w:rsidP="003B2807">
      <w:pPr>
        <w:jc w:val="center"/>
        <w:rPr>
          <w:b/>
          <w:sz w:val="32"/>
          <w:szCs w:val="32"/>
        </w:rPr>
      </w:pPr>
    </w:p>
    <w:p w14:paraId="5BEBB190" w14:textId="38AB6F3B" w:rsidR="003B2807" w:rsidRPr="00AB6E9F" w:rsidRDefault="003B2807" w:rsidP="003B2807">
      <w:pPr>
        <w:jc w:val="center"/>
        <w:rPr>
          <w:b/>
          <w:sz w:val="32"/>
          <w:szCs w:val="32"/>
        </w:rPr>
      </w:pPr>
      <w:r w:rsidRPr="00AB6E9F">
        <w:rPr>
          <w:b/>
          <w:sz w:val="32"/>
          <w:szCs w:val="32"/>
        </w:rPr>
        <w:t xml:space="preserve">ANNEX </w:t>
      </w:r>
      <w:r w:rsidR="00BF5C83">
        <w:rPr>
          <w:b/>
          <w:sz w:val="32"/>
          <w:szCs w:val="32"/>
        </w:rPr>
        <w:t>XXV</w:t>
      </w:r>
    </w:p>
    <w:p w14:paraId="7C07C497" w14:textId="77777777" w:rsidR="003B2807" w:rsidRPr="00AB6E9F" w:rsidRDefault="003B2807" w:rsidP="003B2807">
      <w:pPr>
        <w:jc w:val="center"/>
        <w:rPr>
          <w:sz w:val="28"/>
          <w:szCs w:val="28"/>
        </w:rPr>
      </w:pPr>
    </w:p>
    <w:p w14:paraId="510DC88B" w14:textId="77777777" w:rsidR="003B2807" w:rsidRPr="00AB6E9F" w:rsidRDefault="003B2807" w:rsidP="003B2807">
      <w:pPr>
        <w:jc w:val="center"/>
        <w:rPr>
          <w:sz w:val="28"/>
          <w:szCs w:val="28"/>
        </w:rPr>
      </w:pPr>
    </w:p>
    <w:p w14:paraId="3A592347" w14:textId="00099635" w:rsidR="003B2807" w:rsidRDefault="003B2807" w:rsidP="003B2807">
      <w:pPr>
        <w:jc w:val="center"/>
        <w:rPr>
          <w:bCs/>
          <w:szCs w:val="24"/>
        </w:rPr>
        <w:sectPr w:rsidR="003B2807" w:rsidSect="0013779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701" w:right="1644" w:bottom="1701" w:left="2211" w:header="709" w:footer="709" w:gutter="0"/>
          <w:cols w:space="708"/>
          <w:titlePg/>
          <w:docGrid w:linePitch="360"/>
        </w:sectPr>
      </w:pPr>
      <w:r w:rsidRPr="00181EAC">
        <w:rPr>
          <w:bCs/>
          <w:sz w:val="28"/>
          <w:szCs w:val="28"/>
        </w:rPr>
        <w:t xml:space="preserve">REFERRED TO IN </w:t>
      </w:r>
      <w:r w:rsidRPr="003B2807">
        <w:rPr>
          <w:bCs/>
          <w:sz w:val="28"/>
          <w:szCs w:val="28"/>
        </w:rPr>
        <w:t>ARTICLE 11.2 (DEFINITIONS)</w:t>
      </w:r>
      <w:r w:rsidR="00BF5C83">
        <w:rPr>
          <w:bCs/>
          <w:sz w:val="28"/>
          <w:szCs w:val="28"/>
        </w:rPr>
        <w:t xml:space="preserve"> </w:t>
      </w:r>
      <w:r w:rsidR="00BF5C83" w:rsidRPr="00BF5C83">
        <w:rPr>
          <w:bCs/>
          <w:sz w:val="28"/>
          <w:szCs w:val="28"/>
        </w:rPr>
        <w:t>OF SECTION 11.1 (GENERAL PROVISIONS) OF CHAPTER 11 (GOOD REGULATORY PRACTICES AND REGULATORY COOPERATION)</w:t>
      </w:r>
    </w:p>
    <w:bookmarkEnd w:id="0"/>
    <w:p w14:paraId="463DE671" w14:textId="0CC6FCF8" w:rsidR="002B683B" w:rsidRPr="00EF4C52" w:rsidRDefault="002B683B" w:rsidP="003B2807">
      <w:pPr>
        <w:pStyle w:val="ANNEXIRomanREFTITLE"/>
      </w:pPr>
      <w:r w:rsidRPr="00EF4C52">
        <w:lastRenderedPageBreak/>
        <w:t xml:space="preserve">ANNEX </w:t>
      </w:r>
      <w:r w:rsidR="001E4509">
        <w:t>XXV</w:t>
      </w:r>
    </w:p>
    <w:p w14:paraId="7157E540" w14:textId="77777777" w:rsidR="001E4509" w:rsidRDefault="002B683B" w:rsidP="003B2807">
      <w:pPr>
        <w:pStyle w:val="ANNEXIRomanREFTITLE"/>
      </w:pPr>
      <w:r w:rsidRPr="008E72E0">
        <w:t xml:space="preserve">ADDITIONAL PROVISIONS CONCERNING THE SCOPE OF “REGULATORY MEASURES” </w:t>
      </w:r>
    </w:p>
    <w:p w14:paraId="4F5DFF2D" w14:textId="2474AA77" w:rsidR="001E4509" w:rsidRPr="008E72E0" w:rsidRDefault="001E4509" w:rsidP="003B2807">
      <w:pPr>
        <w:pStyle w:val="ANNEXIRomanREFTITLE"/>
      </w:pPr>
      <w:r w:rsidRPr="008E72E0">
        <w:t xml:space="preserve">REFERRED TO IN ARTICLE </w:t>
      </w:r>
      <w:r>
        <w:t>11</w:t>
      </w:r>
      <w:r w:rsidRPr="008E72E0">
        <w:t>.2</w:t>
      </w:r>
      <w:r>
        <w:t xml:space="preserve"> (DEFINITIONS)</w:t>
      </w:r>
      <w:r w:rsidR="00BF5C83">
        <w:t xml:space="preserve"> </w:t>
      </w:r>
      <w:r w:rsidR="00BF5C83" w:rsidRPr="00BF5C83">
        <w:t>OF SECTION 11.1 (GENERAL PROVISIONS) OF CHAPTER 11 (GOOD REGULATORY PRACTICES AND REGULATORY COOPERATION)</w:t>
      </w:r>
    </w:p>
    <w:p w14:paraId="469B1D67" w14:textId="641340E1" w:rsidR="002B683B" w:rsidRPr="008E72E0" w:rsidRDefault="002B683B" w:rsidP="003B2807">
      <w:pPr>
        <w:pStyle w:val="ANNEXIRomanREFTITLE"/>
      </w:pPr>
    </w:p>
    <w:p w14:paraId="47C3CC6A" w14:textId="442DE62F" w:rsidR="002B683B" w:rsidRPr="00C91175" w:rsidRDefault="002B683B" w:rsidP="002B683B">
      <w:pPr>
        <w:pStyle w:val="FTAlisttext"/>
        <w:numPr>
          <w:ilvl w:val="0"/>
          <w:numId w:val="9"/>
        </w:numPr>
        <w:ind w:left="709" w:hanging="709"/>
        <w:rPr>
          <w:rFonts w:eastAsiaTheme="minorEastAsia"/>
        </w:rPr>
      </w:pPr>
      <w:r w:rsidRPr="00C91175">
        <w:t xml:space="preserve">The legislation referred to in </w:t>
      </w:r>
      <w:r w:rsidR="001A401A" w:rsidRPr="00C91175">
        <w:t xml:space="preserve">paragraph (b) of </w:t>
      </w:r>
      <w:r w:rsidRPr="00C91175">
        <w:t xml:space="preserve">Article </w:t>
      </w:r>
      <w:r w:rsidR="001A401A" w:rsidRPr="00C91175">
        <w:t>11</w:t>
      </w:r>
      <w:r w:rsidRPr="00C91175">
        <w:t>.2</w:t>
      </w:r>
      <w:r w:rsidR="001A401A" w:rsidRPr="00C91175">
        <w:t xml:space="preserve"> (Definitions)</w:t>
      </w:r>
      <w:r w:rsidRPr="00C91175">
        <w:t xml:space="preserve"> of </w:t>
      </w:r>
      <w:r w:rsidR="00BF5C83">
        <w:t xml:space="preserve">Section 11.1 (General Provisions) of </w:t>
      </w:r>
      <w:r w:rsidRPr="00C91175">
        <w:t xml:space="preserve">Chapter </w:t>
      </w:r>
      <w:r w:rsidR="001A401A" w:rsidRPr="00C91175">
        <w:t>11 (Good Regulatory Practices and Regulatory Cooperation)</w:t>
      </w:r>
      <w:r w:rsidRPr="00C91175">
        <w:t>, is legislation of general application in relation to a business activity excluding:</w:t>
      </w:r>
    </w:p>
    <w:p w14:paraId="3D85C9BC" w14:textId="77777777" w:rsidR="002B683B" w:rsidRPr="00C91175" w:rsidRDefault="002B683B" w:rsidP="002B683B">
      <w:pPr>
        <w:pStyle w:val="FTAlisttext"/>
        <w:numPr>
          <w:ilvl w:val="1"/>
          <w:numId w:val="9"/>
        </w:numPr>
        <w:ind w:left="1418" w:hanging="709"/>
        <w:rPr>
          <w:rFonts w:eastAsiaTheme="minorEastAsia"/>
        </w:rPr>
      </w:pPr>
      <w:r w:rsidRPr="00C91175">
        <w:t>measures imposing, abolishing or varying any tax, duty, levy or other charge (or measures in connection with such measures</w:t>
      </w:r>
      <w:proofErr w:type="gramStart"/>
      <w:r w:rsidRPr="00C91175">
        <w:t>);</w:t>
      </w:r>
      <w:proofErr w:type="gramEnd"/>
      <w:r w:rsidRPr="00C91175">
        <w:t xml:space="preserve"> </w:t>
      </w:r>
    </w:p>
    <w:p w14:paraId="50991939" w14:textId="77777777" w:rsidR="002B683B" w:rsidRPr="00C91175" w:rsidRDefault="002B683B" w:rsidP="002B683B">
      <w:pPr>
        <w:pStyle w:val="FTAlisttext"/>
        <w:numPr>
          <w:ilvl w:val="1"/>
          <w:numId w:val="9"/>
        </w:numPr>
        <w:ind w:left="1418" w:hanging="709"/>
        <w:rPr>
          <w:rFonts w:eastAsiaTheme="minorEastAsia"/>
        </w:rPr>
      </w:pPr>
      <w:r w:rsidRPr="00C91175">
        <w:t xml:space="preserve">measures in connection with </w:t>
      </w:r>
      <w:proofErr w:type="gramStart"/>
      <w:r w:rsidRPr="00C91175">
        <w:t>procurement;</w:t>
      </w:r>
      <w:proofErr w:type="gramEnd"/>
      <w:r w:rsidRPr="00C91175">
        <w:t xml:space="preserve"> </w:t>
      </w:r>
    </w:p>
    <w:p w14:paraId="1C697713" w14:textId="77777777" w:rsidR="002B683B" w:rsidRPr="00C91175" w:rsidRDefault="002B683B" w:rsidP="002B683B">
      <w:pPr>
        <w:pStyle w:val="FTAlisttext"/>
        <w:numPr>
          <w:ilvl w:val="1"/>
          <w:numId w:val="9"/>
        </w:numPr>
        <w:ind w:left="1418" w:hanging="709"/>
        <w:rPr>
          <w:rFonts w:eastAsiaTheme="minorEastAsia"/>
        </w:rPr>
      </w:pPr>
      <w:r w:rsidRPr="00C91175">
        <w:t>measures in connection with the giving of grants or other financial assistance by or on behalf of a public authority; and</w:t>
      </w:r>
    </w:p>
    <w:p w14:paraId="1509E5CD" w14:textId="77777777" w:rsidR="002B683B" w:rsidRPr="00C91175" w:rsidRDefault="002B683B" w:rsidP="002B683B">
      <w:pPr>
        <w:pStyle w:val="FTAlisttext"/>
        <w:numPr>
          <w:ilvl w:val="1"/>
          <w:numId w:val="9"/>
        </w:numPr>
        <w:ind w:left="1418" w:hanging="709"/>
        <w:rPr>
          <w:rFonts w:eastAsiaTheme="minorEastAsia"/>
        </w:rPr>
      </w:pPr>
      <w:r w:rsidRPr="00C91175">
        <w:t xml:space="preserve">measures which are to have effect for a period of less than 12 months. </w:t>
      </w:r>
    </w:p>
    <w:p w14:paraId="37C1B168" w14:textId="7734006E" w:rsidR="002B683B" w:rsidRPr="00C91175" w:rsidRDefault="002B683B" w:rsidP="002B683B">
      <w:pPr>
        <w:pStyle w:val="FTAlisttext"/>
        <w:numPr>
          <w:ilvl w:val="0"/>
          <w:numId w:val="9"/>
        </w:numPr>
        <w:ind w:left="709" w:hanging="709"/>
        <w:rPr>
          <w:rFonts w:eastAsiaTheme="minorEastAsia"/>
        </w:rPr>
      </w:pPr>
      <w:r w:rsidRPr="00C91175">
        <w:rPr>
          <w:rFonts w:eastAsiaTheme="minorEastAsia"/>
        </w:rPr>
        <w:t xml:space="preserve">For the United Kingdom, the legislation referred to in </w:t>
      </w:r>
      <w:r w:rsidR="001A401A" w:rsidRPr="00C91175">
        <w:rPr>
          <w:rFonts w:eastAsiaTheme="minorEastAsia"/>
        </w:rPr>
        <w:t xml:space="preserve">paragraph (b) of </w:t>
      </w:r>
      <w:r w:rsidRPr="00C91175">
        <w:rPr>
          <w:rFonts w:eastAsiaTheme="minorEastAsia"/>
        </w:rPr>
        <w:t xml:space="preserve">Article </w:t>
      </w:r>
      <w:r w:rsidR="001A401A" w:rsidRPr="00C91175">
        <w:rPr>
          <w:rFonts w:eastAsiaTheme="minorEastAsia"/>
        </w:rPr>
        <w:t>11</w:t>
      </w:r>
      <w:r w:rsidRPr="00C91175">
        <w:rPr>
          <w:rFonts w:eastAsiaTheme="minorEastAsia"/>
        </w:rPr>
        <w:t>.2</w:t>
      </w:r>
      <w:r w:rsidR="001A401A" w:rsidRPr="00C91175">
        <w:rPr>
          <w:rFonts w:eastAsiaTheme="minorEastAsia"/>
        </w:rPr>
        <w:t xml:space="preserve"> (Definitions)</w:t>
      </w:r>
      <w:r w:rsidRPr="00C91175">
        <w:rPr>
          <w:rFonts w:eastAsiaTheme="minorEastAsia"/>
        </w:rPr>
        <w:t xml:space="preserve"> of </w:t>
      </w:r>
      <w:r w:rsidR="00BF5C83">
        <w:t xml:space="preserve">Section 11.1 (General Provisions) of </w:t>
      </w:r>
      <w:r w:rsidRPr="00C91175">
        <w:rPr>
          <w:rFonts w:eastAsiaTheme="minorEastAsia"/>
        </w:rPr>
        <w:t xml:space="preserve">Chapter </w:t>
      </w:r>
      <w:r w:rsidR="001A401A" w:rsidRPr="00C91175">
        <w:t>11 (Good Regulatory Practices and Regulatory Cooperation)</w:t>
      </w:r>
      <w:r w:rsidRPr="00C91175">
        <w:rPr>
          <w:rFonts w:eastAsiaTheme="minorEastAsia"/>
        </w:rPr>
        <w:t xml:space="preserve"> refers to its primary and secondary legislation.</w:t>
      </w:r>
    </w:p>
    <w:p w14:paraId="7F6F3605" w14:textId="1BB5DC35" w:rsidR="00AB2153" w:rsidRDefault="007C3ED8" w:rsidP="007C3ED8">
      <w:pPr>
        <w:jc w:val="center"/>
      </w:pPr>
      <w:r>
        <w:t>________________</w:t>
      </w:r>
    </w:p>
    <w:sectPr w:rsidR="00AB2153" w:rsidSect="0013779A">
      <w:headerReference w:type="even" r:id="rId13"/>
      <w:headerReference w:type="default" r:id="rId14"/>
      <w:footerReference w:type="default" r:id="rId15"/>
      <w:pgSz w:w="11906" w:h="16838" w:code="9"/>
      <w:pgMar w:top="1701" w:right="1644" w:bottom="1701" w:left="221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D52803" w14:textId="77777777" w:rsidR="00527B5A" w:rsidRDefault="00527B5A">
      <w:pPr>
        <w:spacing w:after="0" w:line="240" w:lineRule="auto"/>
      </w:pPr>
      <w:r>
        <w:separator/>
      </w:r>
    </w:p>
  </w:endnote>
  <w:endnote w:type="continuationSeparator" w:id="0">
    <w:p w14:paraId="7190B2E2" w14:textId="77777777" w:rsidR="00527B5A" w:rsidRDefault="00527B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C22851" w14:textId="77777777" w:rsidR="004B62E8" w:rsidRDefault="004B62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9C0273" w14:textId="77777777" w:rsidR="004B62E8" w:rsidRDefault="004B62E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5BC36C" w14:textId="77777777" w:rsidR="004B62E8" w:rsidRDefault="004B62E8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52303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0E0C50" w14:textId="77777777" w:rsidR="0040317A" w:rsidRDefault="002B683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BFB2185" w14:textId="77777777" w:rsidR="002B5072" w:rsidRDefault="00527B5A">
    <w:pPr>
      <w:pStyle w:val="Footer"/>
    </w:pPr>
  </w:p>
  <w:p w14:paraId="7C41B797" w14:textId="77777777" w:rsidR="002E7694" w:rsidRDefault="00527B5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0D85DE" w14:textId="77777777" w:rsidR="00527B5A" w:rsidRDefault="00527B5A">
      <w:pPr>
        <w:spacing w:after="0" w:line="240" w:lineRule="auto"/>
      </w:pPr>
      <w:r>
        <w:separator/>
      </w:r>
    </w:p>
  </w:footnote>
  <w:footnote w:type="continuationSeparator" w:id="0">
    <w:p w14:paraId="69BF1E29" w14:textId="77777777" w:rsidR="00527B5A" w:rsidRDefault="00527B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E0FC5C" w14:textId="77777777" w:rsidR="004B62E8" w:rsidRDefault="004B62E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CE26E1" w14:textId="77777777" w:rsidR="004B62E8" w:rsidRDefault="004B62E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B1ABDD" w14:textId="77777777" w:rsidR="004B62E8" w:rsidRDefault="004B62E8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BFA4A5" w14:textId="77777777" w:rsidR="00732564" w:rsidRDefault="00527B5A">
    <w:pPr>
      <w:pStyle w:val="Header"/>
    </w:pPr>
  </w:p>
  <w:p w14:paraId="7F1C1AD0" w14:textId="77777777" w:rsidR="002E7694" w:rsidRDefault="00527B5A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F0E1E4" w14:textId="77777777" w:rsidR="00736CE2" w:rsidRPr="00B0195F" w:rsidRDefault="00527B5A" w:rsidP="0028370D">
    <w:pPr>
      <w:pStyle w:val="Header"/>
      <w:jc w:val="center"/>
      <w:rPr>
        <w:b/>
        <w:bCs/>
      </w:rPr>
    </w:pPr>
  </w:p>
  <w:p w14:paraId="4016EF60" w14:textId="77777777" w:rsidR="002E7694" w:rsidRPr="00B0195F" w:rsidRDefault="00527B5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3B2D7F"/>
    <w:multiLevelType w:val="multilevel"/>
    <w:tmpl w:val="48A2C22A"/>
    <w:lvl w:ilvl="0">
      <w:start w:val="1"/>
      <w:numFmt w:val="decimal"/>
      <w:pStyle w:val="FTAtextlistedparagraphs"/>
      <w:lvlText w:val="%1."/>
      <w:lvlJc w:val="left"/>
      <w:pPr>
        <w:tabs>
          <w:tab w:val="num" w:pos="0"/>
        </w:tabs>
        <w:ind w:left="709" w:hanging="709"/>
      </w:pPr>
      <w:rPr>
        <w:rFonts w:ascii="Times New Roman" w:hAnsi="Times New Roman" w:hint="default"/>
        <w:sz w:val="24"/>
      </w:rPr>
    </w:lvl>
    <w:lvl w:ilvl="1">
      <w:start w:val="1"/>
      <w:numFmt w:val="lowerLetter"/>
      <w:lvlText w:val="(%2)"/>
      <w:lvlJc w:val="left"/>
      <w:pPr>
        <w:tabs>
          <w:tab w:val="num" w:pos="1418"/>
        </w:tabs>
        <w:ind w:left="1304" w:hanging="595"/>
      </w:pPr>
      <w:rPr>
        <w:rFonts w:ascii="Times New Roman" w:hAnsi="Times New Roman" w:hint="default"/>
        <w:sz w:val="24"/>
      </w:rPr>
    </w:lvl>
    <w:lvl w:ilvl="2">
      <w:start w:val="1"/>
      <w:numFmt w:val="lowerRoman"/>
      <w:lvlText w:val="(%3)"/>
      <w:lvlJc w:val="left"/>
      <w:pPr>
        <w:tabs>
          <w:tab w:val="num" w:pos="2126"/>
        </w:tabs>
        <w:ind w:left="2126" w:hanging="708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(%4)"/>
      <w:lvlJc w:val="left"/>
      <w:pPr>
        <w:tabs>
          <w:tab w:val="num" w:pos="1020"/>
        </w:tabs>
        <w:ind w:left="1020" w:firstLine="0"/>
      </w:pPr>
      <w:rPr>
        <w:rFonts w:ascii="Times New Roman" w:hAnsi="Times New Roman" w:hint="default"/>
        <w:sz w:val="24"/>
      </w:rPr>
    </w:lvl>
    <w:lvl w:ilvl="4">
      <w:start w:val="1"/>
      <w:numFmt w:val="lowerLetter"/>
      <w:lvlText w:val="(%5a)"/>
      <w:lvlJc w:val="left"/>
      <w:pPr>
        <w:tabs>
          <w:tab w:val="num" w:pos="1360"/>
        </w:tabs>
        <w:ind w:left="1360" w:firstLine="0"/>
      </w:pPr>
      <w:rPr>
        <w:rFonts w:ascii="Times New Roman" w:hAnsi="Times New Roman" w:hint="default"/>
        <w:sz w:val="24"/>
      </w:rPr>
    </w:lvl>
    <w:lvl w:ilvl="5">
      <w:start w:val="1"/>
      <w:numFmt w:val="lowerRoman"/>
      <w:lvlText w:val="(%6)"/>
      <w:lvlJc w:val="left"/>
      <w:pPr>
        <w:tabs>
          <w:tab w:val="num" w:pos="1700"/>
        </w:tabs>
        <w:ind w:left="1700" w:firstLine="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7."/>
      <w:lvlJc w:val="left"/>
      <w:pPr>
        <w:tabs>
          <w:tab w:val="num" w:pos="2040"/>
        </w:tabs>
        <w:ind w:left="2040" w:firstLine="0"/>
      </w:pPr>
      <w:rPr>
        <w:rFonts w:ascii="Times New Roman" w:hAnsi="Times New Roman" w:hint="default"/>
        <w:sz w:val="24"/>
      </w:rPr>
    </w:lvl>
    <w:lvl w:ilvl="7">
      <w:start w:val="1"/>
      <w:numFmt w:val="lowerLetter"/>
      <w:lvlText w:val="%8."/>
      <w:lvlJc w:val="left"/>
      <w:pPr>
        <w:tabs>
          <w:tab w:val="num" w:pos="2380"/>
        </w:tabs>
        <w:ind w:left="238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720"/>
        </w:tabs>
        <w:ind w:left="2720" w:firstLine="0"/>
      </w:pPr>
      <w:rPr>
        <w:rFonts w:hint="default"/>
      </w:rPr>
    </w:lvl>
  </w:abstractNum>
  <w:abstractNum w:abstractNumId="1" w15:restartNumberingAfterBreak="0">
    <w:nsid w:val="17294561"/>
    <w:multiLevelType w:val="multilevel"/>
    <w:tmpl w:val="3E50F84C"/>
    <w:numStyleLink w:val="FTAtextlist"/>
  </w:abstractNum>
  <w:abstractNum w:abstractNumId="2" w15:restartNumberingAfterBreak="0">
    <w:nsid w:val="1A8F24BF"/>
    <w:multiLevelType w:val="multilevel"/>
    <w:tmpl w:val="3E50F84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sz w:val="24"/>
      </w:rPr>
    </w:lvl>
    <w:lvl w:ilvl="1">
      <w:start w:val="1"/>
      <w:numFmt w:val="lowerLetter"/>
      <w:lvlText w:val="(%2)"/>
      <w:lvlJc w:val="left"/>
      <w:pPr>
        <w:tabs>
          <w:tab w:val="num" w:pos="1418"/>
        </w:tabs>
        <w:ind w:left="1304" w:hanging="595"/>
      </w:pPr>
      <w:rPr>
        <w:rFonts w:ascii="Times New Roman" w:hAnsi="Times New Roman" w:hint="default"/>
        <w:sz w:val="24"/>
      </w:rPr>
    </w:lvl>
    <w:lvl w:ilvl="2">
      <w:start w:val="1"/>
      <w:numFmt w:val="lowerRoman"/>
      <w:lvlText w:val="(%3)"/>
      <w:lvlJc w:val="left"/>
      <w:pPr>
        <w:tabs>
          <w:tab w:val="num" w:pos="2126"/>
        </w:tabs>
        <w:ind w:left="2126" w:hanging="708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(%4)"/>
      <w:lvlJc w:val="left"/>
      <w:pPr>
        <w:tabs>
          <w:tab w:val="num" w:pos="1020"/>
        </w:tabs>
        <w:ind w:left="1020" w:firstLine="0"/>
      </w:pPr>
      <w:rPr>
        <w:rFonts w:ascii="Times New Roman" w:hAnsi="Times New Roman" w:hint="default"/>
        <w:sz w:val="24"/>
      </w:rPr>
    </w:lvl>
    <w:lvl w:ilvl="4">
      <w:start w:val="1"/>
      <w:numFmt w:val="lowerLetter"/>
      <w:lvlText w:val="(%5a)"/>
      <w:lvlJc w:val="left"/>
      <w:pPr>
        <w:tabs>
          <w:tab w:val="num" w:pos="1360"/>
        </w:tabs>
        <w:ind w:left="1360" w:firstLine="0"/>
      </w:pPr>
      <w:rPr>
        <w:rFonts w:ascii="Times New Roman" w:hAnsi="Times New Roman" w:hint="default"/>
        <w:sz w:val="24"/>
      </w:rPr>
    </w:lvl>
    <w:lvl w:ilvl="5">
      <w:start w:val="1"/>
      <w:numFmt w:val="lowerRoman"/>
      <w:lvlText w:val="(%6)"/>
      <w:lvlJc w:val="left"/>
      <w:pPr>
        <w:tabs>
          <w:tab w:val="num" w:pos="1700"/>
        </w:tabs>
        <w:ind w:left="1700" w:firstLine="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7."/>
      <w:lvlJc w:val="left"/>
      <w:pPr>
        <w:tabs>
          <w:tab w:val="num" w:pos="2040"/>
        </w:tabs>
        <w:ind w:left="2040" w:firstLine="0"/>
      </w:pPr>
      <w:rPr>
        <w:rFonts w:ascii="Times New Roman" w:hAnsi="Times New Roman" w:hint="default"/>
        <w:sz w:val="24"/>
      </w:rPr>
    </w:lvl>
    <w:lvl w:ilvl="7">
      <w:start w:val="1"/>
      <w:numFmt w:val="lowerLetter"/>
      <w:lvlText w:val="%8."/>
      <w:lvlJc w:val="left"/>
      <w:pPr>
        <w:tabs>
          <w:tab w:val="num" w:pos="2380"/>
        </w:tabs>
        <w:ind w:left="238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720"/>
        </w:tabs>
        <w:ind w:left="2720" w:firstLine="0"/>
      </w:pPr>
      <w:rPr>
        <w:rFonts w:hint="default"/>
      </w:rPr>
    </w:lvl>
  </w:abstractNum>
  <w:abstractNum w:abstractNumId="3" w15:restartNumberingAfterBreak="0">
    <w:nsid w:val="295B394A"/>
    <w:multiLevelType w:val="hybridMultilevel"/>
    <w:tmpl w:val="DA14DC70"/>
    <w:lvl w:ilvl="0" w:tplc="518E384A">
      <w:start w:val="1"/>
      <w:numFmt w:val="decimal"/>
      <w:lvlText w:val="APPENDIX %1:"/>
      <w:lvlJc w:val="left"/>
      <w:pPr>
        <w:ind w:left="1070" w:hanging="360"/>
      </w:pPr>
      <w:rPr>
        <w:rFonts w:ascii="Times New Roman" w:hAnsi="Times New Roman" w:cs="Times New Roman" w:hint="default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790" w:hanging="360"/>
      </w:pPr>
    </w:lvl>
    <w:lvl w:ilvl="2" w:tplc="0809001B">
      <w:start w:val="1"/>
      <w:numFmt w:val="lowerRoman"/>
      <w:lvlText w:val="%3."/>
      <w:lvlJc w:val="right"/>
      <w:pPr>
        <w:ind w:left="2510" w:hanging="180"/>
      </w:pPr>
    </w:lvl>
    <w:lvl w:ilvl="3" w:tplc="0809000F">
      <w:start w:val="1"/>
      <w:numFmt w:val="decimal"/>
      <w:lvlText w:val="%4."/>
      <w:lvlJc w:val="left"/>
      <w:pPr>
        <w:ind w:left="3230" w:hanging="360"/>
      </w:pPr>
    </w:lvl>
    <w:lvl w:ilvl="4" w:tplc="08090019">
      <w:start w:val="1"/>
      <w:numFmt w:val="lowerLetter"/>
      <w:lvlText w:val="%5."/>
      <w:lvlJc w:val="left"/>
      <w:pPr>
        <w:ind w:left="3950" w:hanging="360"/>
      </w:pPr>
    </w:lvl>
    <w:lvl w:ilvl="5" w:tplc="0809001B">
      <w:start w:val="1"/>
      <w:numFmt w:val="lowerRoman"/>
      <w:lvlText w:val="%6."/>
      <w:lvlJc w:val="right"/>
      <w:pPr>
        <w:ind w:left="4670" w:hanging="180"/>
      </w:pPr>
    </w:lvl>
    <w:lvl w:ilvl="6" w:tplc="0809000F">
      <w:start w:val="1"/>
      <w:numFmt w:val="decimal"/>
      <w:lvlText w:val="%7."/>
      <w:lvlJc w:val="left"/>
      <w:pPr>
        <w:ind w:left="5390" w:hanging="360"/>
      </w:pPr>
    </w:lvl>
    <w:lvl w:ilvl="7" w:tplc="08090019">
      <w:start w:val="1"/>
      <w:numFmt w:val="lowerLetter"/>
      <w:lvlText w:val="%8."/>
      <w:lvlJc w:val="left"/>
      <w:pPr>
        <w:ind w:left="6110" w:hanging="360"/>
      </w:pPr>
    </w:lvl>
    <w:lvl w:ilvl="8" w:tplc="0809001B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368120BD"/>
    <w:multiLevelType w:val="multilevel"/>
    <w:tmpl w:val="3E50F84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sz w:val="24"/>
      </w:rPr>
    </w:lvl>
    <w:lvl w:ilvl="1">
      <w:start w:val="1"/>
      <w:numFmt w:val="lowerLetter"/>
      <w:lvlText w:val="(%2)"/>
      <w:lvlJc w:val="left"/>
      <w:pPr>
        <w:tabs>
          <w:tab w:val="num" w:pos="1418"/>
        </w:tabs>
        <w:ind w:left="1304" w:hanging="595"/>
      </w:pPr>
      <w:rPr>
        <w:rFonts w:ascii="Times New Roman" w:hAnsi="Times New Roman" w:hint="default"/>
        <w:sz w:val="24"/>
      </w:rPr>
    </w:lvl>
    <w:lvl w:ilvl="2">
      <w:start w:val="1"/>
      <w:numFmt w:val="lowerRoman"/>
      <w:lvlText w:val="(%3)"/>
      <w:lvlJc w:val="left"/>
      <w:pPr>
        <w:tabs>
          <w:tab w:val="num" w:pos="2126"/>
        </w:tabs>
        <w:ind w:left="2126" w:hanging="708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(%4)"/>
      <w:lvlJc w:val="left"/>
      <w:pPr>
        <w:tabs>
          <w:tab w:val="num" w:pos="1020"/>
        </w:tabs>
        <w:ind w:left="1020" w:firstLine="0"/>
      </w:pPr>
      <w:rPr>
        <w:rFonts w:ascii="Times New Roman" w:hAnsi="Times New Roman" w:hint="default"/>
        <w:sz w:val="24"/>
      </w:rPr>
    </w:lvl>
    <w:lvl w:ilvl="4">
      <w:start w:val="1"/>
      <w:numFmt w:val="lowerLetter"/>
      <w:lvlText w:val="(%5a)"/>
      <w:lvlJc w:val="left"/>
      <w:pPr>
        <w:tabs>
          <w:tab w:val="num" w:pos="1360"/>
        </w:tabs>
        <w:ind w:left="1360" w:firstLine="0"/>
      </w:pPr>
      <w:rPr>
        <w:rFonts w:ascii="Times New Roman" w:hAnsi="Times New Roman" w:hint="default"/>
        <w:sz w:val="24"/>
      </w:rPr>
    </w:lvl>
    <w:lvl w:ilvl="5">
      <w:start w:val="1"/>
      <w:numFmt w:val="lowerRoman"/>
      <w:lvlText w:val="(%6)"/>
      <w:lvlJc w:val="left"/>
      <w:pPr>
        <w:tabs>
          <w:tab w:val="num" w:pos="1700"/>
        </w:tabs>
        <w:ind w:left="1700" w:firstLine="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7."/>
      <w:lvlJc w:val="left"/>
      <w:pPr>
        <w:tabs>
          <w:tab w:val="num" w:pos="2040"/>
        </w:tabs>
        <w:ind w:left="2040" w:firstLine="0"/>
      </w:pPr>
      <w:rPr>
        <w:rFonts w:ascii="Times New Roman" w:hAnsi="Times New Roman" w:hint="default"/>
        <w:sz w:val="24"/>
      </w:rPr>
    </w:lvl>
    <w:lvl w:ilvl="7">
      <w:start w:val="1"/>
      <w:numFmt w:val="lowerLetter"/>
      <w:lvlText w:val="%8."/>
      <w:lvlJc w:val="left"/>
      <w:pPr>
        <w:tabs>
          <w:tab w:val="num" w:pos="2380"/>
        </w:tabs>
        <w:ind w:left="238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720"/>
        </w:tabs>
        <w:ind w:left="2720" w:firstLine="0"/>
      </w:pPr>
      <w:rPr>
        <w:rFonts w:hint="default"/>
      </w:rPr>
    </w:lvl>
  </w:abstractNum>
  <w:abstractNum w:abstractNumId="5" w15:restartNumberingAfterBreak="0">
    <w:nsid w:val="38A14586"/>
    <w:multiLevelType w:val="multilevel"/>
    <w:tmpl w:val="3E50F84C"/>
    <w:styleLink w:val="FTAtextlist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sz w:val="24"/>
      </w:rPr>
    </w:lvl>
    <w:lvl w:ilvl="1">
      <w:start w:val="1"/>
      <w:numFmt w:val="lowerLetter"/>
      <w:lvlText w:val="(%2)"/>
      <w:lvlJc w:val="left"/>
      <w:pPr>
        <w:tabs>
          <w:tab w:val="num" w:pos="1418"/>
        </w:tabs>
        <w:ind w:left="1304" w:hanging="595"/>
      </w:pPr>
      <w:rPr>
        <w:rFonts w:ascii="Times New Roman" w:hAnsi="Times New Roman" w:hint="default"/>
        <w:sz w:val="24"/>
      </w:rPr>
    </w:lvl>
    <w:lvl w:ilvl="2">
      <w:start w:val="1"/>
      <w:numFmt w:val="lowerRoman"/>
      <w:lvlText w:val="(%3)"/>
      <w:lvlJc w:val="left"/>
      <w:pPr>
        <w:tabs>
          <w:tab w:val="num" w:pos="2126"/>
        </w:tabs>
        <w:ind w:left="2126" w:hanging="708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(%4)"/>
      <w:lvlJc w:val="left"/>
      <w:pPr>
        <w:tabs>
          <w:tab w:val="num" w:pos="1020"/>
        </w:tabs>
        <w:ind w:left="1020" w:firstLine="0"/>
      </w:pPr>
      <w:rPr>
        <w:rFonts w:ascii="Times New Roman" w:hAnsi="Times New Roman" w:hint="default"/>
        <w:sz w:val="24"/>
      </w:rPr>
    </w:lvl>
    <w:lvl w:ilvl="4">
      <w:start w:val="1"/>
      <w:numFmt w:val="lowerLetter"/>
      <w:lvlText w:val="(%5a)"/>
      <w:lvlJc w:val="left"/>
      <w:pPr>
        <w:tabs>
          <w:tab w:val="num" w:pos="1360"/>
        </w:tabs>
        <w:ind w:left="1360" w:firstLine="0"/>
      </w:pPr>
      <w:rPr>
        <w:rFonts w:ascii="Times New Roman" w:hAnsi="Times New Roman" w:hint="default"/>
        <w:sz w:val="24"/>
      </w:rPr>
    </w:lvl>
    <w:lvl w:ilvl="5">
      <w:start w:val="1"/>
      <w:numFmt w:val="lowerRoman"/>
      <w:lvlText w:val="(%6)"/>
      <w:lvlJc w:val="left"/>
      <w:pPr>
        <w:tabs>
          <w:tab w:val="num" w:pos="1700"/>
        </w:tabs>
        <w:ind w:left="1700" w:firstLine="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7."/>
      <w:lvlJc w:val="left"/>
      <w:pPr>
        <w:tabs>
          <w:tab w:val="num" w:pos="2040"/>
        </w:tabs>
        <w:ind w:left="2040" w:firstLine="0"/>
      </w:pPr>
      <w:rPr>
        <w:rFonts w:ascii="Times New Roman" w:hAnsi="Times New Roman" w:hint="default"/>
        <w:sz w:val="24"/>
      </w:rPr>
    </w:lvl>
    <w:lvl w:ilvl="7">
      <w:start w:val="1"/>
      <w:numFmt w:val="lowerLetter"/>
      <w:lvlText w:val="%8."/>
      <w:lvlJc w:val="left"/>
      <w:pPr>
        <w:tabs>
          <w:tab w:val="num" w:pos="2380"/>
        </w:tabs>
        <w:ind w:left="238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720"/>
        </w:tabs>
        <w:ind w:left="2720" w:firstLine="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2"/>
  </w:num>
  <w:num w:numId="4">
    <w:abstractNumId w:val="2"/>
  </w:num>
  <w:num w:numId="5">
    <w:abstractNumId w:val="0"/>
  </w:num>
  <w:num w:numId="6">
    <w:abstractNumId w:val="4"/>
  </w:num>
  <w:num w:numId="7">
    <w:abstractNumId w:val="5"/>
  </w:num>
  <w:num w:numId="8">
    <w:abstractNumId w:val="0"/>
  </w:num>
  <w:num w:numId="9">
    <w:abstractNumId w:val="1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mirrorMargin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83B"/>
    <w:rsid w:val="000E40B4"/>
    <w:rsid w:val="0013779A"/>
    <w:rsid w:val="001A401A"/>
    <w:rsid w:val="001E4509"/>
    <w:rsid w:val="00221A11"/>
    <w:rsid w:val="002B683B"/>
    <w:rsid w:val="00327E04"/>
    <w:rsid w:val="003B2807"/>
    <w:rsid w:val="004B62E8"/>
    <w:rsid w:val="00527B5A"/>
    <w:rsid w:val="006D28D9"/>
    <w:rsid w:val="007C3ED8"/>
    <w:rsid w:val="008D06CA"/>
    <w:rsid w:val="009C2D17"/>
    <w:rsid w:val="00AB2153"/>
    <w:rsid w:val="00B0195F"/>
    <w:rsid w:val="00BD5418"/>
    <w:rsid w:val="00BF5C83"/>
    <w:rsid w:val="00C91175"/>
    <w:rsid w:val="00D14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5187DB"/>
  <w15:chartTrackingRefBased/>
  <w15:docId w15:val="{881E3F37-946F-44E6-A63B-ACAF4628F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B683B"/>
    <w:pPr>
      <w:spacing w:after="180" w:line="260" w:lineRule="atLeast"/>
    </w:pPr>
    <w:rPr>
      <w:rFonts w:ascii="Times New Roman" w:hAnsi="Times New Roman" w:cs="Times New Roman"/>
      <w:sz w:val="24"/>
      <w:szCs w:val="16"/>
      <w:lang w:val="en-GB"/>
    </w:rPr>
  </w:style>
  <w:style w:type="paragraph" w:styleId="Heading1">
    <w:name w:val="heading 1"/>
    <w:basedOn w:val="Normal"/>
    <w:next w:val="Normal"/>
    <w:link w:val="Heading1Char"/>
    <w:uiPriority w:val="9"/>
    <w:rsid w:val="000E40B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0E40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40B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40B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40B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customStyle="1" w:styleId="Coverpageannexreftitle">
    <w:name w:val="Cover page annex ref + title"/>
    <w:basedOn w:val="MainagreementchapternoArabictitle"/>
    <w:link w:val="CoverpageannexreftitleChar"/>
    <w:qFormat/>
    <w:rsid w:val="000E40B4"/>
    <w:rPr>
      <w:b w:val="0"/>
      <w:sz w:val="28"/>
    </w:rPr>
  </w:style>
  <w:style w:type="character" w:customStyle="1" w:styleId="CoverpageannexreftitleChar">
    <w:name w:val="Cover page annex ref + title Char"/>
    <w:basedOn w:val="MainagreementchapternoArabictitleChar"/>
    <w:link w:val="Coverpageannexreftitle"/>
    <w:rsid w:val="000E40B4"/>
    <w:rPr>
      <w:rFonts w:ascii="Times New Roman" w:eastAsia="Times New Roman" w:hAnsi="Times New Roman" w:cstheme="majorBidi"/>
      <w:b w:val="0"/>
      <w:caps/>
      <w:sz w:val="28"/>
      <w:szCs w:val="26"/>
      <w:lang w:val="en-US" w:eastAsia="es-ES"/>
    </w:rPr>
  </w:style>
  <w:style w:type="paragraph" w:styleId="Footer">
    <w:name w:val="footer"/>
    <w:basedOn w:val="Normal"/>
    <w:link w:val="FooterChar"/>
    <w:uiPriority w:val="99"/>
    <w:unhideWhenUsed/>
    <w:rsid w:val="000E40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40B4"/>
    <w:rPr>
      <w:rFonts w:ascii="Times New Roman" w:hAnsi="Times New Roman" w:cs="Times New Roman"/>
      <w:sz w:val="24"/>
      <w:szCs w:val="16"/>
      <w:lang w:val="en-GB"/>
    </w:rPr>
  </w:style>
  <w:style w:type="paragraph" w:customStyle="1" w:styleId="footnoteFTA">
    <w:name w:val="footnote FTA"/>
    <w:basedOn w:val="Normal"/>
    <w:link w:val="footnoteFTAChar"/>
    <w:autoRedefine/>
    <w:qFormat/>
    <w:rsid w:val="000E40B4"/>
    <w:pPr>
      <w:tabs>
        <w:tab w:val="left" w:pos="709"/>
      </w:tabs>
      <w:spacing w:after="0" w:line="240" w:lineRule="auto"/>
      <w:jc w:val="both"/>
    </w:pPr>
    <w:rPr>
      <w:rFonts w:eastAsia="Batang" w:cstheme="minorBidi"/>
      <w:sz w:val="20"/>
      <w:szCs w:val="20"/>
      <w:lang w:eastAsia="zh-TW"/>
    </w:rPr>
  </w:style>
  <w:style w:type="character" w:customStyle="1" w:styleId="footnoteFTAChar">
    <w:name w:val="footnote FTA Char"/>
    <w:basedOn w:val="DefaultParagraphFont"/>
    <w:link w:val="footnoteFTA"/>
    <w:rsid w:val="000E40B4"/>
    <w:rPr>
      <w:rFonts w:ascii="Times New Roman" w:eastAsia="Batang" w:hAnsi="Times New Roman"/>
      <w:sz w:val="20"/>
      <w:szCs w:val="20"/>
      <w:lang w:val="en-GB" w:eastAsia="zh-TW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40B4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/>
    </w:rPr>
  </w:style>
  <w:style w:type="paragraph" w:customStyle="1" w:styleId="FTAtext">
    <w:name w:val="FTA text"/>
    <w:basedOn w:val="Normal"/>
    <w:link w:val="FTAtextChar"/>
    <w:autoRedefine/>
    <w:qFormat/>
    <w:rsid w:val="000E40B4"/>
    <w:pPr>
      <w:spacing w:after="240" w:line="240" w:lineRule="auto"/>
      <w:ind w:firstLine="709"/>
      <w:jc w:val="both"/>
    </w:pPr>
    <w:rPr>
      <w:rFonts w:eastAsia="Batang"/>
      <w:szCs w:val="24"/>
      <w:u w:color="000000"/>
      <w:lang w:eastAsia="zh-TW"/>
    </w:rPr>
  </w:style>
  <w:style w:type="character" w:customStyle="1" w:styleId="FTAtextChar">
    <w:name w:val="FTA text Char"/>
    <w:basedOn w:val="DefaultParagraphFont"/>
    <w:link w:val="FTAtext"/>
    <w:rsid w:val="000E40B4"/>
    <w:rPr>
      <w:rFonts w:ascii="Times New Roman" w:eastAsia="Batang" w:hAnsi="Times New Roman" w:cs="Times New Roman"/>
      <w:sz w:val="24"/>
      <w:szCs w:val="24"/>
      <w:u w:color="000000"/>
      <w:lang w:val="en-GB" w:eastAsia="zh-TW"/>
    </w:rPr>
  </w:style>
  <w:style w:type="paragraph" w:customStyle="1" w:styleId="FTAPreambletitle">
    <w:name w:val="FTA Preamble title"/>
    <w:basedOn w:val="MainagreementchapternoArabictitle"/>
    <w:link w:val="FTAPreambletitleChar"/>
    <w:autoRedefine/>
    <w:qFormat/>
    <w:rsid w:val="000E40B4"/>
    <w:rPr>
      <w:sz w:val="28"/>
    </w:rPr>
  </w:style>
  <w:style w:type="character" w:customStyle="1" w:styleId="FTAPreambletitleChar">
    <w:name w:val="FTA Preamble title Char"/>
    <w:basedOn w:val="MainagreementchapternoArabictitleChar"/>
    <w:link w:val="FTAPreambletitle"/>
    <w:rsid w:val="000E40B4"/>
    <w:rPr>
      <w:rFonts w:ascii="Times New Roman" w:eastAsia="Times New Roman" w:hAnsi="Times New Roman" w:cstheme="majorBidi"/>
      <w:b/>
      <w:caps/>
      <w:sz w:val="28"/>
      <w:szCs w:val="26"/>
      <w:lang w:val="en-US" w:eastAsia="es-ES"/>
    </w:rPr>
  </w:style>
  <w:style w:type="paragraph" w:customStyle="1" w:styleId="ANNEXIRomanREFTITLE">
    <w:name w:val="ANNEX I  (Roman)+ REF + TITLE"/>
    <w:basedOn w:val="Normal"/>
    <w:link w:val="ANNEXIRomanREFTITLEChar"/>
    <w:autoRedefine/>
    <w:qFormat/>
    <w:rsid w:val="003B2807"/>
    <w:pPr>
      <w:spacing w:before="240" w:after="240" w:line="240" w:lineRule="auto"/>
      <w:jc w:val="center"/>
    </w:pPr>
    <w:rPr>
      <w:u w:val="single"/>
    </w:rPr>
  </w:style>
  <w:style w:type="paragraph" w:styleId="Header">
    <w:name w:val="header"/>
    <w:basedOn w:val="Normal"/>
    <w:link w:val="HeaderChar"/>
    <w:unhideWhenUsed/>
    <w:rsid w:val="000E40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0E40B4"/>
    <w:rPr>
      <w:rFonts w:ascii="Times New Roman" w:hAnsi="Times New Roman" w:cs="Times New Roman"/>
      <w:sz w:val="24"/>
      <w:szCs w:val="1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40B4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40B4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16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40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40B4"/>
    <w:rPr>
      <w:rFonts w:ascii="Segoe UI" w:hAnsi="Segoe UI" w:cs="Segoe UI"/>
      <w:sz w:val="18"/>
      <w:szCs w:val="18"/>
      <w:lang w:val="en-GB"/>
    </w:rPr>
  </w:style>
  <w:style w:type="paragraph" w:customStyle="1" w:styleId="FTAAnnexTabletitle">
    <w:name w:val="FTA Annex Table title"/>
    <w:basedOn w:val="Normal"/>
    <w:autoRedefine/>
    <w:qFormat/>
    <w:rsid w:val="000E40B4"/>
    <w:pPr>
      <w:spacing w:before="240" w:after="420"/>
      <w:jc w:val="center"/>
    </w:pPr>
    <w:rPr>
      <w:u w:val="single"/>
    </w:rPr>
  </w:style>
  <w:style w:type="paragraph" w:customStyle="1" w:styleId="FTAAppendixArticleTitle">
    <w:name w:val="FTA Appendix Article Title"/>
    <w:basedOn w:val="Normal"/>
    <w:next w:val="FTAtext"/>
    <w:autoRedefine/>
    <w:qFormat/>
    <w:rsid w:val="000E40B4"/>
    <w:pPr>
      <w:spacing w:before="240" w:after="420"/>
      <w:jc w:val="center"/>
    </w:pPr>
    <w:rPr>
      <w:rFonts w:ascii="Times New Roman Bold" w:hAnsi="Times New Roman Bold"/>
      <w:b/>
      <w:bCs/>
      <w:i/>
      <w:iCs/>
    </w:rPr>
  </w:style>
  <w:style w:type="character" w:customStyle="1" w:styleId="ANNEXIRomanREFTITLEChar">
    <w:name w:val="ANNEX I  (Roman)+ REF + TITLE Char"/>
    <w:basedOn w:val="DefaultParagraphFont"/>
    <w:link w:val="ANNEXIRomanREFTITLE"/>
    <w:rsid w:val="003B2807"/>
    <w:rPr>
      <w:rFonts w:ascii="Times New Roman" w:hAnsi="Times New Roman" w:cs="Times New Roman"/>
      <w:sz w:val="24"/>
      <w:szCs w:val="16"/>
      <w:u w:val="single"/>
      <w:lang w:val="en-GB"/>
    </w:rPr>
  </w:style>
  <w:style w:type="paragraph" w:customStyle="1" w:styleId="FTAtitle">
    <w:name w:val="FTA title"/>
    <w:basedOn w:val="Heading1"/>
    <w:link w:val="FTAtitleChar"/>
    <w:qFormat/>
    <w:rsid w:val="000E40B4"/>
    <w:pPr>
      <w:spacing w:before="0" w:line="600" w:lineRule="auto"/>
      <w:jc w:val="center"/>
    </w:pPr>
    <w:rPr>
      <w:rFonts w:ascii="Times New Roman" w:eastAsia="Times New Roman" w:hAnsi="Times New Roman"/>
      <w:caps/>
      <w:color w:val="auto"/>
      <w:sz w:val="44"/>
      <w:szCs w:val="26"/>
      <w:lang w:eastAsia="es-ES"/>
    </w:rPr>
  </w:style>
  <w:style w:type="character" w:customStyle="1" w:styleId="FTAtitleChar">
    <w:name w:val="FTA title Char"/>
    <w:basedOn w:val="DefaultParagraphFont"/>
    <w:link w:val="FTAtitle"/>
    <w:rsid w:val="000E40B4"/>
    <w:rPr>
      <w:rFonts w:ascii="Times New Roman" w:eastAsia="Times New Roman" w:hAnsi="Times New Roman" w:cstheme="majorBidi"/>
      <w:caps/>
      <w:sz w:val="44"/>
      <w:szCs w:val="26"/>
      <w:lang w:val="en-GB" w:eastAsia="es-ES"/>
    </w:rPr>
  </w:style>
  <w:style w:type="paragraph" w:customStyle="1" w:styleId="AnnexSectiontitle">
    <w:name w:val="Annex Section title"/>
    <w:rsid w:val="000E40B4"/>
    <w:pPr>
      <w:spacing w:before="240" w:after="400"/>
      <w:jc w:val="center"/>
    </w:pPr>
    <w:rPr>
      <w:rFonts w:ascii="Times New Roman Bold" w:hAnsi="Times New Roman Bold" w:cs="Times New Roman"/>
      <w:b/>
      <w:bCs/>
      <w:caps/>
      <w:sz w:val="24"/>
      <w:szCs w:val="16"/>
      <w:lang w:val="en-GB"/>
    </w:rPr>
  </w:style>
  <w:style w:type="paragraph" w:customStyle="1" w:styleId="ANNEXSECTIONNUMBERRoman">
    <w:name w:val="ANNEX SECTION NUMBER (Roman)"/>
    <w:basedOn w:val="AnnexSectiontitle"/>
    <w:autoRedefine/>
    <w:qFormat/>
    <w:rsid w:val="000E40B4"/>
    <w:pPr>
      <w:spacing w:after="240" w:line="240" w:lineRule="auto"/>
    </w:pPr>
  </w:style>
  <w:style w:type="paragraph" w:customStyle="1" w:styleId="ArticlenumberArabic">
    <w:name w:val="Article number (Arabic)"/>
    <w:basedOn w:val="Heading2"/>
    <w:link w:val="ArticlenumberArabicChar"/>
    <w:autoRedefine/>
    <w:qFormat/>
    <w:rsid w:val="000E40B4"/>
    <w:pPr>
      <w:spacing w:before="480" w:line="480" w:lineRule="auto"/>
      <w:jc w:val="center"/>
    </w:pPr>
    <w:rPr>
      <w:rFonts w:ascii="Times New Roman" w:eastAsia="Times New Roman" w:hAnsi="Times New Roman"/>
      <w:smallCaps/>
      <w:color w:val="auto"/>
      <w:sz w:val="24"/>
      <w:lang w:eastAsia="es-ES"/>
    </w:rPr>
  </w:style>
  <w:style w:type="character" w:customStyle="1" w:styleId="ArticlenumberArabicChar">
    <w:name w:val="Article number (Arabic) Char"/>
    <w:basedOn w:val="DefaultParagraphFont"/>
    <w:link w:val="ArticlenumberArabic"/>
    <w:rsid w:val="000E40B4"/>
    <w:rPr>
      <w:rFonts w:ascii="Times New Roman" w:eastAsia="Times New Roman" w:hAnsi="Times New Roman" w:cstheme="majorBidi"/>
      <w:smallCaps/>
      <w:sz w:val="24"/>
      <w:szCs w:val="26"/>
      <w:lang w:val="en-GB" w:eastAsia="es-ES"/>
    </w:rPr>
  </w:style>
  <w:style w:type="paragraph" w:customStyle="1" w:styleId="AppendixArticlenumberarabic">
    <w:name w:val="Appendix Article number (arabic)"/>
    <w:basedOn w:val="ArticlenumberArabic"/>
    <w:next w:val="FTAtext"/>
    <w:autoRedefine/>
    <w:qFormat/>
    <w:rsid w:val="000E40B4"/>
  </w:style>
  <w:style w:type="paragraph" w:customStyle="1" w:styleId="Appendixnumberarabicreference">
    <w:name w:val="Appendix number (arabic) &amp; reference"/>
    <w:basedOn w:val="Normal"/>
    <w:autoRedefine/>
    <w:qFormat/>
    <w:rsid w:val="000E40B4"/>
    <w:pPr>
      <w:spacing w:before="240" w:after="420"/>
      <w:jc w:val="center"/>
    </w:pPr>
    <w:rPr>
      <w:rFonts w:cstheme="minorBidi"/>
      <w:caps/>
      <w:szCs w:val="24"/>
      <w:u w:val="single"/>
    </w:rPr>
  </w:style>
  <w:style w:type="paragraph" w:customStyle="1" w:styleId="Appendixtabletitle">
    <w:name w:val="Appendix table title"/>
    <w:basedOn w:val="Normal"/>
    <w:autoRedefine/>
    <w:qFormat/>
    <w:rsid w:val="000E40B4"/>
    <w:pPr>
      <w:spacing w:before="240" w:after="420"/>
      <w:jc w:val="center"/>
    </w:pPr>
    <w:rPr>
      <w:rFonts w:ascii="Times New Roman Bold" w:hAnsi="Times New Roman Bold"/>
      <w:b/>
      <w:bCs/>
      <w:caps/>
    </w:rPr>
  </w:style>
  <w:style w:type="paragraph" w:customStyle="1" w:styleId="ArticleTitle">
    <w:name w:val="Article Title"/>
    <w:basedOn w:val="Heading2"/>
    <w:link w:val="ArticleTitleChar"/>
    <w:autoRedefine/>
    <w:qFormat/>
    <w:rsid w:val="000E40B4"/>
    <w:pPr>
      <w:spacing w:before="0" w:after="240" w:line="240" w:lineRule="auto"/>
      <w:jc w:val="center"/>
    </w:pPr>
    <w:rPr>
      <w:rFonts w:ascii="Times New Roman" w:eastAsia="Times New Roman" w:hAnsi="Times New Roman"/>
      <w:b/>
      <w:i/>
      <w:color w:val="auto"/>
      <w:sz w:val="24"/>
      <w:lang w:eastAsia="es-ES"/>
    </w:rPr>
  </w:style>
  <w:style w:type="character" w:customStyle="1" w:styleId="ArticleTitleChar">
    <w:name w:val="Article Title Char"/>
    <w:basedOn w:val="DefaultParagraphFont"/>
    <w:link w:val="ArticleTitle"/>
    <w:rsid w:val="000E40B4"/>
    <w:rPr>
      <w:rFonts w:ascii="Times New Roman" w:eastAsia="Times New Roman" w:hAnsi="Times New Roman" w:cstheme="majorBidi"/>
      <w:b/>
      <w:i/>
      <w:sz w:val="24"/>
      <w:szCs w:val="26"/>
      <w:lang w:val="en-GB" w:eastAsia="es-ES"/>
    </w:rPr>
  </w:style>
  <w:style w:type="paragraph" w:customStyle="1" w:styleId="CoverpageAnnexIRoman">
    <w:name w:val="Cover page Annex I (Roman)"/>
    <w:basedOn w:val="Normal"/>
    <w:autoRedefine/>
    <w:qFormat/>
    <w:rsid w:val="000E40B4"/>
    <w:pPr>
      <w:spacing w:before="240" w:after="420"/>
      <w:jc w:val="center"/>
    </w:pPr>
    <w:rPr>
      <w:rFonts w:ascii="Times New Roman Bold" w:hAnsi="Times New Roman Bold"/>
      <w:b/>
      <w:bCs/>
      <w:caps/>
      <w:sz w:val="32"/>
      <w:szCs w:val="20"/>
    </w:rPr>
  </w:style>
  <w:style w:type="paragraph" w:customStyle="1" w:styleId="MainagreementchapternoArabictitle">
    <w:name w:val="Main agreement chapter no (Arabic) + title"/>
    <w:basedOn w:val="Heading1"/>
    <w:link w:val="MainagreementchapternoArabictitleChar"/>
    <w:autoRedefine/>
    <w:qFormat/>
    <w:rsid w:val="000E40B4"/>
    <w:pPr>
      <w:spacing w:before="0" w:line="480" w:lineRule="auto"/>
      <w:jc w:val="center"/>
    </w:pPr>
    <w:rPr>
      <w:rFonts w:ascii="Times New Roman" w:eastAsia="Times New Roman" w:hAnsi="Times New Roman"/>
      <w:b/>
      <w:caps/>
      <w:color w:val="auto"/>
      <w:sz w:val="24"/>
      <w:szCs w:val="26"/>
      <w:lang w:val="en-US" w:eastAsia="es-ES"/>
    </w:rPr>
  </w:style>
  <w:style w:type="character" w:customStyle="1" w:styleId="MainagreementchapternoArabictitleChar">
    <w:name w:val="Main agreement chapter no (Arabic) + title Char"/>
    <w:basedOn w:val="DefaultParagraphFont"/>
    <w:link w:val="MainagreementchapternoArabictitle"/>
    <w:rsid w:val="000E40B4"/>
    <w:rPr>
      <w:rFonts w:ascii="Times New Roman" w:eastAsia="Times New Roman" w:hAnsi="Times New Roman" w:cstheme="majorBidi"/>
      <w:b/>
      <w:caps/>
      <w:sz w:val="24"/>
      <w:szCs w:val="26"/>
      <w:lang w:val="en-US" w:eastAsia="es-ES"/>
    </w:rPr>
  </w:style>
  <w:style w:type="character" w:styleId="FootnoteReference">
    <w:name w:val="footnote reference"/>
    <w:basedOn w:val="DefaultParagraphFont"/>
    <w:uiPriority w:val="99"/>
    <w:semiHidden/>
    <w:unhideWhenUsed/>
    <w:rsid w:val="000E40B4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E40B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E40B4"/>
    <w:rPr>
      <w:rFonts w:ascii="Times New Roman" w:hAnsi="Times New Roman" w:cs="Times New Roman"/>
      <w:sz w:val="20"/>
      <w:szCs w:val="20"/>
      <w:lang w:val="en-GB"/>
    </w:rPr>
  </w:style>
  <w:style w:type="numbering" w:customStyle="1" w:styleId="FTAtextlist">
    <w:name w:val="FTA text list"/>
    <w:uiPriority w:val="99"/>
    <w:rsid w:val="000E40B4"/>
    <w:pPr>
      <w:numPr>
        <w:numId w:val="7"/>
      </w:numPr>
    </w:pPr>
  </w:style>
  <w:style w:type="paragraph" w:customStyle="1" w:styleId="FTAtextlistedparagraphs">
    <w:name w:val="FTA text listed (paragraphs)"/>
    <w:basedOn w:val="FTAtext"/>
    <w:qFormat/>
    <w:rsid w:val="000E40B4"/>
    <w:pPr>
      <w:numPr>
        <w:numId w:val="8"/>
      </w:numPr>
      <w:tabs>
        <w:tab w:val="clear" w:pos="0"/>
      </w:tabs>
    </w:pPr>
  </w:style>
  <w:style w:type="paragraph" w:customStyle="1" w:styleId="AnnexesFTAarticlenumber">
    <w:name w:val="Annexes FTA article number"/>
    <w:basedOn w:val="Normal"/>
    <w:link w:val="AnnexesFTAarticlenumberChar"/>
    <w:qFormat/>
    <w:rsid w:val="002B683B"/>
    <w:pPr>
      <w:keepNext/>
      <w:keepLines/>
      <w:spacing w:before="480" w:after="0" w:line="480" w:lineRule="auto"/>
      <w:jc w:val="center"/>
      <w:outlineLvl w:val="1"/>
    </w:pPr>
    <w:rPr>
      <w:rFonts w:eastAsia="Times New Roman" w:cstheme="majorBidi"/>
      <w:szCs w:val="26"/>
      <w:u w:val="single"/>
      <w:lang w:eastAsia="es-ES"/>
    </w:rPr>
  </w:style>
  <w:style w:type="character" w:customStyle="1" w:styleId="AnnexesFTAarticlenumberChar">
    <w:name w:val="Annexes FTA article number Char"/>
    <w:basedOn w:val="DefaultParagraphFont"/>
    <w:link w:val="AnnexesFTAarticlenumber"/>
    <w:rsid w:val="002B683B"/>
    <w:rPr>
      <w:rFonts w:ascii="Times New Roman" w:eastAsia="Times New Roman" w:hAnsi="Times New Roman" w:cstheme="majorBidi"/>
      <w:sz w:val="24"/>
      <w:szCs w:val="26"/>
      <w:u w:val="single"/>
      <w:lang w:val="en-GB" w:eastAsia="es-ES"/>
    </w:rPr>
  </w:style>
  <w:style w:type="paragraph" w:customStyle="1" w:styleId="FTAarticletitle">
    <w:name w:val="FTA article title"/>
    <w:basedOn w:val="Heading2"/>
    <w:link w:val="FTAarticletitleChar"/>
    <w:qFormat/>
    <w:rsid w:val="002B683B"/>
    <w:pPr>
      <w:spacing w:before="0" w:after="240" w:line="240" w:lineRule="auto"/>
      <w:jc w:val="center"/>
    </w:pPr>
    <w:rPr>
      <w:rFonts w:ascii="Times New Roman" w:eastAsia="Times New Roman" w:hAnsi="Times New Roman"/>
      <w:b/>
      <w:i/>
      <w:color w:val="auto"/>
      <w:sz w:val="24"/>
      <w:lang w:eastAsia="es-ES"/>
    </w:rPr>
  </w:style>
  <w:style w:type="character" w:customStyle="1" w:styleId="FTAarticletitleChar">
    <w:name w:val="FTA article title Char"/>
    <w:basedOn w:val="DefaultParagraphFont"/>
    <w:link w:val="FTAarticletitle"/>
    <w:rsid w:val="002B683B"/>
    <w:rPr>
      <w:rFonts w:ascii="Times New Roman" w:eastAsia="Times New Roman" w:hAnsi="Times New Roman" w:cstheme="majorBidi"/>
      <w:b/>
      <w:i/>
      <w:sz w:val="24"/>
      <w:szCs w:val="26"/>
      <w:lang w:val="en-GB" w:eastAsia="es-ES"/>
    </w:rPr>
  </w:style>
  <w:style w:type="paragraph" w:customStyle="1" w:styleId="FTAlisttext">
    <w:name w:val="FTA list text"/>
    <w:basedOn w:val="FTAtext"/>
    <w:qFormat/>
    <w:rsid w:val="002B683B"/>
    <w:pPr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2</ap:TotalTime>
  <ap:Pages>3</ap:Pages>
  <ap:Words>193</ap:Words>
  <ap:Characters>1102</ap:Characters>
  <ap:Application>Microsoft Office Word</ap:Application>
  <ap:DocSecurity>0</ap:DocSecurity>
  <ap:Lines>9</ap:Lines>
  <ap:Paragraphs>2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1293</ap:CharactersWithSpaces>
  <ap:SharedDoc>false</ap:SharedDoc>
  <ap:HyperlinksChanged>false</ap:HyperlinksChanged>
  <ap:AppVersion>16.0000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WIERSHOLM Thomas Christen</dc:creator>
  <cp:keywords/>
  <dc:description/>
  <cp:lastModifiedBy>EFTA</cp:lastModifiedBy>
  <cp:revision>11</cp:revision>
  <cp:lastPrinted>2021-07-06T13:31:00Z</cp:lastPrinted>
  <dcterms:created xsi:type="dcterms:W3CDTF">2021-05-28T13:15:00Z</dcterms:created>
  <dcterms:modified xsi:type="dcterms:W3CDTF">2021-07-06T13:33:00Z</dcterms:modified>
</cp:coreProperties>
</file>