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6B3B" w:rsidP="00D718D0">
      <w:pPr>
        <w:pStyle w:val="is-dep"/>
      </w:pPr>
      <w:r>
        <w:t>Barne- og likestillingsdepartementet</w:t>
      </w:r>
    </w:p>
    <w:p w:rsidR="00000000" w:rsidRDefault="00D718D0" w:rsidP="00BA3E8B">
      <w:pPr>
        <w:pStyle w:val="i-hode"/>
      </w:pPr>
      <w:r>
        <w:t>Prop. 63 L</w:t>
      </w:r>
    </w:p>
    <w:p w:rsidR="00000000" w:rsidRDefault="00D718D0" w:rsidP="00BA3E8B">
      <w:pPr>
        <w:pStyle w:val="i-sesjon"/>
      </w:pPr>
      <w:r>
        <w:t>(2018–2019)</w:t>
      </w:r>
    </w:p>
    <w:p w:rsidR="00000000" w:rsidRDefault="00D718D0" w:rsidP="00BA3E8B">
      <w:pPr>
        <w:pStyle w:val="i-hode-tit"/>
      </w:pPr>
      <w:r>
        <w:t>Proposisjon til Stortinget (forslag</w:t>
      </w:r>
      <w:bookmarkStart w:id="0" w:name="_GoBack"/>
      <w:bookmarkEnd w:id="0"/>
      <w:r>
        <w:t xml:space="preserve"> til lovvedtak)</w:t>
      </w:r>
    </w:p>
    <w:p w:rsidR="00000000" w:rsidRDefault="00D718D0" w:rsidP="00BA3E8B">
      <w:pPr>
        <w:pStyle w:val="i-tit"/>
        <w:rPr>
          <w:b/>
          <w:bCs/>
          <w:sz w:val="22"/>
        </w:rPr>
      </w:pPr>
      <w:r>
        <w:t>Endringer i diskrimineringsombudsloven og likestillings- og diskriminering</w:t>
      </w:r>
      <w:r>
        <w:t>sloven (etablering av et lavterskeltilbud for behandling av saker om seksuell trakassering og en styrking av aktivitets- og redegjørelsesplikten)</w:t>
      </w:r>
    </w:p>
    <w:p w:rsidR="00000000" w:rsidRDefault="00586B3B" w:rsidP="00BA3E8B">
      <w:pPr>
        <w:pStyle w:val="i-dep"/>
      </w:pPr>
      <w:r>
        <w:t>Barne- og likestillingsdepartementet</w:t>
      </w:r>
    </w:p>
    <w:p w:rsidR="00000000" w:rsidRDefault="00D718D0" w:rsidP="00BA3E8B">
      <w:pPr>
        <w:pStyle w:val="i-hode"/>
      </w:pPr>
      <w:r>
        <w:t>Prop. 63 L</w:t>
      </w:r>
    </w:p>
    <w:p w:rsidR="00000000" w:rsidRDefault="00D718D0" w:rsidP="00BA3E8B">
      <w:pPr>
        <w:pStyle w:val="i-sesjon"/>
      </w:pPr>
      <w:r>
        <w:t>(2018–2019)</w:t>
      </w:r>
    </w:p>
    <w:p w:rsidR="00000000" w:rsidRDefault="00D718D0" w:rsidP="00BA3E8B">
      <w:pPr>
        <w:pStyle w:val="i-hode-tit"/>
      </w:pPr>
      <w:r>
        <w:t>Proposisjon til Stortinget (forslag til lovvedtak)</w:t>
      </w:r>
    </w:p>
    <w:p w:rsidR="00000000" w:rsidRDefault="00D718D0" w:rsidP="00BA3E8B">
      <w:pPr>
        <w:pStyle w:val="i-tit"/>
      </w:pPr>
      <w:r>
        <w:t>Endringer i diskrimineringsombudsloven og likestillings- og diskrimineringsloven (etablering av et lavterskeltilbud for behandling av saker om seksuell trakassering og en styrking av aktivitets- og redegjørelsesplikten)</w:t>
      </w:r>
    </w:p>
    <w:p w:rsidR="00000000" w:rsidRDefault="00D718D0" w:rsidP="00BA3E8B">
      <w:pPr>
        <w:pStyle w:val="i-statsrdato"/>
      </w:pPr>
      <w:r>
        <w:t>Tilråding fra Barne- og likestilling</w:t>
      </w:r>
      <w:r>
        <w:t>sdepartementet 5. april 2019, godkjent i statsråd samme dag. (Regjeringen Solberg)</w:t>
      </w:r>
    </w:p>
    <w:p w:rsidR="00000000" w:rsidRDefault="00D718D0" w:rsidP="000A1950">
      <w:pPr>
        <w:pStyle w:val="Overskrift1"/>
      </w:pPr>
      <w:r>
        <w:t>Proposisjonens hovedinnhold</w:t>
      </w:r>
    </w:p>
    <w:p w:rsidR="00000000" w:rsidRDefault="00D718D0" w:rsidP="00BA3E8B">
      <w:pPr>
        <w:pStyle w:val="Overskrift2"/>
      </w:pPr>
      <w:r>
        <w:t>Innledning</w:t>
      </w:r>
    </w:p>
    <w:p w:rsidR="00000000" w:rsidRDefault="00D718D0" w:rsidP="00BA3E8B">
      <w:r>
        <w:t>Barne- og likestillingsdepartementet (BLD) legger med dette frem forslag om:</w:t>
      </w:r>
    </w:p>
    <w:p w:rsidR="00000000" w:rsidRDefault="00D718D0" w:rsidP="00BA3E8B">
      <w:pPr>
        <w:pStyle w:val="Liste"/>
      </w:pPr>
      <w:r>
        <w:t>å etablere et lavterskeltilbud for hå</w:t>
      </w:r>
      <w:r>
        <w:t>ndheving av forbudet mot seksuell trakassering i lik</w:t>
      </w:r>
      <w:r>
        <w:t>e</w:t>
      </w:r>
      <w:r>
        <w:t>stillings- og diskrimineringsloven.</w:t>
      </w:r>
    </w:p>
    <w:p w:rsidR="00000000" w:rsidRDefault="00D718D0" w:rsidP="00BA3E8B">
      <w:pPr>
        <w:pStyle w:val="Liste"/>
      </w:pPr>
      <w:r>
        <w:lastRenderedPageBreak/>
        <w:t>en styrking av aktivitets- og redegjørelsesplikten.</w:t>
      </w:r>
    </w:p>
    <w:p w:rsidR="00000000" w:rsidRDefault="00D718D0" w:rsidP="00BA3E8B">
      <w:r>
        <w:t xml:space="preserve">Likestillings- og diskrimineringsloven skal bidra til reell likestilling. Selv om lovverket gir god beskyttelse mot diskriminering og trakassering viser undersøkelser og #Metoo-kampanjen at omfanget av seksuell trakassering er omfattende og at dette skjer </w:t>
      </w:r>
      <w:r>
        <w:t>på de fleste samfunnsområdene. For å løse disse utfordrin</w:t>
      </w:r>
      <w:r>
        <w:t>g</w:t>
      </w:r>
      <w:r>
        <w:t>ene trenger vi et lavterskeltilbud og et styrket veilednings- og hjelp</w:t>
      </w:r>
      <w:r>
        <w:t>e</w:t>
      </w:r>
      <w:r>
        <w:t>tilbud for personer som utsettes for se</w:t>
      </w:r>
      <w:r>
        <w:t>k</w:t>
      </w:r>
      <w:r>
        <w:t>suell trakassering.</w:t>
      </w:r>
    </w:p>
    <w:p w:rsidR="00000000" w:rsidRDefault="00D718D0" w:rsidP="00BA3E8B">
      <w:r>
        <w:t>Aktivitets- og redegjørelsesplikten etter likestillings- og diskrim</w:t>
      </w:r>
      <w:r>
        <w:t>ineringsloven er et viktig verktøy for å nå målet om reell likestilling. Det er godt dokumentert at det er en manglende oppfølging av pliktene hos mange virksomheter og at bestemmelsene derfor ikke virker etter sin hensikt. Det er derfor nødvendig å styrke</w:t>
      </w:r>
      <w:r>
        <w:t xml:space="preserve"> a</w:t>
      </w:r>
      <w:r>
        <w:t>k</w:t>
      </w:r>
      <w:r>
        <w:t>tivitets- og redegjørelsesplikten.</w:t>
      </w:r>
    </w:p>
    <w:p w:rsidR="00000000" w:rsidRDefault="00D718D0" w:rsidP="00BA3E8B">
      <w:r>
        <w:t>For å ivareta hensynet til en helhetlig fremstilling er enkeltheter som fremgår av lovens forskrift også omtalt i proposisjonen.</w:t>
      </w:r>
    </w:p>
    <w:p w:rsidR="00000000" w:rsidRDefault="00D718D0" w:rsidP="00BA3E8B">
      <w:r>
        <w:t>Regjeringen sier i Granavoldplattformen at de vil:</w:t>
      </w:r>
    </w:p>
    <w:p w:rsidR="00000000" w:rsidRDefault="00D718D0" w:rsidP="00BA3E8B">
      <w:pPr>
        <w:pStyle w:val="blokksit"/>
      </w:pPr>
      <w:r>
        <w:t>«Styrke arbeidstilsynets innsats og op</w:t>
      </w:r>
      <w:r>
        <w:t>prette et lavterskeltilbud for håndhevelse av saker om se</w:t>
      </w:r>
      <w:r>
        <w:t>k</w:t>
      </w:r>
      <w:r>
        <w:t>suell trakassering.»</w:t>
      </w:r>
    </w:p>
    <w:p w:rsidR="00000000" w:rsidRDefault="00D718D0" w:rsidP="00BA3E8B">
      <w:r>
        <w:t>Stortinget har i tre anmodningsvedtak bedt regjeringen om å innføre et lavterskeltilbud for b</w:t>
      </w:r>
      <w:r>
        <w:t>e</w:t>
      </w:r>
      <w:r>
        <w:t>handling av saker om seksuell trakassering, herunder å styrke veilednings- og hjelp</w:t>
      </w:r>
      <w:r>
        <w:t>etilbudet til personer som utsettes for seksuell trakassering. Stortinget har også bedt om at nemnda gis myndighet til å gi oppreisning i s</w:t>
      </w:r>
      <w:r>
        <w:t>a</w:t>
      </w:r>
      <w:r>
        <w:t>ker innenfor arbeidslivet og erstatning i enkle saksforhold.</w:t>
      </w:r>
    </w:p>
    <w:p w:rsidR="00000000" w:rsidRDefault="00D718D0" w:rsidP="00BA3E8B">
      <w:r>
        <w:t>For å oppnå reell likestilling er det ikke tilstrekkeli</w:t>
      </w:r>
      <w:r>
        <w:t>g med et diskrimineringsvern for enkelti</w:t>
      </w:r>
      <w:r>
        <w:t>n</w:t>
      </w:r>
      <w:r>
        <w:t>divider. Reell likestilling forutsetter en aktiv innsats for likestillingsarbeid.</w:t>
      </w:r>
    </w:p>
    <w:p w:rsidR="00000000" w:rsidRDefault="00D718D0" w:rsidP="00BA3E8B">
      <w:r>
        <w:t>Det er imidlertid behov for å styrke aktivitets- og redegjørelsesplikten, gjennom en konkretis</w:t>
      </w:r>
      <w:r>
        <w:t>e</w:t>
      </w:r>
      <w:r>
        <w:t>ring av pliktene.</w:t>
      </w:r>
    </w:p>
    <w:p w:rsidR="00000000" w:rsidRDefault="00D718D0" w:rsidP="00BA3E8B">
      <w:r>
        <w:t xml:space="preserve">Stortinget har i et </w:t>
      </w:r>
      <w:r>
        <w:t>anmodningsvedtak bedt regjeringen om å bevare aktivitets- og redegjørelse</w:t>
      </w:r>
      <w:r>
        <w:t>s</w:t>
      </w:r>
      <w:r>
        <w:t>plikten, og å styrke den ved å følge opp Skjeie-utvalgets anbefalinger til endringer.</w:t>
      </w:r>
    </w:p>
    <w:p w:rsidR="00000000" w:rsidRDefault="00D718D0" w:rsidP="00BA3E8B">
      <w:r>
        <w:t>Regjeringen sier også i Granavoldplattformen at de vil styrke likestillingen i samfunnet, herund</w:t>
      </w:r>
      <w:r>
        <w:t>er b</w:t>
      </w:r>
      <w:r>
        <w:t>i</w:t>
      </w:r>
      <w:r>
        <w:t>dra til et mer likestilt utdannings- og arbeidsmarked. Regjeringen vil bl.a. styrke arbeidet imot ufrivillig de</w:t>
      </w:r>
      <w:r>
        <w:t>l</w:t>
      </w:r>
      <w:r>
        <w:t>tidsarbeid blant kvinner og styrke arbeidet for å øke andelen kvinnelige toppledere. Regjeringen vil sikre muligheten til å kombinere famil</w:t>
      </w:r>
      <w:r>
        <w:t>ie- og arbeidsliv. Lik lønn for likt arbeid er en viktig målsetting.</w:t>
      </w:r>
    </w:p>
    <w:p w:rsidR="00000000" w:rsidRDefault="00D718D0" w:rsidP="00BA3E8B">
      <w:r>
        <w:t>Forslag om etablering av et lavterskeltilbud for saker om seksuell trakassering vil i det følgende o</w:t>
      </w:r>
      <w:r>
        <w:t>m</w:t>
      </w:r>
      <w:r>
        <w:t>tales i kapitlene 2, 4, og 5, og forslag om en styrking av aktivitets- og redegjørelse</w:t>
      </w:r>
      <w:r>
        <w:t>splikten vil omtales i kapitlene 3, 4, og 5.</w:t>
      </w:r>
    </w:p>
    <w:p w:rsidR="00000000" w:rsidRDefault="00D718D0" w:rsidP="00BA3E8B">
      <w:r>
        <w:t>Denne proposisjonen inneholder også forslag til enkelte andre lovendringer:</w:t>
      </w:r>
    </w:p>
    <w:p w:rsidR="00000000" w:rsidRDefault="00D718D0" w:rsidP="00BA3E8B">
      <w:pPr>
        <w:pStyle w:val="Liste"/>
      </w:pPr>
      <w:r>
        <w:t>Lov 16. juni 2017 nr. 50 om Likestillings- og diskrimineringsombudet og Diskrimin</w:t>
      </w:r>
      <w:r>
        <w:t>e</w:t>
      </w:r>
      <w:r>
        <w:t>ringsnemnda § 1 annet ledd bokstav c.</w:t>
      </w:r>
    </w:p>
    <w:p w:rsidR="00000000" w:rsidRDefault="00D718D0" w:rsidP="00BA3E8B">
      <w:pPr>
        <w:pStyle w:val="Liste"/>
      </w:pPr>
      <w:r>
        <w:t>Lov 16.</w:t>
      </w:r>
      <w:r>
        <w:t xml:space="preserve"> juni 2017 nr. 51 om likestilling og forbud mot diskriminering § 13 sjette ledd.</w:t>
      </w:r>
    </w:p>
    <w:p w:rsidR="00000000" w:rsidRDefault="00D718D0" w:rsidP="00BA3E8B">
      <w:pPr>
        <w:pStyle w:val="Liste"/>
      </w:pPr>
      <w:r>
        <w:t>Lov 13. juni 1997 nr. 55 om serveringsvirksomhet §§ 6 og 11.</w:t>
      </w:r>
    </w:p>
    <w:p w:rsidR="00000000" w:rsidRDefault="00D718D0" w:rsidP="00BA3E8B">
      <w:pPr>
        <w:pStyle w:val="Liste"/>
      </w:pPr>
      <w:r>
        <w:t>Lov 17. juli 1998 nr. 56 om årsregnskap § 3–3 c.</w:t>
      </w:r>
    </w:p>
    <w:p w:rsidR="00000000" w:rsidRDefault="00D718D0" w:rsidP="00BA3E8B">
      <w:pPr>
        <w:pStyle w:val="Liste"/>
        <w:rPr>
          <w:rFonts w:cs="Times New Roman"/>
          <w:szCs w:val="24"/>
          <w:lang w:val="en-US"/>
        </w:rPr>
      </w:pPr>
      <w:r>
        <w:t>Lov 22. juni 2018 nr. 83 om kommuner og fylkeskommune</w:t>
      </w:r>
      <w:r>
        <w:t>r § 14–7.</w:t>
      </w:r>
    </w:p>
    <w:p w:rsidR="00000000" w:rsidRDefault="00D718D0" w:rsidP="00BA3E8B">
      <w:r>
        <w:lastRenderedPageBreak/>
        <w:t>Disse endringene omtales under kapittel 5 Merknader til lovforslag.</w:t>
      </w:r>
    </w:p>
    <w:p w:rsidR="00000000" w:rsidRDefault="00D718D0" w:rsidP="00BA3E8B">
      <w:r>
        <w:t>Departementet tar sikte på at lovforslagene skal tre i kraft fra 1. januar 2020.</w:t>
      </w:r>
    </w:p>
    <w:p w:rsidR="00000000" w:rsidRDefault="00D718D0" w:rsidP="00BA3E8B">
      <w:r>
        <w:t>Det er på denne bakgrunn departementet legger frem følgende hovedforslag i proposisjonen:</w:t>
      </w:r>
    </w:p>
    <w:p w:rsidR="00000000" w:rsidRDefault="00D718D0" w:rsidP="00BA3E8B">
      <w:pPr>
        <w:pStyle w:val="Overskrift2"/>
      </w:pPr>
      <w:r>
        <w:t>Lavterskeltilbud for behandling av saker om seksuell trakassering</w:t>
      </w:r>
    </w:p>
    <w:p w:rsidR="00000000" w:rsidRDefault="00D718D0" w:rsidP="00BA3E8B">
      <w:pPr>
        <w:pStyle w:val="Overskrift3"/>
      </w:pPr>
      <w:r>
        <w:t>Etablering av et lavterskeltilbud</w:t>
      </w:r>
    </w:p>
    <w:p w:rsidR="00000000" w:rsidRDefault="00D718D0" w:rsidP="00BA3E8B">
      <w:r>
        <w:t>Departementet foreslår at Diskrimineringsnemnda gis myndighet til å hån</w:t>
      </w:r>
      <w:r>
        <w:t>dheve forbudet mot seksuell trakassering i likestillings- og diskrimineringsloven.</w:t>
      </w:r>
    </w:p>
    <w:p w:rsidR="00000000" w:rsidRDefault="00D718D0" w:rsidP="00BA3E8B">
      <w:r>
        <w:t>Saker om seksuell trakassering må i dag fremmes for domstolene. Rettspraksis viser imidlertid at svært få saker om seksuell trakassering bringes inn for domstolene. Omfanget</w:t>
      </w:r>
      <w:r>
        <w:t xml:space="preserve"> av seksuell tr</w:t>
      </w:r>
      <w:r>
        <w:t>a</w:t>
      </w:r>
      <w:r>
        <w:t>kassering gje</w:t>
      </w:r>
      <w:r>
        <w:t>n</w:t>
      </w:r>
      <w:r>
        <w:t>speiles således ikke i de sakene som bringes inn for domstolene.</w:t>
      </w:r>
    </w:p>
    <w:p w:rsidR="00000000" w:rsidRDefault="00D718D0" w:rsidP="00BA3E8B">
      <w:r>
        <w:t>Det er viktig at saker om seksuell trakassering løses på et lavest mulig nivå, og det er derfor helt a</w:t>
      </w:r>
      <w:r>
        <w:t>v</w:t>
      </w:r>
      <w:r>
        <w:t>gjørende at det finnes et lavterskeltilbud som er lett til</w:t>
      </w:r>
      <w:r>
        <w:t>gjengelig. Departementet mener på denne ba</w:t>
      </w:r>
      <w:r>
        <w:t>k</w:t>
      </w:r>
      <w:r>
        <w:t>grunn at det er behov for et alternativ til domstolsbehandling for behandling av saker om seksuell traka</w:t>
      </w:r>
      <w:r>
        <w:t>s</w:t>
      </w:r>
      <w:r>
        <w:t>sering. Dette vil gi personer som utsettes for seksuell trakassering et kos</w:t>
      </w:r>
      <w:r>
        <w:t>t</w:t>
      </w:r>
      <w:r>
        <w:t>nadsfritt alternativ til domstol</w:t>
      </w:r>
      <w:r>
        <w:t>s</w:t>
      </w:r>
      <w:r>
        <w:t>behan</w:t>
      </w:r>
      <w:r>
        <w:t>d</w:t>
      </w:r>
      <w:r>
        <w:t>ling, og et reelt retts- og diskrimineringsvern.</w:t>
      </w:r>
    </w:p>
    <w:p w:rsidR="00000000" w:rsidRDefault="00D718D0" w:rsidP="00BA3E8B">
      <w:r>
        <w:t>Diskrimineringsnemnda skal ha en kompetanse som sikrer forsvarlig saksbehandling. Nemndas l</w:t>
      </w:r>
      <w:r>
        <w:t>e</w:t>
      </w:r>
      <w:r>
        <w:t>dere skal som hovedregel ha dommererfaring. Dette skal sikre god bevisbedømmelse og derved også partenes ret</w:t>
      </w:r>
      <w:r>
        <w:t>t</w:t>
      </w:r>
      <w:r>
        <w:t>s</w:t>
      </w:r>
      <w:r>
        <w:t>sikkerhet. I tillegg vil nemndas sekretariat og nemndsmedlemmene oftest ha særskilt ko</w:t>
      </w:r>
      <w:r>
        <w:t>m</w:t>
      </w:r>
      <w:r>
        <w:t>petanse i diskr</w:t>
      </w:r>
      <w:r>
        <w:t>i</w:t>
      </w:r>
      <w:r>
        <w:t>mineringsrett.</w:t>
      </w:r>
    </w:p>
    <w:p w:rsidR="00000000" w:rsidRDefault="00D718D0" w:rsidP="00BA3E8B">
      <w:r>
        <w:t>Diskrimineringsnemnda behandler alle saker i én instans. Det er ikke adgang til forvaltning</w:t>
      </w:r>
      <w:r>
        <w:t>s</w:t>
      </w:r>
      <w:r>
        <w:t xml:space="preserve">klage. Partenes rettssikkerhet ivaretas ved </w:t>
      </w:r>
      <w:r>
        <w:t>muligheten for å bringe det diskriminerende forholdet inn for do</w:t>
      </w:r>
      <w:r>
        <w:t>m</w:t>
      </w:r>
      <w:r>
        <w:t>stolene, slik som i andre diskrimineringssaker.</w:t>
      </w:r>
    </w:p>
    <w:p w:rsidR="00000000" w:rsidRDefault="00D718D0" w:rsidP="00BA3E8B">
      <w:r>
        <w:t>Departementet foreslår videre at partene i saker om seksuell trakassering skal gis en ubetinget rett til å kreve muntlig behandling. Muntlig be</w:t>
      </w:r>
      <w:r>
        <w:t>handling vil blant annet legge til rette for avhør av parter og vi</w:t>
      </w:r>
      <w:r>
        <w:t>t</w:t>
      </w:r>
      <w:r>
        <w:t>ner.</w:t>
      </w:r>
    </w:p>
    <w:p w:rsidR="00000000" w:rsidRDefault="00D718D0" w:rsidP="00BA3E8B">
      <w:pPr>
        <w:pStyle w:val="Overskrift3"/>
      </w:pPr>
      <w:r>
        <w:t>Oppreisning og erstatning i saker om seksuell trakassering</w:t>
      </w:r>
    </w:p>
    <w:p w:rsidR="00000000" w:rsidRDefault="00D718D0" w:rsidP="00BA3E8B">
      <w:r>
        <w:t>Departementet foreslår at Diskrimineringsnemnda skal gis myndighet til å ilegge oppreisning i saker om seksuell t</w:t>
      </w:r>
      <w:r>
        <w:t>rakassering innenfor arbeidslivet og erstatning i enkle saksforhold.</w:t>
      </w:r>
    </w:p>
    <w:p w:rsidR="00000000" w:rsidRDefault="00D718D0" w:rsidP="00BA3E8B">
      <w:r>
        <w:t>Oppreisning og erstatning er diskrimineringslovgivningens hovedsanksjon, og departementet mener at dersom nemnda gis myndighet til å håndheve forbudet mot seksuell trakassering i l</w:t>
      </w:r>
      <w:r>
        <w:t>i</w:t>
      </w:r>
      <w:r>
        <w:t>kestil</w:t>
      </w:r>
      <w:r>
        <w:t>lings- og di</w:t>
      </w:r>
      <w:r>
        <w:t>s</w:t>
      </w:r>
      <w:r>
        <w:t>kriminering</w:t>
      </w:r>
      <w:r>
        <w:t>s</w:t>
      </w:r>
      <w:r>
        <w:t>loven, så bør de også gis myndighet til å ilegge lovens h</w:t>
      </w:r>
      <w:r>
        <w:t>o</w:t>
      </w:r>
      <w:r>
        <w:t>vedsanksjon. Diskriminering</w:t>
      </w:r>
      <w:r>
        <w:t>s</w:t>
      </w:r>
      <w:r>
        <w:t>nemnda har tilsvarende myndighet i alle andre diskriminering</w:t>
      </w:r>
      <w:r>
        <w:t>s</w:t>
      </w:r>
      <w:r>
        <w:t>saker.</w:t>
      </w:r>
    </w:p>
    <w:p w:rsidR="00000000" w:rsidRDefault="00D718D0" w:rsidP="00BA3E8B">
      <w:pPr>
        <w:pStyle w:val="Overskrift3"/>
      </w:pPr>
      <w:r>
        <w:lastRenderedPageBreak/>
        <w:t>Diskrimineringsnemnda utvides</w:t>
      </w:r>
    </w:p>
    <w:p w:rsidR="00000000" w:rsidRDefault="00D718D0" w:rsidP="00BA3E8B">
      <w:r>
        <w:t>Departementet foreslår at det åp</w:t>
      </w:r>
      <w:r>
        <w:t>nes for at antall avdelinger i nemnda utvides. Det tas likevel forbehold om at en eventuell endring i antallet avdelinger ikke vil kunne gjennomføres i praksis før det er budsjettme</w:t>
      </w:r>
      <w:r>
        <w:t>s</w:t>
      </w:r>
      <w:r>
        <w:t>sig dekning for det.</w:t>
      </w:r>
    </w:p>
    <w:p w:rsidR="00000000" w:rsidRDefault="00D718D0" w:rsidP="00BA3E8B">
      <w:r>
        <w:t xml:space="preserve">Nemndas organisering setter begrensninger for antall </w:t>
      </w:r>
      <w:r>
        <w:t>saker som kan behandles. For at nemnda skal kunne være et reelt lavterskeltilbud, er effektiviteten i saksbehandlingen viktig. Depart</w:t>
      </w:r>
      <w:r>
        <w:t>e</w:t>
      </w:r>
      <w:r>
        <w:t xml:space="preserve">mentet mener derfor at nemnda bør utvides med en avdeling. Flere avdelinger vil gjøre det mulig å avholde flere møter per </w:t>
      </w:r>
      <w:r>
        <w:t>år, og derved også behandle flere saker per år.</w:t>
      </w:r>
    </w:p>
    <w:p w:rsidR="00000000" w:rsidRDefault="00D718D0" w:rsidP="00BA3E8B">
      <w:r>
        <w:t>Antall avdelinger og antall medlemmer i nemnda er regulert i diskrimineringsombudsloven § 6 annet ledd. Departementet foreslår at loven endres, slik at reglene om sammensetning ikke tallfestes. Dette vil gjør</w:t>
      </w:r>
      <w:r>
        <w:t>e det mer fleksibelt og effektivt å justere nemndas kapasitet i tråd med eventuelle endringer i re</w:t>
      </w:r>
      <w:r>
        <w:t>s</w:t>
      </w:r>
      <w:r>
        <w:t>sursbehov.</w:t>
      </w:r>
    </w:p>
    <w:p w:rsidR="00000000" w:rsidRDefault="00D718D0" w:rsidP="00BA3E8B">
      <w:pPr>
        <w:pStyle w:val="Overskrift3"/>
      </w:pPr>
      <w:r>
        <w:t>Veilednings- og hjelpetilbudet i ombudet styrkes</w:t>
      </w:r>
    </w:p>
    <w:p w:rsidR="00000000" w:rsidRDefault="00D718D0" w:rsidP="00BA3E8B">
      <w:r>
        <w:t>Departementet foreslår å styrke veilednings- og hjelpetilbudet til personer som utset</w:t>
      </w:r>
      <w:r>
        <w:t>tes for seksuell tr</w:t>
      </w:r>
      <w:r>
        <w:t>a</w:t>
      </w:r>
      <w:r>
        <w:t>kassering.</w:t>
      </w:r>
    </w:p>
    <w:p w:rsidR="00000000" w:rsidRDefault="00D718D0" w:rsidP="00BA3E8B">
      <w:r>
        <w:t>Det er viktig at saker om seksuell trakassering løses på et lavest mulig nivå, og det er derfor helt a</w:t>
      </w:r>
      <w:r>
        <w:t>v</w:t>
      </w:r>
      <w:r>
        <w:t>gjørende at det finnes et veiledningstilbud som er lett tilgjengelig. Likestillings- og diskr</w:t>
      </w:r>
      <w:r>
        <w:t>i</w:t>
      </w:r>
      <w:r>
        <w:t>mineringso</w:t>
      </w:r>
      <w:r>
        <w:t>m</w:t>
      </w:r>
      <w:r>
        <w:t>budet har allered</w:t>
      </w:r>
      <w:r>
        <w:t>e i dag en sentral rolle som rettighetsveileder på diskrimin</w:t>
      </w:r>
      <w:r>
        <w:t>e</w:t>
      </w:r>
      <w:r>
        <w:t>ringsområdet – både enkel</w:t>
      </w:r>
      <w:r>
        <w:t>t</w:t>
      </w:r>
      <w:r>
        <w:t>personer og virksomheter kan ta kontakt med ombudet for å få råd og veiledning. Dette veiledningstilb</w:t>
      </w:r>
      <w:r>
        <w:t>u</w:t>
      </w:r>
      <w:r>
        <w:t>det bør utvikles og styrkes.</w:t>
      </w:r>
    </w:p>
    <w:p w:rsidR="00000000" w:rsidRDefault="00D718D0" w:rsidP="00BA3E8B">
      <w:r>
        <w:t>Departementet mener at hovedfokus i en</w:t>
      </w:r>
      <w:r>
        <w:t xml:space="preserve"> styrking av veilednings- og hjelpetilbudet bør rettes inn mot det forebyggende og strukturelle arbeidet.</w:t>
      </w:r>
    </w:p>
    <w:p w:rsidR="00000000" w:rsidRDefault="00D718D0" w:rsidP="00BA3E8B">
      <w:r>
        <w:t>Departementet foreslår likevel at det presiseres i diskrimineringsombudsloven § 5 at ombudet også skal gi veiledning i enkeltsaker.</w:t>
      </w:r>
    </w:p>
    <w:p w:rsidR="00000000" w:rsidRDefault="00D718D0" w:rsidP="00BA3E8B">
      <w:pPr>
        <w:pStyle w:val="Overskrift2"/>
      </w:pPr>
      <w:r>
        <w:t>Styrking a</w:t>
      </w:r>
      <w:r>
        <w:t>v aktivitets- og redegjørelsesplikten</w:t>
      </w:r>
    </w:p>
    <w:p w:rsidR="00000000" w:rsidRDefault="00D718D0" w:rsidP="00BA3E8B">
      <w:pPr>
        <w:pStyle w:val="Overskrift3"/>
      </w:pPr>
      <w:r>
        <w:t>Aktivitetsplikt for alle arbeidsgivere styrkes – sammensatt diskriminering, kjønnsbasert vold og seksuell trakassering</w:t>
      </w:r>
    </w:p>
    <w:p w:rsidR="00000000" w:rsidRDefault="00D718D0" w:rsidP="00BA3E8B">
      <w:r>
        <w:t>Departementet foreslår at den generelle aktivitetsplikten for alle arbeidsgivere for å</w:t>
      </w:r>
      <w:r>
        <w:t xml:space="preserve"> fremme likestilling og for å hindre diskriminering på alle likestillings- og diskrimineringslovens di</w:t>
      </w:r>
      <w:r>
        <w:t>s</w:t>
      </w:r>
      <w:r>
        <w:t>krimineringsgrunnlag (med unntak av alder), utvides til å omfatte sammensatt diskriminering. Dette betyr at arbeidsgivere skal rette særlig oppmerksomhet</w:t>
      </w:r>
      <w:r>
        <w:t xml:space="preserve"> mot forhold som kan føre til di</w:t>
      </w:r>
      <w:r>
        <w:t>s</w:t>
      </w:r>
      <w:r>
        <w:t>kriminering som skjer på flere diskriminering</w:t>
      </w:r>
      <w:r>
        <w:t>s</w:t>
      </w:r>
      <w:r>
        <w:t>grunnlag samtidig.</w:t>
      </w:r>
    </w:p>
    <w:p w:rsidR="00000000" w:rsidRDefault="00D718D0" w:rsidP="00BA3E8B">
      <w:r>
        <w:t>Departementet foreslår også at arbeidsgivers aktivitetsplikt knyttet til diskrimineringsgrunnlaget kjønn pr</w:t>
      </w:r>
      <w:r>
        <w:t>e</w:t>
      </w:r>
      <w:r>
        <w:t>siseres ved å fremheve at plikten omfatter også de</w:t>
      </w:r>
      <w:r>
        <w:t>t forebyggende arbeidet mot kjønnsbasert vold på arbeid</w:t>
      </w:r>
      <w:r>
        <w:t>s</w:t>
      </w:r>
      <w:r>
        <w:t>plassen. Om kjønnsbasert vold, se kapittel 3.7.4.4.</w:t>
      </w:r>
    </w:p>
    <w:p w:rsidR="00000000" w:rsidRDefault="00D718D0" w:rsidP="00BA3E8B">
      <w:r>
        <w:t>Alle arbeidsgivere har etter gjeldende rett plikt til å forebygge trakassering. Seksuell trakassering er omfattet av denne plikten. Departementet me</w:t>
      </w:r>
      <w:r>
        <w:t>ner likevel at det er behov for å fremheve a</w:t>
      </w:r>
      <w:r>
        <w:t>r</w:t>
      </w:r>
      <w:r>
        <w:lastRenderedPageBreak/>
        <w:t>beidsgivers plikt til å for</w:t>
      </w:r>
      <w:r>
        <w:t>e</w:t>
      </w:r>
      <w:r>
        <w:t>bygge seksuell trakassering og foreslår derfor at dette tydeliggjøres i loven.</w:t>
      </w:r>
    </w:p>
    <w:p w:rsidR="00000000" w:rsidRDefault="00D718D0" w:rsidP="00BA3E8B">
      <w:pPr>
        <w:pStyle w:val="Overskrift3"/>
      </w:pPr>
      <w:r>
        <w:t>Mindre private virksomheter omfattes av en lovbestemt arbeidsmetode</w:t>
      </w:r>
    </w:p>
    <w:p w:rsidR="00000000" w:rsidRDefault="00D718D0" w:rsidP="00BA3E8B">
      <w:r>
        <w:t>Departementet foreslår a</w:t>
      </w:r>
      <w:r>
        <w:t>t den lovbestemte arbeidsmetoden i likestillings- og diskriminering</w:t>
      </w:r>
      <w:r>
        <w:t>s</w:t>
      </w:r>
      <w:r>
        <w:t>loven § 26 andre ledd som gjelder i dag for arbeidsgivere i offentlige virksomheter og for a</w:t>
      </w:r>
      <w:r>
        <w:t>r</w:t>
      </w:r>
      <w:r>
        <w:t>beidsgivere i private virksomheter som jevnlig sysselsetter mer enn 50 ansatte, utvides til å g</w:t>
      </w:r>
      <w:r>
        <w:t>jelde arbeidsgivere i private vir</w:t>
      </w:r>
      <w:r>
        <w:t>k</w:t>
      </w:r>
      <w:r>
        <w:t>somheter som har mellom 20 og 50 ansatte, når en av arbeidslivets parter i virksomheten krever det. De</w:t>
      </w:r>
      <w:r>
        <w:t>t</w:t>
      </w:r>
      <w:r>
        <w:t>te betyr at disse arbeidsgiverne skal undersøke om det finnes risiko for diskriminering, eller andre hindre for likesti</w:t>
      </w:r>
      <w:r>
        <w:t>lling, analysere årsakene til de identifiserte risikoene, iverksette korrigerende tiltak, dvs. tiltak som er egnet til å motvirke diskriminering og bidra til økt likestilling og mangfold i virksomheten, og vurdere resultatene av dette arbeidet. Arbeidet sk</w:t>
      </w:r>
      <w:r>
        <w:t>al gjennomføres aktivt, målrettet og planmessig, og virksomheter skal benytte en systematisk tilnærming.</w:t>
      </w:r>
    </w:p>
    <w:p w:rsidR="00000000" w:rsidRDefault="00D718D0" w:rsidP="00BA3E8B">
      <w:pPr>
        <w:pStyle w:val="Overskrift3"/>
      </w:pPr>
      <w:r>
        <w:t>Lønnskartlegging og kartlegging av ufrivillig deltidsarbeid</w:t>
      </w:r>
    </w:p>
    <w:p w:rsidR="00000000" w:rsidRDefault="00D718D0" w:rsidP="00BA3E8B">
      <w:r>
        <w:t>Departementet foreslår</w:t>
      </w:r>
      <w:r>
        <w:t xml:space="preserve"> en utvidelse av aktivitetspliktene for arbeidsgivere i offentlige vir</w:t>
      </w:r>
      <w:r>
        <w:t>k</w:t>
      </w:r>
      <w:r>
        <w:t xml:space="preserve">somheter og i private virksomheter med mer enn 50 ansatte. Det samme gjelder for virksomheter med mellom 20 og 50 ansatte der en av arbeidslivets parter krever det. Forslaget innebærer </w:t>
      </w:r>
      <w:r>
        <w:t>at disse arbeidsgiverne pålegges en plikt til å gjennomføre lønnskartlegging fordelt etter kjønn, og dokumentere denne kartleggingen og kartlegge bruken av ufrivillig deltidsarbeid, der stilling</w:t>
      </w:r>
      <w:r>
        <w:t>s</w:t>
      </w:r>
      <w:r>
        <w:t xml:space="preserve">innehaveren ønsker og er tilgjengelig for å jobbe mer. Disse </w:t>
      </w:r>
      <w:r>
        <w:t>arbeidsgiverne skal i tillegg arbeide med de temaene som fremgår av likestillings- og diskr</w:t>
      </w:r>
      <w:r>
        <w:t>i</w:t>
      </w:r>
      <w:r>
        <w:t>mineringsloven § 26 første ledd (generell aktivitetsplikt for alle arbeidsgivere).</w:t>
      </w:r>
    </w:p>
    <w:p w:rsidR="00000000" w:rsidRDefault="00D718D0" w:rsidP="00BA3E8B">
      <w:pPr>
        <w:pStyle w:val="Overskrift3"/>
      </w:pPr>
      <w:r>
        <w:t>Aktivitets- og redegjørelsesplikten forankres i selskapers styre</w:t>
      </w:r>
    </w:p>
    <w:p w:rsidR="00000000" w:rsidRDefault="00D718D0" w:rsidP="00BA3E8B">
      <w:r>
        <w:t>Depa</w:t>
      </w:r>
      <w:r>
        <w:t>rtementet foreslår at aksjeselskapers og allmennaksjeselskapers styreansvar for aktivt l</w:t>
      </w:r>
      <w:r>
        <w:t>i</w:t>
      </w:r>
      <w:r>
        <w:t>kestilling</w:t>
      </w:r>
      <w:r>
        <w:t>s</w:t>
      </w:r>
      <w:r>
        <w:t>arbeid fremheves i likestillings- og diskrimineringsloven gjennom en egen beste</w:t>
      </w:r>
      <w:r>
        <w:t>m</w:t>
      </w:r>
      <w:r>
        <w:t>melse, § 26 C.  Det lovfestes at styret skal sørge for at plikten til aktivt</w:t>
      </w:r>
      <w:r>
        <w:t xml:space="preserve"> likestillingsarbeid og plikten til å redegjøre for dette oppfylles i samsvar med aktivitetsplikten etter likestillings- og diskrimineringsloven.</w:t>
      </w:r>
    </w:p>
    <w:p w:rsidR="00000000" w:rsidRDefault="00D718D0" w:rsidP="00BA3E8B">
      <w:pPr>
        <w:pStyle w:val="Overskrift3"/>
      </w:pPr>
      <w:r>
        <w:t>Dokumentasjonsplikt for arbeidsgivere i de minste private virksomhetene</w:t>
      </w:r>
    </w:p>
    <w:p w:rsidR="00000000" w:rsidRDefault="00D718D0" w:rsidP="00BA3E8B">
      <w:r>
        <w:t xml:space="preserve">Departementet foreslår at </w:t>
      </w:r>
      <w:r>
        <w:t>arbeidsgivere i private virksomheter med færre enn 20 ansatte pålegges en plikt til å dokumentere virksomhetens likestillingsarbeid, og en plikt til å oppbevare denne dokument</w:t>
      </w:r>
      <w:r>
        <w:t>a</w:t>
      </w:r>
      <w:r>
        <w:t>sjonen. Arbeidsgivere i private virksomheter med mellom 20 og 50 ansatte får d</w:t>
      </w:r>
      <w:r>
        <w:t>o</w:t>
      </w:r>
      <w:r>
        <w:t>k</w:t>
      </w:r>
      <w:r>
        <w:t>umentasjonsplikt, men dersom en av arbeidslivets parter i virksomheten krever det, får de r</w:t>
      </w:r>
      <w:r>
        <w:t>e</w:t>
      </w:r>
      <w:r>
        <w:t>degjørelsesplikt. Departementets forslag innebærer ikke et krav til offentliggjøring av denne dokumentasjonen. Departementet foreslår at dok</w:t>
      </w:r>
      <w:r>
        <w:t>u</w:t>
      </w:r>
      <w:r>
        <w:t>mentasjonen skal på opp</w:t>
      </w:r>
      <w:r>
        <w:t>fordring fremlegges for virksomhetens ansatte og deres representanter, Diskr</w:t>
      </w:r>
      <w:r>
        <w:t>i</w:t>
      </w:r>
      <w:r>
        <w:t>mineringsnemnda, Likestillings- og diskrimineringsombudet og forskere.</w:t>
      </w:r>
    </w:p>
    <w:p w:rsidR="00000000" w:rsidRDefault="00D718D0" w:rsidP="00BA3E8B">
      <w:pPr>
        <w:pStyle w:val="Overskrift3"/>
      </w:pPr>
      <w:r>
        <w:lastRenderedPageBreak/>
        <w:t>Redegjørelsesplikt for andre arbeidsgivere</w:t>
      </w:r>
    </w:p>
    <w:p w:rsidR="00000000" w:rsidRDefault="00D718D0" w:rsidP="00BA3E8B">
      <w:r>
        <w:t>Departementet foreslår</w:t>
      </w:r>
      <w:r>
        <w:t xml:space="preserve"> at arbeidsgivere i alle offentlige virksomheter, og arbeidsgivere i private vir</w:t>
      </w:r>
      <w:r>
        <w:t>k</w:t>
      </w:r>
      <w:r>
        <w:t>somheter med mer enn  50 ansatte pålegges redegjørelsesplikt. Dette gjelder også arbeid</w:t>
      </w:r>
      <w:r>
        <w:t>s</w:t>
      </w:r>
      <w:r>
        <w:t>givere i private virksomheter med mellom 20 og 50 ansatte dersom en av arbeidslivets pa</w:t>
      </w:r>
      <w:r>
        <w:t>rter i virksomheten krever det.</w:t>
      </w:r>
    </w:p>
    <w:p w:rsidR="00000000" w:rsidRDefault="00D718D0" w:rsidP="00BA3E8B">
      <w:r>
        <w:t>Forslaget innebærer at arbeidsgivere i disse virksomhetene skal redegjøre for den faktiske ti</w:t>
      </w:r>
      <w:r>
        <w:t>l</w:t>
      </w:r>
      <w:r>
        <w:t>standen for kjønnslikestilling i virksomheten. I tillegg skal de redegjøre for hva virksomhetene gjør for å oppfylle akt</w:t>
      </w:r>
      <w:r>
        <w:t>i</w:t>
      </w:r>
      <w:r>
        <w:t>vitetspli</w:t>
      </w:r>
      <w:r>
        <w:t>kten etter § 26 i likestillings- og diskrimineringsloven. Redegj</w:t>
      </w:r>
      <w:r>
        <w:t>ø</w:t>
      </w:r>
      <w:r>
        <w:t>relsesplikten skal sikre at akt</w:t>
      </w:r>
      <w:r>
        <w:t>i</w:t>
      </w:r>
      <w:r>
        <w:t>vitet</w:t>
      </w:r>
      <w:r>
        <w:t>s</w:t>
      </w:r>
      <w:r>
        <w:t>plikten blir fulgt opp. Departementet foreslår at redegjørelsen skal gis i årsberetning eller i et annet offentlig tilgjengelig dokument. Arbeidsgivere i</w:t>
      </w:r>
      <w:r>
        <w:t xml:space="preserve"> offentlige virksomheter som ikke er pålagt å utarbeide årsberetning, skal ta redegjørelsene inn i årsra</w:t>
      </w:r>
      <w:r>
        <w:t>p</w:t>
      </w:r>
      <w:r>
        <w:t>porten.</w:t>
      </w:r>
    </w:p>
    <w:p w:rsidR="00000000" w:rsidRDefault="00D718D0" w:rsidP="00BA3E8B">
      <w:pPr>
        <w:pStyle w:val="Overskrift3"/>
      </w:pPr>
      <w:r>
        <w:t>Aktivitetsplikten for offentlige myndigheter konkretiseres</w:t>
      </w:r>
    </w:p>
    <w:p w:rsidR="00000000" w:rsidRDefault="00D718D0" w:rsidP="00BA3E8B">
      <w:r>
        <w:t>Departementet foreslår at offentlige myndigheters aktivitetsplikt konkre</w:t>
      </w:r>
      <w:r>
        <w:t>tiseres. Departementet foreslår at offentlige myndigheter skal arbeide aktivt, målrettet og planmessig for å fremme likestilling og hindre diskriminering på grunn av kjønn, graviditet, permisjon ved fødsel eller adopsjon, omsorgsoppgaver, etn</w:t>
      </w:r>
      <w:r>
        <w:t>i</w:t>
      </w:r>
      <w:r>
        <w:t>sitet, religi</w:t>
      </w:r>
      <w:r>
        <w:t>on, livssyn, funksjonsnedsettelse, seksuell orient</w:t>
      </w:r>
      <w:r>
        <w:t>e</w:t>
      </w:r>
      <w:r>
        <w:t>ring, kjønnsidentitet, kjønnsuttrykk og alder, samt kombinasjoner av disse grunnlagene.</w:t>
      </w:r>
    </w:p>
    <w:p w:rsidR="00000000" w:rsidRDefault="00D718D0" w:rsidP="00BA3E8B">
      <w:r>
        <w:t>Departementet foreslår at offentlige myndigheter fortsatt skal ha en aktivitetsplikt knyttet til alle di</w:t>
      </w:r>
      <w:r>
        <w:t>s</w:t>
      </w:r>
      <w:r>
        <w:t>krimin</w:t>
      </w:r>
      <w:r>
        <w:t>e</w:t>
      </w:r>
      <w:r>
        <w:t>rings</w:t>
      </w:r>
      <w:r>
        <w:t xml:space="preserve">grunnlagene oppregnet i likestillings- og diskrimineringsloven. Departementet foreslår at offentlige myndigheter skal ha en aktivitetsplikt knyttet til sammensatt diskriminering. Departementet foreslår videre at det presiseres at aktivitetsplikten gjelder </w:t>
      </w:r>
      <w:r>
        <w:t>all virksomhet til offentlige myndigheter, og at enkelte temaer, som eksempler, fremheves i loven. Departementet foreslår at det presiseres i loven at offentlige myndigheter blant annet skal forebygge trakass</w:t>
      </w:r>
      <w:r>
        <w:t>e</w:t>
      </w:r>
      <w:r>
        <w:t>ring, herunder seksuell trakassering og kjønnsb</w:t>
      </w:r>
      <w:r>
        <w:t>asert vold, og at myndighetene skal motarbeide stereotypier som er knyttet til diskriminering</w:t>
      </w:r>
      <w:r>
        <w:t>s</w:t>
      </w:r>
      <w:r>
        <w:t>grunnlagene.</w:t>
      </w:r>
    </w:p>
    <w:p w:rsidR="00000000" w:rsidRDefault="00D718D0" w:rsidP="00BA3E8B">
      <w:pPr>
        <w:pStyle w:val="Overskrift3"/>
      </w:pPr>
      <w:r>
        <w:t>Offentlige myndigheter får en redegjørelsesplikt</w:t>
      </w:r>
    </w:p>
    <w:p w:rsidR="00000000" w:rsidRDefault="00D718D0" w:rsidP="00BA3E8B">
      <w:r>
        <w:t>Departementet foreslår at offentlige myndigheter – som myndighetsutøvere og tjenesteyter</w:t>
      </w:r>
      <w:r>
        <w:t>e – skal ha en plikt til å redegjøre for sitt arbeid med likestilling og ikke-diskriminering. Redegj</w:t>
      </w:r>
      <w:r>
        <w:t>ø</w:t>
      </w:r>
      <w:r>
        <w:t>relsesplikten omfatter alt likestillingsfremmende arbeid som myndighetene utfører, dvs. arbeidet for likestilling og motarbe</w:t>
      </w:r>
      <w:r>
        <w:t>i</w:t>
      </w:r>
      <w:r>
        <w:t>delsen av diskriminering og tr</w:t>
      </w:r>
      <w:r>
        <w:t>akassering, på alle lovens diskrimin</w:t>
      </w:r>
      <w:r>
        <w:t>e</w:t>
      </w:r>
      <w:r>
        <w:t>ringsgrunnlag. Departementet foreslår at offentlige myndigheter skal redegjøre for hva de gjør for å integrere hensynet til likestilling  og i</w:t>
      </w:r>
      <w:r>
        <w:t>k</w:t>
      </w:r>
      <w:r>
        <w:t xml:space="preserve">ke-diskriminering i sitt arbeid med tjenesteyting og myndighetsutøvelse, og </w:t>
      </w:r>
      <w:r>
        <w:t>i forholdet til sine brukere. Offentlige myndigheter skal redegjøre for hvordan virksomheten arbeider med å omsette prinsipper, prosedyrer og standarder for likesti</w:t>
      </w:r>
      <w:r>
        <w:t>l</w:t>
      </w:r>
      <w:r>
        <w:t>ling og ikke-diskriminering til handling. Myndighetene skal også vurdere resultatene som er</w:t>
      </w:r>
      <w:r>
        <w:t xml:space="preserve"> oppnådd i likestillingsarbeidet og opplyse om hvilke forventninger de har til dette arbeidet fremover.</w:t>
      </w:r>
    </w:p>
    <w:p w:rsidR="00000000" w:rsidRDefault="00D718D0" w:rsidP="00BA3E8B">
      <w:r>
        <w:lastRenderedPageBreak/>
        <w:t>Statlige myndigheter skal ha en plikt til å offentliggjøre redegjørelsen  i årsrapport, årsberetning eller i et annet offentlig tilgjengelig dokument. K</w:t>
      </w:r>
      <w:r>
        <w:t>ommunale og fylkeskommunale myndigheter skal ha en plikt til å offentliggjøre redegjørelsen.</w:t>
      </w:r>
    </w:p>
    <w:p w:rsidR="00000000" w:rsidRDefault="00D718D0" w:rsidP="00BA3E8B">
      <w:pPr>
        <w:pStyle w:val="Overskrift3"/>
      </w:pPr>
      <w:r>
        <w:t>Likestillings- og diskrimineringsombudet gir veiledning og følger opp</w:t>
      </w:r>
    </w:p>
    <w:p w:rsidR="00000000" w:rsidRDefault="00D718D0" w:rsidP="00BA3E8B">
      <w:r>
        <w:t>Departementet foreslår at Likestillings- og diskrimineringsombudet skal få</w:t>
      </w:r>
      <w:r>
        <w:t xml:space="preserve"> ansvaret for veile</w:t>
      </w:r>
      <w:r>
        <w:t>d</w:t>
      </w:r>
      <w:r>
        <w:t>ning og oppfølging av aktivitets- og redegjørelsesplikten, både for private og offentlige aktører.</w:t>
      </w:r>
    </w:p>
    <w:p w:rsidR="00000000" w:rsidRDefault="00D718D0" w:rsidP="00BA3E8B">
      <w:pPr>
        <w:pStyle w:val="Overskrift3"/>
      </w:pPr>
      <w:r>
        <w:t>Diskrimineringsnemnda skal håndheve arbeidsgivers redegjørelsesplikt</w:t>
      </w:r>
    </w:p>
    <w:p w:rsidR="00000000" w:rsidRDefault="00D718D0" w:rsidP="00BA3E8B">
      <w:r>
        <w:t>Departementet foreslo i høringsnotatet at Diskrimineri</w:t>
      </w:r>
      <w:r>
        <w:t>ngsnemnda ikke lenger skal håndheve beste</w:t>
      </w:r>
      <w:r>
        <w:t>m</w:t>
      </w:r>
      <w:r>
        <w:t>melsen om arbeidsgivers redegjørelsesplikt. Forslaget opprettholdes ikke.</w:t>
      </w:r>
    </w:p>
    <w:p w:rsidR="00000000" w:rsidRDefault="00D718D0" w:rsidP="00BA3E8B">
      <w:r>
        <w:t>Departementet foreslår i denne lovproposisjonen at gjeldende rett videreføres når det gjelder hån</w:t>
      </w:r>
      <w:r>
        <w:t>d</w:t>
      </w:r>
      <w:r>
        <w:t>hevelsen av arbeidsgivers redegjørelsespli</w:t>
      </w:r>
      <w:r>
        <w:t>kt. Dette innebærer at Diskrimineringsnemnda fremdeles skal håndheve b</w:t>
      </w:r>
      <w:r>
        <w:t>e</w:t>
      </w:r>
      <w:r>
        <w:t>stemmelsen om arbeidsgivers redegjørelsesplikt og at Diskrimin</w:t>
      </w:r>
      <w:r>
        <w:t>e</w:t>
      </w:r>
      <w:r>
        <w:t>ringsnemnda har myndi</w:t>
      </w:r>
      <w:r>
        <w:t>g</w:t>
      </w:r>
      <w:r>
        <w:t>het til å fatte et forvaltningsvedtak dersom det foreligger brudd på oppfyllelsen av redegjørelsespl</w:t>
      </w:r>
      <w:r>
        <w:t>ikten. Nemnda har også myndighet til å ilegge tvangsmulkt for å sikre oppfyllelsen av pålegget om å rette opp manglende oppfyllelse av redegjørelsesplikten.</w:t>
      </w:r>
    </w:p>
    <w:p w:rsidR="00000000" w:rsidRDefault="00D718D0" w:rsidP="00BA3E8B">
      <w:pPr>
        <w:pStyle w:val="Overskrift1"/>
      </w:pPr>
      <w:r>
        <w:t>Lavterskeltilbud for behandling av saker om seksuell tr</w:t>
      </w:r>
      <w:r>
        <w:t>a</w:t>
      </w:r>
      <w:r>
        <w:t>kassering</w:t>
      </w:r>
    </w:p>
    <w:p w:rsidR="00000000" w:rsidRDefault="00D718D0" w:rsidP="00BA3E8B">
      <w:pPr>
        <w:pStyle w:val="Overskrift2"/>
      </w:pPr>
      <w:r>
        <w:t>Bakgrunn</w:t>
      </w:r>
    </w:p>
    <w:p w:rsidR="00000000" w:rsidRDefault="00D718D0" w:rsidP="00BA3E8B">
      <w:pPr>
        <w:pStyle w:val="Overskrift3"/>
      </w:pPr>
      <w:r>
        <w:t>Historikk</w:t>
      </w:r>
    </w:p>
    <w:p w:rsidR="00000000" w:rsidRDefault="00D718D0" w:rsidP="00BA3E8B">
      <w:r>
        <w:t>Fram til 1995 fantes det ingen eksplisitt lovbestemmelse om seksuell trakassering. Straffeloven regulerte bare forsettlige handlinger som kunne karakteriseres som voldtekt eller utuktig atferd.</w:t>
      </w:r>
    </w:p>
    <w:p w:rsidR="00000000" w:rsidRDefault="00D718D0" w:rsidP="00BA3E8B">
      <w:r>
        <w:t xml:space="preserve">I 1995 ble imidlertid følgende bestemmelse tatt </w:t>
      </w:r>
      <w:r>
        <w:t>inn i arbeidsmiljøloven:</w:t>
      </w:r>
    </w:p>
    <w:p w:rsidR="00000000" w:rsidRDefault="00D718D0" w:rsidP="00BA3E8B">
      <w:pPr>
        <w:pStyle w:val="blokksit"/>
      </w:pPr>
      <w:r>
        <w:t>«…arbeidstakere skal ikke utsettes for trakassering eller annen utilbørlig opptreden.»</w:t>
      </w:r>
    </w:p>
    <w:p w:rsidR="00000000" w:rsidRDefault="00D718D0" w:rsidP="00BA3E8B">
      <w:r>
        <w:t>Dette var ikke et uttrykt forbud mot seksuell trakassering, men Kommunal- og arbeidsdepart</w:t>
      </w:r>
      <w:r>
        <w:t>e</w:t>
      </w:r>
      <w:r>
        <w:t>mentet viste i forarbeidene til at det kunne være:</w:t>
      </w:r>
    </w:p>
    <w:p w:rsidR="00000000" w:rsidRDefault="00D718D0" w:rsidP="00BA3E8B">
      <w:pPr>
        <w:pStyle w:val="blokksit"/>
      </w:pPr>
      <w:r>
        <w:t>«b</w:t>
      </w:r>
      <w:r>
        <w:t>ehov for å gi arbeidstakerne et sterkere vern mot psykiske belastninger som ikke direkte har sin årsak i formell organisering av virksomheten, for eksempel trakassering eller mobbing av ulik art. Seksuell trakassering eller uønsket seksuell oppmerksomhet i</w:t>
      </w:r>
      <w:r>
        <w:t xml:space="preserve"> arbeidsforhold er et eksempel på de</w:t>
      </w:r>
      <w:r>
        <w:t>t</w:t>
      </w:r>
      <w:r>
        <w:t>te.»</w:t>
      </w:r>
    </w:p>
    <w:p w:rsidR="00000000" w:rsidRDefault="00D718D0" w:rsidP="00BA3E8B">
      <w:r>
        <w:t>Først i 2002 ble det tatt inn et særskilt forbud mot seksuell trakassering i likestillingsloven. Bakgrunnen for dette forbudet var blant annet forskning som viste at seksuell trakassering var et stort problem på ma</w:t>
      </w:r>
      <w:r>
        <w:t>nge samfunnsområder, se Ot.prp. nr. 77 (2000–2001) punkt 9.1, side 63.</w:t>
      </w:r>
    </w:p>
    <w:p w:rsidR="00000000" w:rsidRDefault="00D718D0" w:rsidP="00BA3E8B">
      <w:r>
        <w:t>Det ble også tatt inn en såkalt vernebestemmelse i loven. Vernebestemmelsen rettet seg mot arbeid</w:t>
      </w:r>
      <w:r>
        <w:t>s</w:t>
      </w:r>
      <w:r>
        <w:t xml:space="preserve">givere og ledelsen i organisasjoner og utdanningsinstitusjoner. Vernebestemmelsen var </w:t>
      </w:r>
      <w:r>
        <w:lastRenderedPageBreak/>
        <w:t>t</w:t>
      </w:r>
      <w:r>
        <w:t>odelt og omfattet både en plikt til å forebygge trakassering og en plikt til å forhindre at avdekket trakassering fortsetter.</w:t>
      </w:r>
    </w:p>
    <w:p w:rsidR="00000000" w:rsidRDefault="00D718D0" w:rsidP="00BA3E8B">
      <w:r>
        <w:t>Da forbudet mot seksuell trakassering ble tatt inn i likestillingsloven i 2002, ble sakene henvist til do</w:t>
      </w:r>
      <w:r>
        <w:t>m</w:t>
      </w:r>
      <w:r>
        <w:t>stolsapparatet. Dette bl</w:t>
      </w:r>
      <w:r>
        <w:t>e i Ot.prp. nr. 77 (2000–2001) punkt 9.7.4, side 72 begrunnet med:</w:t>
      </w:r>
    </w:p>
    <w:p w:rsidR="00000000" w:rsidRDefault="00D718D0" w:rsidP="00BA3E8B">
      <w:pPr>
        <w:pStyle w:val="blokksit"/>
      </w:pPr>
      <w:r>
        <w:t>«Håndheving av bestemmelsen skal skje for domstolene. Likestillingsombudet skal ikke drive med håndheving overfor den påståtte overgriperen. Saker der en person anklages for å ha utøvd seks</w:t>
      </w:r>
      <w:r>
        <w:t>uell trakassering har en helt annen karakter enn andre saker om forskjellsbehandling i strid med likesti</w:t>
      </w:r>
      <w:r>
        <w:t>l</w:t>
      </w:r>
      <w:r>
        <w:t>lingsloven (f.eks. påstand om ulik lønn og forbigåelse ved ansettelse). Påstand om at en person har utøvd seksuell trakassering vil være alvorlig og in</w:t>
      </w:r>
      <w:r>
        <w:t>ngripende for den anklagen gje</w:t>
      </w:r>
      <w:r>
        <w:t>l</w:t>
      </w:r>
      <w:r>
        <w:t>der, og i slike saker er det viktig å ivareta grunnleggende rettssikkerhetshensyn. Verken Likesti</w:t>
      </w:r>
      <w:r>
        <w:t>l</w:t>
      </w:r>
      <w:r>
        <w:t>lingsombudet eller Kl</w:t>
      </w:r>
      <w:r>
        <w:t>a</w:t>
      </w:r>
      <w:r>
        <w:t>g</w:t>
      </w:r>
      <w:r>
        <w:t>e</w:t>
      </w:r>
      <w:r>
        <w:t>nemnda er organisert på en måte som ivaretar de særlige rettssikke</w:t>
      </w:r>
      <w:r>
        <w:t>r</w:t>
      </w:r>
      <w:r>
        <w:t xml:space="preserve">hetshensyn denne type saker reiser. </w:t>
      </w:r>
      <w:r>
        <w:t>Dette ble også påpekt i Klagenemndas høringsuttalelse. I s</w:t>
      </w:r>
      <w:r>
        <w:t>a</w:t>
      </w:r>
      <w:r>
        <w:t>ker hvor det skal bevises at seks</w:t>
      </w:r>
      <w:r>
        <w:t>u</w:t>
      </w:r>
      <w:r>
        <w:t>ell trakassering faktisk har funnet sted, bør disse føres for do</w:t>
      </w:r>
      <w:r>
        <w:t>m</w:t>
      </w:r>
      <w:r>
        <w:t>stolene, som har et prosessystem som ivaretar de særlige rettssikkerhetshensynene nevnt ove</w:t>
      </w:r>
      <w:r>
        <w:t>n</w:t>
      </w:r>
      <w:r>
        <w:t>for.»</w:t>
      </w:r>
    </w:p>
    <w:p w:rsidR="00000000" w:rsidRDefault="00D718D0" w:rsidP="00BA3E8B">
      <w:r>
        <w:t>Daværende Likestillingsombud og klagenemnd kunne likevel håndheve vernebestemmelsen.</w:t>
      </w:r>
    </w:p>
    <w:p w:rsidR="00000000" w:rsidRDefault="00D718D0" w:rsidP="00BA3E8B">
      <w:r>
        <w:t>Det ble gjort et særskilt unntak fra reglene om delt bevisbyrde (se Ot.prp. nr. 77 (2000–2001) punkt 12.7.2, side 97), og det ble det heller ikke innført objektivt erstatn</w:t>
      </w:r>
      <w:r>
        <w:t>ingsansvar, verken etter forbudsb</w:t>
      </w:r>
      <w:r>
        <w:t>e</w:t>
      </w:r>
      <w:r>
        <w:t>stemmelsen eller etter vernebestemmelsen.</w:t>
      </w:r>
    </w:p>
    <w:p w:rsidR="00000000" w:rsidRDefault="00D718D0" w:rsidP="00BA3E8B">
      <w:r>
        <w:t>Ved en lovendring i 2005 ble disse unntakene opphevet, slik at reglene om delt bevisbyrde (se Ot.prp. nr. 35 (2004–2005) punkt 9.7.1.1, side 56) og regler om objektivt erstatningsa</w:t>
      </w:r>
      <w:r>
        <w:t>nsvar (se Ot.prp. nr. 35 (2004–2005) punkt 8.7.1, side 48), også ble gjort gjeldende i saker seksuell tr</w:t>
      </w:r>
      <w:r>
        <w:t>a</w:t>
      </w:r>
      <w:r>
        <w:t>kassering. Det ble imidlertid pr</w:t>
      </w:r>
      <w:r>
        <w:t>e</w:t>
      </w:r>
      <w:r>
        <w:t>sisert at det var de alminnelige reglene om erstatning som skulle komme til anvendelse ved overtr</w:t>
      </w:r>
      <w:r>
        <w:t>e</w:t>
      </w:r>
      <w:r>
        <w:t>delse av verneb</w:t>
      </w:r>
      <w:r>
        <w:t>e</w:t>
      </w:r>
      <w:r>
        <w:t>stem</w:t>
      </w:r>
      <w:r>
        <w:t>melsen. Ved samme lovendring ble det også vedtatt et forbud og vern mot kjønn</w:t>
      </w:r>
      <w:r>
        <w:t>s</w:t>
      </w:r>
      <w:r>
        <w:t>trakass</w:t>
      </w:r>
      <w:r>
        <w:t>e</w:t>
      </w:r>
      <w:r>
        <w:t>ring.</w:t>
      </w:r>
    </w:p>
    <w:p w:rsidR="00000000" w:rsidRDefault="00D718D0" w:rsidP="00BA3E8B">
      <w:pPr>
        <w:pStyle w:val="Overskrift3"/>
      </w:pPr>
      <w:r>
        <w:t>NOU 2009: 14 Et helhetlig diskrimineringsvern</w:t>
      </w:r>
    </w:p>
    <w:p w:rsidR="00000000" w:rsidRDefault="00D718D0" w:rsidP="00BA3E8B">
      <w:r>
        <w:t>Diskrimineringslovutvalget vurderte ikke dette spørsmålet.</w:t>
      </w:r>
    </w:p>
    <w:p w:rsidR="00000000" w:rsidRDefault="00D718D0" w:rsidP="00BA3E8B">
      <w:pPr>
        <w:pStyle w:val="Overskrift3"/>
      </w:pPr>
      <w:r>
        <w:t>NOU 2011: 18 Struktur for likestilling</w:t>
      </w:r>
    </w:p>
    <w:p w:rsidR="00000000" w:rsidRDefault="00D718D0" w:rsidP="00BA3E8B">
      <w:r>
        <w:t>Likestillingsutvalget ble oppnevnt i februar 2010 for å utrede kjønnslikestilling med utgang</w:t>
      </w:r>
      <w:r>
        <w:t>s</w:t>
      </w:r>
      <w:r>
        <w:t>punkt i liv</w:t>
      </w:r>
      <w:r>
        <w:t>s</w:t>
      </w:r>
      <w:r>
        <w:t>løp, etnisitet og klasse. Utvalget vurderte i sin utredning NOU 2011: 18 «Struktur for likestilling» de e</w:t>
      </w:r>
      <w:r>
        <w:t>k</w:t>
      </w:r>
      <w:r>
        <w:t>sist</w:t>
      </w:r>
      <w:r>
        <w:t>e</w:t>
      </w:r>
      <w:r>
        <w:t>r</w:t>
      </w:r>
      <w:r>
        <w:t>ende institusjonelle og organisatoriske rammene for arbeidet med lik</w:t>
      </w:r>
      <w:r>
        <w:t>e</w:t>
      </w:r>
      <w:r>
        <w:t>stilling.</w:t>
      </w:r>
    </w:p>
    <w:p w:rsidR="00000000" w:rsidRDefault="00D718D0" w:rsidP="00BA3E8B">
      <w:r>
        <w:t>Utvalget foreslo at Likestillings- og diskrimineringsombudet og Likestillings- og diskrimin</w:t>
      </w:r>
      <w:r>
        <w:t>e</w:t>
      </w:r>
      <w:r>
        <w:t>ring</w:t>
      </w:r>
      <w:r>
        <w:t>s</w:t>
      </w:r>
      <w:r>
        <w:t xml:space="preserve">nemnda skulle gis myndighet til å håndheve forbudet mot seksuell trakassering i </w:t>
      </w:r>
      <w:r>
        <w:t>likesti</w:t>
      </w:r>
      <w:r>
        <w:t>l</w:t>
      </w:r>
      <w:r>
        <w:t>lingsloven.</w:t>
      </w:r>
    </w:p>
    <w:p w:rsidR="00000000" w:rsidRDefault="00D718D0" w:rsidP="00BA3E8B">
      <w:r>
        <w:t>Det ble vist til at seksuell trakassering er et omfattende problem på arbeidslivets område, i i</w:t>
      </w:r>
      <w:r>
        <w:t>d</w:t>
      </w:r>
      <w:r>
        <w:t>rettsmi</w:t>
      </w:r>
      <w:r>
        <w:t>l</w:t>
      </w:r>
      <w:r>
        <w:t>jøer, på skoler og universiteter, blant barn og unge, i foreningsliv og i pasient-, klient- og kundeforhold.</w:t>
      </w:r>
    </w:p>
    <w:p w:rsidR="00000000" w:rsidRDefault="00D718D0" w:rsidP="00BA3E8B">
      <w:r>
        <w:t>Utvalget mente at det i</w:t>
      </w:r>
      <w:r>
        <w:t>kke forelå noen gode grunner til at seksuell trakassering skal vurderes anne</w:t>
      </w:r>
      <w:r>
        <w:t>r</w:t>
      </w:r>
      <w:r>
        <w:t xml:space="preserve">ledes enn andre former for trakassering. De viste også til at rettsutviklingen de senere årene </w:t>
      </w:r>
      <w:r>
        <w:lastRenderedPageBreak/>
        <w:t>har gått i retning av å sidestille seksuell trakassering med annen trakassering knyt</w:t>
      </w:r>
      <w:r>
        <w:t>tet til de ulike diskriminering</w:t>
      </w:r>
      <w:r>
        <w:t>s</w:t>
      </w:r>
      <w:r>
        <w:t>grunnlagene både når det gjelder delt bevisbyrde og reaksjoner på trakassering, jf. punkt 2.1.1.</w:t>
      </w:r>
    </w:p>
    <w:p w:rsidR="00000000" w:rsidRDefault="00D718D0" w:rsidP="00BA3E8B">
      <w:r>
        <w:t>Det ble også vist til at seksuell trakassering i dag er den eneste formen for trakassering som ombudet og nemnda ikke håndhever</w:t>
      </w:r>
      <w:r>
        <w:t>.</w:t>
      </w:r>
    </w:p>
    <w:p w:rsidR="00000000" w:rsidRDefault="00D718D0" w:rsidP="00BA3E8B">
      <w:pPr>
        <w:pStyle w:val="Overskrift3"/>
      </w:pPr>
      <w:r>
        <w:t>Prop. 88 L (2012–2013) Diskrimineringslovgivning</w:t>
      </w:r>
    </w:p>
    <w:p w:rsidR="00000000" w:rsidRDefault="00D718D0" w:rsidP="00BA3E8B">
      <w:r>
        <w:t>Departementet vurderte i denne proposisjonen om Likestillings- og diskrimineringsombudet og Likesti</w:t>
      </w:r>
      <w:r>
        <w:t>l</w:t>
      </w:r>
      <w:r>
        <w:t>lings- og diskrimineringsnemnda skulle gis myndighet til å håndheve saker om seksuell trakass</w:t>
      </w:r>
      <w:r>
        <w:t>ering, men kom til at det ikke skulle fremmes forslag om dette.</w:t>
      </w:r>
    </w:p>
    <w:p w:rsidR="00000000" w:rsidRDefault="00D718D0" w:rsidP="00BA3E8B">
      <w:r>
        <w:t>Hensynet til rettssikkerhet veide tungt i vurderingen. Det ble blant annet anført at disse sakene ofte innebærer store bevismessige utfordringer med påstander og opplevelser som partene kan fo</w:t>
      </w:r>
      <w:r>
        <w:t>rstå og op</w:t>
      </w:r>
      <w:r>
        <w:t>p</w:t>
      </w:r>
      <w:r>
        <w:t>leve svært ulikt, og at sakene ofte finner sted i lukkede rom der bare partene er til stede.</w:t>
      </w:r>
    </w:p>
    <w:p w:rsidR="00000000" w:rsidRDefault="00D718D0" w:rsidP="00BA3E8B">
      <w:r>
        <w:t>Departementet viste til at saksbehandlingen ved ombudet og i nemnda ikke er så omfattende som saksb</w:t>
      </w:r>
      <w:r>
        <w:t>e</w:t>
      </w:r>
      <w:r>
        <w:t>handlingen i domstolene, og sa blant annet at:</w:t>
      </w:r>
    </w:p>
    <w:p w:rsidR="00000000" w:rsidRDefault="00D718D0" w:rsidP="00BA3E8B">
      <w:pPr>
        <w:pStyle w:val="blokksit"/>
      </w:pPr>
      <w:r>
        <w:t>«</w:t>
      </w:r>
      <w:r>
        <w:t>Slik ombudet og nemndas saksbehandlingsform, sammensetning og ressurser er, ligger det ikke på samme måte til rette for kontradiksjon og parts- og vitneavhør som i domstolene.»</w:t>
      </w:r>
    </w:p>
    <w:p w:rsidR="00000000" w:rsidRDefault="00D718D0" w:rsidP="00BA3E8B">
      <w:pPr>
        <w:pStyle w:val="Overskrift3"/>
      </w:pPr>
      <w:r>
        <w:t>Prop. 80 L (2016–2017) Lov om Likestillings- og diskrimineringsombu</w:t>
      </w:r>
      <w:r>
        <w:t>det og Diskrimineringsnemnda</w:t>
      </w:r>
    </w:p>
    <w:p w:rsidR="00000000" w:rsidRDefault="00D718D0" w:rsidP="00BA3E8B">
      <w:r>
        <w:t>Departementet videreførte i denne lovproposisjonen gjeldende rett, slik at saker om seksuell trakassering må bringes inn for domstolene.</w:t>
      </w:r>
    </w:p>
    <w:p w:rsidR="00000000" w:rsidRDefault="00D718D0" w:rsidP="00BA3E8B">
      <w:r>
        <w:t>Det ble vist til at det er forhold ved seksuell trakassering som gjør at disse sakene skil</w:t>
      </w:r>
      <w:r>
        <w:t>ler seg fra andre tr</w:t>
      </w:r>
      <w:r>
        <w:t>a</w:t>
      </w:r>
      <w:r>
        <w:t>kasserings- og diskrimineringssaker, og at tungtveiende grunner derfor taler for at saker om seksuell traka</w:t>
      </w:r>
      <w:r>
        <w:t>s</w:t>
      </w:r>
      <w:r>
        <w:t>sering skal behandles av domstolene.</w:t>
      </w:r>
    </w:p>
    <w:p w:rsidR="00000000" w:rsidRDefault="00D718D0" w:rsidP="00BA3E8B">
      <w:r>
        <w:t>Departementet fremhevet at bevissituasjonen som regel vil være vanskeligere i saker om sek</w:t>
      </w:r>
      <w:r>
        <w:t>suell trakassering enn i andre saker, og selv om likestillings- og diskrimineringslovene ikke har et krav om skyld, vil vurd</w:t>
      </w:r>
      <w:r>
        <w:t>e</w:t>
      </w:r>
      <w:r>
        <w:t>ringene i saker om seksuell trakassering ofte være subjektive. Det ble også vist til at i en domstolsprosess vil partene sikres ful</w:t>
      </w:r>
      <w:r>
        <w:t>l bevisumiddelbarhet, der partene er repr</w:t>
      </w:r>
      <w:r>
        <w:t>e</w:t>
      </w:r>
      <w:r>
        <w:t>sentert med hver sin a</w:t>
      </w:r>
      <w:r>
        <w:t>d</w:t>
      </w:r>
      <w:r>
        <w:t>vokat og der det er anle</w:t>
      </w:r>
      <w:r>
        <w:t>d</w:t>
      </w:r>
      <w:r>
        <w:t>ning til å få dekket saksomkostninger dersom de vinner saken.</w:t>
      </w:r>
    </w:p>
    <w:p w:rsidR="00000000" w:rsidRDefault="00D718D0" w:rsidP="00BA3E8B">
      <w:r>
        <w:t>Det ble likevel presisert at ombudet ville kunne gi rettighetsveiledning og være partshjelper også i sak</w:t>
      </w:r>
      <w:r>
        <w:t>er om seksuell trakassering.</w:t>
      </w:r>
    </w:p>
    <w:p w:rsidR="00000000" w:rsidRDefault="00D718D0" w:rsidP="00BA3E8B">
      <w:pPr>
        <w:pStyle w:val="Overskrift3"/>
      </w:pPr>
      <w:r>
        <w:t>Endringer i håndhevingsapparatet</w:t>
      </w:r>
    </w:p>
    <w:p w:rsidR="00000000" w:rsidRDefault="00D718D0" w:rsidP="00BA3E8B">
      <w:r>
        <w:t>Håndhevingsapparatet på diskrimineringsområdet fikk fra og med 1. januar 2018 en ny og endret organ</w:t>
      </w:r>
      <w:r>
        <w:t>i</w:t>
      </w:r>
      <w:r>
        <w:t>sering.</w:t>
      </w:r>
    </w:p>
    <w:p w:rsidR="00000000" w:rsidRDefault="00D718D0" w:rsidP="00BA3E8B">
      <w:r>
        <w:t>Håndhevingsapparatet var før dette organisert som et to-instanssystem. Omb</w:t>
      </w:r>
      <w:r>
        <w:t>udet behandlet klages</w:t>
      </w:r>
      <w:r>
        <w:t>a</w:t>
      </w:r>
      <w:r>
        <w:t xml:space="preserve">ker i første instans, og ga ikke-bindende uttalelser om hvorvidt det hadde funnet sted </w:t>
      </w:r>
      <w:r>
        <w:lastRenderedPageBreak/>
        <w:t>diskriminering. Ombudets uttalelser kunne bringes inn for Likestillings- og diskriminering</w:t>
      </w:r>
      <w:r>
        <w:t>s</w:t>
      </w:r>
      <w:r>
        <w:t>nemnda som fattet bindende vedtak. Hverken ombud eller n</w:t>
      </w:r>
      <w:r>
        <w:t>emnd hadde myndighet til å håndheve forbudet mot seksuell trakassering.</w:t>
      </w:r>
    </w:p>
    <w:p w:rsidR="00000000" w:rsidRDefault="00D718D0" w:rsidP="00BA3E8B">
      <w:r>
        <w:t>Departementet vil presisere at det tidligere håndhevingsapparatet formelt sett var et én-instanssystem selv om det besto av to organer. Ombudet fattet som hovedregel ikke vedtak i forv</w:t>
      </w:r>
      <w:r>
        <w:t>altningslovens forstand, de ga ikke-bindende uttalelser om hvorvidt diskriminering har funnet sted.</w:t>
      </w:r>
    </w:p>
    <w:p w:rsidR="00000000" w:rsidRDefault="00D718D0" w:rsidP="00BA3E8B">
      <w:r>
        <w:t>Endringene innebar i hovedsak at:</w:t>
      </w:r>
    </w:p>
    <w:p w:rsidR="00000000" w:rsidRDefault="00D718D0" w:rsidP="00BA3E8B">
      <w:pPr>
        <w:pStyle w:val="Liste"/>
      </w:pPr>
      <w:r>
        <w:t>lovhåndheveroppgavene ble skilt ut fra ombudets oppgaveportefølje.</w:t>
      </w:r>
    </w:p>
    <w:p w:rsidR="00000000" w:rsidRDefault="00D718D0" w:rsidP="00BA3E8B">
      <w:pPr>
        <w:pStyle w:val="Liste"/>
      </w:pPr>
      <w:r>
        <w:t>et nytt håndhevingsapparat er nå</w:t>
      </w:r>
      <w:r>
        <w:t xml:space="preserve"> bygd opp rundt en nemnd der alle saker behandles i én instans.</w:t>
      </w:r>
    </w:p>
    <w:p w:rsidR="00000000" w:rsidRDefault="00D718D0" w:rsidP="00BA3E8B">
      <w:pPr>
        <w:pStyle w:val="Liste"/>
      </w:pPr>
      <w:r>
        <w:t>kvalifikasjonskravene til nemndlederne har blitt skjerpet, slik at det i tillegg til juridisk utdannelse, som hovedregel skal stilles krav om dommererfaring.</w:t>
      </w:r>
    </w:p>
    <w:p w:rsidR="00000000" w:rsidRDefault="00D718D0" w:rsidP="00BA3E8B">
      <w:pPr>
        <w:pStyle w:val="Liste"/>
      </w:pPr>
      <w:r>
        <w:t>nemnda er nå gitt myndighe</w:t>
      </w:r>
      <w:r>
        <w:t>t til å ilegge oppreisning i diskrimineringssaker innenfor a</w:t>
      </w:r>
      <w:r>
        <w:t>r</w:t>
      </w:r>
      <w:r>
        <w:t>beidslivet og erstatning i enkle saksforhold.</w:t>
      </w:r>
    </w:p>
    <w:p w:rsidR="00000000" w:rsidRDefault="00D718D0" w:rsidP="00BA3E8B">
      <w:pPr>
        <w:pStyle w:val="Overskrift3"/>
      </w:pPr>
      <w:r>
        <w:t>Anmodningsvedtak</w:t>
      </w:r>
    </w:p>
    <w:p w:rsidR="00000000" w:rsidRDefault="00D718D0" w:rsidP="00BA3E8B">
      <w:pPr>
        <w:pStyle w:val="Overskrift4"/>
      </w:pPr>
      <w:r>
        <w:t>Innst. 388 L (2016–2017) forslag nr. 6</w:t>
      </w:r>
    </w:p>
    <w:p w:rsidR="00000000" w:rsidRDefault="00D718D0" w:rsidP="00BA3E8B">
      <w:r>
        <w:t>I forbindelse med stortingsbehandling av Prop. 80 L (2016–2017) L</w:t>
      </w:r>
      <w:r>
        <w:t>ov om likestillings- og di</w:t>
      </w:r>
      <w:r>
        <w:t>s</w:t>
      </w:r>
      <w:r>
        <w:t>krimin</w:t>
      </w:r>
      <w:r>
        <w:t>e</w:t>
      </w:r>
      <w:r>
        <w:t>ringsombudet og Diskrimineringsnemnda (diskrimineringsombudsloven) i juni 2017 fattet Stortinget følgende anmodningsvedtak:</w:t>
      </w:r>
    </w:p>
    <w:p w:rsidR="00000000" w:rsidRDefault="00D718D0" w:rsidP="00BA3E8B">
      <w:pPr>
        <w:pStyle w:val="blokksit"/>
      </w:pPr>
      <w:r>
        <w:t>«Stortinget ber regjeringen utrede et lavterskeltilbud for håndhevelse av forbudet mot seksuell tr</w:t>
      </w:r>
      <w:r>
        <w:t>a</w:t>
      </w:r>
      <w:r>
        <w:t>kassering.»</w:t>
      </w:r>
    </w:p>
    <w:p w:rsidR="00000000" w:rsidRDefault="00D718D0" w:rsidP="00BA3E8B">
      <w:pPr>
        <w:pStyle w:val="Overskrift4"/>
      </w:pPr>
      <w:r>
        <w:t>Innst. 208 S (2017–2018) forslag nr. 1 og nr. 6</w:t>
      </w:r>
    </w:p>
    <w:p w:rsidR="00000000" w:rsidRDefault="00D718D0" w:rsidP="00BA3E8B">
      <w:r>
        <w:t>I forbindelse med Stortingsbehandlingen av representantforslag 71 S (2016–2017) og 75 S (2016–2017) i april 2018, fattet Stortinget følgende anmodningsvedtak:</w:t>
      </w:r>
    </w:p>
    <w:p w:rsidR="00000000" w:rsidRDefault="00D718D0" w:rsidP="00BA3E8B">
      <w:r>
        <w:t>Forslag nr. 1:</w:t>
      </w:r>
    </w:p>
    <w:p w:rsidR="00000000" w:rsidRDefault="00D718D0" w:rsidP="00BA3E8B">
      <w:pPr>
        <w:pStyle w:val="blokksit"/>
      </w:pPr>
      <w:r>
        <w:t>«</w:t>
      </w:r>
      <w:r>
        <w:t>Stortinget ber regjeringen finne en hensiktsmessig måte å styrke veilednings- og hjelpetilbudet til personer som utsettes for seksuell trakassering, som ivaretas av Likestillings- og diskrimin</w:t>
      </w:r>
      <w:r>
        <w:t>e</w:t>
      </w:r>
      <w:r>
        <w:t>ringso</w:t>
      </w:r>
      <w:r>
        <w:t>m</w:t>
      </w:r>
      <w:r>
        <w:t>budet.»</w:t>
      </w:r>
    </w:p>
    <w:p w:rsidR="00000000" w:rsidRDefault="00D718D0" w:rsidP="00BA3E8B">
      <w:r>
        <w:t>Forslag nr. 6:</w:t>
      </w:r>
    </w:p>
    <w:p w:rsidR="00000000" w:rsidRDefault="00D718D0" w:rsidP="00BA3E8B">
      <w:pPr>
        <w:pStyle w:val="blokksit"/>
      </w:pPr>
      <w:r>
        <w:t>«Stortinget ber regjeringen komme</w:t>
      </w:r>
      <w:r>
        <w:t xml:space="preserve"> tilbake med sak i forbindelse med statsbudsjettet 2020 om å in</w:t>
      </w:r>
      <w:r>
        <w:t>n</w:t>
      </w:r>
      <w:r>
        <w:t>føre et lavterskeltilbud for håndhevelse av saker om seksuell trakassering, samt gi Diskrim</w:t>
      </w:r>
      <w:r>
        <w:t>i</w:t>
      </w:r>
      <w:r>
        <w:t>nering</w:t>
      </w:r>
      <w:r>
        <w:t>s</w:t>
      </w:r>
      <w:r>
        <w:t>nemnda myndighet til å gi oppreising og erstatning i slike saker innenfor diskrimin</w:t>
      </w:r>
      <w:r>
        <w:t>e</w:t>
      </w:r>
      <w:r>
        <w:t>ringslove</w:t>
      </w:r>
      <w:r>
        <w:t>ns o</w:t>
      </w:r>
      <w:r>
        <w:t>m</w:t>
      </w:r>
      <w:r>
        <w:t>råde, ti</w:t>
      </w:r>
      <w:r>
        <w:t>l</w:t>
      </w:r>
      <w:r>
        <w:t>svarende diskriminering på grunn av etnisitet, kjønn og funksjonshe</w:t>
      </w:r>
      <w:r>
        <w:t>m</w:t>
      </w:r>
      <w:r>
        <w:t>ming.»</w:t>
      </w:r>
    </w:p>
    <w:p w:rsidR="00000000" w:rsidRDefault="00D718D0" w:rsidP="00BA3E8B">
      <w:pPr>
        <w:pStyle w:val="Overskrift3"/>
      </w:pPr>
      <w:r>
        <w:t>Høringen</w:t>
      </w:r>
    </w:p>
    <w:p w:rsidR="00000000" w:rsidRDefault="00D718D0" w:rsidP="00BA3E8B">
      <w:r>
        <w:t>Barne- og likestillingsdepartementet sendte 2. juli 2018 høringsnotat med forslag om etablering av et la</w:t>
      </w:r>
      <w:r>
        <w:t>v</w:t>
      </w:r>
      <w:r>
        <w:t xml:space="preserve">terskeltilbud for behandling av saker om </w:t>
      </w:r>
      <w:r>
        <w:t>seksuell trakassering på høring med 14 ukers høringsfrist til følgende instanser:</w:t>
      </w:r>
    </w:p>
    <w:p w:rsidR="00000000" w:rsidRDefault="00D718D0" w:rsidP="00BA3E8B">
      <w:pPr>
        <w:pStyle w:val="avsnitt-undertittel"/>
      </w:pPr>
      <w:r>
        <w:lastRenderedPageBreak/>
        <w:t>Offentlige instanser</w:t>
      </w:r>
    </w:p>
    <w:p w:rsidR="00000000" w:rsidRDefault="00D718D0" w:rsidP="00BA3E8B">
      <w:pPr>
        <w:pStyle w:val="opplisting"/>
      </w:pPr>
      <w:r>
        <w:t>Departementene</w:t>
      </w:r>
    </w:p>
    <w:p w:rsidR="00000000" w:rsidRDefault="00D718D0" w:rsidP="00BA3E8B">
      <w:pPr>
        <w:pStyle w:val="opplisting"/>
      </w:pPr>
      <w:r>
        <w:t>Arbeids- og velferdsdirektoratet</w:t>
      </w:r>
    </w:p>
    <w:p w:rsidR="00000000" w:rsidRDefault="00D718D0" w:rsidP="00BA3E8B">
      <w:pPr>
        <w:pStyle w:val="opplisting"/>
      </w:pPr>
      <w:r>
        <w:t>Arbeidsretten</w:t>
      </w:r>
    </w:p>
    <w:p w:rsidR="00000000" w:rsidRDefault="00D718D0" w:rsidP="00BA3E8B">
      <w:pPr>
        <w:pStyle w:val="opplisting"/>
      </w:pPr>
      <w:r>
        <w:t>Arbeidstilsynet</w:t>
      </w:r>
    </w:p>
    <w:p w:rsidR="00000000" w:rsidRDefault="00D718D0" w:rsidP="00BA3E8B">
      <w:pPr>
        <w:pStyle w:val="opplisting"/>
      </w:pPr>
      <w:r>
        <w:t>Barne-, ungdoms- og familiedirektoratet</w:t>
      </w:r>
    </w:p>
    <w:p w:rsidR="00000000" w:rsidRDefault="00D718D0" w:rsidP="00BA3E8B">
      <w:pPr>
        <w:pStyle w:val="opplisting"/>
      </w:pPr>
      <w:r>
        <w:t>Barneombudet  </w:t>
      </w:r>
    </w:p>
    <w:p w:rsidR="00000000" w:rsidRDefault="00D718D0" w:rsidP="00BA3E8B">
      <w:pPr>
        <w:pStyle w:val="opplisting"/>
      </w:pPr>
      <w:r>
        <w:t>Direktoratet for for</w:t>
      </w:r>
      <w:r>
        <w:t>valtning og IKT</w:t>
      </w:r>
    </w:p>
    <w:p w:rsidR="00000000" w:rsidRDefault="00D718D0" w:rsidP="00BA3E8B">
      <w:pPr>
        <w:pStyle w:val="opplisting"/>
      </w:pPr>
      <w:r>
        <w:t>Domstoladministrasjonen</w:t>
      </w:r>
    </w:p>
    <w:p w:rsidR="00000000" w:rsidRDefault="00D718D0" w:rsidP="00BA3E8B">
      <w:pPr>
        <w:pStyle w:val="opplisting"/>
      </w:pPr>
      <w:r>
        <w:t>Forbrukertilsynet</w:t>
      </w:r>
    </w:p>
    <w:p w:rsidR="00000000" w:rsidRDefault="00D718D0" w:rsidP="00BA3E8B">
      <w:pPr>
        <w:pStyle w:val="opplisting"/>
      </w:pPr>
      <w:r>
        <w:t>Forbrukerrådet  </w:t>
      </w:r>
    </w:p>
    <w:p w:rsidR="00000000" w:rsidRDefault="00D718D0" w:rsidP="00BA3E8B">
      <w:pPr>
        <w:pStyle w:val="opplisting"/>
      </w:pPr>
      <w:r>
        <w:t>Helsedirektoratet</w:t>
      </w:r>
    </w:p>
    <w:p w:rsidR="00000000" w:rsidRDefault="00D718D0" w:rsidP="00BA3E8B">
      <w:pPr>
        <w:pStyle w:val="opplisting"/>
      </w:pPr>
      <w:r>
        <w:t>Høyesterett</w:t>
      </w:r>
    </w:p>
    <w:p w:rsidR="00000000" w:rsidRDefault="00D718D0" w:rsidP="00BA3E8B">
      <w:pPr>
        <w:pStyle w:val="opplisting"/>
      </w:pPr>
      <w:r>
        <w:t>Integrerings- og mangfoldsdirektoratet</w:t>
      </w:r>
    </w:p>
    <w:p w:rsidR="00000000" w:rsidRDefault="00D718D0" w:rsidP="00BA3E8B">
      <w:pPr>
        <w:pStyle w:val="opplisting"/>
      </w:pPr>
      <w:r>
        <w:t>Fylkesmennene</w:t>
      </w:r>
    </w:p>
    <w:p w:rsidR="00000000" w:rsidRDefault="00D718D0" w:rsidP="00BA3E8B">
      <w:pPr>
        <w:pStyle w:val="opplisting"/>
      </w:pPr>
      <w:r>
        <w:t>Likestillings- og diskrimineringsnemnda</w:t>
      </w:r>
    </w:p>
    <w:p w:rsidR="00000000" w:rsidRDefault="00D718D0" w:rsidP="00BA3E8B">
      <w:pPr>
        <w:pStyle w:val="opplisting"/>
      </w:pPr>
      <w:r>
        <w:t>Likestillings- og diskrimineringsombudet</w:t>
      </w:r>
    </w:p>
    <w:p w:rsidR="00000000" w:rsidRDefault="00D718D0" w:rsidP="00BA3E8B">
      <w:pPr>
        <w:pStyle w:val="opplisting"/>
      </w:pPr>
      <w:r>
        <w:t>Norges </w:t>
      </w:r>
      <w:r>
        <w:t>nasjonale institusjon for menneskerettigheter</w:t>
      </w:r>
    </w:p>
    <w:p w:rsidR="00000000" w:rsidRDefault="00D718D0" w:rsidP="00BA3E8B">
      <w:pPr>
        <w:pStyle w:val="opplisting"/>
      </w:pPr>
      <w:r>
        <w:t>Politidirektoratet  </w:t>
      </w:r>
    </w:p>
    <w:p w:rsidR="00000000" w:rsidRDefault="00D718D0" w:rsidP="00BA3E8B">
      <w:pPr>
        <w:pStyle w:val="opplisting"/>
      </w:pPr>
      <w:r>
        <w:t>Regjeringsadvokaten</w:t>
      </w:r>
    </w:p>
    <w:p w:rsidR="00000000" w:rsidRDefault="00D718D0" w:rsidP="00BA3E8B">
      <w:pPr>
        <w:pStyle w:val="opplisting"/>
      </w:pPr>
      <w:r>
        <w:t>Riksadvokaten  </w:t>
      </w:r>
    </w:p>
    <w:p w:rsidR="00000000" w:rsidRDefault="00D718D0" w:rsidP="00BA3E8B">
      <w:pPr>
        <w:pStyle w:val="opplisting"/>
      </w:pPr>
      <w:r>
        <w:t>Sametinget</w:t>
      </w:r>
    </w:p>
    <w:p w:rsidR="00000000" w:rsidRDefault="00D718D0" w:rsidP="00BA3E8B">
      <w:pPr>
        <w:pStyle w:val="opplisting"/>
      </w:pPr>
      <w:r>
        <w:t>Sivilombudsmannen</w:t>
      </w:r>
    </w:p>
    <w:p w:rsidR="00000000" w:rsidRDefault="00D718D0" w:rsidP="00BA3E8B">
      <w:pPr>
        <w:pStyle w:val="opplisting"/>
      </w:pPr>
      <w:r>
        <w:t>Statens helsetilsyn</w:t>
      </w:r>
    </w:p>
    <w:p w:rsidR="00000000" w:rsidRDefault="00D718D0" w:rsidP="00BA3E8B">
      <w:pPr>
        <w:pStyle w:val="opplisting"/>
      </w:pPr>
      <w:r>
        <w:t>Statens seniorråd</w:t>
      </w:r>
    </w:p>
    <w:p w:rsidR="00000000" w:rsidRDefault="00D718D0" w:rsidP="00BA3E8B">
      <w:pPr>
        <w:pStyle w:val="opplisting"/>
      </w:pPr>
      <w:r>
        <w:t>Statsadvokatembetene</w:t>
      </w:r>
    </w:p>
    <w:p w:rsidR="00000000" w:rsidRDefault="00D718D0" w:rsidP="00BA3E8B">
      <w:pPr>
        <w:pStyle w:val="avsnitt-undertittel"/>
      </w:pPr>
      <w:r>
        <w:t>Universiteter, forskningsinstitusjoner mv.</w:t>
      </w:r>
    </w:p>
    <w:p w:rsidR="00000000" w:rsidRDefault="00D718D0" w:rsidP="00BA3E8B">
      <w:pPr>
        <w:pStyle w:val="opplisting"/>
      </w:pPr>
      <w:r>
        <w:t>Forskningsstiftelsen F</w:t>
      </w:r>
      <w:r>
        <w:t>AFO</w:t>
      </w:r>
    </w:p>
    <w:p w:rsidR="00000000" w:rsidRDefault="00D718D0" w:rsidP="00BA3E8B">
      <w:pPr>
        <w:pStyle w:val="opplisting"/>
      </w:pPr>
      <w:r>
        <w:t>Gáldu  - Kompetansesenter for urfolks rettigheter</w:t>
      </w:r>
    </w:p>
    <w:p w:rsidR="00000000" w:rsidRDefault="00D718D0" w:rsidP="00BA3E8B">
      <w:pPr>
        <w:pStyle w:val="opplisting"/>
      </w:pPr>
      <w:r>
        <w:t>Institutt for samfunnsforskning</w:t>
      </w:r>
    </w:p>
    <w:p w:rsidR="00000000" w:rsidRDefault="00D718D0" w:rsidP="00BA3E8B">
      <w:pPr>
        <w:pStyle w:val="opplisting"/>
      </w:pPr>
      <w:r>
        <w:t>KILDEN</w:t>
      </w:r>
    </w:p>
    <w:p w:rsidR="00000000" w:rsidRDefault="00D718D0" w:rsidP="00BA3E8B">
      <w:pPr>
        <w:pStyle w:val="opplisting"/>
      </w:pPr>
      <w:r>
        <w:t>Komité for kjønnsbalanse og mangfold i forskning</w:t>
      </w:r>
    </w:p>
    <w:p w:rsidR="00000000" w:rsidRDefault="00D718D0" w:rsidP="00BA3E8B">
      <w:pPr>
        <w:pStyle w:val="opplisting"/>
      </w:pPr>
      <w:r>
        <w:t>Nord universitet – Bodø</w:t>
      </w:r>
    </w:p>
    <w:p w:rsidR="00000000" w:rsidRDefault="00D718D0" w:rsidP="00BA3E8B">
      <w:pPr>
        <w:pStyle w:val="opplisting"/>
      </w:pPr>
      <w:r>
        <w:t>Nord universitet – Steinkjer</w:t>
      </w:r>
    </w:p>
    <w:p w:rsidR="00000000" w:rsidRDefault="00D718D0" w:rsidP="00BA3E8B">
      <w:pPr>
        <w:pStyle w:val="opplisting"/>
      </w:pPr>
      <w:r>
        <w:t>Nordisk samisk institutt (NSI)</w:t>
      </w:r>
    </w:p>
    <w:p w:rsidR="00000000" w:rsidRDefault="00D718D0" w:rsidP="00BA3E8B">
      <w:pPr>
        <w:pStyle w:val="opplisting"/>
      </w:pPr>
      <w:r>
        <w:t>Norges arktiske universitet (U</w:t>
      </w:r>
      <w:r>
        <w:t>IT)</w:t>
      </w:r>
    </w:p>
    <w:p w:rsidR="00000000" w:rsidRDefault="00D718D0" w:rsidP="00BA3E8B">
      <w:pPr>
        <w:pStyle w:val="opplisting"/>
      </w:pPr>
      <w:r>
        <w:t>Norges miljø- og biovitenskaplige universitet</w:t>
      </w:r>
    </w:p>
    <w:p w:rsidR="00000000" w:rsidRDefault="00D718D0" w:rsidP="00BA3E8B">
      <w:pPr>
        <w:pStyle w:val="opplisting"/>
      </w:pPr>
      <w:r>
        <w:t>Norges teknisk-naturvitenskapelige universitet (NTNU)</w:t>
      </w:r>
    </w:p>
    <w:p w:rsidR="00000000" w:rsidRDefault="00D718D0" w:rsidP="00BA3E8B">
      <w:pPr>
        <w:pStyle w:val="opplisting"/>
      </w:pPr>
      <w:r>
        <w:t>Norsk senter for menneskerettigheter</w:t>
      </w:r>
    </w:p>
    <w:p w:rsidR="00000000" w:rsidRDefault="00D718D0" w:rsidP="00BA3E8B">
      <w:pPr>
        <w:pStyle w:val="opplisting"/>
      </w:pPr>
      <w:r>
        <w:t>Senter for samiske studier</w:t>
      </w:r>
    </w:p>
    <w:p w:rsidR="00000000" w:rsidRDefault="00D718D0" w:rsidP="00BA3E8B">
      <w:pPr>
        <w:pStyle w:val="opplisting"/>
      </w:pPr>
      <w:r>
        <w:t>Senter for tverrfaglig kjønnsforskning UiO</w:t>
      </w:r>
    </w:p>
    <w:p w:rsidR="00000000" w:rsidRDefault="00D718D0" w:rsidP="00BA3E8B">
      <w:pPr>
        <w:pStyle w:val="opplisting"/>
      </w:pPr>
      <w:r>
        <w:t>Universitetet i Agder</w:t>
      </w:r>
    </w:p>
    <w:p w:rsidR="00000000" w:rsidRDefault="00D718D0" w:rsidP="00BA3E8B">
      <w:pPr>
        <w:pStyle w:val="opplisting"/>
      </w:pPr>
      <w:r>
        <w:t>Universitetet i Bergen</w:t>
      </w:r>
    </w:p>
    <w:p w:rsidR="00000000" w:rsidRDefault="00D718D0" w:rsidP="00BA3E8B">
      <w:pPr>
        <w:pStyle w:val="opplisting"/>
      </w:pPr>
      <w:r>
        <w:t>Universitetet i Bergen – Det juridiske fakultet</w:t>
      </w:r>
    </w:p>
    <w:p w:rsidR="00000000" w:rsidRDefault="00D718D0" w:rsidP="00BA3E8B">
      <w:pPr>
        <w:pStyle w:val="opplisting"/>
      </w:pPr>
      <w:r>
        <w:lastRenderedPageBreak/>
        <w:t>Universitetet i Oslo</w:t>
      </w:r>
    </w:p>
    <w:p w:rsidR="00000000" w:rsidRDefault="00D718D0" w:rsidP="00BA3E8B">
      <w:pPr>
        <w:pStyle w:val="opplisting"/>
      </w:pPr>
      <w:r>
        <w:t>Universitetet i Oslo – Det juridiske fakultet</w:t>
      </w:r>
    </w:p>
    <w:p w:rsidR="00000000" w:rsidRDefault="00D718D0" w:rsidP="00BA3E8B">
      <w:pPr>
        <w:pStyle w:val="opplisting"/>
      </w:pPr>
      <w:r>
        <w:t>Universitetet i Oslo – Det juridiske fakultet, avd. for kvinnerett, barnerett, likestillings- og diskr</w:t>
      </w:r>
      <w:r>
        <w:t>i</w:t>
      </w:r>
      <w:r>
        <w:t>min</w:t>
      </w:r>
      <w:r>
        <w:t>e</w:t>
      </w:r>
      <w:r>
        <w:t>ringsrett (KVIBALD)</w:t>
      </w:r>
    </w:p>
    <w:p w:rsidR="00000000" w:rsidRDefault="00D718D0" w:rsidP="00BA3E8B">
      <w:pPr>
        <w:pStyle w:val="opplisting"/>
      </w:pPr>
      <w:r>
        <w:t xml:space="preserve">Universitetet </w:t>
      </w:r>
      <w:r>
        <w:t>i Stavanger</w:t>
      </w:r>
    </w:p>
    <w:p w:rsidR="00000000" w:rsidRDefault="00D718D0" w:rsidP="00BA3E8B">
      <w:pPr>
        <w:pStyle w:val="avsnitt-undertittel"/>
      </w:pPr>
      <w:r>
        <w:t>Hovedorganisasjoner mv. i arbeidslivet</w:t>
      </w:r>
    </w:p>
    <w:p w:rsidR="00000000" w:rsidRDefault="00D718D0" w:rsidP="00BA3E8B">
      <w:pPr>
        <w:pStyle w:val="opplisting"/>
      </w:pPr>
      <w:r>
        <w:t>Akademikerne</w:t>
      </w:r>
    </w:p>
    <w:p w:rsidR="00000000" w:rsidRDefault="00D718D0" w:rsidP="00BA3E8B">
      <w:pPr>
        <w:pStyle w:val="opplisting"/>
      </w:pPr>
      <w:r>
        <w:t>Arbeidsgiverforeningen Spekter</w:t>
      </w:r>
    </w:p>
    <w:p w:rsidR="00000000" w:rsidRDefault="00D718D0" w:rsidP="00BA3E8B">
      <w:pPr>
        <w:pStyle w:val="opplisting"/>
      </w:pPr>
      <w:r>
        <w:t>Bedriftsforbundet</w:t>
      </w:r>
    </w:p>
    <w:p w:rsidR="00000000" w:rsidRDefault="00D718D0" w:rsidP="00BA3E8B">
      <w:pPr>
        <w:pStyle w:val="opplisting"/>
      </w:pPr>
      <w:r>
        <w:t>Den norske advokatforening</w:t>
      </w:r>
    </w:p>
    <w:p w:rsidR="00000000" w:rsidRDefault="00D718D0" w:rsidP="00BA3E8B">
      <w:pPr>
        <w:pStyle w:val="opplisting"/>
      </w:pPr>
      <w:r>
        <w:t>Den norske dommerforening</w:t>
      </w:r>
    </w:p>
    <w:p w:rsidR="00000000" w:rsidRDefault="00D718D0" w:rsidP="00BA3E8B">
      <w:pPr>
        <w:pStyle w:val="opplisting"/>
      </w:pPr>
      <w:r>
        <w:t>Fagforbundet</w:t>
      </w:r>
    </w:p>
    <w:p w:rsidR="00000000" w:rsidRDefault="00D718D0" w:rsidP="00BA3E8B">
      <w:pPr>
        <w:pStyle w:val="opplisting"/>
      </w:pPr>
      <w:r>
        <w:t>Fellesorganisasjonen (FO)</w:t>
      </w:r>
    </w:p>
    <w:p w:rsidR="00000000" w:rsidRDefault="00D718D0" w:rsidP="00BA3E8B">
      <w:pPr>
        <w:pStyle w:val="opplisting"/>
      </w:pPr>
      <w:r>
        <w:t>Hovedorganisasjonen Virke</w:t>
      </w:r>
    </w:p>
    <w:p w:rsidR="00000000" w:rsidRDefault="00D718D0" w:rsidP="00BA3E8B">
      <w:pPr>
        <w:pStyle w:val="opplisting"/>
      </w:pPr>
      <w:r>
        <w:t>KS</w:t>
      </w:r>
    </w:p>
    <w:p w:rsidR="00000000" w:rsidRDefault="00D718D0" w:rsidP="00BA3E8B">
      <w:pPr>
        <w:pStyle w:val="opplisting"/>
      </w:pPr>
      <w:r>
        <w:t xml:space="preserve">Landsorganisasjonen i </w:t>
      </w:r>
      <w:r>
        <w:t>Norge (LO)</w:t>
      </w:r>
    </w:p>
    <w:p w:rsidR="00000000" w:rsidRDefault="00D718D0" w:rsidP="00BA3E8B">
      <w:pPr>
        <w:pStyle w:val="opplisting"/>
      </w:pPr>
      <w:r>
        <w:t>Norges Ingeniør- og Teknologiorganisasjon (NITO)</w:t>
      </w:r>
    </w:p>
    <w:p w:rsidR="00000000" w:rsidRDefault="00D718D0" w:rsidP="00BA3E8B">
      <w:pPr>
        <w:pStyle w:val="opplisting"/>
      </w:pPr>
      <w:r>
        <w:t>Norges Juristforbund</w:t>
      </w:r>
    </w:p>
    <w:p w:rsidR="00000000" w:rsidRDefault="00D718D0" w:rsidP="00BA3E8B">
      <w:pPr>
        <w:pStyle w:val="opplisting"/>
      </w:pPr>
      <w:r>
        <w:t>Næringslivets hovedorganisasjon (NHO)</w:t>
      </w:r>
    </w:p>
    <w:p w:rsidR="00000000" w:rsidRDefault="00D718D0" w:rsidP="00BA3E8B">
      <w:pPr>
        <w:pStyle w:val="opplisting"/>
      </w:pPr>
      <w:r>
        <w:t>Unio</w:t>
      </w:r>
    </w:p>
    <w:p w:rsidR="00000000" w:rsidRDefault="00D718D0" w:rsidP="00BA3E8B">
      <w:pPr>
        <w:pStyle w:val="opplisting"/>
      </w:pPr>
      <w:r>
        <w:t>Yrkesorganisasjonenes sentralforbund (YS)</w:t>
      </w:r>
    </w:p>
    <w:p w:rsidR="00000000" w:rsidRDefault="00D718D0" w:rsidP="00BA3E8B">
      <w:pPr>
        <w:pStyle w:val="avsnitt-undertittel"/>
      </w:pPr>
      <w:r>
        <w:t>Interesseorganisasjoner, humanitære organisasjoner mv.</w:t>
      </w:r>
    </w:p>
    <w:p w:rsidR="00000000" w:rsidRDefault="00D718D0" w:rsidP="00BA3E8B">
      <w:pPr>
        <w:pStyle w:val="opplisting"/>
      </w:pPr>
      <w:r>
        <w:t>Aksept  </w:t>
      </w:r>
    </w:p>
    <w:p w:rsidR="00000000" w:rsidRDefault="00D718D0" w:rsidP="00BA3E8B">
      <w:pPr>
        <w:pStyle w:val="opplisting"/>
      </w:pPr>
      <w:r>
        <w:t>Antirasistisk senter</w:t>
      </w:r>
    </w:p>
    <w:p w:rsidR="00000000" w:rsidRDefault="00D718D0" w:rsidP="00BA3E8B">
      <w:pPr>
        <w:pStyle w:val="opplisting"/>
      </w:pPr>
      <w:r>
        <w:t>Care Norge</w:t>
      </w:r>
    </w:p>
    <w:p w:rsidR="00000000" w:rsidRDefault="00D718D0" w:rsidP="00BA3E8B">
      <w:pPr>
        <w:pStyle w:val="opplisting"/>
      </w:pPr>
      <w:r>
        <w:t>Caritas Norge</w:t>
      </w:r>
    </w:p>
    <w:p w:rsidR="00000000" w:rsidRDefault="00D718D0" w:rsidP="00BA3E8B">
      <w:pPr>
        <w:pStyle w:val="opplisting"/>
      </w:pPr>
      <w:r>
        <w:t>Delta Kappa Gamma Society International, avd. Norge</w:t>
      </w:r>
    </w:p>
    <w:p w:rsidR="00000000" w:rsidRDefault="00D718D0" w:rsidP="00BA3E8B">
      <w:pPr>
        <w:pStyle w:val="opplisting"/>
      </w:pPr>
      <w:r>
        <w:t>Den norske Helsingfors komité</w:t>
      </w:r>
    </w:p>
    <w:p w:rsidR="00000000" w:rsidRDefault="00D718D0" w:rsidP="00BA3E8B">
      <w:pPr>
        <w:pStyle w:val="opplisting"/>
      </w:pPr>
      <w:r>
        <w:t>Elevorganisasjonen</w:t>
      </w:r>
    </w:p>
    <w:p w:rsidR="00000000" w:rsidRDefault="00D718D0" w:rsidP="00BA3E8B">
      <w:pPr>
        <w:pStyle w:val="opplisting"/>
      </w:pPr>
      <w:r>
        <w:t>FOKUS - Forum for kvinner og utviklingsspørsmål</w:t>
      </w:r>
    </w:p>
    <w:p w:rsidR="00000000" w:rsidRDefault="00D718D0" w:rsidP="00BA3E8B">
      <w:pPr>
        <w:pStyle w:val="opplisting"/>
      </w:pPr>
      <w:r>
        <w:t>Forbundet for transpersoner i Norge</w:t>
      </w:r>
    </w:p>
    <w:p w:rsidR="00000000" w:rsidRDefault="00D718D0" w:rsidP="00BA3E8B">
      <w:pPr>
        <w:pStyle w:val="opplisting"/>
      </w:pPr>
      <w:r>
        <w:t>Foreningen for kvinne- og kjønnsforskning</w:t>
      </w:r>
    </w:p>
    <w:p w:rsidR="00000000" w:rsidRDefault="00D718D0" w:rsidP="00BA3E8B">
      <w:pPr>
        <w:pStyle w:val="opplisting"/>
      </w:pPr>
      <w:r>
        <w:t>Fore</w:t>
      </w:r>
      <w:r>
        <w:t>ningen for østsamene</w:t>
      </w:r>
    </w:p>
    <w:p w:rsidR="00000000" w:rsidRDefault="00D718D0" w:rsidP="00BA3E8B">
      <w:pPr>
        <w:pStyle w:val="opplisting"/>
      </w:pPr>
      <w:r>
        <w:t>FRI – Foreningen for kjønns- og seksualitetsmangfold</w:t>
      </w:r>
    </w:p>
    <w:p w:rsidR="00000000" w:rsidRDefault="00D718D0" w:rsidP="00BA3E8B">
      <w:pPr>
        <w:pStyle w:val="opplisting"/>
      </w:pPr>
      <w:r>
        <w:t>Funksjonshemmedes fellesorganisasjon (FFO)</w:t>
      </w:r>
    </w:p>
    <w:p w:rsidR="00000000" w:rsidRDefault="00D718D0" w:rsidP="00BA3E8B">
      <w:pPr>
        <w:pStyle w:val="opplisting"/>
      </w:pPr>
      <w:r>
        <w:t>Harry Benjamin Ressurssenter</w:t>
      </w:r>
    </w:p>
    <w:p w:rsidR="00000000" w:rsidRDefault="00D718D0" w:rsidP="00BA3E8B">
      <w:pPr>
        <w:pStyle w:val="opplisting"/>
      </w:pPr>
      <w:r>
        <w:t>Human Rights service (HRS)</w:t>
      </w:r>
    </w:p>
    <w:p w:rsidR="00000000" w:rsidRDefault="00D718D0" w:rsidP="00BA3E8B">
      <w:pPr>
        <w:pStyle w:val="opplisting"/>
      </w:pPr>
      <w:r>
        <w:t>Juridisk rådgivning for kvinner (JURK)</w:t>
      </w:r>
    </w:p>
    <w:p w:rsidR="00000000" w:rsidRDefault="00D718D0" w:rsidP="00BA3E8B">
      <w:pPr>
        <w:pStyle w:val="opplisting"/>
      </w:pPr>
      <w:r>
        <w:t>Juss-Buss</w:t>
      </w:r>
    </w:p>
    <w:p w:rsidR="00000000" w:rsidRDefault="00D718D0" w:rsidP="00BA3E8B">
      <w:pPr>
        <w:pStyle w:val="opplisting"/>
      </w:pPr>
      <w:r>
        <w:t>Jussformidlingen i Bergen</w:t>
      </w:r>
    </w:p>
    <w:p w:rsidR="00000000" w:rsidRDefault="00D718D0" w:rsidP="00BA3E8B">
      <w:pPr>
        <w:pStyle w:val="opplisting"/>
      </w:pPr>
      <w:r>
        <w:t>Jushjelp</w:t>
      </w:r>
      <w:r>
        <w:t>a i Midt-Norge</w:t>
      </w:r>
    </w:p>
    <w:p w:rsidR="00000000" w:rsidRDefault="00D718D0" w:rsidP="00BA3E8B">
      <w:pPr>
        <w:pStyle w:val="opplisting"/>
      </w:pPr>
      <w:r>
        <w:t>Jusshjelpa i Nord-Norge</w:t>
      </w:r>
    </w:p>
    <w:p w:rsidR="00000000" w:rsidRDefault="00D718D0" w:rsidP="00BA3E8B">
      <w:pPr>
        <w:pStyle w:val="opplisting"/>
      </w:pPr>
      <w:r>
        <w:t>KUN Senter for kunnskap og likestilling</w:t>
      </w:r>
    </w:p>
    <w:p w:rsidR="00000000" w:rsidRDefault="00D718D0" w:rsidP="00BA3E8B">
      <w:pPr>
        <w:pStyle w:val="opplisting"/>
      </w:pPr>
      <w:r>
        <w:lastRenderedPageBreak/>
        <w:t>Kvenlandsforbundet</w:t>
      </w:r>
    </w:p>
    <w:p w:rsidR="00000000" w:rsidRDefault="00D718D0" w:rsidP="00BA3E8B">
      <w:pPr>
        <w:pStyle w:val="opplisting"/>
      </w:pPr>
      <w:r>
        <w:t>Kvinnefronten</w:t>
      </w:r>
    </w:p>
    <w:p w:rsidR="00000000" w:rsidRDefault="00D718D0" w:rsidP="00BA3E8B">
      <w:pPr>
        <w:pStyle w:val="opplisting"/>
      </w:pPr>
      <w:r>
        <w:t>Kvinnegruppa Ottar</w:t>
      </w:r>
    </w:p>
    <w:p w:rsidR="00000000" w:rsidRDefault="00D718D0" w:rsidP="00BA3E8B">
      <w:pPr>
        <w:pStyle w:val="opplisting"/>
      </w:pPr>
      <w:r>
        <w:t>Landsrådet for norske barne- og ungdomsorganisasjoner (LNU)</w:t>
      </w:r>
    </w:p>
    <w:p w:rsidR="00000000" w:rsidRDefault="00D718D0" w:rsidP="00BA3E8B">
      <w:pPr>
        <w:pStyle w:val="opplisting"/>
      </w:pPr>
      <w:r>
        <w:t>Likestilling, Integrering, Mangfold (LIM)</w:t>
      </w:r>
    </w:p>
    <w:p w:rsidR="00000000" w:rsidRDefault="00D718D0" w:rsidP="00BA3E8B">
      <w:pPr>
        <w:pStyle w:val="opplisting"/>
      </w:pPr>
      <w:r>
        <w:t>Likestillingssenteret</w:t>
      </w:r>
    </w:p>
    <w:p w:rsidR="00000000" w:rsidRDefault="00D718D0" w:rsidP="00BA3E8B">
      <w:pPr>
        <w:pStyle w:val="opplisting"/>
      </w:pPr>
      <w:r>
        <w:t>M</w:t>
      </w:r>
      <w:r>
        <w:t>annsforum</w:t>
      </w:r>
    </w:p>
    <w:p w:rsidR="00000000" w:rsidRDefault="00D718D0" w:rsidP="00BA3E8B">
      <w:pPr>
        <w:pStyle w:val="opplisting"/>
      </w:pPr>
      <w:r>
        <w:t>Menneskerettsalliansen</w:t>
      </w:r>
    </w:p>
    <w:p w:rsidR="00000000" w:rsidRDefault="00D718D0" w:rsidP="00BA3E8B">
      <w:pPr>
        <w:pStyle w:val="opplisting"/>
      </w:pPr>
      <w:r>
        <w:t>Norges Handikapforbund</w:t>
      </w:r>
    </w:p>
    <w:p w:rsidR="00000000" w:rsidRDefault="00D718D0" w:rsidP="00BA3E8B">
      <w:pPr>
        <w:pStyle w:val="opplisting"/>
      </w:pPr>
      <w:r>
        <w:t>Norges kvinne- og familieforbund</w:t>
      </w:r>
    </w:p>
    <w:p w:rsidR="00000000" w:rsidRDefault="00D718D0" w:rsidP="00BA3E8B">
      <w:pPr>
        <w:pStyle w:val="opplisting"/>
      </w:pPr>
      <w:r>
        <w:t>Norges kvinnelobby</w:t>
      </w:r>
    </w:p>
    <w:p w:rsidR="00000000" w:rsidRDefault="00D718D0" w:rsidP="00BA3E8B">
      <w:pPr>
        <w:pStyle w:val="opplisting"/>
      </w:pPr>
      <w:r>
        <w:t>Norsk kvinnesaksforening</w:t>
      </w:r>
    </w:p>
    <w:p w:rsidR="00000000" w:rsidRDefault="00D718D0" w:rsidP="00BA3E8B">
      <w:pPr>
        <w:pStyle w:val="opplisting"/>
      </w:pPr>
      <w:r>
        <w:t>Norsk organisasjon for asylsøkere (NOAS)</w:t>
      </w:r>
    </w:p>
    <w:p w:rsidR="00000000" w:rsidRDefault="00D718D0" w:rsidP="00BA3E8B">
      <w:pPr>
        <w:pStyle w:val="opplisting"/>
      </w:pPr>
      <w:r>
        <w:t>Norske kveners forbund</w:t>
      </w:r>
    </w:p>
    <w:p w:rsidR="00000000" w:rsidRDefault="00D718D0" w:rsidP="00BA3E8B">
      <w:pPr>
        <w:pStyle w:val="opplisting"/>
      </w:pPr>
      <w:r>
        <w:t>Norske Kvinners Sanitetsforening</w:t>
      </w:r>
    </w:p>
    <w:p w:rsidR="00000000" w:rsidRDefault="00D718D0" w:rsidP="00BA3E8B">
      <w:pPr>
        <w:pStyle w:val="opplisting"/>
      </w:pPr>
      <w:r>
        <w:t>Norske </w:t>
      </w:r>
      <w:r>
        <w:t>Reindriftssamers Landsforbund</w:t>
      </w:r>
    </w:p>
    <w:p w:rsidR="00000000" w:rsidRDefault="00D718D0" w:rsidP="00BA3E8B">
      <w:pPr>
        <w:pStyle w:val="opplisting"/>
      </w:pPr>
      <w:r>
        <w:t>Norske Samers Riksforbund</w:t>
      </w:r>
    </w:p>
    <w:p w:rsidR="00000000" w:rsidRDefault="00D718D0" w:rsidP="00BA3E8B">
      <w:pPr>
        <w:pStyle w:val="opplisting"/>
      </w:pPr>
      <w:r>
        <w:t>Organisasjonen mot offentlig diskriminering</w:t>
      </w:r>
    </w:p>
    <w:p w:rsidR="00000000" w:rsidRDefault="00D718D0" w:rsidP="00BA3E8B">
      <w:pPr>
        <w:pStyle w:val="opplisting"/>
      </w:pPr>
      <w:r>
        <w:t>Redd Barna</w:t>
      </w:r>
    </w:p>
    <w:p w:rsidR="00000000" w:rsidRDefault="00D718D0" w:rsidP="00BA3E8B">
      <w:pPr>
        <w:pStyle w:val="opplisting"/>
      </w:pPr>
      <w:r>
        <w:t>REFORM ressurssenter for menn</w:t>
      </w:r>
    </w:p>
    <w:p w:rsidR="00000000" w:rsidRDefault="00D718D0" w:rsidP="00BA3E8B">
      <w:pPr>
        <w:pStyle w:val="opplisting"/>
      </w:pPr>
      <w:r>
        <w:t>Ressurssenter for kvinner med minoritetsbakgrunn (MiRA)</w:t>
      </w:r>
    </w:p>
    <w:p w:rsidR="00000000" w:rsidRDefault="00D718D0" w:rsidP="00BA3E8B">
      <w:pPr>
        <w:pStyle w:val="opplisting"/>
      </w:pPr>
      <w:r>
        <w:t>Rettspolitisk forening</w:t>
      </w:r>
    </w:p>
    <w:p w:rsidR="00000000" w:rsidRDefault="00D718D0" w:rsidP="00BA3E8B">
      <w:pPr>
        <w:pStyle w:val="opplisting"/>
      </w:pPr>
      <w:r>
        <w:t>Riddu Riddu</w:t>
      </w:r>
    </w:p>
    <w:p w:rsidR="00000000" w:rsidRDefault="00D718D0" w:rsidP="00BA3E8B">
      <w:pPr>
        <w:pStyle w:val="opplisting"/>
      </w:pPr>
      <w:r>
        <w:t>Romsk Råd i Norge</w:t>
      </w:r>
    </w:p>
    <w:p w:rsidR="00000000" w:rsidRDefault="00D718D0" w:rsidP="00BA3E8B">
      <w:pPr>
        <w:pStyle w:val="opplisting"/>
      </w:pPr>
      <w:r>
        <w:t>Samarb</w:t>
      </w:r>
      <w:r>
        <w:t>eidsforumet av funksjonshemmedes organisasjoner (SAFO)</w:t>
      </w:r>
    </w:p>
    <w:p w:rsidR="00000000" w:rsidRDefault="00D718D0" w:rsidP="00BA3E8B">
      <w:pPr>
        <w:pStyle w:val="opplisting"/>
      </w:pPr>
      <w:r>
        <w:t>Samenes Folkeforbund</w:t>
      </w:r>
    </w:p>
    <w:p w:rsidR="00000000" w:rsidRDefault="00D718D0" w:rsidP="00BA3E8B">
      <w:pPr>
        <w:pStyle w:val="opplisting"/>
      </w:pPr>
      <w:r>
        <w:t>Sámi Nisson Forum/Samisk Kvinneforum</w:t>
      </w:r>
    </w:p>
    <w:p w:rsidR="00000000" w:rsidRDefault="00D718D0" w:rsidP="00BA3E8B">
      <w:pPr>
        <w:pStyle w:val="opplisting"/>
      </w:pPr>
      <w:r>
        <w:t>Sáráhkká  </w:t>
      </w:r>
    </w:p>
    <w:p w:rsidR="00000000" w:rsidRDefault="00D718D0" w:rsidP="00BA3E8B">
      <w:pPr>
        <w:pStyle w:val="opplisting"/>
      </w:pPr>
      <w:r>
        <w:t>Skeiv ungdom</w:t>
      </w:r>
    </w:p>
    <w:p w:rsidR="00000000" w:rsidRDefault="00D718D0" w:rsidP="00BA3E8B">
      <w:pPr>
        <w:pStyle w:val="opplisting"/>
      </w:pPr>
      <w:r>
        <w:t>Skeiv verden</w:t>
      </w:r>
    </w:p>
    <w:p w:rsidR="00000000" w:rsidRDefault="00D718D0" w:rsidP="00BA3E8B">
      <w:pPr>
        <w:pStyle w:val="opplisting"/>
      </w:pPr>
      <w:r>
        <w:t>Skogfinske interesser i Norge    </w:t>
      </w:r>
    </w:p>
    <w:p w:rsidR="00000000" w:rsidRDefault="00D718D0" w:rsidP="00BA3E8B">
      <w:pPr>
        <w:pStyle w:val="opplisting"/>
      </w:pPr>
      <w:r>
        <w:t>Stensveen Ressurssenter for Transpersoner</w:t>
      </w:r>
    </w:p>
    <w:p w:rsidR="00000000" w:rsidRDefault="00D718D0" w:rsidP="00BA3E8B">
      <w:pPr>
        <w:pStyle w:val="opplisting"/>
      </w:pPr>
      <w:r>
        <w:t>Stopp Diskrimineringen</w:t>
      </w:r>
    </w:p>
    <w:p w:rsidR="00000000" w:rsidRDefault="00D718D0" w:rsidP="00BA3E8B">
      <w:pPr>
        <w:pStyle w:val="opplisting"/>
      </w:pPr>
      <w:r>
        <w:t>Taterne</w:t>
      </w:r>
      <w:r>
        <w:t>s landsforening</w:t>
      </w:r>
    </w:p>
    <w:p w:rsidR="00000000" w:rsidRDefault="00D718D0" w:rsidP="00BA3E8B">
      <w:pPr>
        <w:pStyle w:val="opplisting"/>
      </w:pPr>
      <w:r>
        <w:t>Unge funksjonshemmede</w:t>
      </w:r>
    </w:p>
    <w:p w:rsidR="00000000" w:rsidRDefault="00D718D0" w:rsidP="00BA3E8B">
      <w:pPr>
        <w:pStyle w:val="opplisting"/>
      </w:pPr>
      <w:r>
        <w:t>UNICEF-komiteen i Norge</w:t>
      </w:r>
    </w:p>
    <w:p w:rsidR="00000000" w:rsidRDefault="00D718D0" w:rsidP="00BA3E8B">
      <w:pPr>
        <w:pStyle w:val="avsnitt-undertittel"/>
      </w:pPr>
      <w:r>
        <w:t>Departementet mottok synspunkter fra:</w:t>
      </w:r>
    </w:p>
    <w:p w:rsidR="00000000" w:rsidRDefault="00D718D0" w:rsidP="00BA3E8B">
      <w:pPr>
        <w:pStyle w:val="opplisting"/>
      </w:pPr>
      <w:r>
        <w:t>Advokatforeningen</w:t>
      </w:r>
    </w:p>
    <w:p w:rsidR="00000000" w:rsidRDefault="00D718D0" w:rsidP="00BA3E8B">
      <w:pPr>
        <w:pStyle w:val="opplisting"/>
      </w:pPr>
      <w:r>
        <w:t>Akademikerne</w:t>
      </w:r>
    </w:p>
    <w:p w:rsidR="00000000" w:rsidRDefault="00D718D0" w:rsidP="00BA3E8B">
      <w:pPr>
        <w:pStyle w:val="opplisting"/>
      </w:pPr>
      <w:r>
        <w:t>Arbeidsgiverforeningen Spekter</w:t>
      </w:r>
    </w:p>
    <w:p w:rsidR="00000000" w:rsidRDefault="00D718D0" w:rsidP="00BA3E8B">
      <w:pPr>
        <w:pStyle w:val="opplisting"/>
      </w:pPr>
      <w:r>
        <w:t>Balansekunst</w:t>
      </w:r>
    </w:p>
    <w:p w:rsidR="00000000" w:rsidRDefault="00D718D0" w:rsidP="00BA3E8B">
      <w:pPr>
        <w:pStyle w:val="opplisting"/>
      </w:pPr>
      <w:r>
        <w:t>Barne-, ungdoms- og familiedirektoratet (Bufdir)</w:t>
      </w:r>
    </w:p>
    <w:p w:rsidR="00000000" w:rsidRDefault="00D718D0" w:rsidP="00BA3E8B">
      <w:pPr>
        <w:pStyle w:val="opplisting"/>
      </w:pPr>
      <w:r>
        <w:t>Barneombudet</w:t>
      </w:r>
    </w:p>
    <w:p w:rsidR="00000000" w:rsidRDefault="00D718D0" w:rsidP="00BA3E8B">
      <w:pPr>
        <w:pStyle w:val="opplisting"/>
      </w:pPr>
      <w:r>
        <w:t>Diskrimineringsnemnda</w:t>
      </w:r>
    </w:p>
    <w:p w:rsidR="00000000" w:rsidRDefault="00D718D0" w:rsidP="00BA3E8B">
      <w:pPr>
        <w:pStyle w:val="opplisting"/>
      </w:pPr>
      <w:r>
        <w:lastRenderedPageBreak/>
        <w:t>Fagforbundet</w:t>
      </w:r>
    </w:p>
    <w:p w:rsidR="00000000" w:rsidRDefault="00D718D0" w:rsidP="00BA3E8B">
      <w:pPr>
        <w:pStyle w:val="opplisting"/>
      </w:pPr>
      <w:r>
        <w:t>Hovedorganisasjonen Virke</w:t>
      </w:r>
    </w:p>
    <w:p w:rsidR="00000000" w:rsidRDefault="00D718D0" w:rsidP="00BA3E8B">
      <w:pPr>
        <w:pStyle w:val="opplisting"/>
      </w:pPr>
      <w:r>
        <w:t>JURK</w:t>
      </w:r>
    </w:p>
    <w:p w:rsidR="00000000" w:rsidRDefault="00D718D0" w:rsidP="00BA3E8B">
      <w:pPr>
        <w:pStyle w:val="opplisting"/>
      </w:pPr>
      <w:r>
        <w:t>Jussformidlingen</w:t>
      </w:r>
    </w:p>
    <w:p w:rsidR="00000000" w:rsidRDefault="00D718D0" w:rsidP="00BA3E8B">
      <w:pPr>
        <w:pStyle w:val="opplisting"/>
      </w:pPr>
      <w:r>
        <w:t>Justis- og beredskapsdepartementet</w:t>
      </w:r>
    </w:p>
    <w:p w:rsidR="00000000" w:rsidRDefault="00D718D0" w:rsidP="00BA3E8B">
      <w:pPr>
        <w:pStyle w:val="opplisting"/>
      </w:pPr>
      <w:r>
        <w:t>KS advokatene</w:t>
      </w:r>
    </w:p>
    <w:p w:rsidR="00000000" w:rsidRDefault="00D718D0" w:rsidP="00BA3E8B">
      <w:pPr>
        <w:pStyle w:val="opplisting"/>
      </w:pPr>
      <w:r>
        <w:t>KUN</w:t>
      </w:r>
    </w:p>
    <w:p w:rsidR="00000000" w:rsidRDefault="00D718D0" w:rsidP="00BA3E8B">
      <w:pPr>
        <w:pStyle w:val="opplisting"/>
      </w:pPr>
      <w:r>
        <w:t>Komité for kjønnsbalanse og mangfold i forskning</w:t>
      </w:r>
    </w:p>
    <w:p w:rsidR="00000000" w:rsidRDefault="00D718D0" w:rsidP="00BA3E8B">
      <w:pPr>
        <w:pStyle w:val="opplisting"/>
      </w:pPr>
      <w:r>
        <w:t>Kvinnefronten</w:t>
      </w:r>
    </w:p>
    <w:p w:rsidR="00000000" w:rsidRDefault="00D718D0" w:rsidP="00BA3E8B">
      <w:pPr>
        <w:pStyle w:val="opplisting"/>
      </w:pPr>
      <w:r>
        <w:t>Landsorganisasjonen i Norge</w:t>
      </w:r>
    </w:p>
    <w:p w:rsidR="00000000" w:rsidRDefault="00D718D0" w:rsidP="00BA3E8B">
      <w:pPr>
        <w:pStyle w:val="opplisting"/>
      </w:pPr>
      <w:r>
        <w:t>Likestillings- og diskriminer</w:t>
      </w:r>
      <w:r>
        <w:t>ingsombudet</w:t>
      </w:r>
    </w:p>
    <w:p w:rsidR="00000000" w:rsidRDefault="00D718D0" w:rsidP="00BA3E8B">
      <w:pPr>
        <w:pStyle w:val="opplisting"/>
      </w:pPr>
      <w:r>
        <w:t>Likestillingssenteret</w:t>
      </w:r>
    </w:p>
    <w:p w:rsidR="00000000" w:rsidRDefault="00D718D0" w:rsidP="00BA3E8B">
      <w:pPr>
        <w:pStyle w:val="opplisting"/>
      </w:pPr>
      <w:r>
        <w:t>Mira ressurssenter for kvinner med minoritetsbakgrunn</w:t>
      </w:r>
    </w:p>
    <w:p w:rsidR="00000000" w:rsidRDefault="00D718D0" w:rsidP="00BA3E8B">
      <w:pPr>
        <w:pStyle w:val="opplisting"/>
      </w:pPr>
      <w:r>
        <w:t>NHO</w:t>
      </w:r>
    </w:p>
    <w:p w:rsidR="00000000" w:rsidRDefault="00D718D0" w:rsidP="00BA3E8B">
      <w:pPr>
        <w:pStyle w:val="opplisting"/>
      </w:pPr>
      <w:r>
        <w:t>Norges kvinne- og familieforbund</w:t>
      </w:r>
    </w:p>
    <w:p w:rsidR="00000000" w:rsidRDefault="00D718D0" w:rsidP="00BA3E8B">
      <w:pPr>
        <w:pStyle w:val="opplisting"/>
      </w:pPr>
      <w:r>
        <w:t>Norges kvinnelobby</w:t>
      </w:r>
    </w:p>
    <w:p w:rsidR="00000000" w:rsidRDefault="00D718D0" w:rsidP="00BA3E8B">
      <w:pPr>
        <w:pStyle w:val="opplisting"/>
      </w:pPr>
      <w:r>
        <w:t>Norges nasjonale institusjon for menneskerettigheter</w:t>
      </w:r>
    </w:p>
    <w:p w:rsidR="00000000" w:rsidRDefault="00D718D0" w:rsidP="00BA3E8B">
      <w:pPr>
        <w:pStyle w:val="opplisting"/>
      </w:pPr>
      <w:r>
        <w:t>Norsk kvinnesaksforening</w:t>
      </w:r>
    </w:p>
    <w:p w:rsidR="00000000" w:rsidRDefault="00D718D0" w:rsidP="00BA3E8B">
      <w:pPr>
        <w:pStyle w:val="opplisting"/>
      </w:pPr>
      <w:r>
        <w:t>Norsk sykepleierforbund</w:t>
      </w:r>
    </w:p>
    <w:p w:rsidR="00000000" w:rsidRDefault="00D718D0" w:rsidP="00BA3E8B">
      <w:pPr>
        <w:pStyle w:val="opplisting"/>
      </w:pPr>
      <w:r>
        <w:t>Norske kvi</w:t>
      </w:r>
      <w:r>
        <w:t>nners sanitetsforening</w:t>
      </w:r>
    </w:p>
    <w:p w:rsidR="00000000" w:rsidRDefault="00D718D0" w:rsidP="00BA3E8B">
      <w:pPr>
        <w:pStyle w:val="opplisting"/>
      </w:pPr>
      <w:r>
        <w:t>Norske reindriftsamers landsforbund</w:t>
      </w:r>
    </w:p>
    <w:p w:rsidR="00000000" w:rsidRDefault="00D718D0" w:rsidP="00BA3E8B">
      <w:pPr>
        <w:pStyle w:val="opplisting"/>
      </w:pPr>
      <w:r>
        <w:t>Redd Barna</w:t>
      </w:r>
    </w:p>
    <w:p w:rsidR="00000000" w:rsidRDefault="00D718D0" w:rsidP="00BA3E8B">
      <w:pPr>
        <w:pStyle w:val="opplisting"/>
      </w:pPr>
      <w:r>
        <w:t>Reform ressurssenter for menn</w:t>
      </w:r>
    </w:p>
    <w:p w:rsidR="00000000" w:rsidRDefault="00D718D0" w:rsidP="00BA3E8B">
      <w:pPr>
        <w:pStyle w:val="opplisting"/>
      </w:pPr>
      <w:r>
        <w:t>Rettspolitisk forening</w:t>
      </w:r>
    </w:p>
    <w:p w:rsidR="00000000" w:rsidRDefault="00D718D0" w:rsidP="00BA3E8B">
      <w:pPr>
        <w:pStyle w:val="opplisting"/>
      </w:pPr>
      <w:r>
        <w:t>Unio</w:t>
      </w:r>
    </w:p>
    <w:p w:rsidR="00000000" w:rsidRDefault="00D718D0" w:rsidP="00BA3E8B">
      <w:pPr>
        <w:pStyle w:val="opplisting"/>
      </w:pPr>
      <w:r>
        <w:t>Universitetet i Oslo</w:t>
      </w:r>
    </w:p>
    <w:p w:rsidR="00000000" w:rsidRDefault="00D718D0" w:rsidP="00BA3E8B">
      <w:pPr>
        <w:pStyle w:val="opplisting"/>
      </w:pPr>
      <w:r>
        <w:t>YS</w:t>
      </w:r>
    </w:p>
    <w:p w:rsidR="00000000" w:rsidRDefault="00D718D0" w:rsidP="00BA3E8B">
      <w:pPr>
        <w:pStyle w:val="avsnitt-undertittel"/>
      </w:pPr>
      <w:r>
        <w:t>Følgende høringsinstanser har svart at de ikke har merknader:</w:t>
      </w:r>
    </w:p>
    <w:p w:rsidR="00000000" w:rsidRDefault="00D718D0" w:rsidP="00BA3E8B">
      <w:r>
        <w:t>Domstoladministrasjonen, Forsvarsdepartementet, Helse- og omsorgsdepartementet, Klima- og miljød</w:t>
      </w:r>
      <w:r>
        <w:t>e</w:t>
      </w:r>
      <w:r>
        <w:t>partementet, Høyesterett, Riksadvokaten, Samferdselsdepartementet, Statens helsetilsyn og Utenriksd</w:t>
      </w:r>
      <w:r>
        <w:t>e</w:t>
      </w:r>
      <w:r>
        <w:t>partementet.</w:t>
      </w:r>
    </w:p>
    <w:p w:rsidR="00000000" w:rsidRDefault="00D718D0" w:rsidP="00BA3E8B">
      <w:pPr>
        <w:pStyle w:val="Overskrift2"/>
      </w:pPr>
      <w:r>
        <w:t>Lavterskeltilbud i enkelte andre land</w:t>
      </w:r>
    </w:p>
    <w:p w:rsidR="00000000" w:rsidRDefault="00D718D0" w:rsidP="00BA3E8B">
      <w:pPr>
        <w:pStyle w:val="Overskrift3"/>
      </w:pPr>
      <w:r>
        <w:t>Innledning</w:t>
      </w:r>
    </w:p>
    <w:p w:rsidR="00000000" w:rsidRDefault="00D718D0" w:rsidP="00BA3E8B">
      <w:r>
        <w:t>De fleste europeiske land har håndhevingsorganer som behandler klager over brudd på diskr</w:t>
      </w:r>
      <w:r>
        <w:t>i</w:t>
      </w:r>
      <w:r>
        <w:t>minering</w:t>
      </w:r>
      <w:r>
        <w:t>s</w:t>
      </w:r>
      <w:r>
        <w:t>lovgivningen, også seksuell trakassering. Noen kan fatte bindende vedtak, noen gir ikke-bindende utt</w:t>
      </w:r>
      <w:r>
        <w:t>a</w:t>
      </w:r>
      <w:r>
        <w:t>lelser og andre kan bringe en sak</w:t>
      </w:r>
      <w:r>
        <w:t xml:space="preserve"> inn for retten (med klagers samtykke) uten kostnad for klager. Det varierer noe om det er adgang til forvaltningsklage.</w:t>
      </w:r>
    </w:p>
    <w:p w:rsidR="00000000" w:rsidRDefault="00D718D0" w:rsidP="00BA3E8B">
      <w:r>
        <w:t>Erfaring viser imidlertid at ikke veldig mange saker om seksuell trakassering har blitt bragt inn for klageo</w:t>
      </w:r>
      <w:r>
        <w:t>r</w:t>
      </w:r>
      <w:r>
        <w:t>ganene i de landene som ha</w:t>
      </w:r>
      <w:r>
        <w:t>r etablert et lavterskeltilbud. Det har videre vist seg vanskelig å vinne frem med klagene, til tross for regler om delt bevisbyrde.</w:t>
      </w:r>
    </w:p>
    <w:p w:rsidR="00000000" w:rsidRDefault="00D718D0" w:rsidP="00BA3E8B">
      <w:pPr>
        <w:pStyle w:val="Overskrift3"/>
      </w:pPr>
      <w:r>
        <w:lastRenderedPageBreak/>
        <w:t>Sverige</w:t>
      </w:r>
    </w:p>
    <w:p w:rsidR="00000000" w:rsidRDefault="00D718D0" w:rsidP="00BA3E8B">
      <w:r>
        <w:t>I Sverige har de ikke noe lavterskeltilbud for behandling av diskrimineringssaker, og sål</w:t>
      </w:r>
      <w:r>
        <w:t>edes heller ikke et lavterskeltilbud som behandler saker om seksuell trakassering. Diskriminering</w:t>
      </w:r>
      <w:r>
        <w:t>s</w:t>
      </w:r>
      <w:r>
        <w:t>lovgivningen håndh</w:t>
      </w:r>
      <w:r>
        <w:t>e</w:t>
      </w:r>
      <w:r>
        <w:t>ves av domstolene.</w:t>
      </w:r>
    </w:p>
    <w:p w:rsidR="00000000" w:rsidRDefault="00D718D0" w:rsidP="00BA3E8B">
      <w:r>
        <w:t>Diskrimineringsombudsmannen har imidlertid myndighet til å søke å oppnå frivillige ordninger me</w:t>
      </w:r>
      <w:r>
        <w:t>l</w:t>
      </w:r>
      <w:r>
        <w:t>lom partene, og har også</w:t>
      </w:r>
      <w:r>
        <w:t xml:space="preserve"> myndighet til å bringe saker inn for domstolene på vegne av pe</w:t>
      </w:r>
      <w:r>
        <w:t>r</w:t>
      </w:r>
      <w:r>
        <w:t>soner som m</w:t>
      </w:r>
      <w:r>
        <w:t>e</w:t>
      </w:r>
      <w:r>
        <w:t>ner seg trakassert eller diskriminert. Denne ordningen er kostnadsfri, men det er ombudsmannen selv som velger hvilke saker som skal føres for domstolene. Ombudsmannen har i period</w:t>
      </w:r>
      <w:r>
        <w:t>en 2009 til og med 2017 oppnådd frivillig ordning i fire saker om seksuell trakassering og har ført syv saker for domstolene.</w:t>
      </w:r>
    </w:p>
    <w:p w:rsidR="00000000" w:rsidRDefault="00D718D0" w:rsidP="00BA3E8B">
      <w:pPr>
        <w:pStyle w:val="Overskrift3"/>
      </w:pPr>
      <w:r>
        <w:t>Finland</w:t>
      </w:r>
    </w:p>
    <w:p w:rsidR="00000000" w:rsidRDefault="00D718D0" w:rsidP="00BA3E8B">
      <w:r>
        <w:t>Diskriminerings- og jämställdhetsnämnden kan fatte vedtak i saker om seksuell trakassering, men har ikke myndi</w:t>
      </w:r>
      <w:r>
        <w:t>ghet til å ilegge oppreisning og erstatning.</w:t>
      </w:r>
    </w:p>
    <w:p w:rsidR="00000000" w:rsidRDefault="00D718D0" w:rsidP="00BA3E8B">
      <w:r>
        <w:t>Nemnda består av en leder, en nestleder og 13 medlemmer. Leder og nestleder må ha erfaring som dommer og de syv øvrige medlemmene skal være jurister.</w:t>
      </w:r>
    </w:p>
    <w:p w:rsidR="00000000" w:rsidRDefault="00D718D0" w:rsidP="00BA3E8B">
      <w:r>
        <w:t>Saksbehandlingen i nemnda er i all hovedsak skriftlig.</w:t>
      </w:r>
    </w:p>
    <w:p w:rsidR="00000000" w:rsidRDefault="00D718D0" w:rsidP="00BA3E8B">
      <w:r>
        <w:t>Nemnda</w:t>
      </w:r>
      <w:r>
        <w:t>s vedtak kan påklages til forvaltningsretten som er en særdomstol på forvaltningso</w:t>
      </w:r>
      <w:r>
        <w:t>m</w:t>
      </w:r>
      <w:r>
        <w:t>rådet, e</w:t>
      </w:r>
      <w:r>
        <w:t>l</w:t>
      </w:r>
      <w:r>
        <w:t>ler bringes inn for de alminnelige domstoler.</w:t>
      </w:r>
    </w:p>
    <w:p w:rsidR="00000000" w:rsidRDefault="00D718D0" w:rsidP="00BA3E8B">
      <w:pPr>
        <w:pStyle w:val="Overskrift3"/>
      </w:pPr>
      <w:r>
        <w:t>Danmark</w:t>
      </w:r>
    </w:p>
    <w:p w:rsidR="00000000" w:rsidRDefault="00D718D0" w:rsidP="00BA3E8B">
      <w:r>
        <w:t>Ligebehandlingsnæv</w:t>
      </w:r>
      <w:r>
        <w:t>net kan fatte bindende vedtak i saker om seksuell trakassering og tilkjenne godtgj</w:t>
      </w:r>
      <w:r>
        <w:t>ø</w:t>
      </w:r>
      <w:r>
        <w:t>relse.</w:t>
      </w:r>
    </w:p>
    <w:p w:rsidR="00000000" w:rsidRDefault="00D718D0" w:rsidP="00BA3E8B">
      <w:r>
        <w:t>Nævnet skal bestå av en leder, to nestledere og ni medlemmer. Leder skal være lagrettsdommer, nestlederne skal være tingrettsdommere og de øvrige medlemmene skal være</w:t>
      </w:r>
      <w:r>
        <w:t xml:space="preserve"> jurister med kunnskap om likestillingslo</w:t>
      </w:r>
      <w:r>
        <w:t>v</w:t>
      </w:r>
      <w:r>
        <w:t>givningen.</w:t>
      </w:r>
    </w:p>
    <w:p w:rsidR="00000000" w:rsidRDefault="00D718D0" w:rsidP="00BA3E8B">
      <w:r>
        <w:t>Saksbehandlingen i nævnet er utelukkende skriftlig. Alle opplysninger sendes partene for utt</w:t>
      </w:r>
      <w:r>
        <w:t>a</w:t>
      </w:r>
      <w:r>
        <w:t>lelse før vedtak fattes, men det er ikke adgang til å kalle inn parter og vitner til en muntlig høring.</w:t>
      </w:r>
    </w:p>
    <w:p w:rsidR="00000000" w:rsidRDefault="00D718D0" w:rsidP="00BA3E8B">
      <w:r>
        <w:t>Det er ikke adgang til forvaltningsklage, men nævnets vedtak kan bringes inn for domstolene til b</w:t>
      </w:r>
      <w:r>
        <w:t>e</w:t>
      </w:r>
      <w:r>
        <w:t>handling.</w:t>
      </w:r>
    </w:p>
    <w:p w:rsidR="00000000" w:rsidRDefault="00D718D0" w:rsidP="00BA3E8B">
      <w:pPr>
        <w:pStyle w:val="Overskrift3"/>
      </w:pPr>
      <w:r>
        <w:t>Island</w:t>
      </w:r>
    </w:p>
    <w:p w:rsidR="00000000" w:rsidRDefault="00D718D0" w:rsidP="00BA3E8B">
      <w:r>
        <w:t>Likestillingsnemnda har myndighet til å fatte bindende vedtak i saker om seksuell trakassering, men har ikke myndighet til å ileg</w:t>
      </w:r>
      <w:r>
        <w:t>ge oppreisning og erstatning.</w:t>
      </w:r>
    </w:p>
    <w:p w:rsidR="00000000" w:rsidRDefault="00D718D0" w:rsidP="00BA3E8B">
      <w:r>
        <w:t>Nemnda består av tre godt kvalifiserte jurister. Leder og nestleder skal oppfylle kravet til tin</w:t>
      </w:r>
      <w:r>
        <w:t>g</w:t>
      </w:r>
      <w:r>
        <w:t>rett</w:t>
      </w:r>
      <w:r>
        <w:t>s</w:t>
      </w:r>
      <w:r>
        <w:t>dommere, og minst en av dem skal i tillegg ha ekspertkunnskap om likestilling.</w:t>
      </w:r>
    </w:p>
    <w:p w:rsidR="00000000" w:rsidRDefault="00D718D0" w:rsidP="00BA3E8B">
      <w:r>
        <w:t>Saksbehandlingen er som hovedregel skriftlig,</w:t>
      </w:r>
      <w:r>
        <w:t xml:space="preserve"> men nemnda kan innkalle parter og vitner til en mun</w:t>
      </w:r>
      <w:r>
        <w:t>t</w:t>
      </w:r>
      <w:r>
        <w:t>lig høring. Nemnda skal uansett sikre at partene gis mulighet til å uttale seg før vedtak fattes. Nemnda kan kreve at partene fremlegger bevis.</w:t>
      </w:r>
    </w:p>
    <w:p w:rsidR="00000000" w:rsidRDefault="00D718D0" w:rsidP="00BA3E8B">
      <w:r>
        <w:lastRenderedPageBreak/>
        <w:t>Det er ikke adgang til forvaltningsklage, men nemndas vedta</w:t>
      </w:r>
      <w:r>
        <w:t>k kan bringes inn for domstolene til b</w:t>
      </w:r>
      <w:r>
        <w:t>e</w:t>
      </w:r>
      <w:r>
        <w:t>handling.</w:t>
      </w:r>
    </w:p>
    <w:p w:rsidR="00000000" w:rsidRDefault="00D718D0" w:rsidP="00BA3E8B">
      <w:pPr>
        <w:pStyle w:val="Overskrift2"/>
      </w:pPr>
      <w:r>
        <w:t>Internasjonale forpliktelser</w:t>
      </w:r>
    </w:p>
    <w:p w:rsidR="00000000" w:rsidRDefault="00D718D0" w:rsidP="00BA3E8B">
      <w:pPr>
        <w:pStyle w:val="Overskrift3"/>
      </w:pPr>
      <w:r>
        <w:t>FN</w:t>
      </w:r>
    </w:p>
    <w:p w:rsidR="00000000" w:rsidRDefault="00D718D0" w:rsidP="00BA3E8B">
      <w:r>
        <w:t>FNs kvinnediskrimineringskonvensjon inneholder ingen egen bestemmelse om seksuell traka</w:t>
      </w:r>
      <w:r>
        <w:t>s</w:t>
      </w:r>
      <w:r>
        <w:t>sering, men har en rekke bestemmelser om at statene skal treffe all</w:t>
      </w:r>
      <w:r>
        <w:t>e «egnede» eller «tjenlige» tiltak for å motvi</w:t>
      </w:r>
      <w:r>
        <w:t>r</w:t>
      </w:r>
      <w:r>
        <w:t>ke diskriminering av kvinner og sikre en effektiv beskyttelse av kvinner, «via kompetente nasjonale do</w:t>
      </w:r>
      <w:r>
        <w:t>m</w:t>
      </w:r>
      <w:r>
        <w:t>stoler og andre offentlige institusjoner». FNs kvinnediskrimin</w:t>
      </w:r>
      <w:r>
        <w:t>e</w:t>
      </w:r>
      <w:r>
        <w:t>ringskomité har imidlertid uttalt at ko</w:t>
      </w:r>
      <w:r>
        <w:t>n</w:t>
      </w:r>
      <w:r>
        <w:t>ven</w:t>
      </w:r>
      <w:r>
        <w:t>sjonen gir kvinner et vern mot seksuell trakassering. Komiteen har i generell anbefaling nr. 19 def</w:t>
      </w:r>
      <w:r>
        <w:t>i</w:t>
      </w:r>
      <w:r>
        <w:t>nert seksuell trakassering på følgende måte:</w:t>
      </w:r>
    </w:p>
    <w:p w:rsidR="00000000" w:rsidRDefault="00D718D0" w:rsidP="00BA3E8B">
      <w:pPr>
        <w:pStyle w:val="blokksit"/>
      </w:pPr>
      <w:r>
        <w:t>«</w:t>
      </w:r>
      <w:r>
        <w:t>Sexual harassment includes such unwelcome sexually determined behaviour as physical contact and advances, sexually coloured remarks, showing pornography and sexual demand, whether by words or actions.»</w:t>
      </w:r>
    </w:p>
    <w:p w:rsidR="00000000" w:rsidRDefault="00D718D0" w:rsidP="00BA3E8B">
      <w:pPr>
        <w:pStyle w:val="Overskrift3"/>
      </w:pPr>
      <w:r>
        <w:t>Europarådet</w:t>
      </w:r>
    </w:p>
    <w:p w:rsidR="00000000" w:rsidRDefault="00D718D0" w:rsidP="00BA3E8B">
      <w:r>
        <w:t>Europarådets konvensjon om for</w:t>
      </w:r>
      <w:r>
        <w:t>ebygging og bekjempelse av vold mot kvinner og vold i nære relasjoner CETS 210, som Norge ratifiserte i 2017, slår i artikkel 40 fast at:</w:t>
      </w:r>
    </w:p>
    <w:p w:rsidR="00000000" w:rsidRDefault="00D718D0" w:rsidP="00BA3E8B">
      <w:pPr>
        <w:pStyle w:val="blokksit"/>
      </w:pPr>
      <w:r>
        <w:t>«Partane skal ved lovgiving eller på annan måte treffe dei tiltaka som er nødvendige for å sikre straff</w:t>
      </w:r>
      <w:r>
        <w:t>e</w:t>
      </w:r>
      <w:r>
        <w:t>forfølging ell</w:t>
      </w:r>
      <w:r>
        <w:t>er anna rettsforfølging av ei kvar form for uønskt verbal, ikkje-verbal eller fysisk åtferd av seksuell art som har som føremål eller verknad å krenkje ein person sin vørdnad, særleg når åtferda skaper eit truande, fiendtleg, fornedrande, audmjukande eller</w:t>
      </w:r>
      <w:r>
        <w:t xml:space="preserve"> ubehageleg mi</w:t>
      </w:r>
      <w:r>
        <w:t>l</w:t>
      </w:r>
      <w:r>
        <w:t>jø.»</w:t>
      </w:r>
    </w:p>
    <w:p w:rsidR="00000000" w:rsidRDefault="00D718D0" w:rsidP="00BA3E8B">
      <w:r>
        <w:t>For å sikre at partene gjennomfører konvensjonens forpliktelser er det etablert et eget overvå</w:t>
      </w:r>
      <w:r>
        <w:t>k</w:t>
      </w:r>
      <w:r>
        <w:t>ningsorgan – GREVIO (Group of Experts on Action against Violence against women and d</w:t>
      </w:r>
      <w:r>
        <w:t>o</w:t>
      </w:r>
      <w:r>
        <w:t>mestic violence).</w:t>
      </w:r>
    </w:p>
    <w:p w:rsidR="00000000" w:rsidRDefault="00D718D0" w:rsidP="00BA3E8B">
      <w:pPr>
        <w:pStyle w:val="Overskrift3"/>
      </w:pPr>
      <w:r>
        <w:t>EU-rett</w:t>
      </w:r>
    </w:p>
    <w:p w:rsidR="00000000" w:rsidRDefault="00D718D0" w:rsidP="00BA3E8B">
      <w:r>
        <w:t>Et forbud mot seks</w:t>
      </w:r>
      <w:r>
        <w:t>uell trakassering er inntatt i EUs likebehandlingsdirektiv og EUs direktiv om likeb</w:t>
      </w:r>
      <w:r>
        <w:t>e</w:t>
      </w:r>
      <w:r>
        <w:t>handling av menn og kvinner i forbindelse med tilgang til varer og tjenester (2004/113/EF). Begrepet er definert på følgende måte i direktivenes artikkel 2 nr. 1 bokstav d:</w:t>
      </w:r>
    </w:p>
    <w:p w:rsidR="00000000" w:rsidRDefault="00D718D0" w:rsidP="00BA3E8B">
      <w:pPr>
        <w:pStyle w:val="blokksit"/>
      </w:pPr>
      <w:r>
        <w:t>«[…] at der udvises enhver form for uønsket verbal, ikke-verbal eller fysisk adfærd med seks</w:t>
      </w:r>
      <w:r>
        <w:t>u</w:t>
      </w:r>
      <w:r>
        <w:t>elle undertoner med det formål eller den virkning at krænke en persons værdighed, navnlig ved at skabe et truende, fjendtligt, nedværdigende, ydmygende eller ubeh</w:t>
      </w:r>
      <w:r>
        <w:t>ageligt klima».</w:t>
      </w:r>
    </w:p>
    <w:p w:rsidR="00000000" w:rsidRDefault="00D718D0" w:rsidP="00BA3E8B">
      <w:r>
        <w:t>Det følger av EU-direktivene at bestemmelsene om delt bevisbyrde kommer til anvendelse i saker som gjelder trakassering og seksuell trakassering i arbeidslivet, jf. blant annet EUs lik</w:t>
      </w:r>
      <w:r>
        <w:t>e</w:t>
      </w:r>
      <w:r>
        <w:t>behandlingsdirektiv (2006/54/EF) artikkel 19 og EUs ram</w:t>
      </w:r>
      <w:r>
        <w:t>medirektiv (2000/78/EF) artikkel 10, jf. direktivet artikkel 2 nr. 2 bokstav a. I andre trakasseringssaker, utenfor arbeidslivet, gjelder det ikke et krav om delt bevisbyrde.</w:t>
      </w:r>
    </w:p>
    <w:p w:rsidR="00000000" w:rsidRDefault="00D718D0" w:rsidP="00BA3E8B">
      <w:pPr>
        <w:pStyle w:val="Overskrift2"/>
      </w:pPr>
      <w:r>
        <w:lastRenderedPageBreak/>
        <w:t>Gjeldende rett – oversikt</w:t>
      </w:r>
    </w:p>
    <w:p w:rsidR="00000000" w:rsidRDefault="00D718D0" w:rsidP="00BA3E8B">
      <w:pPr>
        <w:pStyle w:val="Overskrift3"/>
      </w:pPr>
      <w:r>
        <w:t>Lov om likestilling og forbud mot diskriminering</w:t>
      </w:r>
    </w:p>
    <w:p w:rsidR="00000000" w:rsidRDefault="00D718D0" w:rsidP="00BA3E8B">
      <w:r>
        <w:t>Trakassering og seksuell trakassering er forbudt etter likestillings- og diskrimineringsloven, jf. likesti</w:t>
      </w:r>
      <w:r>
        <w:t>l</w:t>
      </w:r>
      <w:r>
        <w:t>lings- og diskrimineringsloven § 13.</w:t>
      </w:r>
    </w:p>
    <w:p w:rsidR="00000000" w:rsidRDefault="00D718D0" w:rsidP="00BA3E8B">
      <w:r>
        <w:t>Med seksuell trakassering menes enhver form for uønsket seksuel</w:t>
      </w:r>
      <w:r>
        <w:t>l oppmerksomhet som har som formål eller virkning å være krenkende, skremmende, fiendtlig, nedverdigende, ydmykende eller pla</w:t>
      </w:r>
      <w:r>
        <w:t>g</w:t>
      </w:r>
      <w:r>
        <w:t>som.</w:t>
      </w:r>
    </w:p>
    <w:p w:rsidR="00000000" w:rsidRDefault="00D718D0" w:rsidP="00BA3E8B">
      <w:r>
        <w:t>Med «seksuell oppmerksomhet» menes oppmerksomhet av seksuell karakter eller seksuelt betont oppmer</w:t>
      </w:r>
      <w:r>
        <w:t>k</w:t>
      </w:r>
      <w:r>
        <w:t>somhet. Oppmerksomheten ka</w:t>
      </w:r>
      <w:r>
        <w:t>n være verbal, ikke-verbal eller fysisk. For eksempel kan forbudet omfatte eksplisitte spørsmål, ryktespredning om en persons seksuelle aktivitet eller gjentatte seksuelle spøker. Se</w:t>
      </w:r>
      <w:r>
        <w:t>k</w:t>
      </w:r>
      <w:r>
        <w:t>suell trakassering kan omfatte alt fra blikk, berøring og ko</w:t>
      </w:r>
      <w:r>
        <w:t>m</w:t>
      </w:r>
      <w:r>
        <w:t>mentarer, ti</w:t>
      </w:r>
      <w:r>
        <w:t>l voldtekt og vol</w:t>
      </w:r>
      <w:r>
        <w:t>d</w:t>
      </w:r>
      <w:r>
        <w:t>tektsforsøk (vold og voldtektsforsøk rammes imidlertid også av straffeloven). Å få tilsendt bilder eller videoer med seksuelt in</w:t>
      </w:r>
      <w:r>
        <w:t>n</w:t>
      </w:r>
      <w:r>
        <w:t>hold via brev, telefon eller i</w:t>
      </w:r>
      <w:r>
        <w:t>n</w:t>
      </w:r>
      <w:r>
        <w:t>ternett kan også omfattes. Det er ikke et krav at atferden er motivert av seks</w:t>
      </w:r>
      <w:r>
        <w:t>uelt begjær. Depa</w:t>
      </w:r>
      <w:r>
        <w:t>r</w:t>
      </w:r>
      <w:r>
        <w:t>tementet vil presisere at nemndas myndighet er avgrenset mot saker etter straffelovgivningen.</w:t>
      </w:r>
    </w:p>
    <w:p w:rsidR="00000000" w:rsidRDefault="00D718D0" w:rsidP="00BA3E8B">
      <w:r>
        <w:t>Oppmerksomheten må også være uønsket. Det vil si at den verken må være velkommen eller gjens</w:t>
      </w:r>
      <w:r>
        <w:t>i</w:t>
      </w:r>
      <w:r>
        <w:t>dig. Om seksuell oppmerksomhet er uønsket eller ikk</w:t>
      </w:r>
      <w:r>
        <w:t>e beror utelukkende på oppfatningen hos det e</w:t>
      </w:r>
      <w:r>
        <w:t>n</w:t>
      </w:r>
      <w:r>
        <w:t>kelte individ som rammes. Det skal legges en subjektiv vurdering til grunn, og det skal vektlegges ind</w:t>
      </w:r>
      <w:r>
        <w:t>i</w:t>
      </w:r>
      <w:r>
        <w:t>viduelle variasjoner. Som utgangspunkt må den som utøver oppmerksomheten bli gjort klar over at den er uøns</w:t>
      </w:r>
      <w:r>
        <w:t>ket. Det er imidlertid ikke et absolutt krav om at den som er utsatt for den trakasserende atferden må ha gjort den som utøver handlingen mv. oppmerksom på at a</w:t>
      </w:r>
      <w:r>
        <w:t>t</w:t>
      </w:r>
      <w:r>
        <w:t>ferden er uønsket. Ett eneste tilfelle kan utgjøre trakassering dersom oppførselen er tilstrekk</w:t>
      </w:r>
      <w:r>
        <w:t>elig alvorlig.</w:t>
      </w:r>
    </w:p>
    <w:p w:rsidR="00000000" w:rsidRDefault="00D718D0" w:rsidP="00BA3E8B">
      <w:r>
        <w:t>Oppmerksomheten må videre ha som formål eller virkning å være «krenkende, skremmende, fiend</w:t>
      </w:r>
      <w:r>
        <w:t>t</w:t>
      </w:r>
      <w:r>
        <w:t>lig, ne</w:t>
      </w:r>
      <w:r>
        <w:t>d</w:t>
      </w:r>
      <w:r>
        <w:t>verdigende, ydmykende eller plagsom». De nevnte virkningene er alternative vi</w:t>
      </w:r>
      <w:r>
        <w:t>l</w:t>
      </w:r>
      <w:r>
        <w:t>kår, og det er derfor ti</w:t>
      </w:r>
      <w:r>
        <w:t>l</w:t>
      </w:r>
      <w:r>
        <w:t>strekkelig at ett av dem er oppfylt. O</w:t>
      </w:r>
      <w:r>
        <w:t>gså uønsket seksuell oppmerksomhet som er plagsom er omfattet. Det innebærer at også den mer vennligsinnede seksuelle op</w:t>
      </w:r>
      <w:r>
        <w:t>p</w:t>
      </w:r>
      <w:r>
        <w:t>merksomheten kan være omfattet.</w:t>
      </w:r>
    </w:p>
    <w:p w:rsidR="00000000" w:rsidRDefault="00D718D0" w:rsidP="00BA3E8B">
      <w:r>
        <w:t>Om atferden er plagsom må avgjøres ut fra en helhetlig vurdering der en rekke momenter vil ha rel</w:t>
      </w:r>
      <w:r>
        <w:t>e</w:t>
      </w:r>
      <w:r>
        <w:t>vans.</w:t>
      </w:r>
      <w:r>
        <w:t xml:space="preserve"> Blant annet om den som oppmerksomheten retter seg mot selv opplever atferden som plagsom, handlingens karakter, tid og sted for handlingen og relasjonen mellom handlingspe</w:t>
      </w:r>
      <w:r>
        <w:t>r</w:t>
      </w:r>
      <w:r>
        <w:t>sonen og den som den seksuelle oppmerkso</w:t>
      </w:r>
      <w:r>
        <w:t>m</w:t>
      </w:r>
      <w:r>
        <w:t xml:space="preserve">heten retter seg mot. Et annet moment vil </w:t>
      </w:r>
      <w:r>
        <w:t>være om oppførselen har hatt neg</w:t>
      </w:r>
      <w:r>
        <w:t>a</w:t>
      </w:r>
      <w:r>
        <w:t>tive virkninger av fysisk, psykisk eller arbeidsmessig art. Listen over momenter er ikke uttømmende, og vil måtte utfylles gjennom praksis. Ved vurderingen skal det tas i betraktning at kvinner og menn ofte har ulik oppfatn</w:t>
      </w:r>
      <w:r>
        <w:t>ing av hva som er negativ seksuell oppmerksomhet.</w:t>
      </w:r>
    </w:p>
    <w:p w:rsidR="00000000" w:rsidRDefault="00D718D0" w:rsidP="00BA3E8B">
      <w:r>
        <w:t>Forbudet mot seksuell trakassering er, som forbudet mot trakassering, absolutt. En saklighet</w:t>
      </w:r>
      <w:r>
        <w:t>s</w:t>
      </w:r>
      <w:r>
        <w:t>vurd</w:t>
      </w:r>
      <w:r>
        <w:t>e</w:t>
      </w:r>
      <w:r>
        <w:t>ring kan ikke under noen omstendighet frita handlingen mv. fra å være trakasserende så fremt vilkårene eller</w:t>
      </w:r>
      <w:r>
        <w:t>s er til stede.</w:t>
      </w:r>
    </w:p>
    <w:p w:rsidR="00000000" w:rsidRDefault="00D718D0" w:rsidP="00BA3E8B">
      <w:r>
        <w:t>Forbudet omfatter trakassering på grunn av eksisterende, antatte, tidligere og fremtidige forhold.</w:t>
      </w:r>
    </w:p>
    <w:p w:rsidR="00000000" w:rsidRDefault="00D718D0" w:rsidP="00BA3E8B">
      <w:r>
        <w:lastRenderedPageBreak/>
        <w:t>Loven har også en vernebestemmelse som retter seg mot arbeidsgivere og ledelsen i organis</w:t>
      </w:r>
      <w:r>
        <w:t>a</w:t>
      </w:r>
      <w:r>
        <w:t>sjoner og u</w:t>
      </w:r>
      <w:r>
        <w:t>t</w:t>
      </w:r>
      <w:r>
        <w:t>danningsinstitusjoner. Vernebestemmelse</w:t>
      </w:r>
      <w:r>
        <w:t>n er todelt og omfatter for det første en plikt til å foreby</w:t>
      </w:r>
      <w:r>
        <w:t>g</w:t>
      </w:r>
      <w:r>
        <w:t>ge at trakassering på grunn av kjønn, graviditet, permisjon i forbindelse med fødsel, omsorgsoppgaver, etnisitet (blant annet nasjonal opprinnelse, avstamning, hudfarge og språk) religion, livssy</w:t>
      </w:r>
      <w:r>
        <w:t>n, funksjon</w:t>
      </w:r>
      <w:r>
        <w:t>s</w:t>
      </w:r>
      <w:r>
        <w:t>nedsettelse, seksuell orientering, kjønnsidentitet og kjønnsuttrykk skjer. Den omfatter videre en plikt til å forhindre at slik trakassering fortsetter dersom den a</w:t>
      </w:r>
      <w:r>
        <w:t>n</w:t>
      </w:r>
      <w:r>
        <w:t>svarlige får kjennskap til at det forekommer.</w:t>
      </w:r>
    </w:p>
    <w:p w:rsidR="00000000" w:rsidRDefault="00D718D0" w:rsidP="00BA3E8B">
      <w:r>
        <w:t>Med plikt til å forebygge menes t</w:t>
      </w:r>
      <w:r>
        <w:t>iltak av preventiv karakter, så som iverksettelse av og utforming av re</w:t>
      </w:r>
      <w:r>
        <w:t>t</w:t>
      </w:r>
      <w:r>
        <w:t>ningslinjer for varsling av trakassering. Plikten til å forhindre innebærer å gripe fatt i a</w:t>
      </w:r>
      <w:r>
        <w:t>k</w:t>
      </w:r>
      <w:r>
        <w:t>tuelle situasj</w:t>
      </w:r>
      <w:r>
        <w:t>o</w:t>
      </w:r>
      <w:r>
        <w:t>ner med påstått trakassering og utrede hva som har skjedd og komme med forsl</w:t>
      </w:r>
      <w:r>
        <w:t>ag til løsning. Det kreves ikke at den ansvarlige faktisk har forhindret trakasseringen. Det er ti</w:t>
      </w:r>
      <w:r>
        <w:t>l</w:t>
      </w:r>
      <w:r>
        <w:t>strekkelig at den ansvarlige har forsøkt å hindre den. Den som opplever seg trakassert skal ikke måtte bevise at trakassering har skjedd.</w:t>
      </w:r>
    </w:p>
    <w:p w:rsidR="00000000" w:rsidRDefault="00D718D0" w:rsidP="00BA3E8B">
      <w:r>
        <w:t>En arbeidsgiver vil</w:t>
      </w:r>
      <w:r>
        <w:t xml:space="preserve"> i tillegg kunne holdes direkte ansvarlig for trakassering dersom vedko</w:t>
      </w:r>
      <w:r>
        <w:t>m</w:t>
      </w:r>
      <w:r>
        <w:t>mende personlig eller arbeidsgiver som juridisk person, for eksempel ved styret, trakasserer en ansatt. Arbeid</w:t>
      </w:r>
      <w:r>
        <w:t>s</w:t>
      </w:r>
      <w:r>
        <w:t>giver som jur</w:t>
      </w:r>
      <w:r>
        <w:t>i</w:t>
      </w:r>
      <w:r>
        <w:t>disk person vil også kunne holdes ansvarlig for trakasserin</w:t>
      </w:r>
      <w:r>
        <w:t>g rettet mot en ansatt begått av andre arbeidstakere, kunder, klienter mv. så lenge trakasseringen har skjedd i arbeidslivet.</w:t>
      </w:r>
    </w:p>
    <w:p w:rsidR="00000000" w:rsidRDefault="00D718D0" w:rsidP="00BA3E8B">
      <w:r>
        <w:t>Likestillings- og diskrimineringsnemnda (LDN) har imidlertid slått fast at for at arbeidsgiver skal bli ansvarlig for trakassering</w:t>
      </w:r>
      <w:r>
        <w:t>, må trakasseringen være begått av en som kan identifiseres med arbeidsgiver, eller at a</w:t>
      </w:r>
      <w:r>
        <w:t>r</w:t>
      </w:r>
      <w:r>
        <w:t>beidsgiver på noen måte kan bebreides, jf. LDN sak nr. 10/2014. Det kan ikke utledes et rent objektivt ansvar for arbeidsgiver. Ved vurderingen av spørsmålet om ve</w:t>
      </w:r>
      <w:r>
        <w:t>d</w:t>
      </w:r>
      <w:r>
        <w:t>kom</w:t>
      </w:r>
      <w:r>
        <w:t>mende som har stått for trakasseringen kan identifiseres med arbeidsgiver, vil det være relevant om han eller hun har persona</w:t>
      </w:r>
      <w:r>
        <w:t>l</w:t>
      </w:r>
      <w:r>
        <w:t>ansvar eller instruksjon</w:t>
      </w:r>
      <w:r>
        <w:t>s</w:t>
      </w:r>
      <w:r>
        <w:t>myndighet. Når det gjelder spørsmålet om arbeidsgiver er å bebreide, må det vurderes om det var mulig for</w:t>
      </w:r>
      <w:r>
        <w:t xml:space="preserve"> arbeidsgiver å hindre eller stanse trakasseringen. I LDN sak nr. 29/2013 la nemnda blant annet vekt på risiko for at det ville oppstå en personaldebatt om en arbeidstakers seksuelle orientering i menighet</w:t>
      </w:r>
      <w:r>
        <w:t>s</w:t>
      </w:r>
      <w:r>
        <w:t>rådsmøte og påfølgende unnlatelse av å stanse disk</w:t>
      </w:r>
      <w:r>
        <w:t>usjonen som oppsto. LDN u</w:t>
      </w:r>
      <w:r>
        <w:t>t</w:t>
      </w:r>
      <w:r>
        <w:t>talte at:</w:t>
      </w:r>
    </w:p>
    <w:p w:rsidR="00000000" w:rsidRDefault="00D718D0" w:rsidP="00BA3E8B">
      <w:pPr>
        <w:pStyle w:val="blokksit"/>
      </w:pPr>
      <w:r>
        <w:t>«Når Den norske kirke har organisert seg på en slik måte at virksomhetsansvaret og arbeidsg</w:t>
      </w:r>
      <w:r>
        <w:t>i</w:t>
      </w:r>
      <w:r>
        <w:t>vera</w:t>
      </w:r>
      <w:r>
        <w:t>n</w:t>
      </w:r>
      <w:r>
        <w:t>svaret er fordelt på to organer, innebærer ikke dette at fellesrådet kan fraskrive seg ansvaret ved å vise til manglende in</w:t>
      </w:r>
      <w:r>
        <w:t>struksjons- og sanksjonsmyndighet overfor menighetsrådet.»</w:t>
      </w:r>
    </w:p>
    <w:p w:rsidR="00000000" w:rsidRDefault="00D718D0" w:rsidP="00BA3E8B">
      <w:r>
        <w:t>LDN konkluderte med at arbeidsgiver ble holdt ansvarlig for den trakassering av arbeidstaker som ble begått av deltakerne på møtet.</w:t>
      </w:r>
    </w:p>
    <w:p w:rsidR="00000000" w:rsidRDefault="00D718D0" w:rsidP="00BA3E8B">
      <w:r>
        <w:t>I diskrimineringssaker, herunder trakasseringssaker, gjelder regl</w:t>
      </w:r>
      <w:r>
        <w:t>er om delt bevisbyrde, jf. lik</w:t>
      </w:r>
      <w:r>
        <w:t>e</w:t>
      </w:r>
      <w:r>
        <w:t>sti</w:t>
      </w:r>
      <w:r>
        <w:t>l</w:t>
      </w:r>
      <w:r>
        <w:t>lings- og diskrimineringsloven § 37.</w:t>
      </w:r>
    </w:p>
    <w:p w:rsidR="00000000" w:rsidRDefault="00D718D0" w:rsidP="00BA3E8B">
      <w:r>
        <w:t>Delt bevisbyrde innebærer at dersom det foreligger omstendigheter som gir grunn til å tro at det har skjedd diskriminering og den ansvarlige ikke sannsynliggjør</w:t>
      </w:r>
      <w:r>
        <w:t xml:space="preserve"> at diskriminering likevel ikke har funnet sted, skal det legges til grunn at diskriminering har funnet sted. Delt bevisbyrde betyr altså ikke at kr</w:t>
      </w:r>
      <w:r>
        <w:t>a</w:t>
      </w:r>
      <w:r>
        <w:t>vene til skyld er lavere i diskrimineringssaker, men at bevisbyrden ligger på den som anklages for di</w:t>
      </w:r>
      <w:r>
        <w:t>s</w:t>
      </w:r>
      <w:r>
        <w:t>krimi</w:t>
      </w:r>
      <w:r>
        <w:t>nering. Beviskravet i diskrimineringssaker er like fullt alminnelig sannsynlighetsovervekt, jf. Rt. 2014 s. 402.</w:t>
      </w:r>
    </w:p>
    <w:p w:rsidR="00000000" w:rsidRDefault="00D718D0" w:rsidP="00BA3E8B">
      <w:r>
        <w:lastRenderedPageBreak/>
        <w:t>Med omstendigheter som gir grunn til å tro at diskriminering har skjedd menes at det må være ho</w:t>
      </w:r>
      <w:r>
        <w:t>l</w:t>
      </w:r>
      <w:r>
        <w:t>depunkter for eller indikasjoner på at diskrimi</w:t>
      </w:r>
      <w:r>
        <w:t>nering har skjedd. Sannsynlighetsovervekt kreves ikke. Det er ikke et krav om at omstendighetene som gir grunn til å tro at det har skjedd diskriminering, må ha kommet fra klager.</w:t>
      </w:r>
    </w:p>
    <w:p w:rsidR="00000000" w:rsidRDefault="00D718D0" w:rsidP="00BA3E8B">
      <w:r>
        <w:t>At bevisbyrden snus har betydning for hvem tvilen går utover. Den som påstås</w:t>
      </w:r>
      <w:r>
        <w:t xml:space="preserve"> å diskriminere har tvilsrisikoen der det etter avsluttet bevisførsel fortsatt er tvil om det har skjedd diskriminering. Beviskr</w:t>
      </w:r>
      <w:r>
        <w:t>a</w:t>
      </w:r>
      <w:r>
        <w:t>vet er det samme som ellers – alminnelig sannsynlighetsovervekt. Bevisbedømmelsen er heller ikke a</w:t>
      </w:r>
      <w:r>
        <w:t>n</w:t>
      </w:r>
      <w:r>
        <w:t>ne</w:t>
      </w:r>
      <w:r>
        <w:t>r</w:t>
      </w:r>
      <w:r>
        <w:t xml:space="preserve">ledes enn i andre saker. </w:t>
      </w:r>
      <w:r>
        <w:t>Det alminnelige prinsippet om fri bevisbedømmelse og utgangspunktet om at det mest sannsynlige faktum skal legges til grunn for en avgjørelse endres ikke gjennom regelen om b</w:t>
      </w:r>
      <w:r>
        <w:t>e</w:t>
      </w:r>
      <w:r>
        <w:t>vi</w:t>
      </w:r>
      <w:r>
        <w:t>s</w:t>
      </w:r>
      <w:r>
        <w:t>byrde. Det vil imidlertid generelt ha liten bevisverdi at den som er påstått å</w:t>
      </w:r>
      <w:r>
        <w:t xml:space="preserve"> diskriminere forsikrer at ve</w:t>
      </w:r>
      <w:r>
        <w:t>d</w:t>
      </w:r>
      <w:r>
        <w:t>kommende ikke har diskr</w:t>
      </w:r>
      <w:r>
        <w:t>i</w:t>
      </w:r>
      <w:r>
        <w:t>minert.</w:t>
      </w:r>
    </w:p>
    <w:p w:rsidR="00000000" w:rsidRDefault="00D718D0" w:rsidP="00BA3E8B">
      <w:r>
        <w:t>Reglene om delt bevisbyrde kommer også til anvendelse i saker om trakassering etter arbeid</w:t>
      </w:r>
      <w:r>
        <w:t>s</w:t>
      </w:r>
      <w:r>
        <w:t>miljøl</w:t>
      </w:r>
      <w:r>
        <w:t>o</w:t>
      </w:r>
      <w:r>
        <w:t>ven § 13–1, jf. arbeidsmiljøloven § 13–8, jf. § 13–1 (2). Regelen om delt bevisbyrde gjelder imi</w:t>
      </w:r>
      <w:r>
        <w:t>dlertid ikke for tr</w:t>
      </w:r>
      <w:r>
        <w:t>a</w:t>
      </w:r>
      <w:r>
        <w:t>kassering etter arbeidsmiljøloven § 4–3.</w:t>
      </w:r>
    </w:p>
    <w:p w:rsidR="00000000" w:rsidRDefault="00D718D0" w:rsidP="00BA3E8B">
      <w:pPr>
        <w:pStyle w:val="Overskrift3"/>
      </w:pPr>
      <w:r>
        <w:t>Arbeidsmiljøloven</w:t>
      </w:r>
    </w:p>
    <w:p w:rsidR="00000000" w:rsidRDefault="00D718D0" w:rsidP="00BA3E8B">
      <w:r>
        <w:t>Arbeidsmiljøloven forbyr trakassering på grunn av politisk syn, medlemskap i arbeidstakero</w:t>
      </w:r>
      <w:r>
        <w:t>r</w:t>
      </w:r>
      <w:r>
        <w:t>ganisasjon og alder, jf. § 13–1 annet ledd. Det fremgår av forarbeidene at</w:t>
      </w:r>
      <w:r>
        <w:t xml:space="preserve"> begrepet trakassering skal tolkes på sa</w:t>
      </w:r>
      <w:r>
        <w:t>m</w:t>
      </w:r>
      <w:r>
        <w:t>me måte som i arbeidsmiljøloven § 4–3 (3), der det heter at «Arbeidstaker skal ikke utsettes for trakass</w:t>
      </w:r>
      <w:r>
        <w:t>e</w:t>
      </w:r>
      <w:r>
        <w:t>ring eller annen utilbørlig opptreden», jf. Ot.prp. nr. 49 (2004–2005) kapittel 25 side 325.</w:t>
      </w:r>
    </w:p>
    <w:p w:rsidR="00000000" w:rsidRDefault="00D718D0" w:rsidP="00BA3E8B">
      <w:r>
        <w:t>I forarbeidene he</w:t>
      </w:r>
      <w:r>
        <w:t>ter det at både seksuell trakassering og andre former for trakassering er omfattet av traka</w:t>
      </w:r>
      <w:r>
        <w:t>s</w:t>
      </w:r>
      <w:r>
        <w:t>seringsforbudet, jf. Ot.prp. nr. 50 (1993–94) kapittel 6.2 side 65. Etter arbeidsmiljøl</w:t>
      </w:r>
      <w:r>
        <w:t>o</w:t>
      </w:r>
      <w:r>
        <w:t>ven er det et krav at handlingene har skjedd gjentatte ganger over tid for å</w:t>
      </w:r>
      <w:r>
        <w:t xml:space="preserve"> defineres som tr</w:t>
      </w:r>
      <w:r>
        <w:t>a</w:t>
      </w:r>
      <w:r>
        <w:t>kassering eller utilbørlig op</w:t>
      </w:r>
      <w:r>
        <w:t>p</w:t>
      </w:r>
      <w:r>
        <w:t>treden. Det er også et krav om ubalanse i styrkeforholdet mellom partene, jf. blant annet Rt. 1997 side 786 (Falken).</w:t>
      </w:r>
    </w:p>
    <w:p w:rsidR="00000000" w:rsidRDefault="00D718D0" w:rsidP="00BA3E8B">
      <w:r>
        <w:t>Etter arbeidsmiljøloven har også alle arbeidsgivere en generell plikt til å forebygge trak</w:t>
      </w:r>
      <w:r>
        <w:t>assering på arbeid</w:t>
      </w:r>
      <w:r>
        <w:t>s</w:t>
      </w:r>
      <w:r>
        <w:t>plassen. Denne plikten følger av arbeidsmiljølovens krav til virksomhetenes psyk</w:t>
      </w:r>
      <w:r>
        <w:t>o</w:t>
      </w:r>
      <w:r>
        <w:t>sosiale a</w:t>
      </w:r>
      <w:r>
        <w:t>r</w:t>
      </w:r>
      <w:r>
        <w:t>beidsmiljø, jf. § 4–3. Plikten til å forebygge trakassering etter arbeidsmiljøloven er ikke begrenset til tr</w:t>
      </w:r>
      <w:r>
        <w:t>a</w:t>
      </w:r>
      <w:r>
        <w:t>kassering på grunn av bestemte egensk</w:t>
      </w:r>
      <w:r>
        <w:t>aper eller forhold. Plikten gjelder generelt.</w:t>
      </w:r>
    </w:p>
    <w:p w:rsidR="00000000" w:rsidRDefault="00D718D0" w:rsidP="00BA3E8B">
      <w:pPr>
        <w:pStyle w:val="Overskrift3"/>
      </w:pPr>
      <w:r>
        <w:t>Lov om Likestillings- og diskrimineringsombudet og Diskrimineringsnemnda</w:t>
      </w:r>
    </w:p>
    <w:p w:rsidR="00000000" w:rsidRDefault="00D718D0" w:rsidP="00BA3E8B">
      <w:pPr>
        <w:pStyle w:val="Overskrift4"/>
      </w:pPr>
      <w:r>
        <w:t>Innledning</w:t>
      </w:r>
    </w:p>
    <w:p w:rsidR="00000000" w:rsidRDefault="00D718D0" w:rsidP="00BA3E8B">
      <w:r>
        <w:t>Diskrimineringsombudsloven gir regler for organisering av og virksomheten til Likestillings- og diskr</w:t>
      </w:r>
      <w:r>
        <w:t>i</w:t>
      </w:r>
      <w:r>
        <w:t>mineringsombudet og Diskrimineringsnemnda.</w:t>
      </w:r>
    </w:p>
    <w:p w:rsidR="00000000" w:rsidRDefault="00D718D0" w:rsidP="00BA3E8B">
      <w:pPr>
        <w:pStyle w:val="Overskrift4"/>
      </w:pPr>
      <w:r>
        <w:t>Organisering</w:t>
      </w:r>
    </w:p>
    <w:p w:rsidR="00000000" w:rsidRDefault="00D718D0" w:rsidP="00BA3E8B">
      <w:r>
        <w:t xml:space="preserve">Diskrimineringsnemnda er bygget opp som en én-instans modell, slik at det ikke er </w:t>
      </w:r>
      <w:r>
        <w:t>adgang til forval</w:t>
      </w:r>
      <w:r>
        <w:t>t</w:t>
      </w:r>
      <w:r>
        <w:t>ningsklage, jf. diskrimineringsombudsloven § 2 andre ledd.</w:t>
      </w:r>
    </w:p>
    <w:p w:rsidR="00000000" w:rsidRDefault="00D718D0" w:rsidP="00BA3E8B">
      <w:r>
        <w:t>Nemnda er et uavhengig kollegialt forvaltningsorgan, administrativt underlagt Barne- og lik</w:t>
      </w:r>
      <w:r>
        <w:t>e</w:t>
      </w:r>
      <w:r>
        <w:t>stilling</w:t>
      </w:r>
      <w:r>
        <w:t>s</w:t>
      </w:r>
      <w:r>
        <w:t>depa</w:t>
      </w:r>
      <w:r>
        <w:t>r</w:t>
      </w:r>
      <w:r>
        <w:t>tementet. Denne tilknytningsformen sikrer faglig uavhengighet og selvsten</w:t>
      </w:r>
      <w:r>
        <w:t>dighet både fordi nem</w:t>
      </w:r>
      <w:r>
        <w:t>n</w:t>
      </w:r>
      <w:r>
        <w:t xml:space="preserve">da ikke kan instrueres av departementet og fordi sakene som behandles i nemnda </w:t>
      </w:r>
      <w:r>
        <w:lastRenderedPageBreak/>
        <w:t>ikke kan omgjøres av eller klages inn for departementet, jf. diskrimineringsombudsloven § 6 første ledd.</w:t>
      </w:r>
    </w:p>
    <w:p w:rsidR="00000000" w:rsidRDefault="00D718D0" w:rsidP="00BA3E8B">
      <w:r>
        <w:t>Nemnda er delt inn i tre avdelinger og består av t</w:t>
      </w:r>
      <w:r>
        <w:t>il sammen ni medlemmer, hvorav tre ledere som l</w:t>
      </w:r>
      <w:r>
        <w:t>e</w:t>
      </w:r>
      <w:r>
        <w:t>der hver sin avdeling. Det er i tillegg oppnevnt seks varamedlemmer, jf. diskrimineringso</w:t>
      </w:r>
      <w:r>
        <w:t>m</w:t>
      </w:r>
      <w:r>
        <w:t>budsloven § 6 andre ledd. En nemndleder kan, når særlige grunner tilsier det, beslutte at en sak skal behandles ved fo</w:t>
      </w:r>
      <w:r>
        <w:t>rsterket nemnd. I en forsterket nemnd møter samtlige nemndledere i tillegg til de ordinære medlemmer i vedkommende avdeling, jf. forskrift om organisasjon, oppgaver og saksbehandling for Diskriminering</w:t>
      </w:r>
      <w:r>
        <w:t>s</w:t>
      </w:r>
      <w:r>
        <w:t>nemnda § 6 femte ledd.</w:t>
      </w:r>
    </w:p>
    <w:p w:rsidR="00000000" w:rsidRDefault="00D718D0" w:rsidP="00BA3E8B">
      <w:r>
        <w:t>Nemndas ledere skal som hovedre</w:t>
      </w:r>
      <w:r>
        <w:t>gel ha dommererfaring. Det kan åpnes for særlig kvalifiserte ka</w:t>
      </w:r>
      <w:r>
        <w:t>n</w:t>
      </w:r>
      <w:r>
        <w:t>didater som mangler dommererfaring, men hovedregelen er likevel at det skal oppnevnes ledere med dommererfaring, jf. diskrimineringsombudsloven § 6 tredje ledd.</w:t>
      </w:r>
    </w:p>
    <w:p w:rsidR="00000000" w:rsidRDefault="00D718D0" w:rsidP="00BA3E8B">
      <w:r>
        <w:t>Nemnda bistås av et faglig sekr</w:t>
      </w:r>
      <w:r>
        <w:t>etariat. Sekretariatet vurderer innkommende dokumenters rel</w:t>
      </w:r>
      <w:r>
        <w:t>e</w:t>
      </w:r>
      <w:r>
        <w:t>vans og bety</w:t>
      </w:r>
      <w:r>
        <w:t>d</w:t>
      </w:r>
      <w:r>
        <w:t>ning for saken, fører referater fra møter, forbereder og skriver utkast til vedtak, gjør juridiske, fa</w:t>
      </w:r>
      <w:r>
        <w:t>k</w:t>
      </w:r>
      <w:r>
        <w:t>tiske eller økonomiske utredninger med mer, jf. diskrimineringsombudsloven § 6 s</w:t>
      </w:r>
      <w:r>
        <w:t>jette ledd.</w:t>
      </w:r>
    </w:p>
    <w:p w:rsidR="00000000" w:rsidRDefault="00D718D0" w:rsidP="00BA3E8B">
      <w:pPr>
        <w:pStyle w:val="Overskrift4"/>
      </w:pPr>
      <w:r>
        <w:t>Håndheving</w:t>
      </w:r>
    </w:p>
    <w:p w:rsidR="00000000" w:rsidRDefault="00D718D0" w:rsidP="00BA3E8B">
      <w:r>
        <w:t>Nemnda behandler de sakene som bringes inn for den og treffer vedtak dersom det foreligger brudd på diskrimineringslovgivningen, jf. diskrimineringsombudsloven §§ 8 og 11 første ledd. Nemnda er ve</w:t>
      </w:r>
      <w:r>
        <w:t>d</w:t>
      </w:r>
      <w:r>
        <w:t>taksfør når en leder</w:t>
      </w:r>
      <w:r>
        <w:t xml:space="preserve"> og to ordinære medlemmer er til stede, jf. forskrift om o</w:t>
      </w:r>
      <w:r>
        <w:t>r</w:t>
      </w:r>
      <w:r>
        <w:t>ganisasjon, oppgaver og saksbehandling for Diskrimineringsnemnda § 8 sjette ledd.</w:t>
      </w:r>
    </w:p>
    <w:p w:rsidR="00000000" w:rsidRDefault="00D718D0" w:rsidP="00BA3E8B">
      <w:r>
        <w:t>Nemnda kan rette en avgjørelse som har fått en utforming som ikke stemmer overens med nemndas mening, og kan også t</w:t>
      </w:r>
      <w:r>
        <w:t>reffe tilleggsavgjørelse, jf. diskrimineringsombudsloven § 21. Nemnda har videre myndighet til å gjenåpne en sak etter begjæring fra en part dersom det for</w:t>
      </w:r>
      <w:r>
        <w:t>e</w:t>
      </w:r>
      <w:r>
        <w:t>ligger brudd på habilitetskrav i forvaltningsloven § 6, dersom det foreligger andre saksbehan</w:t>
      </w:r>
      <w:r>
        <w:t>d</w:t>
      </w:r>
      <w:r>
        <w:t>lingsf</w:t>
      </w:r>
      <w:r>
        <w:t>eil og det ikke kan utelukkes at feilen var bestemmende for vedtakets innhold eller dersom opplysninger om faktiske forhold som var ukjent da saken ble avgjort, tilsier at vedtaket høyst sannsynlig ville blitt et annet, jf. diskrimineringsombudsloven § 20.</w:t>
      </w:r>
    </w:p>
    <w:p w:rsidR="00000000" w:rsidRDefault="00D718D0" w:rsidP="00BA3E8B">
      <w:pPr>
        <w:pStyle w:val="Overskrift4"/>
      </w:pPr>
      <w:r>
        <w:t>Unntatt fra håndheving</w:t>
      </w:r>
    </w:p>
    <w:p w:rsidR="00000000" w:rsidRDefault="00D718D0" w:rsidP="00BA3E8B">
      <w:r>
        <w:t>Nemnda kan ikke treffe rettslig bindende vedtak om at vedtak truffet av andre forvaltningso</w:t>
      </w:r>
      <w:r>
        <w:t>r</w:t>
      </w:r>
      <w:r>
        <w:t>ganer er i strid med diskrimineringslovgivningen, med mindre forvaltningsorganet har truffet vedtak i kraft av å vær</w:t>
      </w:r>
      <w:r>
        <w:t>e arbeidsgiver.</w:t>
      </w:r>
    </w:p>
    <w:p w:rsidR="00000000" w:rsidRDefault="00D718D0" w:rsidP="00BA3E8B">
      <w:r>
        <w:t>Nemnda kan ikke treffe bindende vedtak overfor Kongen (regjeringen) og departementene, men skal i slike saker gi en ikke-bindende uttalelse.</w:t>
      </w:r>
    </w:p>
    <w:p w:rsidR="00000000" w:rsidRDefault="00D718D0" w:rsidP="00BA3E8B">
      <w:r>
        <w:t>Adgangen til å treffe vedtak og til å avgi ikke-bindende uttalelser om Stortingets og organer for S</w:t>
      </w:r>
      <w:r>
        <w:t>to</w:t>
      </w:r>
      <w:r>
        <w:t>r</w:t>
      </w:r>
      <w:r>
        <w:t>tingets virksomhet, domstolenes, Domstoladministrasjonens, Innstillingsrådet for dommeres og Tilsyn</w:t>
      </w:r>
      <w:r>
        <w:t>s</w:t>
      </w:r>
      <w:r>
        <w:t>utvalget for dommeres virksomhet er i sin helhet unntatt fra nemndas virkeområde.</w:t>
      </w:r>
    </w:p>
    <w:p w:rsidR="00000000" w:rsidRDefault="00D718D0" w:rsidP="00BA3E8B">
      <w:pPr>
        <w:pStyle w:val="Overskrift4"/>
      </w:pPr>
      <w:r>
        <w:t>Saksbehandlingsregler</w:t>
      </w:r>
    </w:p>
    <w:p w:rsidR="00000000" w:rsidRDefault="00D718D0" w:rsidP="00BA3E8B">
      <w:r>
        <w:t>Saksbehandlingen i Diskriminering</w:t>
      </w:r>
      <w:r>
        <w:t>snemnda er som hovedregel skriftlig, men slik at det åpnes for mun</w:t>
      </w:r>
      <w:r>
        <w:t>t</w:t>
      </w:r>
      <w:r>
        <w:t>lig forhandling i saker der det er reelt behov for dette av hensyn til sakens opplysning. Det er nemndas leder som vurderer behovet for muntlige forhandlinger, men slik at partene skal ha e</w:t>
      </w:r>
      <w:r>
        <w:t xml:space="preserve">n </w:t>
      </w:r>
      <w:r>
        <w:lastRenderedPageBreak/>
        <w:t>ubetinget rett til muntlig behandling i saker hvor det er krevd oppreisning, jf. diskrimin</w:t>
      </w:r>
      <w:r>
        <w:t>e</w:t>
      </w:r>
      <w:r>
        <w:t>ringsombudsloven § 9.</w:t>
      </w:r>
    </w:p>
    <w:p w:rsidR="00000000" w:rsidRDefault="00D718D0" w:rsidP="00BA3E8B">
      <w:r>
        <w:t>Nemnda har et selvstendig ansvar for å påse at saken er så godt opplyst som mulig før vedtak treffes, jf. forvaltningsloven § 17. Nemnda skal</w:t>
      </w:r>
      <w:r>
        <w:t xml:space="preserve"> prøve alle sider av saken. Dette innebærer også innhenting av og vu</w:t>
      </w:r>
      <w:r>
        <w:t>r</w:t>
      </w:r>
      <w:r>
        <w:t>dering av opplysninger som ikke nødvendigvis er tatt opp av partene. Hvor omfattende undersøkelser som kreves, avhenger av sakens art.</w:t>
      </w:r>
    </w:p>
    <w:p w:rsidR="00000000" w:rsidRDefault="00D718D0" w:rsidP="00BA3E8B">
      <w:r>
        <w:t>Forvaltningsloven § 35 første ledd bokstav c om adga</w:t>
      </w:r>
      <w:r>
        <w:t>ng til å omgjøre egne vedtak gjelder som h</w:t>
      </w:r>
      <w:r>
        <w:t>o</w:t>
      </w:r>
      <w:r>
        <w:t>vedregel ikke. Dersom nemndas vedtak er kjent ugyldig ved dom, gjelder likevel forval</w:t>
      </w:r>
      <w:r>
        <w:t>t</w:t>
      </w:r>
      <w:r>
        <w:t>ningslovens re</w:t>
      </w:r>
      <w:r>
        <w:t>g</w:t>
      </w:r>
      <w:r>
        <w:t>ler om o</w:t>
      </w:r>
      <w:r>
        <w:t>m</w:t>
      </w:r>
      <w:r>
        <w:t>gjøring. Dette begrunnes i at disse vedtakene ikke er rettskraftige og derved ikke kan gjenå</w:t>
      </w:r>
      <w:r>
        <w:t>p</w:t>
      </w:r>
      <w:r>
        <w:t xml:space="preserve">nes etter </w:t>
      </w:r>
      <w:r>
        <w:t>§ 20.</w:t>
      </w:r>
    </w:p>
    <w:p w:rsidR="00000000" w:rsidRDefault="00D718D0" w:rsidP="00BA3E8B">
      <w:r>
        <w:t>Forvaltningsloven gjelder for øvrig for nemndas virksomhet med mindre annet følger av di</w:t>
      </w:r>
      <w:r>
        <w:t>s</w:t>
      </w:r>
      <w:r>
        <w:t>krimin</w:t>
      </w:r>
      <w:r>
        <w:t>e</w:t>
      </w:r>
      <w:r>
        <w:t>ring</w:t>
      </w:r>
      <w:r>
        <w:t>s</w:t>
      </w:r>
      <w:r>
        <w:t>ombudsloven.</w:t>
      </w:r>
    </w:p>
    <w:p w:rsidR="00000000" w:rsidRDefault="00D718D0" w:rsidP="00BA3E8B">
      <w:pPr>
        <w:pStyle w:val="Overskrift4"/>
      </w:pPr>
      <w:r>
        <w:t>Rettskraft</w:t>
      </w:r>
    </w:p>
    <w:p w:rsidR="00000000" w:rsidRDefault="00D718D0" w:rsidP="00BA3E8B">
      <w:r>
        <w:t>Dersom søksmål</w:t>
      </w:r>
      <w:r>
        <w:t xml:space="preserve"> ikke reises innen fristen, har nemndas vedtak samme virkning som rettskraftig dom, og kan fullbyrdes etter reglene for dommer. Når vedtaket er rettskraftig vil det være tvangsgrunnlag og kan inndrives med namsmyndighetenes hjelp uten å gå veien om domstol</w:t>
      </w:r>
      <w:r>
        <w:t>ene.</w:t>
      </w:r>
    </w:p>
    <w:p w:rsidR="00000000" w:rsidRDefault="00D718D0" w:rsidP="00BA3E8B">
      <w:r>
        <w:t>I tilfeller der nemnda fatter vedtak om oppreisning eller erstatning i saker der statlige organer er part, vil kravet ikke kunne tvangsfullbyrdes, jf. tvangsfullbyrdelsesloven § 1–2 første ledd som slår fast at krav mot staten ikke kan tvangsfullbyrde</w:t>
      </w:r>
      <w:r>
        <w:t>s. Når det gjelder krav mot en kommune, fylkeskommune, samko</w:t>
      </w:r>
      <w:r>
        <w:t>m</w:t>
      </w:r>
      <w:r>
        <w:t>mune, et inte</w:t>
      </w:r>
      <w:r>
        <w:t>r</w:t>
      </w:r>
      <w:r>
        <w:t>kommunalt selskap, regionalt helseforetak eller hels</w:t>
      </w:r>
      <w:r>
        <w:t>e</w:t>
      </w:r>
      <w:r>
        <w:t>foretak, er det kun tvangsfullbyrdelse etter tvangsful</w:t>
      </w:r>
      <w:r>
        <w:t>l</w:t>
      </w:r>
      <w:r>
        <w:t>byrdelsesloven kapittel 7 om utlegg som er avskåret.</w:t>
      </w:r>
    </w:p>
    <w:p w:rsidR="00000000" w:rsidRDefault="00D718D0" w:rsidP="00BA3E8B">
      <w:pPr>
        <w:pStyle w:val="Overskrift2"/>
      </w:pPr>
      <w:r>
        <w:t>Etablering a</w:t>
      </w:r>
      <w:r>
        <w:t>v et lavterskeltilbud for behandling av saker om se</w:t>
      </w:r>
      <w:r>
        <w:t>k</w:t>
      </w:r>
      <w:r>
        <w:t>suell trakassering</w:t>
      </w:r>
    </w:p>
    <w:p w:rsidR="00000000" w:rsidRDefault="00D718D0" w:rsidP="00BA3E8B">
      <w:pPr>
        <w:pStyle w:val="Overskrift3"/>
      </w:pPr>
      <w:r>
        <w:t>Gjeldende rett</w:t>
      </w:r>
    </w:p>
    <w:p w:rsidR="00000000" w:rsidRDefault="00D718D0" w:rsidP="00BA3E8B">
      <w:r>
        <w:t>Det finnes ikke noe lavterskeltilbud for behandling av saker om seksuell trakassering. Diskr</w:t>
      </w:r>
      <w:r>
        <w:t>i</w:t>
      </w:r>
      <w:r>
        <w:t>minering</w:t>
      </w:r>
      <w:r>
        <w:t>s</w:t>
      </w:r>
      <w:r>
        <w:t>nemnda håndhever likestillings- og diskrimineringsloven,</w:t>
      </w:r>
      <w:r>
        <w:t xml:space="preserve"> men har likevel ikke my</w:t>
      </w:r>
      <w:r>
        <w:t>n</w:t>
      </w:r>
      <w:r>
        <w:t>dighet til å håndheve forbudet mot seksuell trakassering i likestillings- og diskrimineringsloven, jf. diskrimineringsombudsl</w:t>
      </w:r>
      <w:r>
        <w:t>o</w:t>
      </w:r>
      <w:r>
        <w:t>ven § 7 første ledd bokstav a. Disse sakene må per i dag bringes inn for domstolene.</w:t>
      </w:r>
    </w:p>
    <w:p w:rsidR="00000000" w:rsidRDefault="00D718D0" w:rsidP="00BA3E8B">
      <w:pPr>
        <w:pStyle w:val="Overskrift3"/>
      </w:pPr>
      <w:r>
        <w:t xml:space="preserve">Forslag </w:t>
      </w:r>
      <w:r>
        <w:t>i høringsnotatet</w:t>
      </w:r>
    </w:p>
    <w:p w:rsidR="00000000" w:rsidRDefault="00D718D0" w:rsidP="00BA3E8B">
      <w:r>
        <w:t>Departementet foreslo at Diskrimineringsnemnda skal gis myndighet til å håndheve forbudet mot seks</w:t>
      </w:r>
      <w:r>
        <w:t>u</w:t>
      </w:r>
      <w:r>
        <w:t>ell trakassering i likestillings- og diskrimineringsloven.</w:t>
      </w:r>
    </w:p>
    <w:p w:rsidR="00000000" w:rsidRDefault="00D718D0" w:rsidP="00BA3E8B">
      <w:r>
        <w:t>Departementet foreslo videre at partene i s</w:t>
      </w:r>
      <w:r>
        <w:t>aker om seksuell trakassering skal gis en ubetinget rett til å kreve muntlig behandling.</w:t>
      </w:r>
    </w:p>
    <w:p w:rsidR="00000000" w:rsidRDefault="00D718D0" w:rsidP="00BA3E8B">
      <w:r>
        <w:t>Departementet foreslo også at antall avdelinger i nemnda utvides fra tre til fire.</w:t>
      </w:r>
    </w:p>
    <w:p w:rsidR="00000000" w:rsidRDefault="00D718D0" w:rsidP="00BA3E8B">
      <w:r>
        <w:lastRenderedPageBreak/>
        <w:t xml:space="preserve">Departementet foreslo i tillegg at loven endres, slik at reglene om sammensetningen </w:t>
      </w:r>
      <w:r>
        <w:t>av nemnda ikke tallfestes i loven.</w:t>
      </w:r>
    </w:p>
    <w:p w:rsidR="00000000" w:rsidRDefault="00D718D0" w:rsidP="00BA3E8B">
      <w:pPr>
        <w:pStyle w:val="Overskrift3"/>
      </w:pPr>
      <w:r>
        <w:t>Høringsinstansenes syn</w:t>
      </w:r>
    </w:p>
    <w:p w:rsidR="00000000" w:rsidRDefault="00D718D0" w:rsidP="00BA3E8B">
      <w:r>
        <w:t>Et klart flertall av høringsinstansene støtter regjeringens forslag.</w:t>
      </w:r>
    </w:p>
    <w:p w:rsidR="00000000" w:rsidRPr="009445FD" w:rsidRDefault="00D718D0" w:rsidP="00BA3E8B">
      <w:pPr>
        <w:rPr>
          <w:rStyle w:val="kursiv"/>
        </w:rPr>
      </w:pPr>
      <w:r>
        <w:rPr>
          <w:rStyle w:val="kursiv"/>
          <w:sz w:val="21"/>
          <w:szCs w:val="21"/>
        </w:rPr>
        <w:t xml:space="preserve">Norges nasjonale institusjon for menneskerettigheter </w:t>
      </w:r>
      <w:r>
        <w:t>mener at:</w:t>
      </w:r>
    </w:p>
    <w:p w:rsidR="00000000" w:rsidRDefault="00D718D0" w:rsidP="00BA3E8B">
      <w:pPr>
        <w:pStyle w:val="blokksit"/>
      </w:pPr>
      <w:r>
        <w:t>«…det er positivt at BLD fremmer forslag om å etablere</w:t>
      </w:r>
      <w:r>
        <w:t xml:space="preserve"> et lavterskeltilbud ved Diskrimin</w:t>
      </w:r>
      <w:r>
        <w:t>e</w:t>
      </w:r>
      <w:r>
        <w:t>ring</w:t>
      </w:r>
      <w:r>
        <w:t>s</w:t>
      </w:r>
      <w:r>
        <w:t>nemnda for å håndheve forbudet mot seksuell trakassering…»</w:t>
      </w:r>
    </w:p>
    <w:p w:rsidR="00000000" w:rsidRPr="009445FD" w:rsidRDefault="00D718D0" w:rsidP="00BA3E8B">
      <w:pPr>
        <w:rPr>
          <w:rStyle w:val="kursiv"/>
        </w:rPr>
      </w:pPr>
      <w:r>
        <w:rPr>
          <w:rStyle w:val="kursiv"/>
          <w:sz w:val="21"/>
          <w:szCs w:val="21"/>
        </w:rPr>
        <w:t>Diskrimineringsnemnda</w:t>
      </w:r>
      <w:r>
        <w:t xml:space="preserve"> er:</w:t>
      </w:r>
    </w:p>
    <w:p w:rsidR="00000000" w:rsidRDefault="00D718D0" w:rsidP="00BA3E8B">
      <w:pPr>
        <w:pStyle w:val="blokksit"/>
      </w:pPr>
      <w:r>
        <w:t>«… også positiv til departementets forslag om at Diskrimineringsnemnda får myndighet til å hån</w:t>
      </w:r>
      <w:r>
        <w:t>dheve forbudet mot seksuell trakassering i likestillings- og diskrimineringsloven.»</w:t>
      </w:r>
    </w:p>
    <w:p w:rsidR="00000000" w:rsidRPr="009445FD" w:rsidRDefault="00D718D0" w:rsidP="00BA3E8B">
      <w:pPr>
        <w:rPr>
          <w:rStyle w:val="kursiv"/>
        </w:rPr>
      </w:pPr>
      <w:r>
        <w:rPr>
          <w:rStyle w:val="kursiv"/>
          <w:sz w:val="21"/>
          <w:szCs w:val="21"/>
        </w:rPr>
        <w:t>Diskrimineringsnemnda</w:t>
      </w:r>
      <w:r>
        <w:t xml:space="preserve"> mener imidlertid at en igangsatt straffesak normalt bør etterforskes ferdig før en sivilrettslig behandling av saken, og viser til at:</w:t>
      </w:r>
    </w:p>
    <w:p w:rsidR="00000000" w:rsidRDefault="00D718D0" w:rsidP="00BA3E8B">
      <w:pPr>
        <w:pStyle w:val="blokksit"/>
      </w:pPr>
      <w:r>
        <w:t>«… med den ødel</w:t>
      </w:r>
      <w:r>
        <w:t>eggende virkning en kontradiktorisk bevisutvekslingsprosess kan ha på straff</w:t>
      </w:r>
      <w:r>
        <w:t>e</w:t>
      </w:r>
      <w:r>
        <w:t>rett</w:t>
      </w:r>
      <w:r>
        <w:t>s</w:t>
      </w:r>
      <w:r>
        <w:t>lig etterforskning, ber nemnda departementet vurdere om det bør innføres en eksplisitt skal-avvisningsregel for nemnda når saken behandles hos påtalemyndigheten. En slik avvi</w:t>
      </w:r>
      <w:r>
        <w:t>s</w:t>
      </w:r>
      <w:r>
        <w:t>ningsplikt for nemnda bør også foreligge i de tilfeller den påståtte trakasserer velger å anmelde fornærmede for uriktig forklaring til offentlig myndighet. En slik avvisningsregel bør eventuelt også gjelde generelt, dvs. uavhengig av hvilket diskrimineri</w:t>
      </w:r>
      <w:r>
        <w:t>ngs- eller trakasseringsgrunnlag s</w:t>
      </w:r>
      <w:r>
        <w:t>a</w:t>
      </w:r>
      <w:r>
        <w:t>ken i Diskriminering</w:t>
      </w:r>
      <w:r>
        <w:t>s</w:t>
      </w:r>
      <w:r>
        <w:t>nemnda gjelder.»</w:t>
      </w:r>
    </w:p>
    <w:p w:rsidR="00000000" w:rsidRPr="009445FD" w:rsidRDefault="00D718D0" w:rsidP="00BA3E8B">
      <w:pPr>
        <w:rPr>
          <w:rStyle w:val="kursiv"/>
        </w:rPr>
      </w:pPr>
      <w:r>
        <w:rPr>
          <w:rStyle w:val="kursiv"/>
          <w:sz w:val="21"/>
          <w:szCs w:val="21"/>
        </w:rPr>
        <w:t>Akademikerne</w:t>
      </w:r>
      <w:r>
        <w:t xml:space="preserve"> viser blant annet til at:</w:t>
      </w:r>
    </w:p>
    <w:p w:rsidR="00000000" w:rsidRDefault="00D718D0" w:rsidP="00BA3E8B">
      <w:pPr>
        <w:pStyle w:val="blokksit"/>
      </w:pPr>
      <w:r>
        <w:t>«… Selv om vi har et lovverk som gir beskyttelse mot seksuell trakassering, viser rettspraksis at svært få saker bringes inn for domstolene.»</w:t>
      </w:r>
    </w:p>
    <w:p w:rsidR="00000000" w:rsidRPr="009445FD" w:rsidRDefault="00D718D0" w:rsidP="00BA3E8B">
      <w:pPr>
        <w:rPr>
          <w:rStyle w:val="kursiv"/>
        </w:rPr>
      </w:pPr>
      <w:r>
        <w:rPr>
          <w:rStyle w:val="kursiv"/>
          <w:sz w:val="21"/>
          <w:szCs w:val="21"/>
        </w:rPr>
        <w:t>LO</w:t>
      </w:r>
      <w:r>
        <w:t xml:space="preserve"> fremhever at:</w:t>
      </w:r>
    </w:p>
    <w:p w:rsidR="00000000" w:rsidRDefault="00D718D0" w:rsidP="00BA3E8B">
      <w:pPr>
        <w:pStyle w:val="blokksit"/>
      </w:pPr>
      <w:r>
        <w:t>«…det er viktig og positivt at det nå kommer på plass et lavterskeltilbud for behandling av saker om seksuell trakassering.»</w:t>
      </w:r>
    </w:p>
    <w:p w:rsidR="00000000" w:rsidRDefault="00D718D0" w:rsidP="00BA3E8B">
      <w:r>
        <w:t xml:space="preserve">Fem høringsinstanser, </w:t>
      </w:r>
      <w:r>
        <w:rPr>
          <w:rStyle w:val="kursiv"/>
          <w:sz w:val="21"/>
          <w:szCs w:val="21"/>
        </w:rPr>
        <w:t>Advokatforeningen, Arbeidsgiverforeningen Spekter, Justisdepartementet, NHO</w:t>
      </w:r>
      <w:r>
        <w:t xml:space="preserve"> og </w:t>
      </w:r>
      <w:r>
        <w:rPr>
          <w:rStyle w:val="kursiv"/>
          <w:sz w:val="21"/>
          <w:szCs w:val="21"/>
        </w:rPr>
        <w:t>Virke</w:t>
      </w:r>
      <w:r>
        <w:t xml:space="preserve"> er kritiske til forslaget. De viser i hovedsak til en bekymring for at rettssikkerheten til de som blir anklaget ikke blir godt nok ivaretatt.</w:t>
      </w:r>
    </w:p>
    <w:p w:rsidR="00000000" w:rsidRPr="009445FD" w:rsidRDefault="00D718D0" w:rsidP="00BA3E8B">
      <w:pPr>
        <w:rPr>
          <w:rStyle w:val="kursiv"/>
        </w:rPr>
      </w:pPr>
      <w:r>
        <w:rPr>
          <w:rStyle w:val="kursiv"/>
          <w:sz w:val="21"/>
          <w:szCs w:val="21"/>
        </w:rPr>
        <w:t>Advokatforeningen</w:t>
      </w:r>
      <w:r>
        <w:t xml:space="preserve"> mener at Diskrimineringsnemnda er et forvaltningsorgan uten de prosessre</w:t>
      </w:r>
      <w:r>
        <w:t>g</w:t>
      </w:r>
      <w:r>
        <w:t>lene som ellers anses</w:t>
      </w:r>
      <w:r>
        <w:t xml:space="preserve"> nødvendige for å sikre en rettssikker prosess i særlig belastende saker. De viser til at det for inngripende og alvorlige saker vil være viktig å regulere for eksempel partenes rett til kontradiksjon og representasjon, muligheter for bevisførsel og bevisa</w:t>
      </w:r>
      <w:r>
        <w:t>vskjæring, offen</w:t>
      </w:r>
      <w:r>
        <w:t>t</w:t>
      </w:r>
      <w:r>
        <w:t>lighet og erstatning for sakso</w:t>
      </w:r>
      <w:r>
        <w:t>m</w:t>
      </w:r>
      <w:r>
        <w:t>kos</w:t>
      </w:r>
      <w:r>
        <w:t>t</w:t>
      </w:r>
      <w:r>
        <w:t>ninger.</w:t>
      </w:r>
    </w:p>
    <w:p w:rsidR="00000000" w:rsidRPr="009445FD" w:rsidRDefault="00D718D0" w:rsidP="00BA3E8B">
      <w:pPr>
        <w:rPr>
          <w:rStyle w:val="kursiv"/>
        </w:rPr>
      </w:pPr>
      <w:r>
        <w:rPr>
          <w:rStyle w:val="kursiv"/>
          <w:sz w:val="21"/>
          <w:szCs w:val="21"/>
        </w:rPr>
        <w:t xml:space="preserve">Arbeidsgiverforeningen Spekter </w:t>
      </w:r>
      <w:r>
        <w:t>viser til at det forslaget som nå ligger på bordet ble grundig vurdert og avvist i Prop. 80 L (2016–2017) Lov om Likestillings- og diskrimineringsombudet og Di</w:t>
      </w:r>
      <w:r>
        <w:t>s</w:t>
      </w:r>
      <w:r>
        <w:t>krimi</w:t>
      </w:r>
      <w:r>
        <w:t>nering</w:t>
      </w:r>
      <w:r>
        <w:t>s</w:t>
      </w:r>
      <w:r>
        <w:t>nemnda. Spekter mener derfor at:</w:t>
      </w:r>
    </w:p>
    <w:p w:rsidR="00000000" w:rsidRDefault="00D718D0" w:rsidP="00BA3E8B">
      <w:pPr>
        <w:pStyle w:val="blokksit"/>
      </w:pPr>
      <w:r>
        <w:t>«Mindre enn 1 år etter denne grundige vurderingen og avgjørelsen, blir dette forslaget fremmet på nytt. Spekter kan ikke se at rettsikkerheten på dette området har endret seg siden departeme</w:t>
      </w:r>
      <w:r>
        <w:t>n</w:t>
      </w:r>
      <w:r>
        <w:t>tas a</w:t>
      </w:r>
      <w:r>
        <w:t>r</w:t>
      </w:r>
      <w:r>
        <w:t>g</w:t>
      </w:r>
      <w:r>
        <w:t>u</w:t>
      </w:r>
      <w:r>
        <w:t>mentasjon i 2017.</w:t>
      </w:r>
      <w:r>
        <w:t xml:space="preserve"> Uansett hvordan en nemnd blir satt sammen, kan aldri en nemnd </w:t>
      </w:r>
      <w:r>
        <w:lastRenderedPageBreak/>
        <w:t>komme på høyden med en domstol når det gjelder rettsikkerhet for partene i en sak.  Det være seg angående saksb</w:t>
      </w:r>
      <w:r>
        <w:t>e</w:t>
      </w:r>
      <w:r>
        <w:t>handlingsregler eller ubetinget krav på muntlig behandling i en nemnd mv.»</w:t>
      </w:r>
    </w:p>
    <w:p w:rsidR="00000000" w:rsidRPr="009445FD" w:rsidRDefault="00D718D0" w:rsidP="00BA3E8B">
      <w:pPr>
        <w:rPr>
          <w:rStyle w:val="kursiv"/>
        </w:rPr>
      </w:pPr>
      <w:r>
        <w:rPr>
          <w:rStyle w:val="kursiv"/>
          <w:sz w:val="21"/>
          <w:szCs w:val="21"/>
        </w:rPr>
        <w:t>Justis</w:t>
      </w:r>
      <w:r>
        <w:rPr>
          <w:rStyle w:val="kursiv"/>
          <w:sz w:val="21"/>
          <w:szCs w:val="21"/>
        </w:rPr>
        <w:t xml:space="preserve">departementet </w:t>
      </w:r>
      <w:r>
        <w:t>viser til at:</w:t>
      </w:r>
    </w:p>
    <w:p w:rsidR="00000000" w:rsidRDefault="00D718D0" w:rsidP="00BA3E8B">
      <w:pPr>
        <w:pStyle w:val="blokksit"/>
      </w:pPr>
      <w:r>
        <w:t>«#Metoo-bevegelsen har synliggjort omfanget av seksuell trakassering på ulike samfunnsomr</w:t>
      </w:r>
      <w:r>
        <w:t>å</w:t>
      </w:r>
      <w:r>
        <w:t>der, og behovet for å styrke arbeidet for å forebygge seksuell trakassering og håndheve likesti</w:t>
      </w:r>
      <w:r>
        <w:t>l</w:t>
      </w:r>
      <w:r>
        <w:t>lings- og di</w:t>
      </w:r>
      <w:r>
        <w:t>s</w:t>
      </w:r>
      <w:r>
        <w:t>krimineringslovens forbud. Fl</w:t>
      </w:r>
      <w:r>
        <w:t>ere av sakene som har kommet fram det siste året, har også vist hvor krevende enkelte av disse sakene kan være, og at de reiser vanskelige bevismess</w:t>
      </w:r>
      <w:r>
        <w:t>i</w:t>
      </w:r>
      <w:r>
        <w:t>ge spørsmål og rettssikkerhetsutfordringer. Etter vårt syn drøfter ikke høringsnotatet i tilstrekk</w:t>
      </w:r>
      <w:r>
        <w:t>e</w:t>
      </w:r>
      <w:r>
        <w:t>lig grad</w:t>
      </w:r>
      <w:r>
        <w:t xml:space="preserve"> hvorvidt fo</w:t>
      </w:r>
      <w:r>
        <w:t>r</w:t>
      </w:r>
      <w:r>
        <w:t>slaget om å gi Diskrimineringsnemnda myndighet til å håndheve forbudet mot seksuell trakassering er egnet til å ivareta de ulike hensyn som gjør seg gjeldende.</w:t>
      </w:r>
    </w:p>
    <w:p w:rsidR="00000000" w:rsidRDefault="00D718D0" w:rsidP="00BA3E8B">
      <w:pPr>
        <w:pStyle w:val="blokksit"/>
      </w:pPr>
      <w:r>
        <w:t>De argumentene som ble fremhevet i forbindelse med revisjonen av diskrimineringslov</w:t>
      </w:r>
      <w:r>
        <w:t>ene i 2013 (jf. Prop. 88 L (2012–2013) og i 2017 (jf. Prop. 80 L (2016–2017), bør etter vår oppfatning fortsatt veie tungt. Vi viser særlig til vurderingen i Prop. 80 L (2016–2017) punkt 7.4.9.4. Denne vurderingen er også basert på gjeldende regler om nemn</w:t>
      </w:r>
      <w:r>
        <w:t>das sammensetning og saksbehandling, og på den endrede def</w:t>
      </w:r>
      <w:r>
        <w:t>i</w:t>
      </w:r>
      <w:r>
        <w:t>nisjonen av seksuell trakassering. Det er understreket at vurderingstema</w:t>
      </w:r>
      <w:r>
        <w:t>e</w:t>
      </w:r>
      <w:r>
        <w:t>ne vil være de samme også etter endringen av definisjonen.»</w:t>
      </w:r>
    </w:p>
    <w:p w:rsidR="00000000" w:rsidRPr="009445FD" w:rsidRDefault="00D718D0" w:rsidP="00BA3E8B">
      <w:pPr>
        <w:rPr>
          <w:rStyle w:val="kursiv"/>
        </w:rPr>
      </w:pPr>
      <w:r>
        <w:rPr>
          <w:rStyle w:val="kursiv"/>
          <w:sz w:val="21"/>
          <w:szCs w:val="21"/>
        </w:rPr>
        <w:t>NHO</w:t>
      </w:r>
      <w:r>
        <w:t xml:space="preserve"> mener at en nemndsløsning ikke er egnet for behandling av sa</w:t>
      </w:r>
      <w:r>
        <w:t>ker om seksuell trakassering. De hevder at slike saker, av hensyn til god saksopplysning og forsvarlig behandling der rett</w:t>
      </w:r>
      <w:r>
        <w:t>s</w:t>
      </w:r>
      <w:r>
        <w:t>sikkerheten ivaretas, må avgjøres i domstolsapparatet. NHO anbefaler derfor at man i stedet for en nemndsløsning ser på:</w:t>
      </w:r>
    </w:p>
    <w:p w:rsidR="00000000" w:rsidRDefault="00D718D0" w:rsidP="00BA3E8B">
      <w:pPr>
        <w:pStyle w:val="blokksit"/>
      </w:pPr>
      <w:r>
        <w:t>«… mulighete</w:t>
      </w:r>
      <w:r>
        <w:t>ne for en enklere og mer tilgjengelig løsning innenfor det domstolsystemet vi all</w:t>
      </w:r>
      <w:r>
        <w:t>e</w:t>
      </w:r>
      <w:r>
        <w:t>rede har. I dag finnes regler om avgjørelse av saker etter regler om småkravprosess i tvisteloven, som i de enkle sakene vil kunne benyttes. NHO foreslår også at det ses på o</w:t>
      </w:r>
      <w:r>
        <w:t>m likestillings- og diskrimin</w:t>
      </w:r>
      <w:r>
        <w:t>e</w:t>
      </w:r>
      <w:r>
        <w:t>ringsombudet (eller annen relevant myndighet) kan få adgang til å anbefale fri sakfø</w:t>
      </w:r>
      <w:r>
        <w:t>r</w:t>
      </w:r>
      <w:r>
        <w:t>sel uten behov</w:t>
      </w:r>
      <w:r>
        <w:t>s</w:t>
      </w:r>
      <w:r>
        <w:t>prøving etter liknende modell som gjelder for sivilombudsmannen, jf. rettshjel</w:t>
      </w:r>
      <w:r>
        <w:t>p</w:t>
      </w:r>
      <w:r>
        <w:t>loven § 16 nr. 3, i enkle saker. Videre kan det</w:t>
      </w:r>
      <w:r>
        <w:t xml:space="preserve"> etableres særlige regler som gjør unntak for b</w:t>
      </w:r>
      <w:r>
        <w:t>e</w:t>
      </w:r>
      <w:r>
        <w:t>handlingsgebyr (rettsg</w:t>
      </w:r>
      <w:r>
        <w:t>e</w:t>
      </w:r>
      <w:r>
        <w:t>byr) i denne type saker.»</w:t>
      </w:r>
    </w:p>
    <w:p w:rsidR="00000000" w:rsidRPr="009445FD" w:rsidRDefault="00D718D0" w:rsidP="00BA3E8B">
      <w:pPr>
        <w:rPr>
          <w:rStyle w:val="kursiv"/>
        </w:rPr>
      </w:pPr>
      <w:r>
        <w:rPr>
          <w:rStyle w:val="kursiv"/>
          <w:sz w:val="21"/>
          <w:szCs w:val="21"/>
        </w:rPr>
        <w:t>Virke</w:t>
      </w:r>
      <w:r>
        <w:t xml:space="preserve"> mener det er tungtveiende momenter som tilsier at nemnda fremdeles bør være avskåret fra å b</w:t>
      </w:r>
      <w:r>
        <w:t>e</w:t>
      </w:r>
      <w:r>
        <w:t xml:space="preserve">handle saker om seksuell trakassering. De viser blant annet </w:t>
      </w:r>
      <w:r>
        <w:t>til at begrepet favner et vidt spekter av saker, fra uønskede kommentarer til mer alvorlige saker som rammes av straffeloven. De mener at en lavter</w:t>
      </w:r>
      <w:r>
        <w:t>s</w:t>
      </w:r>
      <w:r>
        <w:t xml:space="preserve">kelbehandling vil være særlig betenkelig i de mer alvorlige sakene. Virke mener på denne bakgrunn at det er </w:t>
      </w:r>
      <w:r>
        <w:t>nødvendig med en avklaring av om nemnda skal kunne b</w:t>
      </w:r>
      <w:r>
        <w:t>e</w:t>
      </w:r>
      <w:r>
        <w:t>handle alle saker om seksuell trakass</w:t>
      </w:r>
      <w:r>
        <w:t>e</w:t>
      </w:r>
      <w:r>
        <w:t>ring.</w:t>
      </w:r>
    </w:p>
    <w:p w:rsidR="00000000" w:rsidRPr="009445FD" w:rsidRDefault="00D718D0" w:rsidP="00BA3E8B">
      <w:pPr>
        <w:rPr>
          <w:rStyle w:val="kursiv"/>
        </w:rPr>
      </w:pPr>
      <w:r>
        <w:rPr>
          <w:rStyle w:val="kursiv"/>
          <w:sz w:val="21"/>
          <w:szCs w:val="21"/>
        </w:rPr>
        <w:t>Virke</w:t>
      </w:r>
      <w:r>
        <w:t xml:space="preserve"> mener videre at:</w:t>
      </w:r>
    </w:p>
    <w:p w:rsidR="00000000" w:rsidRDefault="00D718D0" w:rsidP="00BA3E8B">
      <w:pPr>
        <w:pStyle w:val="blokksit"/>
      </w:pPr>
      <w:r>
        <w:t>«… en én-instansløsning, uten mulighet for forvaltningsklage, ikke ivaretar rettssikkerhetshe</w:t>
      </w:r>
      <w:r>
        <w:t>n</w:t>
      </w:r>
      <w:r>
        <w:t xml:space="preserve">synet tilstrekkelig for saker om seksuell </w:t>
      </w:r>
      <w:r>
        <w:t>trakassering.»</w:t>
      </w:r>
    </w:p>
    <w:p w:rsidR="00000000" w:rsidRDefault="00D718D0" w:rsidP="00BA3E8B">
      <w:pPr>
        <w:pStyle w:val="Overskrift3"/>
      </w:pPr>
      <w:r>
        <w:t>Departementets vurderinger</w:t>
      </w:r>
    </w:p>
    <w:p w:rsidR="00000000" w:rsidRPr="009445FD" w:rsidRDefault="00D718D0" w:rsidP="00BA3E8B">
      <w:pPr>
        <w:pStyle w:val="Overskrift4"/>
        <w:rPr>
          <w:rStyle w:val="kursiv"/>
        </w:rPr>
      </w:pPr>
      <w:r>
        <w:t>Innledning</w:t>
      </w:r>
    </w:p>
    <w:p w:rsidR="00000000" w:rsidRDefault="00D718D0" w:rsidP="00BA3E8B">
      <w:r>
        <w:t>Departementet har ved flere anledninger de siste årene vurdert hvorvidt det skal opprettes et alternativ til domstolsbehandling for behandling av saker om seksuell trakasserin</w:t>
      </w:r>
      <w:r>
        <w:t>g. Både i Prop. 88 L (2012–2013) og Prop. 80 L (2012–2013) landet man imidlertid på at det ikke skulle fremmes forslag om dette. Hensynet til rettssikkerhet veide tungt, og det ble vist til at håndhevingsapp</w:t>
      </w:r>
      <w:r>
        <w:t>a</w:t>
      </w:r>
      <w:r>
        <w:t>ratets saksbehandlingsform, sammense</w:t>
      </w:r>
      <w:r>
        <w:t>t</w:t>
      </w:r>
      <w:r>
        <w:t>ning og res</w:t>
      </w:r>
      <w:r>
        <w:t xml:space="preserve">surser ikke, på samme måte som i domstolene, </w:t>
      </w:r>
      <w:r>
        <w:lastRenderedPageBreak/>
        <w:t>la til rette for kontradiksjon (dvs. at partene skal gis mulighet til å imøtegå motpartens fremsti</w:t>
      </w:r>
      <w:r>
        <w:t>l</w:t>
      </w:r>
      <w:r>
        <w:t>ling av saken før det tas en avgjørelse) og parts- og vitnea</w:t>
      </w:r>
      <w:r>
        <w:t>v</w:t>
      </w:r>
      <w:r>
        <w:t>hør.</w:t>
      </w:r>
    </w:p>
    <w:p w:rsidR="00000000" w:rsidRDefault="00D718D0" w:rsidP="00BA3E8B">
      <w:r>
        <w:t>1. januar 2018 ble det imidlertid etablert en ny Diskrimineringsnemnd som er organisert med tanke på fo</w:t>
      </w:r>
      <w:r>
        <w:t>r</w:t>
      </w:r>
      <w:r>
        <w:t>sterkede rettssikkerhetsgarantier. Den nye nemnda har en saksbehandlingsform, sammensetning og ressurser som i større grad legger til rette for kontradi</w:t>
      </w:r>
      <w:r>
        <w:t>ksjon. Departementet mener på denne bakgrunn at den nye di</w:t>
      </w:r>
      <w:r>
        <w:t>s</w:t>
      </w:r>
      <w:r>
        <w:t>krimineringsnemnda har bedre forutsetninger for å b</w:t>
      </w:r>
      <w:r>
        <w:t>e</w:t>
      </w:r>
      <w:r>
        <w:t>handle saker om seksuell trakassering etter likestillings- og diskrimineringsloven enn det tidl</w:t>
      </w:r>
      <w:r>
        <w:t>i</w:t>
      </w:r>
      <w:r>
        <w:t>gere håndhevingsapparatet hadde.</w:t>
      </w:r>
    </w:p>
    <w:p w:rsidR="00000000" w:rsidRDefault="00D718D0" w:rsidP="00BA3E8B">
      <w:r>
        <w:t>Departementet fo</w:t>
      </w:r>
      <w:r>
        <w:t>reslår i tillegg at partene i saker om seksuell trakassering skal gis en ubetinget rett til å kreve muntlig behandling. Dette vil blant annet legge til rette for parts- og vitneavhør i disse sakene.</w:t>
      </w:r>
    </w:p>
    <w:p w:rsidR="00000000" w:rsidRDefault="00D718D0" w:rsidP="00BA3E8B">
      <w:r>
        <w:t>Departementet foreslår også at nemnda skal pålegges å avv</w:t>
      </w:r>
      <w:r>
        <w:t>ise følgende saker:</w:t>
      </w:r>
    </w:p>
    <w:p w:rsidR="00000000" w:rsidRDefault="00D718D0" w:rsidP="00BA3E8B">
      <w:pPr>
        <w:pStyle w:val="Liste"/>
      </w:pPr>
      <w:r>
        <w:t>Saker om seksuallovbrudd etter straffeloven kapittel 26 som er til behandling hos påtal</w:t>
      </w:r>
      <w:r>
        <w:t>e</w:t>
      </w:r>
      <w:r>
        <w:t>myndigheten.</w:t>
      </w:r>
    </w:p>
    <w:p w:rsidR="00000000" w:rsidRDefault="00D718D0" w:rsidP="00BA3E8B">
      <w:pPr>
        <w:pStyle w:val="Liste"/>
      </w:pPr>
      <w:r>
        <w:t>Saker der den som er anklaget for å trakassere har anmeldt fornærmede for uriktig forklaring.</w:t>
      </w:r>
    </w:p>
    <w:p w:rsidR="00000000" w:rsidRPr="009445FD" w:rsidRDefault="00D718D0" w:rsidP="00BA3E8B">
      <w:pPr>
        <w:pStyle w:val="Overskrift4"/>
        <w:rPr>
          <w:rStyle w:val="kursiv"/>
        </w:rPr>
      </w:pPr>
      <w:r>
        <w:t>Behov for et lavt</w:t>
      </w:r>
      <w:r>
        <w:t>erskeltilbud</w:t>
      </w:r>
    </w:p>
    <w:p w:rsidR="00000000" w:rsidRDefault="00D718D0" w:rsidP="00BA3E8B">
      <w:r>
        <w:t>Vi har et lovverk som gir god beskyttelse mot seksuell trakassering. Men til tross for dette har Likesti</w:t>
      </w:r>
      <w:r>
        <w:t>l</w:t>
      </w:r>
      <w:r>
        <w:t>lings- og diskrimineringsombudet de siste årene likevel opplevd en jevn økning i antallet veiledningss</w:t>
      </w:r>
      <w:r>
        <w:t>a</w:t>
      </w:r>
      <w:r>
        <w:t>ker.</w:t>
      </w:r>
    </w:p>
    <w:p w:rsidR="00000000" w:rsidRDefault="00D718D0" w:rsidP="00BA3E8B">
      <w:r>
        <w:t>Forskning viser at det forekom</w:t>
      </w:r>
      <w:r>
        <w:t>mer seksuell trakassering på de fleste samfunnsområder. Det er gje</w:t>
      </w:r>
      <w:r>
        <w:t>n</w:t>
      </w:r>
      <w:r>
        <w:t>nomført en rekke studier som viser at seksuell trakassering er et alvorlig samfunnsproblem, og Statistisk sentralbyrås levekårsundersøkelser om arbeidsmiljø viser at seksuell trakassering e</w:t>
      </w:r>
      <w:r>
        <w:t>r et problem i deler av arbeidslivet – særlig innenfor overnattings- og serveringsbransjen og i og helse- og sosialsektoren.</w:t>
      </w:r>
    </w:p>
    <w:p w:rsidR="00000000" w:rsidRDefault="00D718D0" w:rsidP="00BA3E8B">
      <w:r>
        <w:t>Saker om seksuell trakassering må i dag fremmes for domstolene. Rettspraksis viser imidlertid at svært få saker om seksuell trakass</w:t>
      </w:r>
      <w:r>
        <w:t>ering bringes inn for domstolene. Det er uklart hva dette skyldes, men d</w:t>
      </w:r>
      <w:r>
        <w:t>e</w:t>
      </w:r>
      <w:r>
        <w:t>partementet antar at det har sammenheng med at kostnadene ved domstolsb</w:t>
      </w:r>
      <w:r>
        <w:t>e</w:t>
      </w:r>
      <w:r>
        <w:t>handling er svært høye og at prosessene tar lang tid. Å bringe en sak inn for domstolene inn</w:t>
      </w:r>
      <w:r>
        <w:t>e</w:t>
      </w:r>
      <w:r>
        <w:t>bærer en ikke ubet</w:t>
      </w:r>
      <w:r>
        <w:t>ydelig økon</w:t>
      </w:r>
      <w:r>
        <w:t>o</w:t>
      </w:r>
      <w:r>
        <w:t>misk r</w:t>
      </w:r>
      <w:r>
        <w:t>i</w:t>
      </w:r>
      <w:r>
        <w:t>siko. Omfanget av seksuell trakassering vil således ikke gjenspeiles i de sakene som bringes inn for do</w:t>
      </w:r>
      <w:r>
        <w:t>m</w:t>
      </w:r>
      <w:r>
        <w:t>stolene.</w:t>
      </w:r>
    </w:p>
    <w:p w:rsidR="00000000" w:rsidRDefault="00D718D0" w:rsidP="00BA3E8B">
      <w:r>
        <w:t>NHO har i sitt høringssvar sagt at departementet bør vurdere mulighetene for en enklere og mer ti</w:t>
      </w:r>
      <w:r>
        <w:t>l</w:t>
      </w:r>
      <w:r>
        <w:t>gjengelig løsning innenfor</w:t>
      </w:r>
      <w:r>
        <w:t xml:space="preserve"> domstolsystemet. De viser til at det i dag finnes regler om avgj</w:t>
      </w:r>
      <w:r>
        <w:t>ø</w:t>
      </w:r>
      <w:r>
        <w:t>relse av saker etter regler om småkravprosess i tvisteloven. NHO foreslår også at det ses på om likestillings- og diskr</w:t>
      </w:r>
      <w:r>
        <w:t>i</w:t>
      </w:r>
      <w:r>
        <w:t xml:space="preserve">mineringsombudet (eller annen relevant myndighet) kan få adgang til å </w:t>
      </w:r>
      <w:r>
        <w:t>anbefale fri sakførsel uten b</w:t>
      </w:r>
      <w:r>
        <w:t>e</w:t>
      </w:r>
      <w:r>
        <w:t>hovsprøving etter liknende modell som gjelder for sivilombud</w:t>
      </w:r>
      <w:r>
        <w:t>s</w:t>
      </w:r>
      <w:r>
        <w:t>mannen, jf. rettshjelploven § 16 nr. 3, i enkle saker. De mener også at det kan etableres særlige regler som gjør unntak for behandlingsgebyr (rettsgebyr) i denne ty</w:t>
      </w:r>
      <w:r>
        <w:t>pe saker.</w:t>
      </w:r>
    </w:p>
    <w:p w:rsidR="00000000" w:rsidRDefault="00D718D0" w:rsidP="00BA3E8B">
      <w:r>
        <w:t>Departementet gjør i denne forbindelse oppmerksom på at spørsmålet om fri sakførsel, etter modell av s</w:t>
      </w:r>
      <w:r>
        <w:t>i</w:t>
      </w:r>
      <w:r>
        <w:t>vilombudsmannen, ble vurdert i forbindelse med utarbeidelse av Prop. 14 L (2016–2017) Endringer i rett</w:t>
      </w:r>
      <w:r>
        <w:t>s</w:t>
      </w:r>
      <w:r>
        <w:t>hjelploven. Det ble imidlertid ikke lagt</w:t>
      </w:r>
      <w:r>
        <w:t xml:space="preserve"> til grunn fri rettshjelpsordning i diskrimineringssaker i prop</w:t>
      </w:r>
      <w:r>
        <w:t>o</w:t>
      </w:r>
      <w:r>
        <w:t>sisjonen.</w:t>
      </w:r>
    </w:p>
    <w:p w:rsidR="00000000" w:rsidRDefault="00D718D0" w:rsidP="00BA3E8B">
      <w:r>
        <w:lastRenderedPageBreak/>
        <w:t>Departementet gjør også oppmerksom på at Stortinget har bedt regjeringen gjennomgå ordningen for fri rettshjelp, jf. anmodningsvedtak nr. 101 (2016–2017). Stortinget har også bedt re</w:t>
      </w:r>
      <w:r>
        <w:t>gjeringen utrede fo</w:t>
      </w:r>
      <w:r>
        <w:t>r</w:t>
      </w:r>
      <w:r>
        <w:t>slag om fri rettshjelp med behovsprøving på likestillings- og diskrimineringsområdet, jf. anmodningsve</w:t>
      </w:r>
      <w:r>
        <w:t>d</w:t>
      </w:r>
      <w:r>
        <w:t>tak nr. 874 (2016–2017). Regjeringen har på bakgrunn av disse anmo</w:t>
      </w:r>
      <w:r>
        <w:t>d</w:t>
      </w:r>
      <w:r>
        <w:t>ningsvedtakene nedsatt et offentlig utvalg, u</w:t>
      </w:r>
      <w:r>
        <w:t>n</w:t>
      </w:r>
      <w:r>
        <w:t>derlagt Justisdepart</w:t>
      </w:r>
      <w:r>
        <w:t>ementet, som skal gjennomgå rettshjelpsordningen. Begge anmodning</w:t>
      </w:r>
      <w:r>
        <w:t>s</w:t>
      </w:r>
      <w:r>
        <w:t>vedtakene vil inngå i utvalgets utredning som skal ferdigstilles våren 2020.</w:t>
      </w:r>
    </w:p>
    <w:p w:rsidR="00000000" w:rsidRDefault="00D718D0" w:rsidP="00BA3E8B">
      <w:r>
        <w:t>https://www.regjeringen.no/no/dep/jd/org/styre-rad-og-utval/tidsbegrensede-styrer-rad-og-utvalg/rettshjelpsutvalg</w:t>
      </w:r>
      <w:r>
        <w:t>et/id2609190/</w:t>
      </w:r>
    </w:p>
    <w:p w:rsidR="00000000" w:rsidRDefault="00D718D0" w:rsidP="00BA3E8B">
      <w:r>
        <w:t>Departementet mener det vil være hensiktsmessig å avvente utvalgets anbefalinger og Justi</w:t>
      </w:r>
      <w:r>
        <w:t>s</w:t>
      </w:r>
      <w:r>
        <w:t>depart</w:t>
      </w:r>
      <w:r>
        <w:t>e</w:t>
      </w:r>
      <w:r>
        <w:t>mentets oppfølging av disse. Det vil derfor ikke være naturlig å foreslå endringer i r</w:t>
      </w:r>
      <w:r>
        <w:t>e</w:t>
      </w:r>
      <w:r>
        <w:t>gelverket nå.</w:t>
      </w:r>
    </w:p>
    <w:p w:rsidR="00000000" w:rsidRDefault="00D718D0" w:rsidP="00BA3E8B">
      <w:r>
        <w:t>Departementet har vurdert hvorvidt en småkra</w:t>
      </w:r>
      <w:r>
        <w:t>vprosess, som er den ordinære behandlingsmåten for små krav i saker for tingretten, er en mulig vei å gå. Det er klart at en slik forenklet prosess vil være en bedre løsning for partene i en sak om seksuell trakassering både med tanke på tidsbruk og totale</w:t>
      </w:r>
      <w:r>
        <w:t xml:space="preserve"> kostn</w:t>
      </w:r>
      <w:r>
        <w:t>a</w:t>
      </w:r>
      <w:r>
        <w:t>der. Men når rettspraksis så klart viser at svært få saker om seksuell trakassering i dag bringes inn for domstolene, mener departementet at det er behov for et alternativ til do</w:t>
      </w:r>
      <w:r>
        <w:t>m</w:t>
      </w:r>
      <w:r>
        <w:t>stolsbehandling i disse sakene. Departementet mener at det tilbudet so</w:t>
      </w:r>
      <w:r>
        <w:t>m skal etableres bør ha en lav terskel og være tilgjengelig for alle.</w:t>
      </w:r>
    </w:p>
    <w:p w:rsidR="00000000" w:rsidRDefault="00D718D0" w:rsidP="00BA3E8B">
      <w:r>
        <w:t>En domstolsbehandling kan ikke sies å være et lavterskeltilbud, og det er flere ulike årsaker til dette. For noen handler det om økonomi. Ved en domstolsprosess risikerer partene å påleg</w:t>
      </w:r>
      <w:r>
        <w:t>ges saksomkos</w:t>
      </w:r>
      <w:r>
        <w:t>t</w:t>
      </w:r>
      <w:r>
        <w:t>ninger. I en sm</w:t>
      </w:r>
      <w:r>
        <w:t>å</w:t>
      </w:r>
      <w:r>
        <w:t>kravprosess vil disse kostnadene være lavere, men tilbudet er likevel ikke kostnadsfritt. Dette kan for mange være tilstrekkelig til at noen vegrer seg for å fremme kravet for en domstol. For andre kan rettssaker i seg selv og</w:t>
      </w:r>
      <w:r>
        <w:t xml:space="preserve"> forholdet til domstolene oppfattes som både litt for komplisert og til dels «skremmende», og de unnlater av den grunn å gå videre med saken.</w:t>
      </w:r>
    </w:p>
    <w:p w:rsidR="00000000" w:rsidRDefault="00D718D0" w:rsidP="00BA3E8B">
      <w:r>
        <w:t>Uavhengig av årsak vil det uansett være slik at om man også</w:t>
      </w:r>
      <w:r>
        <w:t xml:space="preserve"> i fortsettelsen velger domstolsporet, e</w:t>
      </w:r>
      <w:r>
        <w:t>n</w:t>
      </w:r>
      <w:r>
        <w:t>ten i form av en småkravprosess eller ved ordinær domstolsbehandling, så vil selve proses</w:t>
      </w:r>
      <w:r>
        <w:t>s</w:t>
      </w:r>
      <w:r>
        <w:t>innretningen i seg selv være egnet til å avskjære for mange krav. Rettspraksis viser klart at de som utsettes for seksuell tr</w:t>
      </w:r>
      <w:r>
        <w:t>a</w:t>
      </w:r>
      <w:r>
        <w:t>kassering ikke benytter seg av muligheten til å fremme sin sak for domstolene.</w:t>
      </w:r>
    </w:p>
    <w:p w:rsidR="00000000" w:rsidRDefault="00D718D0" w:rsidP="00BA3E8B">
      <w:r>
        <w:t>Det er derfor behov for et lavterskeltilbud som kan gi personer som utsettes for seksuell tr</w:t>
      </w:r>
      <w:r>
        <w:t>a</w:t>
      </w:r>
      <w:r>
        <w:t xml:space="preserve">kassering et raskt og kostnadsfritt alternativ til domstolsbehandling, og et reelt </w:t>
      </w:r>
      <w:r>
        <w:t>retts- og diskr</w:t>
      </w:r>
      <w:r>
        <w:t>i</w:t>
      </w:r>
      <w:r>
        <w:t>mineringsvern.</w:t>
      </w:r>
    </w:p>
    <w:p w:rsidR="00000000" w:rsidRDefault="00D718D0" w:rsidP="00BA3E8B">
      <w:r>
        <w:t>Departementet foreslår på denne bakgrunn en endring i diskrimineringsombudsloven § 7, slik at bokstav a, der håndhevingen av forbudet mot seksuell trakassering etter likestillings- og di</w:t>
      </w:r>
      <w:r>
        <w:t>s</w:t>
      </w:r>
      <w:r>
        <w:t>krimin</w:t>
      </w:r>
      <w:r>
        <w:t>e</w:t>
      </w:r>
      <w:r>
        <w:t>ringsloven er unntatt fra nemnd</w:t>
      </w:r>
      <w:r>
        <w:t>as myndighetsområde, tas ut. Bestemmelsens ordlyd blir etter dette som følger:</w:t>
      </w:r>
    </w:p>
    <w:p w:rsidR="00000000" w:rsidRDefault="00D718D0" w:rsidP="00BA3E8B">
      <w:pPr>
        <w:pStyle w:val="blokksit"/>
      </w:pPr>
      <w:r>
        <w:t>Nemnda skal håndheve bestemmelsene nevnt i § 1 annet ledd, med unntak av følgende beste</w:t>
      </w:r>
      <w:r>
        <w:t>m</w:t>
      </w:r>
      <w:r>
        <w:t xml:space="preserve">melser i </w:t>
      </w:r>
      <w:r>
        <w:rPr>
          <w:rStyle w:val="kursiv"/>
          <w:sz w:val="21"/>
          <w:szCs w:val="21"/>
        </w:rPr>
        <w:t>likestillings- og diskrimineringsloven</w:t>
      </w:r>
      <w:r>
        <w:t>:</w:t>
      </w:r>
    </w:p>
    <w:p w:rsidR="00000000" w:rsidRDefault="00D718D0" w:rsidP="00BA3E8B">
      <w:pPr>
        <w:pStyle w:val="alfaliste2"/>
      </w:pPr>
      <w:r>
        <w:t>§ 18 om universell utforming av IK</w:t>
      </w:r>
      <w:r>
        <w:t>T</w:t>
      </w:r>
    </w:p>
    <w:p w:rsidR="00000000" w:rsidRDefault="00D718D0" w:rsidP="00BA3E8B">
      <w:pPr>
        <w:pStyle w:val="alfaliste2"/>
      </w:pPr>
      <w:r>
        <w:lastRenderedPageBreak/>
        <w:t xml:space="preserve">§ 24 om offentlige myndigheters </w:t>
      </w:r>
      <w:r>
        <w:rPr>
          <w:rStyle w:val="kursiv"/>
          <w:sz w:val="21"/>
          <w:szCs w:val="21"/>
        </w:rPr>
        <w:t>aktivitets- og redegjørelsesplikt</w:t>
      </w:r>
    </w:p>
    <w:p w:rsidR="00000000" w:rsidRDefault="00D718D0" w:rsidP="00BA3E8B">
      <w:pPr>
        <w:pStyle w:val="alfaliste2"/>
      </w:pPr>
      <w:r>
        <w:t>§ 25 om arbeidslivets organisasjoners plikt til å arbeide for likestilling</w:t>
      </w:r>
    </w:p>
    <w:p w:rsidR="00000000" w:rsidRDefault="00D718D0" w:rsidP="00BA3E8B">
      <w:pPr>
        <w:pStyle w:val="alfaliste2"/>
      </w:pPr>
      <w:r>
        <w:t xml:space="preserve">§ 26 om arbeidsgivers </w:t>
      </w:r>
      <w:r>
        <w:rPr>
          <w:rStyle w:val="kursiv"/>
          <w:sz w:val="21"/>
          <w:szCs w:val="21"/>
        </w:rPr>
        <w:t>aktivitetsplikt</w:t>
      </w:r>
    </w:p>
    <w:p w:rsidR="00000000" w:rsidRDefault="00D718D0" w:rsidP="00BA3E8B">
      <w:pPr>
        <w:pStyle w:val="alfaliste2"/>
      </w:pPr>
      <w:r>
        <w:t>§</w:t>
      </w:r>
      <w:r>
        <w:rPr>
          <w:rStyle w:val="kursiv"/>
          <w:sz w:val="21"/>
          <w:szCs w:val="21"/>
        </w:rPr>
        <w:t> 26 b</w:t>
      </w:r>
      <w:r>
        <w:t xml:space="preserve"> om arbeidsgivers opplysningsplikt om likestillingsarbeid</w:t>
      </w:r>
    </w:p>
    <w:p w:rsidR="00000000" w:rsidRDefault="00D718D0" w:rsidP="00BA3E8B">
      <w:pPr>
        <w:pStyle w:val="alfaliste2"/>
      </w:pPr>
      <w:r>
        <w:t>§ 28 om kjønnsbalanse i offentlige utvalg mv.</w:t>
      </w:r>
    </w:p>
    <w:p w:rsidR="00000000" w:rsidRDefault="00D718D0" w:rsidP="00BA3E8B">
      <w:pPr>
        <w:pStyle w:val="alfaliste2"/>
      </w:pPr>
      <w:r>
        <w:t>§ 32 annet ledd om behandling av lønnsopplysninger</w:t>
      </w:r>
    </w:p>
    <w:p w:rsidR="00000000" w:rsidRDefault="00D718D0" w:rsidP="00BA3E8B">
      <w:pPr>
        <w:pStyle w:val="alfaliste2"/>
      </w:pPr>
      <w:r>
        <w:t>§ 39 om straff for grov overtredelse av diskrimineringsforbudet som er begått av fl</w:t>
      </w:r>
      <w:r>
        <w:t>ere i fellesskap</w:t>
      </w:r>
    </w:p>
    <w:p w:rsidR="00000000" w:rsidRPr="009445FD" w:rsidRDefault="00D718D0" w:rsidP="00BA3E8B">
      <w:pPr>
        <w:pStyle w:val="Overskrift4"/>
        <w:rPr>
          <w:rStyle w:val="kursiv"/>
        </w:rPr>
      </w:pPr>
      <w:r>
        <w:rPr>
          <w:rStyle w:val="kursiv"/>
          <w:i/>
          <w:iCs/>
        </w:rPr>
        <w:t>Rettssikkerhet</w:t>
      </w:r>
    </w:p>
    <w:p w:rsidR="00000000" w:rsidRDefault="00D718D0" w:rsidP="00BA3E8B">
      <w:r>
        <w:t>Departementet legger til grunn at et organ som skal behandle saker om seksuell trakassering må ha kunnskaper, ressurser og en organisering som gjør at vedtak kan fattes på forsvarlig grunnlag. Det er altså</w:t>
      </w:r>
      <w:r>
        <w:t xml:space="preserve"> et grunnleggende premiss for forslaget at partenes rettssikkerhet skal ivaretas, og departementet mener det er mulig å sørge for en rettssikker behandling også i forvaltningen.</w:t>
      </w:r>
    </w:p>
    <w:p w:rsidR="00000000" w:rsidRDefault="00D718D0" w:rsidP="00BA3E8B">
      <w:r>
        <w:t>Hovedinnvendingen mot å gi en uavhengig nemnd myndighet til å behandle saker o</w:t>
      </w:r>
      <w:r>
        <w:t>m seksuell tr</w:t>
      </w:r>
      <w:r>
        <w:t>a</w:t>
      </w:r>
      <w:r>
        <w:t>kassering, har vært at rettsikkerheten for partene ikke i tilstrekkelig grad ivaretas, og da særlig rettssi</w:t>
      </w:r>
      <w:r>
        <w:t>k</w:t>
      </w:r>
      <w:r>
        <w:t>kerheten til den som anklages for seksuell trakassering.</w:t>
      </w:r>
    </w:p>
    <w:p w:rsidR="00000000" w:rsidRDefault="00D718D0" w:rsidP="00BA3E8B">
      <w:r>
        <w:t>Departementet vil imidlertid presisere at nemndas kompetansekrav og saksbehan</w:t>
      </w:r>
      <w:r>
        <w:t>dlingsreglene skal sikre forsvarlig saksbehandling. Det kan til sammenligning nevnes at nyutdannede do</w:t>
      </w:r>
      <w:r>
        <w:t>m</w:t>
      </w:r>
      <w:r>
        <w:t>merfullmektiger, uten særskilt kompetanse på diskrimineringsrett, kan behandle saker om se</w:t>
      </w:r>
      <w:r>
        <w:t>k</w:t>
      </w:r>
      <w:r>
        <w:t>suell trakassering i tingre</w:t>
      </w:r>
      <w:r>
        <w:t>t</w:t>
      </w:r>
      <w:r>
        <w:t>ten. Det bør da ikke være noe i ve</w:t>
      </w:r>
      <w:r>
        <w:t>ien for at en fagtung nemnd gis samme myndighet.</w:t>
      </w:r>
    </w:p>
    <w:p w:rsidR="00000000" w:rsidRDefault="00D718D0" w:rsidP="00BA3E8B">
      <w:pPr>
        <w:pStyle w:val="Undertittel"/>
      </w:pPr>
      <w:r>
        <w:t>Vanskelig bevissituasjon</w:t>
      </w:r>
    </w:p>
    <w:p w:rsidR="00000000" w:rsidRDefault="00D718D0" w:rsidP="00BA3E8B">
      <w:r>
        <w:t>Bevissituasjonen i saker om seksuell trakassering kan være vanskelig. For at en handling skal anses som seksuell trakassering, er det et vilkår at den seksuelle oppmerksomheten er «u</w:t>
      </w:r>
      <w:r>
        <w:t>ønsket» og «plagsom». Disse subjektive elementene kan gjøre bevissituasjonen vanskelig. I saker om seksuell trakassering kan partene forstå og beskrive situasjonen svært ulikt, og ofte vil det ikke være vitner til hendelsene.</w:t>
      </w:r>
    </w:p>
    <w:p w:rsidR="00000000" w:rsidRDefault="00D718D0" w:rsidP="00BA3E8B">
      <w:r>
        <w:t>Lagmannsrettsdom LB-2006–12484</w:t>
      </w:r>
      <w:r>
        <w:t>0 synliggjør nettopp dette. Retten konkluderte med at det ikke var bevist at seksuell trakassering hadde funnet sted fordi den ansatte ikke hadde gitt klart uttrykk for at den seksuelle oppmerksomheten var uønsket. Lagmannsretten kom til at de</w:t>
      </w:r>
      <w:r>
        <w:t>t</w:t>
      </w:r>
      <w:r>
        <w:t xml:space="preserve">te ikke var </w:t>
      </w:r>
      <w:r>
        <w:t>seksuell trakassering fordi påsta</w:t>
      </w:r>
      <w:r>
        <w:t>n</w:t>
      </w:r>
      <w:r>
        <w:t>dene ikke ble bevitnet av kollegene. Lagmannsretten la til grunn at det i forbindelse med salgsmøter var en festkultur hvor det ble nytt relativt mye alkohol og det var utbredt med seksuelle he</w:t>
      </w:r>
      <w:r>
        <w:t>n</w:t>
      </w:r>
      <w:r>
        <w:t>tydninger. Lagmann</w:t>
      </w:r>
      <w:r>
        <w:t>s</w:t>
      </w:r>
      <w:r>
        <w:t>retten tr</w:t>
      </w:r>
      <w:r>
        <w:t>akk blant annet frem at det i etterkant av en fest ble vist et filminnslag som fokuserte på brystene til de kvinnelige a</w:t>
      </w:r>
      <w:r>
        <w:t>n</w:t>
      </w:r>
      <w:r>
        <w:t>satte, herunder av saksøker, som var kryssklippet med bilder av pornografisk karakter. La</w:t>
      </w:r>
      <w:r>
        <w:t>g</w:t>
      </w:r>
      <w:r>
        <w:t>mannsretten la vekt på at saksøker selv hadde</w:t>
      </w:r>
      <w:r>
        <w:t xml:space="preserve"> sendt ut en e-post til kolleger med henvisning til bildene på intranett, noe som etter lagmannsrettens vurdering ikke ga grunn til å tro at den seksuelle oppmerksomheten var uønsket.</w:t>
      </w:r>
    </w:p>
    <w:p w:rsidR="00000000" w:rsidRDefault="00D718D0" w:rsidP="00BA3E8B">
      <w:r>
        <w:t>I en annen sak kom imidlertid retten til motsatt resultat (LA-2009–20236</w:t>
      </w:r>
      <w:r>
        <w:t>6). Retten mente at kvinnen hadde sannsynliggjort at seksuell trakassering hadde funnet sted. I vurderingen av b</w:t>
      </w:r>
      <w:r>
        <w:t>e</w:t>
      </w:r>
      <w:r>
        <w:lastRenderedPageBreak/>
        <w:t>visbyrden fant la</w:t>
      </w:r>
      <w:r>
        <w:t>g</w:t>
      </w:r>
      <w:r>
        <w:t>mannsretten at kvinnen hadde underbygget sin forklaring med en sykepleier- og legejournal hvor he</w:t>
      </w:r>
      <w:r>
        <w:t>n</w:t>
      </w:r>
      <w:r>
        <w:t>delsene var beskrevet. Rett</w:t>
      </w:r>
      <w:r>
        <w:t>en fant også at påstandene ble støttet av fo</w:t>
      </w:r>
      <w:r>
        <w:t>r</w:t>
      </w:r>
      <w:r>
        <w:t>klaringer fra hennes sønn og he</w:t>
      </w:r>
      <w:r>
        <w:t>n</w:t>
      </w:r>
      <w:r>
        <w:t>nes venninne, som begge hadde forklart at kvinnen, etter et par måneders ansettelse, fortalte om konkr</w:t>
      </w:r>
      <w:r>
        <w:t>e</w:t>
      </w:r>
      <w:r>
        <w:t>te tilfeller av seksuell traka</w:t>
      </w:r>
      <w:r>
        <w:t>s</w:t>
      </w:r>
      <w:r>
        <w:t>sering. Arbeidsgivers a</w:t>
      </w:r>
      <w:r>
        <w:t>n</w:t>
      </w:r>
      <w:r>
        <w:t>førsel om at det ikke</w:t>
      </w:r>
      <w:r>
        <w:t xml:space="preserve"> var vitner til de påståtte hende</w:t>
      </w:r>
      <w:r>
        <w:t>l</w:t>
      </w:r>
      <w:r>
        <w:t>sene, ble ikke tillagt vekt, og retten viste til at:</w:t>
      </w:r>
    </w:p>
    <w:p w:rsidR="00000000" w:rsidRDefault="00D718D0" w:rsidP="00BA3E8B">
      <w:pPr>
        <w:pStyle w:val="blokksit"/>
      </w:pPr>
      <w:r>
        <w:t>«Lagmannsretten vil til dette bemerke at det nærmest ligger i sakens natur at den som ønsker å utse</w:t>
      </w:r>
      <w:r>
        <w:t>t</w:t>
      </w:r>
      <w:r>
        <w:t xml:space="preserve">te en annen for seksuell trakassering av den art som det her er tale </w:t>
      </w:r>
      <w:r>
        <w:t>om, sørger for at det skjer uten at andre er tilstede.»</w:t>
      </w:r>
    </w:p>
    <w:p w:rsidR="00000000" w:rsidRDefault="00D718D0" w:rsidP="00BA3E8B">
      <w:r>
        <w:t>Departementet mener likevel at saker om seksuell trakassering ikke nødvendigvis står i en sæ</w:t>
      </w:r>
      <w:r>
        <w:t>r</w:t>
      </w:r>
      <w:r>
        <w:t>stilling. Diskrimineringsnemnda håndhever allerede trakasseringssaker på alle andre diskrim</w:t>
      </w:r>
      <w:r>
        <w:t>i</w:t>
      </w:r>
      <w:r>
        <w:t>neringsgrunnlag</w:t>
      </w:r>
      <w:r>
        <w:t>. Disse sakene reiser også vanskelige bevisspørsmål, og stiller derfor også krav til rettssikkerheten for partene.</w:t>
      </w:r>
    </w:p>
    <w:p w:rsidR="00000000" w:rsidRDefault="00D718D0" w:rsidP="00BA3E8B">
      <w:r>
        <w:t>Til dette kommer at det er en glidende overgang mellom saker om trakassering på grunnlag av kjønn som nemnda håndhever og saker om seksuell t</w:t>
      </w:r>
      <w:r>
        <w:t>rakassering. Dette kan i seg selv tale for at nemnda bør gis myndighet til å behandle også denne type saker. For å unngå kunstige skiller og en fragmentert praksi</w:t>
      </w:r>
      <w:r>
        <w:t>s</w:t>
      </w:r>
      <w:r>
        <w:t>utvikling, er det hensiktsmessig at samme organ behandler begge typer saker.</w:t>
      </w:r>
    </w:p>
    <w:p w:rsidR="00000000" w:rsidRDefault="00D718D0" w:rsidP="00BA3E8B">
      <w:r>
        <w:t>Forvaltningslove</w:t>
      </w:r>
      <w:r>
        <w:t>ns regler gjelder for nemndas virksomhet med mindre annet følger av loven, jf. di</w:t>
      </w:r>
      <w:r>
        <w:t>s</w:t>
      </w:r>
      <w:r>
        <w:t>krimin</w:t>
      </w:r>
      <w:r>
        <w:t>e</w:t>
      </w:r>
      <w:r>
        <w:t>ringsombudsloven § 2 første ledd. Forvaltningslovens regler skal sikre at det treffes riktige fo</w:t>
      </w:r>
      <w:r>
        <w:t>r</w:t>
      </w:r>
      <w:r>
        <w:t>valtningsve</w:t>
      </w:r>
      <w:r>
        <w:t>d</w:t>
      </w:r>
      <w:r>
        <w:t>tak, og bidrar derved også til partenes rettssikkerhet. Me</w:t>
      </w:r>
      <w:r>
        <w:t>d rettssikkerhet i forvaltningslovens forstand menes beskyttelse mot overgrep og vilkårlighet fra det offentlige, muligheten til å kunne foru</w:t>
      </w:r>
      <w:r>
        <w:t>t</w:t>
      </w:r>
      <w:r>
        <w:t>beregne sin rettsstilling og muligheten til å kunne forsvare sine rettslige interesser.</w:t>
      </w:r>
    </w:p>
    <w:p w:rsidR="00000000" w:rsidRDefault="00D718D0" w:rsidP="00BA3E8B">
      <w:r>
        <w:t>Saksbehandlingsreglene i f</w:t>
      </w:r>
      <w:r>
        <w:t>orvaltningsloven og diskrimineringsombudsloven med tilhørende forskrift sikrer god kontradiksjon, objektivitet og kvalitet. Nemnda vil derfor ha gode forutse</w:t>
      </w:r>
      <w:r>
        <w:t>t</w:t>
      </w:r>
      <w:r>
        <w:t>ninger for å treffe riktige avgjørelser.</w:t>
      </w:r>
    </w:p>
    <w:p w:rsidR="00000000" w:rsidRDefault="00D718D0" w:rsidP="00BA3E8B">
      <w:r>
        <w:t>Departementet vil også bemerke at håndhevingsorganene i a</w:t>
      </w:r>
      <w:r>
        <w:t>ndre europeiske land behandler saker om seksuell trakassering. Også andre uavhengige nemnder, som for eksempel Utlending</w:t>
      </w:r>
      <w:r>
        <w:t>s</w:t>
      </w:r>
      <w:r>
        <w:t>nemnda, Fy</w:t>
      </w:r>
      <w:r>
        <w:t>l</w:t>
      </w:r>
      <w:r>
        <w:t>ke</w:t>
      </w:r>
      <w:r>
        <w:t>s</w:t>
      </w:r>
      <w:r>
        <w:t>nemndene for barnevern og sosiale saker, Helseklage og Erstatningsnemnda for voldsofre også håndterer alvorlige saker som</w:t>
      </w:r>
      <w:r>
        <w:t xml:space="preserve"> reiser sammenlignbare rettssikkerhetsspørsmål.</w:t>
      </w:r>
    </w:p>
    <w:p w:rsidR="00000000" w:rsidRDefault="00D718D0" w:rsidP="00BA3E8B">
      <w:pPr>
        <w:pStyle w:val="Undertittel"/>
      </w:pPr>
      <w:r>
        <w:t>Kvalifikasjonskrav</w:t>
      </w:r>
    </w:p>
    <w:p w:rsidR="00000000" w:rsidRDefault="00D718D0" w:rsidP="00BA3E8B">
      <w:r>
        <w:t>Det er også viktig at den eller de som fatter vedtak har en kompetanse som kan bidra til å sikre forsvarlig saksbehandling og riktige vedtak. Dette er viktig for at selve saksbehandlings- o</w:t>
      </w:r>
      <w:r>
        <w:t>g avgjørelsesprosessen skal foregå på en betryggende og forutsigbar måte.</w:t>
      </w:r>
    </w:p>
    <w:p w:rsidR="00000000" w:rsidRDefault="00D718D0" w:rsidP="00BA3E8B">
      <w:r>
        <w:t>Nemndas ledere skal som hovedregel ha dommererfaring. Saker om seksuell trakassering består i hovedsak i ren bevisbedøm</w:t>
      </w:r>
      <w:r>
        <w:t>melse, og kravet til dommererfaring vil kunne sikre god bevisb</w:t>
      </w:r>
      <w:r>
        <w:t>e</w:t>
      </w:r>
      <w:r>
        <w:t>dømmelse og derved også partenes rettssikkerhet.</w:t>
      </w:r>
    </w:p>
    <w:p w:rsidR="00000000" w:rsidRDefault="00D718D0" w:rsidP="00BA3E8B">
      <w:r>
        <w:lastRenderedPageBreak/>
        <w:t>Nemnda kan også, når særlige grunner tilsier det, behandle en sak i forsterket nemnd, dvs. at samtlige nemndledere deltar i behandlingen av sake</w:t>
      </w:r>
      <w:r>
        <w:t>n. Det vil for eksempel være aktuelt nettopp i saker der bevi</w:t>
      </w:r>
      <w:r>
        <w:t>s</w:t>
      </w:r>
      <w:r>
        <w:t>s</w:t>
      </w:r>
      <w:r>
        <w:t>i</w:t>
      </w:r>
      <w:r>
        <w:t>tuasjonen er særlig vanskelig.</w:t>
      </w:r>
    </w:p>
    <w:p w:rsidR="00000000" w:rsidRDefault="00D718D0" w:rsidP="00BA3E8B">
      <w:r>
        <w:t>Det stilles også krav om juridisk kompetanse for nemndas øvrige medlemmer. Det er pt. r</w:t>
      </w:r>
      <w:r>
        <w:t>e</w:t>
      </w:r>
      <w:r>
        <w:t>kruttert dommere, universitetsjurister og advokater – alle med solid arbe</w:t>
      </w:r>
      <w:r>
        <w:t>idserfaring. I tillegg vil nemndas sekret</w:t>
      </w:r>
      <w:r>
        <w:t>a</w:t>
      </w:r>
      <w:r>
        <w:t>riat oftest ha særskilt kompetanse i diskrimineringsrett. Nemnda besitter således høy generell juridisk kompetanse som i domstolene ellers, og har i tillegg en særlig kompetanse i diskrimineringsrett.</w:t>
      </w:r>
    </w:p>
    <w:p w:rsidR="00000000" w:rsidRDefault="00D718D0" w:rsidP="00BA3E8B">
      <w:r>
        <w:t>Departementet</w:t>
      </w:r>
      <w:r>
        <w:t xml:space="preserve"> mener på denne bakgrunn at nemnda er en særlig kompetent tvisteløsningsm</w:t>
      </w:r>
      <w:r>
        <w:t>e</w:t>
      </w:r>
      <w:r>
        <w:t>kani</w:t>
      </w:r>
      <w:r>
        <w:t>s</w:t>
      </w:r>
      <w:r>
        <w:t>me i di</w:t>
      </w:r>
      <w:r>
        <w:t>s</w:t>
      </w:r>
      <w:r>
        <w:t>krimineringssaker.</w:t>
      </w:r>
    </w:p>
    <w:p w:rsidR="00000000" w:rsidRDefault="00D718D0" w:rsidP="00BA3E8B">
      <w:pPr>
        <w:pStyle w:val="Undertittel"/>
      </w:pPr>
      <w:r>
        <w:t>Klageadgang</w:t>
      </w:r>
    </w:p>
    <w:p w:rsidR="00000000" w:rsidRDefault="00D718D0" w:rsidP="00BA3E8B">
      <w:r>
        <w:t>Diskrimineringsnemnda behandler alle saker i én instans, det er således ikke adgang til forval</w:t>
      </w:r>
      <w:r>
        <w:t>t</w:t>
      </w:r>
      <w:r>
        <w:t>ningskl</w:t>
      </w:r>
      <w:r>
        <w:t>a</w:t>
      </w:r>
      <w:r>
        <w:t xml:space="preserve">ge. Dersom en av partene ønsker en </w:t>
      </w:r>
      <w:r>
        <w:t>overprøving, må saken bringes inn for domstolene. Spørsmålet er om dette i tilstrekkelig grad ivaretar partenes rettssikkerhet.</w:t>
      </w:r>
    </w:p>
    <w:p w:rsidR="00000000" w:rsidRDefault="00D718D0" w:rsidP="00BA3E8B">
      <w:r>
        <w:t>En adgang til administrativ klage kan være viktig for å ivareta rettssikkerheten, ettersom dette ofte vil være raskere, mer flek</w:t>
      </w:r>
      <w:r>
        <w:t>sibelt og mindre ressurskrevende enn domstolsbehandling.</w:t>
      </w:r>
    </w:p>
    <w:p w:rsidR="00000000" w:rsidRDefault="00D718D0" w:rsidP="00BA3E8B">
      <w:r>
        <w:t>Departementet mener imidlertid at partenes rettssikkerhet vil ivaretas ved muligheten for å bringe det di</w:t>
      </w:r>
      <w:r>
        <w:t>s</w:t>
      </w:r>
      <w:r>
        <w:t>kriminerende forholdet inn for domstolene.</w:t>
      </w:r>
    </w:p>
    <w:p w:rsidR="00000000" w:rsidRDefault="00D718D0" w:rsidP="00BA3E8B">
      <w:r>
        <w:t>Behovet for overprøving vil dessuten være mindre d</w:t>
      </w:r>
      <w:r>
        <w:t>ersom én-instansen er faglig tung. Diskr</w:t>
      </w:r>
      <w:r>
        <w:t>i</w:t>
      </w:r>
      <w:r>
        <w:t>min</w:t>
      </w:r>
      <w:r>
        <w:t>e</w:t>
      </w:r>
      <w:r>
        <w:t>ring</w:t>
      </w:r>
      <w:r>
        <w:t>s</w:t>
      </w:r>
      <w:r>
        <w:t>nemnda er et særlig fagtungt forvaltningsorgan som har de beste forutsetninger for å treffe riktige avgjørelser. Diskrimineringsnemnda har tilsvarende myndighet i andre trakass</w:t>
      </w:r>
      <w:r>
        <w:t>e</w:t>
      </w:r>
      <w:r>
        <w:t>ringssaker og i diskrim</w:t>
      </w:r>
      <w:r>
        <w:t>i</w:t>
      </w:r>
      <w:r>
        <w:t>nerin</w:t>
      </w:r>
      <w:r>
        <w:t>gssaker, det er heller ikke i disse sakene adgang til forvaltning</w:t>
      </w:r>
      <w:r>
        <w:t>s</w:t>
      </w:r>
      <w:r>
        <w:t>klage.</w:t>
      </w:r>
    </w:p>
    <w:p w:rsidR="00000000" w:rsidRDefault="00D718D0" w:rsidP="00BA3E8B">
      <w:r>
        <w:t>Departementet gjør også oppmerksom på at den danske Ligebehandlingsnævnets vedtak i di</w:t>
      </w:r>
      <w:r>
        <w:t>s</w:t>
      </w:r>
      <w:r>
        <w:t>krim</w:t>
      </w:r>
      <w:r>
        <w:t>i</w:t>
      </w:r>
      <w:r>
        <w:t>nering</w:t>
      </w:r>
      <w:r>
        <w:t>s</w:t>
      </w:r>
      <w:r>
        <w:t>saker heller ikke kan påklages til overordnet forvaltningsorgan. Ligebehandling</w:t>
      </w:r>
      <w:r>
        <w:t>s</w:t>
      </w:r>
      <w:r>
        <w:t>nævn</w:t>
      </w:r>
      <w:r>
        <w:t>ets vedtak opprettholdes likevel i all hovedsak ved overprøving i domstolene. Dette viser at det er mulig å sikre ri</w:t>
      </w:r>
      <w:r>
        <w:t>k</w:t>
      </w:r>
      <w:r>
        <w:t>tige avgjørelser også gjennom en én-instansløsning i forvaltningen.</w:t>
      </w:r>
    </w:p>
    <w:p w:rsidR="00000000" w:rsidRDefault="00D718D0" w:rsidP="00BA3E8B">
      <w:r>
        <w:t>Departementet viser også til at nemnda har adgang til å rette en avgjør</w:t>
      </w:r>
      <w:r>
        <w:t>else som har fått en u</w:t>
      </w:r>
      <w:r>
        <w:t>t</w:t>
      </w:r>
      <w:r>
        <w:t>forming som ikke stemmer overens med nemndas mening og til å treffe tilleggsavgjørelse, jf. diskrimineringso</w:t>
      </w:r>
      <w:r>
        <w:t>m</w:t>
      </w:r>
      <w:r>
        <w:t>budsloven § 21.</w:t>
      </w:r>
    </w:p>
    <w:p w:rsidR="00000000" w:rsidRDefault="00D718D0" w:rsidP="00BA3E8B">
      <w:r>
        <w:t xml:space="preserve">Departementet minner videre om at partene kan be om gjenåpning av en sak dersom de mener at det er feil ved </w:t>
      </w:r>
      <w:r>
        <w:t>vedtaket. Nemndas rettskraftige vedtak vil da kunne gjenåpnes etter begjæring fra en part de</w:t>
      </w:r>
      <w:r>
        <w:t>r</w:t>
      </w:r>
      <w:r>
        <w:t>som det for</w:t>
      </w:r>
      <w:r>
        <w:t>e</w:t>
      </w:r>
      <w:r>
        <w:t>ligger brudd på habilitetskrav i forvaltningsloven § 6, dersom det for</w:t>
      </w:r>
      <w:r>
        <w:t>e</w:t>
      </w:r>
      <w:r>
        <w:t>ligger andre saksb</w:t>
      </w:r>
      <w:r>
        <w:t>e</w:t>
      </w:r>
      <w:r>
        <w:t>han</w:t>
      </w:r>
      <w:r>
        <w:t>d</w:t>
      </w:r>
      <w:r>
        <w:t>lingsfeil og det ikke kan utelukkes at feilen var bestemm</w:t>
      </w:r>
      <w:r>
        <w:t>ende for ve</w:t>
      </w:r>
      <w:r>
        <w:t>d</w:t>
      </w:r>
      <w:r>
        <w:t>takets innhold eller dersom opply</w:t>
      </w:r>
      <w:r>
        <w:t>s</w:t>
      </w:r>
      <w:r>
        <w:t>ninger om faktiske forhold som var ukjent da saken ble a</w:t>
      </w:r>
      <w:r>
        <w:t>v</w:t>
      </w:r>
      <w:r>
        <w:t>gjort, tilsier at vedtaket høyst sannsynlig ville blitt et annet.</w:t>
      </w:r>
    </w:p>
    <w:p w:rsidR="00000000" w:rsidRDefault="00D718D0" w:rsidP="00BA3E8B">
      <w:r>
        <w:t>Departementet gjør også oppmerksom på at Sivilombudsmannen, i henhold til Grunnloven § </w:t>
      </w:r>
      <w:r>
        <w:t>75 bo</w:t>
      </w:r>
      <w:r>
        <w:t>k</w:t>
      </w:r>
      <w:r>
        <w:t>stav l, skal føre kontroll med:</w:t>
      </w:r>
    </w:p>
    <w:p w:rsidR="00000000" w:rsidRDefault="00D718D0" w:rsidP="00BA3E8B">
      <w:pPr>
        <w:pStyle w:val="blokksit"/>
      </w:pPr>
      <w:r>
        <w:lastRenderedPageBreak/>
        <w:t>«… den offentlege forvaltninga og alle som er i offentleg teneste, for å hindre at det blir gjort urett mot den einskilde borgaren.»</w:t>
      </w:r>
    </w:p>
    <w:p w:rsidR="00000000" w:rsidRDefault="00D718D0" w:rsidP="00BA3E8B">
      <w:r>
        <w:t>Dette innebærer at Sivilombudsmannen fører tilsyn med saksbehandlingen i nemnda. I pe</w:t>
      </w:r>
      <w:r>
        <w:t>rioden 1. januar 2008 til 24. april 2018 har ombudsmannen mottatt 21 klager hvor Likestillings- og diskrimineringsnemnda er registrert som forvaltningsorgan som ble klaget inn. Av disse ble 13 saker realitetsbehandlet, de andre ble avvist. To av sakene som</w:t>
      </w:r>
      <w:r>
        <w:t xml:space="preserve"> ble undersøkt førte til kritikk og begge gjaldt sakskostnader. Ombudsma</w:t>
      </w:r>
      <w:r>
        <w:t>n</w:t>
      </w:r>
      <w:r>
        <w:t>nen tok i 2016 opp en sak av eget tiltak som gjaldt Likestillings- og diskrimineringsombudets praktisering av forvaltningslovens innsynsregler i klagesaker som gjaldt påstand om diskr</w:t>
      </w:r>
      <w:r>
        <w:t>iminering i ansettelsessaker.</w:t>
      </w:r>
    </w:p>
    <w:p w:rsidR="00000000" w:rsidRDefault="00D718D0" w:rsidP="00BA3E8B">
      <w:pPr>
        <w:pStyle w:val="Undertittel"/>
      </w:pPr>
      <w:r>
        <w:t>Muntlig behandling</w:t>
      </w:r>
    </w:p>
    <w:p w:rsidR="00000000" w:rsidRDefault="00D718D0" w:rsidP="00BA3E8B">
      <w:r>
        <w:t>Nemndas saksbehandlingsform er som hovedregel skriftlig, men partene har et ubetinget krav på muntlig behandling i saker hvor det er fremsatt krav om oppreisning, jf. diskrimineringso</w:t>
      </w:r>
      <w:r>
        <w:t>m</w:t>
      </w:r>
      <w:r>
        <w:t>budsloven § 9.</w:t>
      </w:r>
    </w:p>
    <w:p w:rsidR="00000000" w:rsidRDefault="00D718D0" w:rsidP="00BA3E8B">
      <w:r>
        <w:t>Departem</w:t>
      </w:r>
      <w:r>
        <w:t>entet mener at hensynet til partenes rettssikkerhet isolert sett taler for at det også i saker om seksuell trakassering bør gjøres gjeldende et ubetinget krav på muntlig behandling. Muntlig behan</w:t>
      </w:r>
      <w:r>
        <w:t>d</w:t>
      </w:r>
      <w:r>
        <w:t xml:space="preserve">ling vil blant annet legge til rette for avhør av parter og </w:t>
      </w:r>
      <w:r>
        <w:t>vitner. Muntlig behandling vil gjøre det enklere for partene å få fremmet sitt syn, og nemndas medlemmer vil bedre kunne vurdere partenes troverdighet og eventuelle vitners forkl</w:t>
      </w:r>
      <w:r>
        <w:t>a</w:t>
      </w:r>
      <w:r>
        <w:t xml:space="preserve">ringer. Partene sikres også en mulighet til umiddelbart å imøtegå motpartens </w:t>
      </w:r>
      <w:r>
        <w:t>fremstilling.</w:t>
      </w:r>
    </w:p>
    <w:p w:rsidR="00000000" w:rsidRDefault="00D718D0" w:rsidP="00BA3E8B">
      <w:r>
        <w:t>I sivile saker for domstolene har partene selv et hovedansvar for sakens opplysning, mens det ved nemnd</w:t>
      </w:r>
      <w:r>
        <w:t>s</w:t>
      </w:r>
      <w:r>
        <w:t>behandling er nemnda som skal sørge for at saken er så godt opplyst som mulig før vedtak tre</w:t>
      </w:r>
      <w:r>
        <w:t>f</w:t>
      </w:r>
      <w:r>
        <w:t xml:space="preserve">fes. Nemndas sekretariatet forbereder sakene </w:t>
      </w:r>
      <w:r>
        <w:t>skriftlig. De utarbeider et sakssammendrag som fremstiller alle sider ved saken som kan tenkes å få relevans, og gjennomgår i tillegg de rettslige spørsmålene saken reiser. Partene får dette materialet tilsendt og får anledning til å kommentere det. Medlem</w:t>
      </w:r>
      <w:r>
        <w:t>mene i nemnda får også tilsendt sakens dokumenter i god tid før møtet, herunder sakssammendraget.</w:t>
      </w:r>
    </w:p>
    <w:p w:rsidR="00000000" w:rsidRDefault="00D718D0" w:rsidP="00BA3E8B">
      <w:r>
        <w:t>Nemnda kan kreve opplysninger fra offentlige myndigheter uten hinder av taushetsplikt, og av andre som har vitneplikt etter tvisteloven. Nemnda kan også kreve</w:t>
      </w:r>
      <w:r>
        <w:t xml:space="preserve"> bevisopptak for domstolene, blant annet for rettslig avhør av parter og vitner.</w:t>
      </w:r>
    </w:p>
    <w:p w:rsidR="00000000" w:rsidRDefault="00D718D0" w:rsidP="00BA3E8B">
      <w:r>
        <w:t xml:space="preserve">Det vil ikke gjøres gjeldende et krav om full bevisumiddelbarhet i nemnda. Departementet mener at muntlighet og bevisumiddelbarhet på alle trinn av saken ikke er en nødvendig </w:t>
      </w:r>
      <w:r>
        <w:t>forutsetning for at innkl</w:t>
      </w:r>
      <w:r>
        <w:t>a</w:t>
      </w:r>
      <w:r>
        <w:t>gedes rettssi</w:t>
      </w:r>
      <w:r>
        <w:t>k</w:t>
      </w:r>
      <w:r>
        <w:t>kerhet skal ivaretas. Umiddelbar bevisførsel innebærer – foruten avhør av parter og vitner – at sakens d</w:t>
      </w:r>
      <w:r>
        <w:t>o</w:t>
      </w:r>
      <w:r>
        <w:t>kumenter leses opp av partene i rettsmøtet. Å stille krav om op</w:t>
      </w:r>
      <w:r>
        <w:t>p</w:t>
      </w:r>
      <w:r>
        <w:t>lesning av alle relevante d</w:t>
      </w:r>
      <w:r>
        <w:t>o</w:t>
      </w:r>
      <w:r>
        <w:t>kumenter fremstår s</w:t>
      </w:r>
      <w:r>
        <w:t>om tungvint og unødvendig i en nemnd som skal fungere som et lavterskeltilbud.</w:t>
      </w:r>
    </w:p>
    <w:p w:rsidR="00000000" w:rsidRDefault="00D718D0" w:rsidP="00BA3E8B">
      <w:r>
        <w:t>Nemndas medlemmer vil, som i andre diskrimineringssaker, sette seg inn i saksdokumentene på fo</w:t>
      </w:r>
      <w:r>
        <w:t>r</w:t>
      </w:r>
      <w:r>
        <w:t>hånd, og i langt de fleste tilfeller vil sakens dokumenter gi tilstrekkelig inform</w:t>
      </w:r>
      <w:r>
        <w:t>asjon om både faktum og jus. Til orie</w:t>
      </w:r>
      <w:r>
        <w:t>n</w:t>
      </w:r>
      <w:r>
        <w:t>tering kan nevnes at et ubetinget krav om umiddelbar bevisførsel heller ikke er ansett nø</w:t>
      </w:r>
      <w:r>
        <w:t>d</w:t>
      </w:r>
      <w:r>
        <w:t>vendig i saker om overtredelsesgebyr for brudd på konkurranseloven, til tross for at slikt overtredelse</w:t>
      </w:r>
      <w:r>
        <w:t>s</w:t>
      </w:r>
      <w:r>
        <w:t>gebyr anses som straff e</w:t>
      </w:r>
      <w:r>
        <w:t>tter den europeiske menneskerettskonvensjonen.</w:t>
      </w:r>
    </w:p>
    <w:p w:rsidR="00000000" w:rsidRDefault="00D718D0" w:rsidP="00BA3E8B">
      <w:r>
        <w:lastRenderedPageBreak/>
        <w:t>Nemndas vedtak er også tilgjengelige for allmennheten. Formkravene til nemndas vedtak er tilnærmet like som for dommer.</w:t>
      </w:r>
    </w:p>
    <w:p w:rsidR="00000000" w:rsidRDefault="00D718D0" w:rsidP="00BA3E8B">
      <w:r>
        <w:t>Det kan, med moderne informasjons- og kommunikasjonsteknologi, legges til rette for å gje</w:t>
      </w:r>
      <w:r>
        <w:t>n</w:t>
      </w:r>
      <w:r>
        <w:t>nomføre mun</w:t>
      </w:r>
      <w:r>
        <w:t>t</w:t>
      </w:r>
      <w:r>
        <w:t>lighet uten at parter og vitner nødvendigvis er fysisk til stede i møtelokalet dersom dette viser seg vanskelig. Muntlighet kan for eksempel gjennomføres via alternative kanaler, som telefon, videokonf</w:t>
      </w:r>
      <w:r>
        <w:t>e</w:t>
      </w:r>
      <w:r>
        <w:t>ranser eller li</w:t>
      </w:r>
      <w:r>
        <w:t>g</w:t>
      </w:r>
      <w:r>
        <w:t>nende. Dette vil kunne de</w:t>
      </w:r>
      <w:r>
        <w:t>mme opp for utsettelser som følge av at parter og vitner ikke har anledning til å møte.</w:t>
      </w:r>
    </w:p>
    <w:p w:rsidR="00000000" w:rsidRDefault="00D718D0" w:rsidP="00BA3E8B">
      <w:r>
        <w:t>NHO har i sin høringsuttalelse påpekt at:</w:t>
      </w:r>
    </w:p>
    <w:p w:rsidR="00000000" w:rsidRDefault="00D718D0" w:rsidP="00BA3E8B">
      <w:pPr>
        <w:pStyle w:val="blokksit"/>
      </w:pPr>
      <w:r>
        <w:t>«Det er fremdeles slik at prosessreglene ikke er fastlagt i lov eller forskrift, men er overlatt til nemnda i den enkelte sak.</w:t>
      </w:r>
      <w:r>
        <w:t xml:space="preserve"> Nemnda bestemmer fra sak til sak hvor lang tid som skal brukes til de muntlige fo</w:t>
      </w:r>
      <w:r>
        <w:t>r</w:t>
      </w:r>
      <w:r>
        <w:t>klaringene. I praksis vil dette kunne bety at muntligheten blir svært begrenset. Det må videre gis re</w:t>
      </w:r>
      <w:r>
        <w:t>g</w:t>
      </w:r>
      <w:r>
        <w:t>ler for å sikre at nødvendige bevis kan kreves fremlagt, og for å sikre</w:t>
      </w:r>
      <w:r>
        <w:t xml:space="preserve"> at nø</w:t>
      </w:r>
      <w:r>
        <w:t>d</w:t>
      </w:r>
      <w:r>
        <w:t>vendige vitner kan påle</w:t>
      </w:r>
      <w:r>
        <w:t>g</w:t>
      </w:r>
      <w:r>
        <w:t>ges å avgi forklaring slik reglene er i tvistelovgivningen.»</w:t>
      </w:r>
    </w:p>
    <w:p w:rsidR="00000000" w:rsidRDefault="00D718D0" w:rsidP="00BA3E8B">
      <w:r>
        <w:t>Departementet mener at det må være opp til nemndas ledere å vurdere omfanget av den muntlige b</w:t>
      </w:r>
      <w:r>
        <w:t>e</w:t>
      </w:r>
      <w:r>
        <w:t xml:space="preserve">handlingen, se forskrift om organisasjon, oppgaver og saksbehandling </w:t>
      </w:r>
      <w:r>
        <w:t>for Diskriminering</w:t>
      </w:r>
      <w:r>
        <w:t>s</w:t>
      </w:r>
      <w:r>
        <w:t>nemnda § 5. Nemndas ledere skal sikre at prosessen tilpasses de kravene den enkelte sak stiller og samtidig sikre at både nemndas og partenes ressurser blir brukt mest mulig effektivt. De muntlige forhandlingene blir et supplement til sa</w:t>
      </w:r>
      <w:r>
        <w:t>kens skriftlige bevismateriale. Sekretariatets skriftlige forberedelse av sakene er både omfattende og grundig. De utarbeider et sakssamme</w:t>
      </w:r>
      <w:r>
        <w:t>n</w:t>
      </w:r>
      <w:r>
        <w:t>drag som fremstiller alle sider ved saken som kan tenkes å få relevans, og gjennomgår i tillegg de rettslige spørsmål</w:t>
      </w:r>
      <w:r>
        <w:t>ene saken reiser.</w:t>
      </w:r>
    </w:p>
    <w:p w:rsidR="00000000" w:rsidRDefault="00D718D0" w:rsidP="00BA3E8B">
      <w:r>
        <w:t>Det kan ikke gjøres gjeldende like omfattende prosessregler i nemnda som i domstolene. He</w:t>
      </w:r>
      <w:r>
        <w:t>n</w:t>
      </w:r>
      <w:r>
        <w:t>sikten med et lavterskeltilbud er å gjøre det mulig for personer som utsettes for seksuell tr</w:t>
      </w:r>
      <w:r>
        <w:t>a</w:t>
      </w:r>
      <w:r>
        <w:t>kassering å fremme sine saker gjennom et kostnadsfritt</w:t>
      </w:r>
      <w:r>
        <w:t>, forenklet og lett tilgjengelig alternativ til domstolsbehandling. Dette er, etter d</w:t>
      </w:r>
      <w:r>
        <w:t>e</w:t>
      </w:r>
      <w:r>
        <w:t>partementets oppfatning, ikke forenelig med at man op</w:t>
      </w:r>
      <w:r>
        <w:t>p</w:t>
      </w:r>
      <w:r>
        <w:t>stiller krav om at nemnda skal rigges som en domstol med tilsvarende regler for muntlighet og bevisførsel mv.</w:t>
      </w:r>
    </w:p>
    <w:p w:rsidR="00000000" w:rsidRDefault="00D718D0" w:rsidP="00BA3E8B">
      <w:r>
        <w:t>Departementet vil også bemerke at saker, som etter bevisets stilling ikke lar seg opplyse ti</w:t>
      </w:r>
      <w:r>
        <w:t>l</w:t>
      </w:r>
      <w:r>
        <w:t>strekkelig, skal henlegges, jf. diskrimineringsombudsloven § 10. Dette betyr at nemnda har en sikkerhetsventil i saker der det viser seg at saksforholdet er for va</w:t>
      </w:r>
      <w:r>
        <w:t>nskelig og komplekst til at det lar seg opplyse innenfor rammen av et lavterskeltilbud. Saken må da eventuelt føres for dom</w:t>
      </w:r>
      <w:r>
        <w:t>s</w:t>
      </w:r>
      <w:r>
        <w:t>tolen.</w:t>
      </w:r>
    </w:p>
    <w:p w:rsidR="00000000" w:rsidRDefault="00D718D0" w:rsidP="00BA3E8B">
      <w:r>
        <w:t>Departementet foreslår på denne bakgrunn en endring i diskrimineringsombudsloven § 9 fjerde punktum, slik at det klart fremgå</w:t>
      </w:r>
      <w:r>
        <w:t>r at partene har rett til å kreve muntlige forhandlinger også i saker om seksuell trakassering:</w:t>
      </w:r>
    </w:p>
    <w:p w:rsidR="00000000" w:rsidRDefault="00D718D0" w:rsidP="00BA3E8B">
      <w:pPr>
        <w:pStyle w:val="blokksit"/>
      </w:pPr>
      <w:r>
        <w:t xml:space="preserve">«I </w:t>
      </w:r>
      <w:r>
        <w:rPr>
          <w:rStyle w:val="kursiv"/>
          <w:sz w:val="21"/>
          <w:szCs w:val="21"/>
        </w:rPr>
        <w:t xml:space="preserve">saker om seksuell trakassering, og i </w:t>
      </w:r>
      <w:r>
        <w:t>saker hvor det er fremmet krav om oppreisning, har partene rett til muntlige forhandlinger.»</w:t>
      </w:r>
    </w:p>
    <w:p w:rsidR="00000000" w:rsidRPr="009445FD" w:rsidRDefault="00D718D0" w:rsidP="00BA3E8B">
      <w:pPr>
        <w:pStyle w:val="Overskrift4"/>
        <w:rPr>
          <w:rStyle w:val="kursiv"/>
        </w:rPr>
      </w:pPr>
      <w:r>
        <w:t>Grensen mot</w:t>
      </w:r>
      <w:r>
        <w:t xml:space="preserve"> strafferettslig behandling</w:t>
      </w:r>
    </w:p>
    <w:p w:rsidR="00000000" w:rsidRDefault="00D718D0" w:rsidP="00BA3E8B">
      <w:r>
        <w:t>Noen saker om seksuell trakassering rammes også av reglene om seksuallovbrudd i straffeloven kapittel 26. Trakassering på andre grunnlag kan også grense opp mot strafferettslige beste</w:t>
      </w:r>
      <w:r>
        <w:t>m</w:t>
      </w:r>
      <w:r>
        <w:t>melser, som for e</w:t>
      </w:r>
      <w:r>
        <w:t>k</w:t>
      </w:r>
      <w:r>
        <w:t>sempel straffeloven § 185,</w:t>
      </w:r>
      <w:r>
        <w:t xml:space="preserve"> som straffelegger diskriminerende eller hatefulle ytringer og straffeloven § 186, som straffelegger den som i ervervsmessig eller liknende vir</w:t>
      </w:r>
      <w:r>
        <w:t>k</w:t>
      </w:r>
      <w:r>
        <w:lastRenderedPageBreak/>
        <w:t>somhet nekter en person varer eller tjenester på grunn av personens hudfarge, nasjonale eller etniske opprinnels</w:t>
      </w:r>
      <w:r>
        <w:t>e, religion, livssyn, homofile orientering eller nedsatte funksjonsevne, eller slik nektelse til offentlig forestilling, oppvisning eller annen samme</w:t>
      </w:r>
      <w:r>
        <w:t>n</w:t>
      </w:r>
      <w:r>
        <w:t>komst på de vilkår som gjelder for andre.</w:t>
      </w:r>
    </w:p>
    <w:p w:rsidR="00000000" w:rsidRDefault="00D718D0" w:rsidP="00BA3E8B">
      <w:r>
        <w:t>Dette reiser spørsmål om hvorvidt nemnda skal kunne behandle all</w:t>
      </w:r>
      <w:r>
        <w:t>e saker om seksuell traka</w:t>
      </w:r>
      <w:r>
        <w:t>s</w:t>
      </w:r>
      <w:r>
        <w:t>sering – også de som rammes av strafferettslige bestemmelser.</w:t>
      </w:r>
    </w:p>
    <w:p w:rsidR="00000000" w:rsidRDefault="00D718D0" w:rsidP="00BA3E8B">
      <w:r>
        <w:t>Det er helt klart at Diskrimineringsnemnda ikke kan håndheve saker etter straffeloven. Det er videre klart at nemnda plikter å avvise en sak dersom saken er avgjort av,</w:t>
      </w:r>
      <w:r>
        <w:t xml:space="preserve"> eller brakt inn for en domstol til a</w:t>
      </w:r>
      <w:r>
        <w:t>v</w:t>
      </w:r>
      <w:r>
        <w:t>gjørelse, jf. diskrimineringsombudsloven § 10 første ledd. Dette innebærer at nemnda ikke bare skal a</w:t>
      </w:r>
      <w:r>
        <w:t>v</w:t>
      </w:r>
      <w:r>
        <w:t>vise saken når det foreligger rettskraftig dom, men også dersom det for eksempel er inngitt stevning i saken. Når et</w:t>
      </w:r>
      <w:r>
        <w:t xml:space="preserve"> saksforhold er brakt inn for domstolen, skal nemnda avstå fra å behandle samme sak.</w:t>
      </w:r>
    </w:p>
    <w:p w:rsidR="00000000" w:rsidRDefault="00D718D0" w:rsidP="00BA3E8B">
      <w:r>
        <w:t>Diskrimineringsombudsloven regulerer imidlertid ikke hvorvidt nemnda også skal/bør avvise en sak som etterforskes av påtalemyndigheten, dvs. både før og etter at det event</w:t>
      </w:r>
      <w:r>
        <w:t>uelt er tatt ut tiltale i saken.</w:t>
      </w:r>
    </w:p>
    <w:p w:rsidR="00000000" w:rsidRDefault="00D718D0" w:rsidP="00BA3E8B">
      <w:r>
        <w:t>Departementet mener at dersom det er igangsatt etterforskning i en straffesak, så bør det stra</w:t>
      </w:r>
      <w:r>
        <w:t>f</w:t>
      </w:r>
      <w:r>
        <w:t>ferett</w:t>
      </w:r>
      <w:r>
        <w:t>s</w:t>
      </w:r>
      <w:r>
        <w:t>lige fo</w:t>
      </w:r>
      <w:r>
        <w:t>r</w:t>
      </w:r>
      <w:r>
        <w:t>holdet etterforskes ferdig før man eventuelt går i gang med et sivilrettslig løp. Departementet for</w:t>
      </w:r>
      <w:r>
        <w:t>e</w:t>
      </w:r>
      <w:r>
        <w:t>slår derfor e</w:t>
      </w:r>
      <w:r>
        <w:t>n endring i lovens § 10, slik at nemnda plikter å avvise en sak som etterforskes av påtalemy</w:t>
      </w:r>
      <w:r>
        <w:t>n</w:t>
      </w:r>
      <w:r>
        <w:t>digheten. Depa</w:t>
      </w:r>
      <w:r>
        <w:t>r</w:t>
      </w:r>
      <w:r>
        <w:t>tementet foreslår også at nemnda skal pålegges å avvise saker der den som er anklaget for trakassering har anmeldt fornærmede for uriktig forklaring</w:t>
      </w:r>
      <w:r>
        <w:t>, se straffeloven kapittel 22 Uriktig forkl</w:t>
      </w:r>
      <w:r>
        <w:t>a</w:t>
      </w:r>
      <w:r>
        <w:t>ring og anklage, og eventuelt andre særbestemmelser om straff i spesiallovgivningen. Departementet mener videre det vil være naturlig at plikten til a</w:t>
      </w:r>
      <w:r>
        <w:t>v</w:t>
      </w:r>
      <w:r>
        <w:t>visning gjøres gjeldende i trakasseringssaker generelt, og al</w:t>
      </w:r>
      <w:r>
        <w:t>tså ikke bare avgrenses til saker om seksuell trakassering.</w:t>
      </w:r>
    </w:p>
    <w:p w:rsidR="00000000" w:rsidRDefault="00D718D0" w:rsidP="00BA3E8B">
      <w:r>
        <w:t>Diskrimineringsnemnda skal for øvrig behandle de saker som bringes inn for dem, jf. diskr</w:t>
      </w:r>
      <w:r>
        <w:t>i</w:t>
      </w:r>
      <w:r>
        <w:t>min</w:t>
      </w:r>
      <w:r>
        <w:t>e</w:t>
      </w:r>
      <w:r>
        <w:t>ringso</w:t>
      </w:r>
      <w:r>
        <w:t>m</w:t>
      </w:r>
      <w:r>
        <w:t>budsloven § 8 første ledd. Nemndas myndighet er likevel avgrenset til å håndheve de beste</w:t>
      </w:r>
      <w:r>
        <w:t>m</w:t>
      </w:r>
      <w:r>
        <w:t>melse</w:t>
      </w:r>
      <w:r>
        <w:t>ne som fremgår av lovens § 1 annet ledd jf. § 7. Dette innebærer at nemnda kan ta til behandling saker om seksuell trakassering etter likestillings- og diskrimineringsloven, selv om saken også grenser opp mot strafferettslige bestemmelser. Et vedtak fra ne</w:t>
      </w:r>
      <w:r>
        <w:t>mnda vil ikke være det samme som en strafferett</w:t>
      </w:r>
      <w:r>
        <w:t>s</w:t>
      </w:r>
      <w:r>
        <w:t>lig reaksjon, basert på ove</w:t>
      </w:r>
      <w:r>
        <w:t>r</w:t>
      </w:r>
      <w:r>
        <w:t>tredelse av et strafferettslig trakassering</w:t>
      </w:r>
      <w:r>
        <w:t>s</w:t>
      </w:r>
      <w:r>
        <w:t>forbud eller en annen straffbar han</w:t>
      </w:r>
      <w:r>
        <w:t>d</w:t>
      </w:r>
      <w:r>
        <w:t>ling. Slike saker skal behandles av påtalemyndigheten og det ordinære domstolsapparatet.</w:t>
      </w:r>
    </w:p>
    <w:p w:rsidR="00000000" w:rsidRDefault="00D718D0" w:rsidP="00BA3E8B">
      <w:r>
        <w:t>Når statist</w:t>
      </w:r>
      <w:r>
        <w:t>ikken likevel viser at svært få saker om seksuell trakassering bringes inn for domst</w:t>
      </w:r>
      <w:r>
        <w:t>o</w:t>
      </w:r>
      <w:r>
        <w:t>lene, så er det grunn til å tro at det foreligger behov for et alternativ til ordinær straffeforfølgning også i saker som grenser opp mot strafferettslige bestemmelser. Ik</w:t>
      </w:r>
      <w:r>
        <w:t>ke alle ønsker å forfølge saken strafferettslig, og da vil nemnda være et godt, lett tilgjengelig og kostnadsfritt sivilrettslig a</w:t>
      </w:r>
      <w:r>
        <w:t>l</w:t>
      </w:r>
      <w:r>
        <w:t>ternativ. Departementet presiserer likevel at det vil ligge utenfor nemndas mandat å veilede fornærmede når det gjelder spørs</w:t>
      </w:r>
      <w:r>
        <w:t>målet om hvo</w:t>
      </w:r>
      <w:r>
        <w:t>r</w:t>
      </w:r>
      <w:r>
        <w:t>vidt saken bør anmeldes til politiet. Dette vil ikke være forenelig med nemndas rolle som et upartisk tvi</w:t>
      </w:r>
      <w:r>
        <w:t>s</w:t>
      </w:r>
      <w:r>
        <w:t>teløsningsorgan.</w:t>
      </w:r>
    </w:p>
    <w:p w:rsidR="00000000" w:rsidRDefault="00D718D0" w:rsidP="00BA3E8B">
      <w:r>
        <w:t>En slik veiledningsrolle ligger imidlertid naturlig innenfor Likestillings- og diskriminering</w:t>
      </w:r>
      <w:r>
        <w:t>s</w:t>
      </w:r>
      <w:r>
        <w:t>ombudets mandat. Ombudet s</w:t>
      </w:r>
      <w:r>
        <w:t>kal gi veiledning om regelverket og hvilke rettigheter vedko</w:t>
      </w:r>
      <w:r>
        <w:t>m</w:t>
      </w:r>
      <w:r>
        <w:lastRenderedPageBreak/>
        <w:t>mende har, og gjennom denne ve</w:t>
      </w:r>
      <w:r>
        <w:t>i</w:t>
      </w:r>
      <w:r>
        <w:t>ledningen danne grunnlag for en god videre håndtering av saken.</w:t>
      </w:r>
    </w:p>
    <w:p w:rsidR="00000000" w:rsidRDefault="00D718D0" w:rsidP="00BA3E8B">
      <w:r>
        <w:t>Departementet foreslår på denne bakgrunn følgende ordlyd i diskrimineringsombudsloven § 10 nytt anne</w:t>
      </w:r>
      <w:r>
        <w:t>t ledd tredje og fjerde punktum:</w:t>
      </w:r>
    </w:p>
    <w:p w:rsidR="00000000" w:rsidRDefault="00D718D0" w:rsidP="00BA3E8B">
      <w:pPr>
        <w:pStyle w:val="blokksit"/>
      </w:pPr>
      <w:r>
        <w:t>«Nemnda skal videre avvise en sak dersom saken er under etterforskning av påtalemyndigheten. Nemnda skal i tillegg avvise en sak dersom fornærmede i saken er anmeldt for uriktig forkl</w:t>
      </w:r>
      <w:r>
        <w:t>a</w:t>
      </w:r>
      <w:r>
        <w:t>ring.»</w:t>
      </w:r>
    </w:p>
    <w:p w:rsidR="00000000" w:rsidRPr="009445FD" w:rsidRDefault="00D718D0" w:rsidP="00BA3E8B">
      <w:pPr>
        <w:pStyle w:val="Overskrift4"/>
        <w:rPr>
          <w:rStyle w:val="kursiv"/>
        </w:rPr>
      </w:pPr>
      <w:r>
        <w:t>Saksbehandlingst</w:t>
      </w:r>
      <w:r>
        <w:t>id – nemnda utvides med en avdeling</w:t>
      </w:r>
    </w:p>
    <w:p w:rsidR="00000000" w:rsidRDefault="00D718D0" w:rsidP="00BA3E8B">
      <w:r>
        <w:t>Hensynet til en rask avgjørelse er et viktig rettssikkerhetsprinsipp. Kravet til en rask og effektiv avgjøre</w:t>
      </w:r>
      <w:r>
        <w:t>l</w:t>
      </w:r>
      <w:r>
        <w:t>se er lovfestet i forvaltningsloven § 11a første ledd, som sier at saken skal avgjøres uten ugrunnet op</w:t>
      </w:r>
      <w:r>
        <w:t>p</w:t>
      </w:r>
      <w:r>
        <w:t>hold. E</w:t>
      </w:r>
      <w:r>
        <w:t>n langvarig prosess kan oppleves belastende for partene og det er derfor viktig at tidsbruken per sak reduseres. Lang saksbehandlingstid kan også føre til at det blir vanskeligere for parter og vitner å huske hva som har skjedd.</w:t>
      </w:r>
    </w:p>
    <w:p w:rsidR="00000000" w:rsidRDefault="00D718D0" w:rsidP="00BA3E8B">
      <w:r>
        <w:t>Nemndas saksbehandlingstid er ca. et år. Den lange saksbehandlingstiden skyldes i hovedsak at Di</w:t>
      </w:r>
      <w:r>
        <w:t>s</w:t>
      </w:r>
      <w:r>
        <w:t>krimin</w:t>
      </w:r>
      <w:r>
        <w:t>e</w:t>
      </w:r>
      <w:r>
        <w:t>ringsnemnda ved oppstart 1. januar 2018 overtok et etterslep av saker fra både L</w:t>
      </w:r>
      <w:r>
        <w:t>i</w:t>
      </w:r>
      <w:r>
        <w:t>kestillings- og diskrimin</w:t>
      </w:r>
      <w:r>
        <w:t>e</w:t>
      </w:r>
      <w:r>
        <w:t>ringsombudet og Likestillings- og diskriminer</w:t>
      </w:r>
      <w:r>
        <w:t>ingsnemnda. Det må imidlertid også legges til grunn at nemnda vil få et økt sakstilfang dersom de gis myndighet til å håndheve likestillings- og diskr</w:t>
      </w:r>
      <w:r>
        <w:t>i</w:t>
      </w:r>
      <w:r>
        <w:t>mineringslovens forbud mot seksuell trakassering.</w:t>
      </w:r>
    </w:p>
    <w:p w:rsidR="00000000" w:rsidRDefault="00D718D0" w:rsidP="00BA3E8B">
      <w:r>
        <w:t>Nemndas organisering setter begrensninger for antall sa</w:t>
      </w:r>
      <w:r>
        <w:t>ker som kan behandles. For at nemnda skal kunne være et reelt lavterskeltilbud, er effektiviteten i saksbehandlingen viktig. Depart</w:t>
      </w:r>
      <w:r>
        <w:t>e</w:t>
      </w:r>
      <w:r>
        <w:t>mentet mener derfor at nemnda bør utvides med en avdeling. Flere avdelinger vil gjøre det mulig å avholde flere møter per år</w:t>
      </w:r>
      <w:r>
        <w:t>, og derved også behandle flere saker.</w:t>
      </w:r>
    </w:p>
    <w:p w:rsidR="00000000" w:rsidRDefault="00D718D0" w:rsidP="00BA3E8B">
      <w:r>
        <w:t>Antall avdelinger og antall medlemmer i nemnda er regulert i diskrimineringsombudsloven § 6 annet ledd. Departementet foreslår at loven endres, slik at reglene om sammensetning ikke tallfestes.</w:t>
      </w:r>
    </w:p>
    <w:p w:rsidR="00000000" w:rsidRDefault="00D718D0" w:rsidP="00BA3E8B">
      <w:r>
        <w:t>Dette vil legge til ret</w:t>
      </w:r>
      <w:r>
        <w:t>te for et mer fleksibelt og effektivt system, slik at nemndas kapasitet kan endres uten behov for lovendringer. Det tas likevel forbehold om at en eventuell endring i antallet avdelinger ikke vil kunne gjennomføres i praksis før det er budsjettmessig dekni</w:t>
      </w:r>
      <w:r>
        <w:t>ng for det.</w:t>
      </w:r>
    </w:p>
    <w:p w:rsidR="00000000" w:rsidRDefault="00D718D0" w:rsidP="00BA3E8B">
      <w:r>
        <w:t>Det foreslås følgende ordlyd i diskrimineringsombudsloven § 6 annet ledd:</w:t>
      </w:r>
    </w:p>
    <w:p w:rsidR="00000000" w:rsidRDefault="00D718D0" w:rsidP="00BA3E8B">
      <w:pPr>
        <w:pStyle w:val="blokksit"/>
      </w:pPr>
      <w:r>
        <w:t>«Nemnda inndeles i avdelinger. Nemndas ledere deltar i hver sin avdeling. En leder oppnevnes som administrativ leder.»</w:t>
      </w:r>
    </w:p>
    <w:p w:rsidR="00000000" w:rsidRPr="009445FD" w:rsidRDefault="00D718D0" w:rsidP="00BA3E8B">
      <w:pPr>
        <w:pStyle w:val="Overskrift4"/>
        <w:rPr>
          <w:rStyle w:val="kursiv"/>
        </w:rPr>
      </w:pPr>
      <w:r>
        <w:t>Konklusjon</w:t>
      </w:r>
    </w:p>
    <w:p w:rsidR="00000000" w:rsidRDefault="00D718D0" w:rsidP="00BA3E8B">
      <w:r>
        <w:t>Departementet oppretthol</w:t>
      </w:r>
      <w:r>
        <w:t>der forslaget om at Diskrimineringsnemnda bør gis myndighet til å håndheve forbudet mot seksuell trakassering i likestillings- og diskrimineringsloven.</w:t>
      </w:r>
    </w:p>
    <w:p w:rsidR="00000000" w:rsidRDefault="00D718D0" w:rsidP="00BA3E8B">
      <w:r>
        <w:t>Det er behov for en effektiv håndheving av forbudet mot seksuell trakassering, og både re</w:t>
      </w:r>
      <w:r>
        <w:t>s</w:t>
      </w:r>
      <w:r>
        <w:t>surshe</w:t>
      </w:r>
      <w:r>
        <w:t>n</w:t>
      </w:r>
      <w:r>
        <w:t>syn, og</w:t>
      </w:r>
      <w:r>
        <w:t xml:space="preserve"> hensynet til et effektivt diskrimineringsvern tilsier at slik myndighet bør legges til Diskrimin</w:t>
      </w:r>
      <w:r>
        <w:t>e</w:t>
      </w:r>
      <w:r>
        <w:t>ring</w:t>
      </w:r>
      <w:r>
        <w:t>s</w:t>
      </w:r>
      <w:r>
        <w:t>nemnda.</w:t>
      </w:r>
    </w:p>
    <w:p w:rsidR="00000000" w:rsidRDefault="00D718D0" w:rsidP="00BA3E8B">
      <w:r>
        <w:t>Diskrimineringsnemnda håndhever likestillings- og diskrimineringsloven og arbeidsmiljølovens regler om diskriminering og har derved nødvendig jur</w:t>
      </w:r>
      <w:r>
        <w:t>idisk og diskrimineringsfaglig kompetanse. Nemnda b</w:t>
      </w:r>
      <w:r>
        <w:t>e</w:t>
      </w:r>
      <w:r>
        <w:t xml:space="preserve">handler også saker om trakassering på alle andre grunnlag, for eksempel saker om </w:t>
      </w:r>
      <w:r>
        <w:lastRenderedPageBreak/>
        <w:t>etnisk trakassering. Det vil derfor være naturlig at også håndhevingen av forbudet mot seksuell trakassering i likestilling</w:t>
      </w:r>
      <w:r>
        <w:t>s- og diskrimin</w:t>
      </w:r>
      <w:r>
        <w:t>e</w:t>
      </w:r>
      <w:r>
        <w:t>ringsloven legges til Diskrimineringsnemnda.</w:t>
      </w:r>
    </w:p>
    <w:p w:rsidR="00000000" w:rsidRDefault="00D718D0" w:rsidP="00BA3E8B">
      <w:r>
        <w:t>Nemndas saksbehandlingsform, sammensetning og ressurser legger til rette for riktige avgj</w:t>
      </w:r>
      <w:r>
        <w:t>ø</w:t>
      </w:r>
      <w:r>
        <w:t>relser og ivaretar partenes rettssikkerhet.</w:t>
      </w:r>
    </w:p>
    <w:p w:rsidR="00000000" w:rsidRDefault="00D718D0" w:rsidP="00BA3E8B">
      <w:r>
        <w:t>Kravet til dommererfaring vil sikre god bevisbedømmelse og de</w:t>
      </w:r>
      <w:r>
        <w:t>rved også partenes rettssikkerhet. Nemnda kan også, når særlige grunner tilsier det, behandle en sak i forsterket nemnd, dvs. at samtlige nemndledere deltar i behandlingen av saken.</w:t>
      </w:r>
    </w:p>
    <w:p w:rsidR="00000000" w:rsidRDefault="00D718D0" w:rsidP="00BA3E8B">
      <w:r>
        <w:t>Diskrimineringsnemnda behandler alle saker i én instans, det er således ik</w:t>
      </w:r>
      <w:r>
        <w:t>ke adgang til forval</w:t>
      </w:r>
      <w:r>
        <w:t>t</w:t>
      </w:r>
      <w:r>
        <w:t>ning</w:t>
      </w:r>
      <w:r>
        <w:t>s</w:t>
      </w:r>
      <w:r>
        <w:t>klage. Partenes rettssikkerhet vil imidlertid ivaretas ved muligheten for å bringe det di</w:t>
      </w:r>
      <w:r>
        <w:t>s</w:t>
      </w:r>
      <w:r>
        <w:t>kriminerende forholdet inn for domstolene.</w:t>
      </w:r>
    </w:p>
    <w:p w:rsidR="00000000" w:rsidRDefault="00D718D0" w:rsidP="00BA3E8B">
      <w:r>
        <w:t xml:space="preserve">Departementet opprettholder videre forslaget om at partene i saker om seksuell trakassering skal </w:t>
      </w:r>
      <w:r>
        <w:t>gis et ub</w:t>
      </w:r>
      <w:r>
        <w:t>e</w:t>
      </w:r>
      <w:r>
        <w:t>tinget krav på muntlig behandling. Muntlig behandling vil blant annet legge til rette for avhør av parter og vitner. Diskrimineringsombudsloven § 9 tredje punktum foreslås endret, slik at dette klart fremgår av lovens ordlyd.</w:t>
      </w:r>
    </w:p>
    <w:p w:rsidR="00000000" w:rsidRDefault="00D718D0" w:rsidP="00BA3E8B">
      <w:r>
        <w:t>Departementet oppret</w:t>
      </w:r>
      <w:r>
        <w:t>tholder også forslaget om at antall avdelinger i nemnda kan utvides. For å legge til rette for et mer fleksibelt og effektivt system, endres diskrimineringsombudslovens regler, slik at antall avdelinger og antall medlemmer ikke lenger tallfestes i loven. D</w:t>
      </w:r>
      <w:r>
        <w:t>ette vil legge til rette for at nemndas k</w:t>
      </w:r>
      <w:r>
        <w:t>a</w:t>
      </w:r>
      <w:r>
        <w:t>pasitet kan endres i tråd med behov, uten lovendringer. Diskrimin</w:t>
      </w:r>
      <w:r>
        <w:t>e</w:t>
      </w:r>
      <w:r>
        <w:t>ringsombudsloven § 6 annet ledd foreslås endret, slik at dette klart fremgår av lovens ordlyd.</w:t>
      </w:r>
    </w:p>
    <w:p w:rsidR="00000000" w:rsidRDefault="00D718D0" w:rsidP="00BA3E8B">
      <w:r>
        <w:t>Departementet foreslår dessuten at nemnda skal avvise</w:t>
      </w:r>
      <w:r>
        <w:t xml:space="preserve"> en sak som er under etterforskning, og også saker der den som er anklaget for trakassering har anmeldt den fornærmede i samme sak for uriktig fo</w:t>
      </w:r>
      <w:r>
        <w:t>r</w:t>
      </w:r>
      <w:r>
        <w:t>klaring. Plikten til avvisning bør gjelde i trakasseringssaker generelt, og således ikke avgrenses til saker o</w:t>
      </w:r>
      <w:r>
        <w:t>m seksuell trakassering. Diskrimineringsombudsloven § 10 første ledd f</w:t>
      </w:r>
      <w:r>
        <w:t>o</w:t>
      </w:r>
      <w:r>
        <w:t>reslås endret slik at dette klart fremgår av lovens ordlyd.</w:t>
      </w:r>
    </w:p>
    <w:p w:rsidR="00000000" w:rsidRDefault="00D718D0" w:rsidP="00BA3E8B">
      <w:r>
        <w:t>Etableringen av et lavterskeltilbud vil også ha en budsjettmessig side som omtales nærmere under kapittel 4 Økonomiske og adm</w:t>
      </w:r>
      <w:r>
        <w:t>inistrative konsekvenser.</w:t>
      </w:r>
    </w:p>
    <w:p w:rsidR="00000000" w:rsidRDefault="00D718D0" w:rsidP="00BA3E8B">
      <w:pPr>
        <w:pStyle w:val="Overskrift2"/>
      </w:pPr>
      <w:r>
        <w:t>Oppreisning og erstatning i saker om seksuell trakassering</w:t>
      </w:r>
    </w:p>
    <w:p w:rsidR="00000000" w:rsidRDefault="00D718D0" w:rsidP="00BA3E8B">
      <w:pPr>
        <w:pStyle w:val="Overskrift3"/>
      </w:pPr>
      <w:r>
        <w:t>Gjeldende rett</w:t>
      </w:r>
    </w:p>
    <w:p w:rsidR="00000000" w:rsidRDefault="00D718D0" w:rsidP="00BA3E8B">
      <w:pPr>
        <w:pStyle w:val="Overskrift4"/>
      </w:pPr>
      <w:r>
        <w:t>Lov om likestilling og forbud mot diskriminering</w:t>
      </w:r>
    </w:p>
    <w:p w:rsidR="00000000" w:rsidRDefault="00D718D0" w:rsidP="00BA3E8B">
      <w:pPr>
        <w:pStyle w:val="Undertittel"/>
      </w:pPr>
      <w:r>
        <w:t>Oppreisning og erstatning</w:t>
      </w:r>
    </w:p>
    <w:p w:rsidR="00000000" w:rsidRDefault="00D718D0" w:rsidP="00BA3E8B">
      <w:r>
        <w:t>Likestillings- og diskrimineringsloven § </w:t>
      </w:r>
      <w:r>
        <w:t>38 har regler om oppreisning og erstatning ved brudd på forb</w:t>
      </w:r>
      <w:r>
        <w:t>u</w:t>
      </w:r>
      <w:r>
        <w:t>det mot diskriminering og trakassering. Loven har ingen eksplisitt henvisning til de a</w:t>
      </w:r>
      <w:r>
        <w:t>l</w:t>
      </w:r>
      <w:r>
        <w:t>minnelige ersta</w:t>
      </w:r>
      <w:r>
        <w:t>t</w:t>
      </w:r>
      <w:r>
        <w:t>ning</w:t>
      </w:r>
      <w:r>
        <w:t>s</w:t>
      </w:r>
      <w:r>
        <w:t>reglene, dette begrenser likevel ikke en persons rett til å kreve oppreisning og erstat</w:t>
      </w:r>
      <w:r>
        <w:t>ning etter a</w:t>
      </w:r>
      <w:r>
        <w:t>l</w:t>
      </w:r>
      <w:r>
        <w:t>minnelige erstatningsregler.</w:t>
      </w:r>
      <w:r>
        <w:rPr>
          <w:rFonts w:cs="Times New Roman"/>
        </w:rPr>
        <w:t>​</w:t>
      </w:r>
    </w:p>
    <w:p w:rsidR="00000000" w:rsidRDefault="00D718D0" w:rsidP="00BA3E8B">
      <w:r>
        <w:t>Med oppreisning menes kompensasjon for ikke-økonomisk tap (såkalt tort og svie). Med e</w:t>
      </w:r>
      <w:r>
        <w:t>r</w:t>
      </w:r>
      <w:r>
        <w:t>statning menes kompensasjon for økonomisk tap.</w:t>
      </w:r>
    </w:p>
    <w:p w:rsidR="00000000" w:rsidRDefault="00D718D0" w:rsidP="00BA3E8B">
      <w:r>
        <w:lastRenderedPageBreak/>
        <w:t xml:space="preserve">Et krav om oppreisning vil i hovedsak rettes mot enkeltpersoner som har begått </w:t>
      </w:r>
      <w:r>
        <w:t>den trakasserende handlingen. En arbeidsgiver vil imidlertid kunne holdes direkte ansvarlig for trakassering dersom ve</w:t>
      </w:r>
      <w:r>
        <w:t>d</w:t>
      </w:r>
      <w:r>
        <w:t>kommende personlig eller arbeidsgiver som juridisk person, for eksempel ved styret, tr</w:t>
      </w:r>
      <w:r>
        <w:t>a</w:t>
      </w:r>
      <w:r>
        <w:t>kasserer en a</w:t>
      </w:r>
      <w:r>
        <w:t>n</w:t>
      </w:r>
      <w:r>
        <w:t>satt. Arbeidsgiver vil i disse tilfe</w:t>
      </w:r>
      <w:r>
        <w:t>llene også kunne ilegges oppreisning. Det kan likevel ikke utledes et rent o</w:t>
      </w:r>
      <w:r>
        <w:t>b</w:t>
      </w:r>
      <w:r>
        <w:t>jektivt ansvar for arbeidsgiver, se kapittel 2.4.1 ovenfor.</w:t>
      </w:r>
    </w:p>
    <w:p w:rsidR="00000000" w:rsidRDefault="00D718D0" w:rsidP="00BA3E8B">
      <w:r>
        <w:t>En arbeidsgiver som ikke oppfyller plikten til å forebygge og forhindre trakassering, kan ikke ilegges op</w:t>
      </w:r>
      <w:r>
        <w:t>p</w:t>
      </w:r>
      <w:r>
        <w:t>reisning, jf.</w:t>
      </w:r>
      <w:r>
        <w:t xml:space="preserve"> likestillings- og diskrimineringsloven § 38 første ledd bokstav a.</w:t>
      </w:r>
    </w:p>
    <w:p w:rsidR="00000000" w:rsidRDefault="00D718D0" w:rsidP="00BA3E8B">
      <w:r>
        <w:t>Partene har et ubetinget krav på muntlig behandling i saker hvor det er krevd oppreisning, jf. diskr</w:t>
      </w:r>
      <w:r>
        <w:t>i</w:t>
      </w:r>
      <w:r>
        <w:t>min</w:t>
      </w:r>
      <w:r>
        <w:t>e</w:t>
      </w:r>
      <w:r>
        <w:t>ringsombudsloven § 9.</w:t>
      </w:r>
    </w:p>
    <w:p w:rsidR="00000000" w:rsidRDefault="00D718D0" w:rsidP="00BA3E8B">
      <w:pPr>
        <w:pStyle w:val="Undertittel"/>
      </w:pPr>
      <w:r>
        <w:t>Utmålingen</w:t>
      </w:r>
    </w:p>
    <w:p w:rsidR="00000000" w:rsidRDefault="00D718D0" w:rsidP="00BA3E8B">
      <w:r>
        <w:t>Oppreisningens størrelse – utmålingen – er allered</w:t>
      </w:r>
      <w:r>
        <w:t>e regulert i likestillings- og diskriminering</w:t>
      </w:r>
      <w:r>
        <w:t>s</w:t>
      </w:r>
      <w:r>
        <w:t>loven § 38.</w:t>
      </w:r>
    </w:p>
    <w:p w:rsidR="00000000" w:rsidRDefault="00D718D0" w:rsidP="00BA3E8B">
      <w:r>
        <w:t>Utmålingen skal skje etter en rimelighetsvurdering, jf. tredje ledd. Retningslinjene er skjønn</w:t>
      </w:r>
      <w:r>
        <w:t>s</w:t>
      </w:r>
      <w:r>
        <w:t>messig utformet. Ved at det vises til «omstendighetene for øvrig» gir bestemmelsen anvisning på</w:t>
      </w:r>
      <w:r>
        <w:t xml:space="preserve"> en bred he</w:t>
      </w:r>
      <w:r>
        <w:t>l</w:t>
      </w:r>
      <w:r>
        <w:t>helstvurdering. Ved utmålingen av oppreisning skal det legges vekt både på gje</w:t>
      </w:r>
      <w:r>
        <w:t>r</w:t>
      </w:r>
      <w:r>
        <w:t>ningspersonens og fo</w:t>
      </w:r>
      <w:r>
        <w:t>r</w:t>
      </w:r>
      <w:r>
        <w:t>nærmedes forhold i saken. Arten og alvorlighetsgraden av den diskrim</w:t>
      </w:r>
      <w:r>
        <w:t>i</w:t>
      </w:r>
      <w:r>
        <w:t>nerende handlingen skal stå se</w:t>
      </w:r>
      <w:r>
        <w:t>n</w:t>
      </w:r>
      <w:r>
        <w:t xml:space="preserve">tralt i vurderingen. At det skal tas hensyn </w:t>
      </w:r>
      <w:r>
        <w:t>til omstendighetene for øvrig betyr at det skal foretas en bred helhetsvurdering av saken og av m</w:t>
      </w:r>
      <w:r>
        <w:t>o</w:t>
      </w:r>
      <w:r>
        <w:t>menter som kan ha betydning for saken, herunder forholdet mellom de to partene. Styrkeforholdet mellom partene kan ha betydning. Det samme gjelder partenes øk</w:t>
      </w:r>
      <w:r>
        <w:t>onomi, utvist skyld og hvor grov krenkelsen har vært. Det er ikke satt noe øvre tak for oppreisningens størrelse, men oppreisningsbeløpene i arbeidsforhold foru</w:t>
      </w:r>
      <w:r>
        <w:t>t</w:t>
      </w:r>
      <w:r>
        <w:t>settes holdt på et nivå mellom 20 000 og 80 000 kroner.</w:t>
      </w:r>
    </w:p>
    <w:p w:rsidR="00000000" w:rsidRDefault="00D718D0" w:rsidP="00BA3E8B">
      <w:r>
        <w:t>Utmålingen av oppreisning må imidlertid</w:t>
      </w:r>
      <w:r>
        <w:t xml:space="preserve"> også være i tråd med EU-direktivenes krav om at sanksj</w:t>
      </w:r>
      <w:r>
        <w:t>o</w:t>
      </w:r>
      <w:r>
        <w:t>nene skal «være effektive, stå i rimeligt forhold til overtrædelsen og have en afskræ</w:t>
      </w:r>
      <w:r>
        <w:t>k</w:t>
      </w:r>
      <w:r>
        <w:t xml:space="preserve">kende virkning». EU-domstolen har i sin praksis lagt til grunn at oppreisningen skal overstige et symbolsk beløp. </w:t>
      </w:r>
      <w:r>
        <w:t>Den skal ha et slikt nivå at den virker reelt avskrekkende.</w:t>
      </w:r>
    </w:p>
    <w:p w:rsidR="00000000" w:rsidRDefault="00D718D0" w:rsidP="00BA3E8B">
      <w:r>
        <w:t>Utmålingen vil utpensles over tid gjennom nemnds- og rettspraksis. Intervallet som er angitt ovenfor vil i mange saker gi et godt veiledende utgangspunkt.</w:t>
      </w:r>
    </w:p>
    <w:p w:rsidR="00000000" w:rsidRDefault="00D718D0" w:rsidP="00BA3E8B">
      <w:r>
        <w:t xml:space="preserve">Departementet legger videre til grunn at </w:t>
      </w:r>
      <w:r>
        <w:t>erstatningsbeløpene ved erstatning for økonomisk tap i enkle sak</w:t>
      </w:r>
      <w:r>
        <w:t>s</w:t>
      </w:r>
      <w:r>
        <w:t>forhold i hovedsak vil dreie seg om beskjedne beløp, og at nemndas vedtaksmyndighet begrenses til beløp som ligger under 10 000 kroner. Kjerneområdet for denne bestemmelsen er saker der årsak</w:t>
      </w:r>
      <w:r>
        <w:t>en til at innklagede ikke vil betale erstatning er manglende betalingsevne eller betalingsvilje. Nemnda skal altså kunne tilkjenne e</w:t>
      </w:r>
      <w:r>
        <w:t>r</w:t>
      </w:r>
      <w:r>
        <w:t>statning uavhengig av innsigelser som i realiteten er uttrykk for manglende betaling</w:t>
      </w:r>
      <w:r>
        <w:t>s</w:t>
      </w:r>
      <w:r>
        <w:t>evne eller -vilje.</w:t>
      </w:r>
    </w:p>
    <w:p w:rsidR="00000000" w:rsidRDefault="00D718D0" w:rsidP="00BA3E8B">
      <w:r>
        <w:t xml:space="preserve">Se for øvrig Prop. </w:t>
      </w:r>
      <w:r>
        <w:t>80 L (2016–2017) Lov om Likestillings- og diskrimineringsombudet og Diskrimin</w:t>
      </w:r>
      <w:r>
        <w:t>e</w:t>
      </w:r>
      <w:r>
        <w:t>ring</w:t>
      </w:r>
      <w:r>
        <w:t>s</w:t>
      </w:r>
      <w:r>
        <w:t>nemnda kapittel 10 og Prop. 81 L (2016–2017) Lov om likestilling og forbud mot diskriminering k</w:t>
      </w:r>
      <w:r>
        <w:t>a</w:t>
      </w:r>
      <w:r>
        <w:t>pittel 28.5.</w:t>
      </w:r>
    </w:p>
    <w:p w:rsidR="00000000" w:rsidRDefault="00D718D0" w:rsidP="00BA3E8B">
      <w:pPr>
        <w:pStyle w:val="Overskrift4"/>
      </w:pPr>
      <w:r>
        <w:lastRenderedPageBreak/>
        <w:t xml:space="preserve">Lov om Likestillings- og diskrimineringsombudet </w:t>
      </w:r>
      <w:r>
        <w:t>og Diskrimineringsnemnda</w:t>
      </w:r>
    </w:p>
    <w:p w:rsidR="00000000" w:rsidRDefault="00D718D0" w:rsidP="00BA3E8B">
      <w:r>
        <w:t>Diskrimineringsnemnda er i diskrimineringsombudsloven § 12 første ledd gitt myndighet til å treffe ve</w:t>
      </w:r>
      <w:r>
        <w:t>d</w:t>
      </w:r>
      <w:r>
        <w:t>tak om oppreisning i arbeidsforhold og erstatning for økonomisk tap i enkle saksforhold både innenfor og utenfor arbeidslivet, se</w:t>
      </w:r>
      <w:r>
        <w:t xml:space="preserve"> Prop. 80 L (2016–2017) kapittel 10.6.4 og 10.6.5. Med enkle saksforhold menes saker der årsaken til at innklagede ikke vil betale erstatning skyldes manglende betalingsevne eller bet</w:t>
      </w:r>
      <w:r>
        <w:t>a</w:t>
      </w:r>
      <w:r>
        <w:t>lingsvilje, se Prop. 80 L kapittel 10.6.5.</w:t>
      </w:r>
    </w:p>
    <w:p w:rsidR="00000000" w:rsidRDefault="00D718D0" w:rsidP="00BA3E8B">
      <w:r>
        <w:t>Diskrimineringsnemnda har imi</w:t>
      </w:r>
      <w:r>
        <w:t>dlertid ikke myndighet til å håndheve saker om seksuell traka</w:t>
      </w:r>
      <w:r>
        <w:t>s</w:t>
      </w:r>
      <w:r>
        <w:t>sering, og således derfor heller ikke myndighet til å ilegge hverken oppreisning eller erstatning i saker om se</w:t>
      </w:r>
      <w:r>
        <w:t>k</w:t>
      </w:r>
      <w:r>
        <w:t>suell trakassering, jf. diskrimineringsombudsloven § 7 første ledd bokstav a.</w:t>
      </w:r>
    </w:p>
    <w:p w:rsidR="00000000" w:rsidRDefault="00D718D0" w:rsidP="00BA3E8B">
      <w:pPr>
        <w:pStyle w:val="Overskrift3"/>
      </w:pPr>
      <w:r>
        <w:t>Internasjonale forpliktelser</w:t>
      </w:r>
    </w:p>
    <w:p w:rsidR="00000000" w:rsidRDefault="00D718D0" w:rsidP="00BA3E8B">
      <w:pPr>
        <w:pStyle w:val="Overskrift4"/>
      </w:pPr>
      <w:r>
        <w:t>Krav til effektive sanksjoner</w:t>
      </w:r>
    </w:p>
    <w:p w:rsidR="00000000" w:rsidRDefault="00D718D0" w:rsidP="00BA3E8B">
      <w:r>
        <w:t>EUs ikke-diskrimineringsdirektiver oppstiller et krav om at sanksjonene ved brudd på diskr</w:t>
      </w:r>
      <w:r>
        <w:t>i</w:t>
      </w:r>
      <w:r>
        <w:t>minering</w:t>
      </w:r>
      <w:r>
        <w:t>s</w:t>
      </w:r>
      <w:r>
        <w:t>forbudene skal være effektive, stå</w:t>
      </w:r>
      <w:r>
        <w:t xml:space="preserve"> i et rimelig forhold til overtredelsen og ha en pr</w:t>
      </w:r>
      <w:r>
        <w:t>e</w:t>
      </w:r>
      <w:r>
        <w:t>ventiv (avskrekkende) virkning, jf. rasediskrimineringsdirektivet (2000/43/EF) artikkel 15, rammedirektivet (2000/78/EF) a</w:t>
      </w:r>
      <w:r>
        <w:t>r</w:t>
      </w:r>
      <w:r>
        <w:t>tikkel 17, likestillingsdirektivet (2006/54/EF) artikkel 18 og direktivet om like</w:t>
      </w:r>
      <w:r>
        <w:t>behandling av kvinner og menn med hensyn til varer og tjenester (2004/113/EF) artikkel 14. Tilsvarende følger av Europakomm</w:t>
      </w:r>
      <w:r>
        <w:t>i</w:t>
      </w:r>
      <w:r>
        <w:t>sjonens (kommisjonen) forslag til direktiv om likebehandling uansett religion eller tro, funksjonsnedse</w:t>
      </w:r>
      <w:r>
        <w:t>t</w:t>
      </w:r>
      <w:r>
        <w:t xml:space="preserve">telse, alder eller seksuell </w:t>
      </w:r>
      <w:r>
        <w:t>orientering artikkel 14.</w:t>
      </w:r>
    </w:p>
    <w:p w:rsidR="00000000" w:rsidRDefault="00D718D0" w:rsidP="00BA3E8B">
      <w:r>
        <w:t>Andre internasjonale forpliktelser, blant annet FN-konvensjonene Convention on the Elimination of all Forms of Discrimination Against Women (CEDAW) art 2 og Convention on the Rights of Persons with Disabilities (CRPD) art 4 – oppst</w:t>
      </w:r>
      <w:r>
        <w:t>iller også et krav om at håndhevingen av diskr</w:t>
      </w:r>
      <w:r>
        <w:t>i</w:t>
      </w:r>
      <w:r>
        <w:t>mineringsvernet skal skje gjennom vi</w:t>
      </w:r>
      <w:r>
        <w:t>r</w:t>
      </w:r>
      <w:r>
        <w:t>kemidler som er effektive og hensiktsmessige for å b</w:t>
      </w:r>
      <w:r>
        <w:t>e</w:t>
      </w:r>
      <w:r>
        <w:t>kjempe diskriminering.</w:t>
      </w:r>
    </w:p>
    <w:p w:rsidR="00000000" w:rsidRDefault="00D718D0" w:rsidP="00BA3E8B">
      <w:r>
        <w:t>De internasjonale forpliktelsene stiller imidlertid ikke eksplisitt krav om at et forvaltningsor</w:t>
      </w:r>
      <w:r>
        <w:t>gan skal gis myndighet til å ilegge oppreisning, såfremt det er adgang til å få avgjort et slikt krav i domstolene.</w:t>
      </w:r>
    </w:p>
    <w:p w:rsidR="00000000" w:rsidRDefault="00D718D0" w:rsidP="00BA3E8B">
      <w:pPr>
        <w:pStyle w:val="Overskrift3"/>
      </w:pPr>
      <w:r>
        <w:t>Forslag i høringsnotatet</w:t>
      </w:r>
    </w:p>
    <w:p w:rsidR="00000000" w:rsidRDefault="00D718D0" w:rsidP="00BA3E8B">
      <w:r>
        <w:t>Departementet foreslo at Diskrimineringsnemnda skal gis myndighet til å ilegge oppreisning i saker i</w:t>
      </w:r>
      <w:r>
        <w:t>n</w:t>
      </w:r>
      <w:r>
        <w:t>ne</w:t>
      </w:r>
      <w:r>
        <w:t>nfor arbeidslivet.</w:t>
      </w:r>
    </w:p>
    <w:p w:rsidR="00000000" w:rsidRDefault="00D718D0" w:rsidP="00BA3E8B">
      <w:r>
        <w:t>Departementet foreslo også at Diskrimineringsnemnda skal gis myndighet til, på alle sa</w:t>
      </w:r>
      <w:r>
        <w:t>m</w:t>
      </w:r>
      <w:r>
        <w:t>funnsomr</w:t>
      </w:r>
      <w:r>
        <w:t>å</w:t>
      </w:r>
      <w:r>
        <w:t>der, å ilegge erstatning i enkle saksforhold i saker om seksuell trakassering.</w:t>
      </w:r>
    </w:p>
    <w:p w:rsidR="00000000" w:rsidRDefault="00D718D0" w:rsidP="00BA3E8B">
      <w:r>
        <w:t>Departementet foreslo videre at diskrimineringsombudsloven § 1</w:t>
      </w:r>
      <w:r>
        <w:t>2 tydeliggjøres for å synliggjøre skillet mellom diskrimineringssaker i arbeidsforhold der arbeidsgiver har et objektivt ansvar, og traka</w:t>
      </w:r>
      <w:r>
        <w:t>s</w:t>
      </w:r>
      <w:r>
        <w:t>seringssaker innenfor arbeidslivet – mellom enkeltpersoner – der det stilles krav om uaktsomhet.</w:t>
      </w:r>
    </w:p>
    <w:p w:rsidR="00000000" w:rsidRDefault="00D718D0" w:rsidP="00BA3E8B">
      <w:pPr>
        <w:pStyle w:val="Overskrift3"/>
      </w:pPr>
      <w:r>
        <w:t>Høringsin</w:t>
      </w:r>
      <w:r>
        <w:t>stansenes syn</w:t>
      </w:r>
    </w:p>
    <w:p w:rsidR="00000000" w:rsidRDefault="00D718D0" w:rsidP="00BA3E8B">
      <w:r>
        <w:t>Et klart flertall av høringsinstansene støtter regjeringens forslag.</w:t>
      </w:r>
    </w:p>
    <w:p w:rsidR="00000000" w:rsidRPr="009445FD" w:rsidRDefault="00D718D0" w:rsidP="00BA3E8B">
      <w:pPr>
        <w:pStyle w:val="blokksit"/>
        <w:rPr>
          <w:rStyle w:val="kursiv"/>
        </w:rPr>
      </w:pPr>
      <w:r>
        <w:rPr>
          <w:rStyle w:val="kursiv"/>
          <w:sz w:val="21"/>
          <w:szCs w:val="21"/>
        </w:rPr>
        <w:lastRenderedPageBreak/>
        <w:t>Diskrimineringsnemnda</w:t>
      </w:r>
      <w:r>
        <w:t xml:space="preserve"> sier at:</w:t>
      </w:r>
    </w:p>
    <w:p w:rsidR="00000000" w:rsidRDefault="00D718D0" w:rsidP="00BA3E8B">
      <w:pPr>
        <w:pStyle w:val="blokksit"/>
      </w:pPr>
      <w:r>
        <w:t>«… det er en naturlig konsekvens av en eventuell myndighet til å</w:t>
      </w:r>
      <w:r>
        <w:t xml:space="preserve"> behandle saker om seksuell tr</w:t>
      </w:r>
      <w:r>
        <w:t>a</w:t>
      </w:r>
      <w:r>
        <w:t>kassering, at Diskrimineringsnemnda samtidig gis myndighet til å ilegge oppreisning og e</w:t>
      </w:r>
      <w:r>
        <w:t>r</w:t>
      </w:r>
      <w:r>
        <w:t>statning. Dette på lik linje som Diskrimineringsnemnda allerede har i sakene vedrørende andre trakasserings- og diskrimineringsgrunnlag.</w:t>
      </w:r>
      <w:r>
        <w:t>»</w:t>
      </w:r>
    </w:p>
    <w:p w:rsidR="00000000" w:rsidRPr="009445FD" w:rsidRDefault="00D718D0" w:rsidP="00BA3E8B">
      <w:pPr>
        <w:rPr>
          <w:rStyle w:val="kursiv"/>
        </w:rPr>
      </w:pPr>
      <w:r>
        <w:rPr>
          <w:rStyle w:val="kursiv"/>
          <w:sz w:val="21"/>
          <w:szCs w:val="21"/>
        </w:rPr>
        <w:t xml:space="preserve">Likestillings- og diskrimineringsombudet </w:t>
      </w:r>
      <w:r>
        <w:t>presiserer at:</w:t>
      </w:r>
    </w:p>
    <w:p w:rsidR="00000000" w:rsidRDefault="00D718D0" w:rsidP="00BA3E8B">
      <w:pPr>
        <w:pStyle w:val="blokksit"/>
      </w:pPr>
      <w:r>
        <w:t>«Når det gjelder spørsmål om oppreisning og erstatning i saker om seksuell trakassering, så skr</w:t>
      </w:r>
      <w:r>
        <w:t>i</w:t>
      </w:r>
      <w:r>
        <w:t>ver departementet at diskrimineringsombudsloven § 12 foreslås endret for å tydeliggjør</w:t>
      </w:r>
      <w:r>
        <w:t>e skillet mellom diskrimineringssaker i arbeidsforhold der arbeidsgiver har et objektivt ansvar, og traka</w:t>
      </w:r>
      <w:r>
        <w:t>s</w:t>
      </w:r>
      <w:r>
        <w:t>seringssaker innenfor arbeidslivet mellom enkeltpersoner der det stilles et krav om uaktsomhet (høringsnotatet side 25).</w:t>
      </w:r>
    </w:p>
    <w:p w:rsidR="00000000" w:rsidRDefault="00D718D0" w:rsidP="00BA3E8B">
      <w:pPr>
        <w:pStyle w:val="blokksit"/>
      </w:pPr>
      <w:r>
        <w:t xml:space="preserve">Vi er usikre på om forslaget </w:t>
      </w:r>
      <w:r>
        <w:t>til bestemmelse er tydelig nok. Vi er videre usikre på om en presis</w:t>
      </w:r>
      <w:r>
        <w:t>e</w:t>
      </w:r>
      <w:r>
        <w:t>ring heller skulle vært inntatt i selve erstatningsbestemmelsen i likestillings- og diskriminering</w:t>
      </w:r>
      <w:r>
        <w:t>s</w:t>
      </w:r>
      <w:r>
        <w:t>loven § 38, i og med at hensikten med forslaget ser ut til å være å presisere skyldkravet</w:t>
      </w:r>
      <w:r>
        <w:t>, og ikke rekkevi</w:t>
      </w:r>
      <w:r>
        <w:t>d</w:t>
      </w:r>
      <w:r>
        <w:t>den av nemndas vedtakskompetanse.»</w:t>
      </w:r>
    </w:p>
    <w:p w:rsidR="00000000" w:rsidRPr="009445FD" w:rsidRDefault="00D718D0" w:rsidP="00BA3E8B">
      <w:pPr>
        <w:rPr>
          <w:rStyle w:val="kursiv"/>
        </w:rPr>
      </w:pPr>
      <w:r>
        <w:rPr>
          <w:rStyle w:val="kursiv"/>
          <w:sz w:val="21"/>
          <w:szCs w:val="21"/>
        </w:rPr>
        <w:t>Ombudet</w:t>
      </w:r>
      <w:r>
        <w:t xml:space="preserve"> mener videre at det bør tas inn en henvisning til de alminnelige erstatningsreglene i likestillings- og diskrimineringsloven § 38 fjerde ledd.</w:t>
      </w:r>
    </w:p>
    <w:p w:rsidR="00000000" w:rsidRDefault="00D718D0" w:rsidP="00BA3E8B">
      <w:r>
        <w:t xml:space="preserve">Enkelte høringsinstanser, herunder </w:t>
      </w:r>
      <w:r>
        <w:rPr>
          <w:rStyle w:val="kursiv"/>
          <w:sz w:val="21"/>
          <w:szCs w:val="21"/>
        </w:rPr>
        <w:t>Likestillings- og</w:t>
      </w:r>
      <w:r>
        <w:rPr>
          <w:rStyle w:val="kursiv"/>
          <w:sz w:val="21"/>
          <w:szCs w:val="21"/>
        </w:rPr>
        <w:t xml:space="preserve"> diskrimineringsombudet</w:t>
      </w:r>
      <w:r>
        <w:t xml:space="preserve">, </w:t>
      </w:r>
      <w:r>
        <w:rPr>
          <w:rStyle w:val="kursiv"/>
          <w:sz w:val="21"/>
          <w:szCs w:val="21"/>
        </w:rPr>
        <w:t>LO</w:t>
      </w:r>
      <w:r>
        <w:t xml:space="preserve">, </w:t>
      </w:r>
      <w:r>
        <w:rPr>
          <w:rStyle w:val="kursiv"/>
          <w:sz w:val="21"/>
          <w:szCs w:val="21"/>
        </w:rPr>
        <w:t>JURK</w:t>
      </w:r>
      <w:r>
        <w:t xml:space="preserve">, </w:t>
      </w:r>
      <w:r>
        <w:rPr>
          <w:rStyle w:val="kursiv"/>
          <w:sz w:val="21"/>
          <w:szCs w:val="21"/>
        </w:rPr>
        <w:t>Sykepleie</w:t>
      </w:r>
      <w:r>
        <w:rPr>
          <w:rStyle w:val="kursiv"/>
          <w:sz w:val="21"/>
          <w:szCs w:val="21"/>
        </w:rPr>
        <w:t>r</w:t>
      </w:r>
      <w:r>
        <w:rPr>
          <w:rStyle w:val="kursiv"/>
          <w:sz w:val="21"/>
          <w:szCs w:val="21"/>
        </w:rPr>
        <w:t>fo</w:t>
      </w:r>
      <w:r>
        <w:rPr>
          <w:rStyle w:val="kursiv"/>
          <w:sz w:val="21"/>
          <w:szCs w:val="21"/>
        </w:rPr>
        <w:t>r</w:t>
      </w:r>
      <w:r>
        <w:rPr>
          <w:rStyle w:val="kursiv"/>
          <w:sz w:val="21"/>
          <w:szCs w:val="21"/>
        </w:rPr>
        <w:t>bu</w:t>
      </w:r>
      <w:r>
        <w:rPr>
          <w:rStyle w:val="kursiv"/>
          <w:sz w:val="21"/>
          <w:szCs w:val="21"/>
        </w:rPr>
        <w:t>n</w:t>
      </w:r>
      <w:r>
        <w:rPr>
          <w:rStyle w:val="kursiv"/>
          <w:sz w:val="21"/>
          <w:szCs w:val="21"/>
        </w:rPr>
        <w:t>det</w:t>
      </w:r>
      <w:r>
        <w:t xml:space="preserve">, </w:t>
      </w:r>
      <w:r>
        <w:rPr>
          <w:rStyle w:val="kursiv"/>
          <w:sz w:val="21"/>
          <w:szCs w:val="21"/>
        </w:rPr>
        <w:t xml:space="preserve">Norske kvinners sanitetsforening </w:t>
      </w:r>
      <w:r>
        <w:t xml:space="preserve">og </w:t>
      </w:r>
      <w:r>
        <w:rPr>
          <w:rStyle w:val="kursiv"/>
          <w:sz w:val="21"/>
          <w:szCs w:val="21"/>
        </w:rPr>
        <w:t>Rettspolitisk forening</w:t>
      </w:r>
      <w:r>
        <w:t>, har i sine tilbakemeldinger også anbefalt departementet å utrede spørsmålet om en lovfesting av erstatningsansvar for arbeid</w:t>
      </w:r>
      <w:r>
        <w:t>s</w:t>
      </w:r>
      <w:r>
        <w:t>givere ved brud</w:t>
      </w:r>
      <w:r>
        <w:t>d på vernebestemmelsen i Likestillings- og diskrimineringsloven § 13 sjette ledd.</w:t>
      </w:r>
    </w:p>
    <w:p w:rsidR="00000000" w:rsidRDefault="00D718D0" w:rsidP="00BA3E8B">
      <w:r>
        <w:t>Noen høringsinstanser mener i tillegg at departementets forslag ikke går langt nok, og ber om at nemndas myndighet til å ilegge oppreisning utvides til å gjelde på alle samfu</w:t>
      </w:r>
      <w:r>
        <w:t xml:space="preserve">nnsområder. </w:t>
      </w:r>
      <w:r>
        <w:rPr>
          <w:rStyle w:val="kursiv"/>
          <w:sz w:val="21"/>
          <w:szCs w:val="21"/>
        </w:rPr>
        <w:t>Norges kvinn</w:t>
      </w:r>
      <w:r>
        <w:rPr>
          <w:rStyle w:val="kursiv"/>
          <w:sz w:val="21"/>
          <w:szCs w:val="21"/>
        </w:rPr>
        <w:t>e</w:t>
      </w:r>
      <w:r>
        <w:rPr>
          <w:rStyle w:val="kursiv"/>
          <w:sz w:val="21"/>
          <w:szCs w:val="21"/>
        </w:rPr>
        <w:t xml:space="preserve">lobby </w:t>
      </w:r>
      <w:r>
        <w:t>sier for eksempel at en slik avgrensning innebærer at viktige samfunnsarenaer vil falle utenfor nemndas my</w:t>
      </w:r>
      <w:r>
        <w:t>n</w:t>
      </w:r>
      <w:r>
        <w:t>dighetsområde. De viser også til at dette vil være i tråd med anbefalingen fra FNs kvinn</w:t>
      </w:r>
      <w:r>
        <w:t>e</w:t>
      </w:r>
      <w:r>
        <w:t>diskriminering</w:t>
      </w:r>
      <w:r>
        <w:t>s</w:t>
      </w:r>
      <w:r>
        <w:t>komite (CEDAW)</w:t>
      </w:r>
      <w:r>
        <w:t xml:space="preserve"> som i sine kommentarer til Norges 9. rapport i anbefaling 19b skriver følgende:</w:t>
      </w:r>
    </w:p>
    <w:p w:rsidR="00000000" w:rsidRDefault="00D718D0" w:rsidP="00BA3E8B">
      <w:pPr>
        <w:pStyle w:val="blokksit"/>
      </w:pPr>
      <w:r>
        <w:t>«(b)      … extend the authority of the Tribunal to award compensation in cases other than those of employment discrimination, including cases of sexual harassment;»</w:t>
      </w:r>
    </w:p>
    <w:p w:rsidR="00000000" w:rsidRDefault="00D718D0" w:rsidP="00BA3E8B">
      <w:r>
        <w:t>Fem hørin</w:t>
      </w:r>
      <w:r>
        <w:t xml:space="preserve">gsinstanser, </w:t>
      </w:r>
      <w:r>
        <w:rPr>
          <w:rStyle w:val="kursiv"/>
          <w:sz w:val="21"/>
          <w:szCs w:val="21"/>
        </w:rPr>
        <w:t>Advokatforeningen, Arbeidsgiverforeningen Spekter, Justisdepartementet, NHO</w:t>
      </w:r>
      <w:r>
        <w:t xml:space="preserve">, og </w:t>
      </w:r>
      <w:r>
        <w:rPr>
          <w:rStyle w:val="kursiv"/>
          <w:sz w:val="21"/>
          <w:szCs w:val="21"/>
        </w:rPr>
        <w:t>Virke</w:t>
      </w:r>
      <w:r>
        <w:t>, er imidlertid kritiske til forslaget. Dette er de samme høringsinstansene som er kritiske til etabl</w:t>
      </w:r>
      <w:r>
        <w:t>e</w:t>
      </w:r>
      <w:r>
        <w:t>ringen av et lavterskeltilbud som sådan. Høringsinstanse</w:t>
      </w:r>
      <w:r>
        <w:t>ne viser til en bekymring for at rettssikkerheten til de som blir anklaget ikke vil bli godt nok ivaretatt.</w:t>
      </w:r>
    </w:p>
    <w:p w:rsidR="00000000" w:rsidRPr="009445FD" w:rsidRDefault="00D718D0" w:rsidP="00BA3E8B">
      <w:pPr>
        <w:rPr>
          <w:rStyle w:val="kursiv"/>
        </w:rPr>
      </w:pPr>
      <w:r>
        <w:rPr>
          <w:rStyle w:val="kursiv"/>
          <w:sz w:val="21"/>
          <w:szCs w:val="21"/>
        </w:rPr>
        <w:t xml:space="preserve">Advokatforeningen </w:t>
      </w:r>
      <w:r>
        <w:t>viser også til:</w:t>
      </w:r>
    </w:p>
    <w:p w:rsidR="00000000" w:rsidRDefault="00D718D0" w:rsidP="00BA3E8B">
      <w:pPr>
        <w:pStyle w:val="blokksit"/>
      </w:pPr>
      <w:r>
        <w:t>«I punkt 6.4.2 fremheves at kravene til skyld etter diskrimineringslovgivningen er lavere enn e</w:t>
      </w:r>
      <w:r>
        <w:t>t</w:t>
      </w:r>
      <w:r>
        <w:t>ter de alminnelige</w:t>
      </w:r>
      <w:r>
        <w:t xml:space="preserve"> erstatningsregler fordi det gjelder regler om delt bevisbyrde. Advokatfor</w:t>
      </w:r>
      <w:r>
        <w:t>e</w:t>
      </w:r>
      <w:r>
        <w:t>ningen vil p</w:t>
      </w:r>
      <w:r>
        <w:t>å</w:t>
      </w:r>
      <w:r>
        <w:t>peke at formuleringen fremstår som uklar og kan gi grunnlag for misforståelser om beviskravet i disse sakene.»</w:t>
      </w:r>
    </w:p>
    <w:p w:rsidR="00000000" w:rsidRPr="009445FD" w:rsidRDefault="00D718D0" w:rsidP="00BA3E8B">
      <w:pPr>
        <w:rPr>
          <w:rStyle w:val="kursiv"/>
        </w:rPr>
      </w:pPr>
      <w:r>
        <w:rPr>
          <w:rStyle w:val="kursiv"/>
          <w:sz w:val="21"/>
          <w:szCs w:val="21"/>
        </w:rPr>
        <w:t>NHO</w:t>
      </w:r>
      <w:r>
        <w:t xml:space="preserve"> mener videre det er svært viktig at det fremgår av lo</w:t>
      </w:r>
      <w:r>
        <w:t>vteksten at ansvarsgrunnlaget for a</w:t>
      </w:r>
      <w:r>
        <w:t>r</w:t>
      </w:r>
      <w:r>
        <w:t xml:space="preserve">beidsgiver ikke er et rent objektivt ansvar. De viser til at dette p.t. ikke er avklart i lovteksten, men bare fremgår av praksis fra Likestillings- og diskrimineringsnemnda. De mener det ikke kan forutsettes at partene </w:t>
      </w:r>
      <w:r>
        <w:t>setter seg inn i og tolker tidligere nemndspraksis.</w:t>
      </w:r>
    </w:p>
    <w:p w:rsidR="00000000" w:rsidRPr="009445FD" w:rsidRDefault="00D718D0" w:rsidP="00BA3E8B">
      <w:pPr>
        <w:rPr>
          <w:rStyle w:val="halvfet"/>
        </w:rPr>
      </w:pPr>
      <w:r>
        <w:rPr>
          <w:rStyle w:val="kursiv"/>
          <w:sz w:val="21"/>
          <w:szCs w:val="21"/>
        </w:rPr>
        <w:lastRenderedPageBreak/>
        <w:t xml:space="preserve">Arbeidsgiverforeningen Spekter </w:t>
      </w:r>
      <w:r>
        <w:t>hevder at vedtak om oppreisning eller erstatning vil være mer in</w:t>
      </w:r>
      <w:r>
        <w:t>n</w:t>
      </w:r>
      <w:r>
        <w:t>gr</w:t>
      </w:r>
      <w:r>
        <w:t>i</w:t>
      </w:r>
      <w:r>
        <w:t xml:space="preserve">pende enn vedtak som fastslår at seksuell trakassering har funnet sted, og mener derfor det er viktig at </w:t>
      </w:r>
      <w:r>
        <w:t>denne type saker utelukkende bør behandles av domstolen. De mener videre det vil være svært betenk</w:t>
      </w:r>
      <w:r>
        <w:t>e</w:t>
      </w:r>
      <w:r>
        <w:t>lig å gi nemnda ko</w:t>
      </w:r>
      <w:r>
        <w:t>m</w:t>
      </w:r>
      <w:r>
        <w:t>petanse til å ilegge noen form for økonomisk reaksjon uten at det finnes en klagei</w:t>
      </w:r>
      <w:r>
        <w:t>n</w:t>
      </w:r>
      <w:r>
        <w:t>stans.</w:t>
      </w:r>
    </w:p>
    <w:p w:rsidR="00000000" w:rsidRDefault="00D718D0" w:rsidP="00BA3E8B">
      <w:pPr>
        <w:pStyle w:val="Overskrift3"/>
      </w:pPr>
      <w:r>
        <w:t>Departementets vurderinger</w:t>
      </w:r>
    </w:p>
    <w:p w:rsidR="00000000" w:rsidRDefault="00D718D0" w:rsidP="00BA3E8B">
      <w:r>
        <w:t>Oppreisni</w:t>
      </w:r>
      <w:r>
        <w:t>ng og erstatning er diskrimineringslovgivningens hovedsanksjon, og departementet mener derfor at dersom nemnda gis myndighet til å håndheve forbudet mot seksuell trakassering i likestillings- og diskrimineringsloven, så bør de også gis myndighet til å ileg</w:t>
      </w:r>
      <w:r>
        <w:t>ge lovens h</w:t>
      </w:r>
      <w:r>
        <w:t>o</w:t>
      </w:r>
      <w:r>
        <w:t>vedsanksjon.</w:t>
      </w:r>
    </w:p>
    <w:p w:rsidR="00000000" w:rsidRDefault="00D718D0" w:rsidP="00BA3E8B">
      <w:pPr>
        <w:pStyle w:val="Overskrift4"/>
      </w:pPr>
      <w:r>
        <w:t>Forholdet til de alminnelige erstatningsreglene</w:t>
      </w:r>
    </w:p>
    <w:p w:rsidR="00000000" w:rsidRDefault="00D718D0" w:rsidP="00BA3E8B">
      <w:r>
        <w:t>Likestillings- og diskrimineringsloven inneholder ingen eksplisitt henvisning til de alminnelige ersta</w:t>
      </w:r>
      <w:r>
        <w:t>t</w:t>
      </w:r>
      <w:r>
        <w:t>ningsreglene.</w:t>
      </w:r>
    </w:p>
    <w:p w:rsidR="00000000" w:rsidRDefault="00D718D0" w:rsidP="00BA3E8B">
      <w:r>
        <w:t>En slik henvisning fantes båd</w:t>
      </w:r>
      <w:r>
        <w:t>e i den tidligere likestillingsloven og diskrimineringsloven om etnisitet, som begge ble opphevet ved vedtakelsen av ny likestillings- og diskrimineringslov. Her ble det presisert at:</w:t>
      </w:r>
    </w:p>
    <w:p w:rsidR="00000000" w:rsidRDefault="00D718D0" w:rsidP="00BA3E8B">
      <w:pPr>
        <w:pStyle w:val="blokksit"/>
      </w:pPr>
      <w:r>
        <w:t xml:space="preserve">«Disse reglene begrenser ikke personens rett til å kreve oppreisning og </w:t>
      </w:r>
      <w:r>
        <w:t>erstatning etter alminn</w:t>
      </w:r>
      <w:r>
        <w:t>e</w:t>
      </w:r>
      <w:r>
        <w:t>lige erstatningsregler.»</w:t>
      </w:r>
    </w:p>
    <w:p w:rsidR="00000000" w:rsidRDefault="00D718D0" w:rsidP="00BA3E8B">
      <w:r>
        <w:t>Bestemmelsen ble ikke videreført i likestillings- og diskrimineringsloven av 2017. Det ble pr</w:t>
      </w:r>
      <w:r>
        <w:t>e</w:t>
      </w:r>
      <w:r>
        <w:t xml:space="preserve">sisert i Prop. 81 L (2016–2017) punkt 28.5.8 at gjeldende rett om erstatning og oppreisning foreslås videreført. </w:t>
      </w:r>
      <w:r>
        <w:t>Omb</w:t>
      </w:r>
      <w:r>
        <w:t>u</w:t>
      </w:r>
      <w:r>
        <w:t>det har i sitt høringssvar sagt at det bør tas inn en henvisning til de alminnelige erstatningsreglene i lik</w:t>
      </w:r>
      <w:r>
        <w:t>e</w:t>
      </w:r>
      <w:r>
        <w:t>sti</w:t>
      </w:r>
      <w:r>
        <w:t>l</w:t>
      </w:r>
      <w:r>
        <w:t>lings- og diskrimineringsloven § 38 fjerde ledd.</w:t>
      </w:r>
    </w:p>
    <w:p w:rsidR="00000000" w:rsidRDefault="00D718D0" w:rsidP="00BA3E8B">
      <w:r>
        <w:t>Departementet vil presisere at selv om loven ikke henviser eksplisitt til de alminnelige e</w:t>
      </w:r>
      <w:r>
        <w:t>rsta</w:t>
      </w:r>
      <w:r>
        <w:t>t</w:t>
      </w:r>
      <w:r>
        <w:t>ning</w:t>
      </w:r>
      <w:r>
        <w:t>s</w:t>
      </w:r>
      <w:r>
        <w:t>reglene, så betyr ikke det at adgangen til å kreve oppreisning og erstatning etter alminnelige erstatning</w:t>
      </w:r>
      <w:r>
        <w:t>s</w:t>
      </w:r>
      <w:r>
        <w:t>rettslige regler er avskåret. En slik henvisning begrunnes i hovedsak i pedagogiske hensyn, og en man</w:t>
      </w:r>
      <w:r>
        <w:t>g</w:t>
      </w:r>
      <w:r>
        <w:t>lende henvisning får således ingen ret</w:t>
      </w:r>
      <w:r>
        <w:t>tslige konsekvenser.</w:t>
      </w:r>
    </w:p>
    <w:p w:rsidR="00000000" w:rsidRDefault="00D718D0" w:rsidP="00BA3E8B">
      <w:r>
        <w:t>Departementet mener på denne bakgrunn at det ikke er behov for en eksplisitt henvisning. De almi</w:t>
      </w:r>
      <w:r>
        <w:t>n</w:t>
      </w:r>
      <w:r>
        <w:t>nelige erstatningsregler med krav til skyld kommer til anvendelse uavhengig av om loven har en henvi</w:t>
      </w:r>
      <w:r>
        <w:t>s</w:t>
      </w:r>
      <w:r>
        <w:t>ningsb</w:t>
      </w:r>
      <w:r>
        <w:t>e</w:t>
      </w:r>
      <w:r>
        <w:t>stemmelse eller ikke.</w:t>
      </w:r>
    </w:p>
    <w:p w:rsidR="00000000" w:rsidRDefault="00D718D0" w:rsidP="00BA3E8B">
      <w:pPr>
        <w:pStyle w:val="Overskrift4"/>
      </w:pPr>
      <w:r>
        <w:t>Behov for en effektiv håndheving</w:t>
      </w:r>
    </w:p>
    <w:p w:rsidR="00000000" w:rsidRDefault="00D718D0" w:rsidP="00BA3E8B">
      <w:r>
        <w:t>De interessene som diskrimineringslovgivningen skal beskytte er så sentrale at det bør være tilgjengelig rimelige og effektive sanksjonsmuligheter, som også kan ha en preventiv effekt. Oppreisning og ersta</w:t>
      </w:r>
      <w:r>
        <w:t>t</w:t>
      </w:r>
      <w:r>
        <w:t>ning er d</w:t>
      </w:r>
      <w:r>
        <w:t>iskrimineringslovgivningens hovedsanksjon for å beskytte disse interessene.</w:t>
      </w:r>
    </w:p>
    <w:p w:rsidR="00000000" w:rsidRDefault="00D718D0" w:rsidP="00BA3E8B">
      <w:r>
        <w:t>Effektive sanksjoner forutsetter at lovbrudd blir håndhevet. Hensynet til å oppnå et effektivt diskrim</w:t>
      </w:r>
      <w:r>
        <w:t>i</w:t>
      </w:r>
      <w:r>
        <w:t>n</w:t>
      </w:r>
      <w:r>
        <w:t>e</w:t>
      </w:r>
      <w:r>
        <w:t xml:space="preserve">ringsvern med effektiv ressursbruk taler for at nemnda gis myndighet til å </w:t>
      </w:r>
      <w:r>
        <w:t>ilegge oppreisning i saker innenfor arbeidslivet og erstatning i enkle saksforhold. Et reelt alternativ til domstolsbehandling vil være en raskere og rimeligere løsning for partene.</w:t>
      </w:r>
    </w:p>
    <w:p w:rsidR="00000000" w:rsidRDefault="00D718D0" w:rsidP="00BA3E8B">
      <w:r>
        <w:t xml:space="preserve">Dersom nemnda ikke gis myndighet til å ilegge oppreisning vil den som har </w:t>
      </w:r>
      <w:r>
        <w:t>vært utsatt for seksuell traka</w:t>
      </w:r>
      <w:r>
        <w:t>s</w:t>
      </w:r>
      <w:r>
        <w:t xml:space="preserve">sering også i fortsettelsen måtte reise sak for domstolene. Praksis viser at få saker </w:t>
      </w:r>
      <w:r>
        <w:lastRenderedPageBreak/>
        <w:t>om seksuell tr</w:t>
      </w:r>
      <w:r>
        <w:t>a</w:t>
      </w:r>
      <w:r>
        <w:t>kassering bringes inn for domstolene, og departementet mener derfor at nemnda, for å oppnå en effektiv håndheving av forbude</w:t>
      </w:r>
      <w:r>
        <w:t>t mot seksuell trakassering, også må gis myndighet til å ilegge oppreisning og erstatning.</w:t>
      </w:r>
    </w:p>
    <w:p w:rsidR="00000000" w:rsidRDefault="00D718D0" w:rsidP="00BA3E8B">
      <w:pPr>
        <w:pStyle w:val="Overskrift4"/>
      </w:pPr>
      <w:r>
        <w:t>Innenfor arbeidslivet</w:t>
      </w:r>
    </w:p>
    <w:p w:rsidR="00000000" w:rsidRDefault="00D718D0" w:rsidP="00BA3E8B">
      <w:r>
        <w:t>Departementet mener det vil være hensiktsmessig å avgrense nemndas myndighet om opprei</w:t>
      </w:r>
      <w:r>
        <w:t>s</w:t>
      </w:r>
      <w:r>
        <w:t>ning til saker i arbeidslivet.</w:t>
      </w:r>
    </w:p>
    <w:p w:rsidR="00000000" w:rsidRDefault="00D718D0" w:rsidP="00BA3E8B">
      <w:r>
        <w:t>Arbeidslivet er et viktig samfunnsområde. Tilgang til arbeid er sentralt for den enkelte og for samfu</w:t>
      </w:r>
      <w:r>
        <w:t>n</w:t>
      </w:r>
      <w:r>
        <w:t>net. Derfor er det både fra et individuelt og et samfunnsøkonomisk ståsted nødvendig med en effektiv sanksjon</w:t>
      </w:r>
      <w:r>
        <w:t>e</w:t>
      </w:r>
      <w:r>
        <w:t>ring av brudd på diskrimineringslovgivningen</w:t>
      </w:r>
      <w:r>
        <w:t xml:space="preserve"> særlig innenfor arbeidslivet.</w:t>
      </w:r>
    </w:p>
    <w:p w:rsidR="00000000" w:rsidRDefault="00D718D0" w:rsidP="00BA3E8B">
      <w:r>
        <w:t>Dette betyr at enkelte viktige samfunnsområder faller utenfor nemndas myndighetsområde. En st</w:t>
      </w:r>
      <w:r>
        <w:t>u</w:t>
      </w:r>
      <w:r>
        <w:t>dent på universitet som trakasseres av sin veileder må for eksempel bringe saken sin inn for domstolene for å få oppreisning og/ell</w:t>
      </w:r>
      <w:r>
        <w:t>er erstatning.</w:t>
      </w:r>
    </w:p>
    <w:p w:rsidR="00000000" w:rsidRDefault="00D718D0" w:rsidP="00BA3E8B">
      <w:r>
        <w:t>Når departementet likevel har falt ned på en løsning der nemndas myndighet avgrenses til å gjelde innenfor arbeidslivets område, så skyldes det i hovedsak ønsket om en sammenheng i lovverket. Nem</w:t>
      </w:r>
      <w:r>
        <w:t>n</w:t>
      </w:r>
      <w:r>
        <w:t>das myndighet til å ilegge oppreisning er ogs</w:t>
      </w:r>
      <w:r>
        <w:t>å i andre diskriminerings- og tr</w:t>
      </w:r>
      <w:r>
        <w:t>a</w:t>
      </w:r>
      <w:r>
        <w:t>kasseringssaker begrenset til arbeidslivets område. Departementet mener på denne bakgrunn at det vil være naturlig at nemndas my</w:t>
      </w:r>
      <w:r>
        <w:t>n</w:t>
      </w:r>
      <w:r>
        <w:t>dighet i saker om seksuell trakassering også avgrenses til arbeidslivets område.</w:t>
      </w:r>
    </w:p>
    <w:p w:rsidR="00000000" w:rsidRDefault="00D718D0" w:rsidP="00BA3E8B">
      <w:pPr>
        <w:pStyle w:val="Overskrift4"/>
      </w:pPr>
      <w:r>
        <w:t>Skyldkravet</w:t>
      </w:r>
    </w:p>
    <w:p w:rsidR="00000000" w:rsidRDefault="00D718D0" w:rsidP="00BA3E8B">
      <w:r>
        <w:t>Adgangen til å kreve oppreisning og erstatning i trakasseringssaker er regulert i likestillings- og diskr</w:t>
      </w:r>
      <w:r>
        <w:t>i</w:t>
      </w:r>
      <w:r>
        <w:t>mineringsloven § 38. Rekkevidden av skyldkravet i trakasseringssaker er imidlertid ikke regulert i denne bestemmelsen.</w:t>
      </w:r>
    </w:p>
    <w:p w:rsidR="00000000" w:rsidRDefault="00D718D0" w:rsidP="00BA3E8B">
      <w:r>
        <w:t xml:space="preserve">Bestemmelsen er </w:t>
      </w:r>
      <w:r>
        <w:t>til dels uklar, fordi det ikke skilles mellom diskrimineringssaker der arbeid</w:t>
      </w:r>
      <w:r>
        <w:t>s</w:t>
      </w:r>
      <w:r>
        <w:t>giver har et objektivt ansvar, og trakasseringssaker mellom enkeltpersoner der det må oppstilles et krav om skyld. B</w:t>
      </w:r>
      <w:r>
        <w:t>e</w:t>
      </w:r>
      <w:r>
        <w:t>stemmelsen gir anvisning på et rent objektivt ansvar for disk</w:t>
      </w:r>
      <w:r>
        <w:t>riminering i arbeidsforhold, og i behan</w:t>
      </w:r>
      <w:r>
        <w:t>d</w:t>
      </w:r>
      <w:r>
        <w:t>lingen av selvstendig næringsdrivende oppdragstakere og innleide arbeidstakere. Dette kan etter depa</w:t>
      </w:r>
      <w:r>
        <w:t>r</w:t>
      </w:r>
      <w:r>
        <w:t>tementets op</w:t>
      </w:r>
      <w:r>
        <w:t>p</w:t>
      </w:r>
      <w:r>
        <w:t>fatning gi et feilaktig inntrykk av at det kan gjøres gjeldende et objektivt ansvar for arbeid</w:t>
      </w:r>
      <w:r>
        <w:t>s</w:t>
      </w:r>
      <w:r>
        <w:t>giver o</w:t>
      </w:r>
      <w:r>
        <w:t>gså i tr</w:t>
      </w:r>
      <w:r>
        <w:t>a</w:t>
      </w:r>
      <w:r>
        <w:t>kasseringssaker.</w:t>
      </w:r>
    </w:p>
    <w:p w:rsidR="00000000" w:rsidRDefault="00D718D0" w:rsidP="00BA3E8B">
      <w:r>
        <w:t>Det er imidlertid klart at det ikke kan utledes et rent objektivt ansvar for arbeidsgiver i disse sakene. I Lik</w:t>
      </w:r>
      <w:r>
        <w:t>e</w:t>
      </w:r>
      <w:r>
        <w:t>stillings- og diskrimineringsnemndas vedtak 10/2014 slås det fast at for at a</w:t>
      </w:r>
      <w:r>
        <w:t>r</w:t>
      </w:r>
      <w:r>
        <w:t>beidsgiver skal kunne bli a</w:t>
      </w:r>
      <w:r>
        <w:t>n</w:t>
      </w:r>
      <w:r>
        <w:t xml:space="preserve">svarlig for </w:t>
      </w:r>
      <w:r>
        <w:t>trakassering, må trakasseringen være begått av en som kan identifiseres med arbeidsgiver, eller at arbeidsgiver på noen måte kan bebreides. Arbeidsgiver kan altså ikke holdes objektivt ansvarlig for en ansatt som trakasserer en kollega. Departementet legge</w:t>
      </w:r>
      <w:r>
        <w:t>r til grunn at det samme vil gjøre seg gje</w:t>
      </w:r>
      <w:r>
        <w:t>l</w:t>
      </w:r>
      <w:r>
        <w:t>dende også i saker om seksuell trakassering.</w:t>
      </w:r>
    </w:p>
    <w:p w:rsidR="00000000" w:rsidRDefault="00D718D0" w:rsidP="00BA3E8B">
      <w:r>
        <w:t>Departementet mener likevel det er uheldig at dette skillet ikke fremgår av lovteksten. Det bør fremgå klart at oppreisningsansvaret for den som trakasserer skal avheng</w:t>
      </w:r>
      <w:r>
        <w:t>e av skyld, dvs. at vedkommende har opptrådt uaktsomt. Dette vil også bidra til å tydeliggjøre grensene for a</w:t>
      </w:r>
      <w:r>
        <w:t>r</w:t>
      </w:r>
      <w:r>
        <w:t>beidsgivers objektive ansvar.</w:t>
      </w:r>
    </w:p>
    <w:p w:rsidR="00000000" w:rsidRDefault="00D718D0" w:rsidP="00BA3E8B">
      <w:r>
        <w:t>Diskrimineringsloven § 38 annet ledd andre punktum foreslås etter dette endret slik at ordlyden blir som følger:</w:t>
      </w:r>
    </w:p>
    <w:p w:rsidR="00000000" w:rsidRDefault="00D718D0" w:rsidP="00BA3E8B">
      <w:pPr>
        <w:pStyle w:val="blokksit"/>
      </w:pPr>
      <w:r>
        <w:lastRenderedPageBreak/>
        <w:t xml:space="preserve">«I </w:t>
      </w:r>
      <w:r>
        <w:t>saker om trakassering og seksuell trakassering og på andre samfunnsområder enn nevnt i før</w:t>
      </w:r>
      <w:r>
        <w:t>s</w:t>
      </w:r>
      <w:r>
        <w:t>te punktum, gjelder ansvaret dersom den ansvarlige kan bebreides.»</w:t>
      </w:r>
    </w:p>
    <w:p w:rsidR="00000000" w:rsidRDefault="00D718D0" w:rsidP="00BA3E8B">
      <w:r>
        <w:t xml:space="preserve">Det presiseres at det i diskrimineringssaker, herunder trakasseringssaker, gjelder regler om delt </w:t>
      </w:r>
      <w:r>
        <w:t>bevi</w:t>
      </w:r>
      <w:r>
        <w:t>s</w:t>
      </w:r>
      <w:r>
        <w:t>byrde, jf. likestillings- og diskrimineringsloven § 37. Delt bevisbyrde innebærer at dersom det foreligger omstendigheter som gir grunn til å tro at det har skjedd diskriminering, og den ansvarlige ikke sannsy</w:t>
      </w:r>
      <w:r>
        <w:t>n</w:t>
      </w:r>
      <w:r>
        <w:t>liggjør at diskriminering likevel ikke ha</w:t>
      </w:r>
      <w:r>
        <w:t>r funnet sted, skal det legges til grunn at diskriminering har fu</w:t>
      </w:r>
      <w:r>
        <w:t>n</w:t>
      </w:r>
      <w:r>
        <w:t>net sted. Delt bevisbyrde betyr altså ikke at kravene til skyld er lavere i diskrimineringssaker, men at bevi</w:t>
      </w:r>
      <w:r>
        <w:t>s</w:t>
      </w:r>
      <w:r>
        <w:t>byrden ligger på den som anklages for diskriminering. Beviskravet i diskrimineri</w:t>
      </w:r>
      <w:r>
        <w:t>ngssaker er like fullt alminnelig sannsynlighetsovervekt, jf. Rt. 2014 s. 402.</w:t>
      </w:r>
    </w:p>
    <w:p w:rsidR="00000000" w:rsidRDefault="00D718D0" w:rsidP="00BA3E8B">
      <w:pPr>
        <w:pStyle w:val="Overskrift4"/>
      </w:pPr>
      <w:r>
        <w:t>Rettssikkerhet</w:t>
      </w:r>
    </w:p>
    <w:p w:rsidR="00000000" w:rsidRDefault="00D718D0" w:rsidP="00BA3E8B">
      <w:r>
        <w:t>Et grunnleggende premiss for at nemnda skal kunne ilegge oppreisning er at det er rettssikke</w:t>
      </w:r>
      <w:r>
        <w:t>r</w:t>
      </w:r>
      <w:r>
        <w:t>hetsme</w:t>
      </w:r>
      <w:r>
        <w:t>s</w:t>
      </w:r>
      <w:r>
        <w:t>sig forsvarlig. For en utførlig drøf</w:t>
      </w:r>
      <w:r>
        <w:t>telse av rettssikkerheten i disse sakene, se drøftelsen ovenfor i kapittel 2.5.4.3.</w:t>
      </w:r>
    </w:p>
    <w:p w:rsidR="00000000" w:rsidRDefault="00D718D0" w:rsidP="00BA3E8B">
      <w:r>
        <w:t>Departementet vil imidlertid bemerke at det primære siktemålet med oppreisning er å gi den diskr</w:t>
      </w:r>
      <w:r>
        <w:t>i</w:t>
      </w:r>
      <w:r>
        <w:t>minerte en kompensasjon for selve krenkelsen. Dette tilsier at rettssikkerh</w:t>
      </w:r>
      <w:r>
        <w:t>etskravene ikke nødvendigvis trenger å være like strenge som ved ileggelse av administrative sanksjoner, som anses som straff etter den europeiske me</w:t>
      </w:r>
      <w:r>
        <w:t>n</w:t>
      </w:r>
      <w:r>
        <w:t>neskerettskonvensjonen.</w:t>
      </w:r>
    </w:p>
    <w:p w:rsidR="00000000" w:rsidRDefault="00D718D0" w:rsidP="00BA3E8B">
      <w:r>
        <w:t>Departementet mener videre at det ikke er noen rettssikkerhetsmessige utfordringer</w:t>
      </w:r>
      <w:r>
        <w:t xml:space="preserve"> knyttet til det å gi nemnda myndighet til å ilegge erstatning i enkle saksforhold i saker om seksuell trakassering. Dette dreier seg om uomtvistede krav som i hovedsak begrenses oppad til 10 000 kroner.</w:t>
      </w:r>
    </w:p>
    <w:p w:rsidR="00000000" w:rsidRDefault="00D718D0" w:rsidP="00BA3E8B">
      <w:pPr>
        <w:pStyle w:val="Overskrift4"/>
      </w:pPr>
      <w:r>
        <w:t>Brudd på vernebestemmelsen i likesti</w:t>
      </w:r>
      <w:r>
        <w:t>llings- og diskrimineringsloven</w:t>
      </w:r>
    </w:p>
    <w:p w:rsidR="00000000" w:rsidRDefault="00D718D0" w:rsidP="00BA3E8B">
      <w:pPr>
        <w:pStyle w:val="Undertittel"/>
      </w:pPr>
      <w:r>
        <w:t>Generelt om vernebestemmelsen</w:t>
      </w:r>
    </w:p>
    <w:p w:rsidR="00000000" w:rsidRDefault="00D718D0" w:rsidP="00BA3E8B">
      <w:r>
        <w:t>Vernebestemmelsen i likestillings- og diskrimineringsloven § 13 sjette ledd retter seg mot a</w:t>
      </w:r>
      <w:r>
        <w:t>r</w:t>
      </w:r>
      <w:r>
        <w:t>beidsgivere og ledelsen i organisasjoner og utdanningsinstitusjoner. Bestemmelsen er todelt og omfatt</w:t>
      </w:r>
      <w:r>
        <w:t>er en plikt til å forebygge trakassering på grunn av kjønn, graviditet, permisjon i forbi</w:t>
      </w:r>
      <w:r>
        <w:t>n</w:t>
      </w:r>
      <w:r>
        <w:t>delse med fødsel, omsorgsoppg</w:t>
      </w:r>
      <w:r>
        <w:t>a</w:t>
      </w:r>
      <w:r>
        <w:t>ver, etnisitet (blant annet nasjonal opprinnelse, avstamning, hudfarge og språk), religion, livssyn, fun</w:t>
      </w:r>
      <w:r>
        <w:t>k</w:t>
      </w:r>
      <w:r>
        <w:t>sjonsnedsettelse, seksuell orie</w:t>
      </w:r>
      <w:r>
        <w:t>ntering, kjønnsidentitet og kjønnsuttrykk, og en plikt til å forhindre at slik trakassering fortsetter dersom den ansvarlige får kjennskap til at det forekommer.</w:t>
      </w:r>
    </w:p>
    <w:p w:rsidR="00000000" w:rsidRDefault="00D718D0" w:rsidP="00BA3E8B">
      <w:r>
        <w:t>Med plikt til å forebygge menes tiltak av preventiv karakter, som for eksempel iverksettelse a</w:t>
      </w:r>
      <w:r>
        <w:t>v og u</w:t>
      </w:r>
      <w:r>
        <w:t>t</w:t>
      </w:r>
      <w:r>
        <w:t>forming av retningslinjer for varsling av trakassering. Plikten til å forhindre innebærer å gripe fatt i akt</w:t>
      </w:r>
      <w:r>
        <w:t>u</w:t>
      </w:r>
      <w:r>
        <w:t>elle situasjoner med påstått trakassering og utrede hva som har skjedd og komme med forslag til løsning. Det stilles ikke krav om at den ans</w:t>
      </w:r>
      <w:r>
        <w:t>varlige faktisk har forhindret trakass</w:t>
      </w:r>
      <w:r>
        <w:t>e</w:t>
      </w:r>
      <w:r>
        <w:t>ringen. Det er tilstrekkelig at den ansvarlige har forsøkt å forhindre trakasseringen. Den som opplever seg trakassert skal ikke måtte bevise at trakassering har skjedd. Dette skal heller ikke være gjenstand for bevis</w:t>
      </w:r>
      <w:r>
        <w:t>føring ved håndhevingen av bestemmelsen. Bevistemaet er om den ansvarlige har gjort nok for å forhindre trakasseringen. Det vises i denne forbindelse til Lik</w:t>
      </w:r>
      <w:r>
        <w:t>e</w:t>
      </w:r>
      <w:r>
        <w:t>stillings- og diskrimineringsnemndas vedtak 10/2014, der det fremgår at:</w:t>
      </w:r>
    </w:p>
    <w:p w:rsidR="00000000" w:rsidRDefault="00D718D0" w:rsidP="00BA3E8B">
      <w:pPr>
        <w:pStyle w:val="blokksit"/>
      </w:pPr>
      <w:r>
        <w:lastRenderedPageBreak/>
        <w:t>«Etter nemndas syn, må en</w:t>
      </w:r>
      <w:r>
        <w:t xml:space="preserve"> virksomhets forebyggingstiltak vurderes i lys av dens størrelse og ti</w:t>
      </w:r>
      <w:r>
        <w:t>d</w:t>
      </w:r>
      <w:r>
        <w:t>lig</w:t>
      </w:r>
      <w:r>
        <w:t>e</w:t>
      </w:r>
      <w:r>
        <w:t>re problemer knyttet til trakassering. Det er for eksempel ikke nødvendigvis hensiktsmessig å ha store holdningskampanjer mot trakassering i små bedrifter hvor trakassering ikke tid</w:t>
      </w:r>
      <w:r>
        <w:t>ligere har vært tatt opp som et problem.</w:t>
      </w:r>
    </w:p>
    <w:p w:rsidR="00000000" w:rsidRDefault="00D718D0" w:rsidP="00BA3E8B">
      <w:pPr>
        <w:pStyle w:val="blokksit"/>
      </w:pPr>
      <w:r>
        <w:t>C har generelle retningslinjer/reglement som også omfatter etnisk trakassering. Videre har vir</w:t>
      </w:r>
      <w:r>
        <w:t>k</w:t>
      </w:r>
      <w:r>
        <w:t>somheten re</w:t>
      </w:r>
      <w:r>
        <w:t>t</w:t>
      </w:r>
      <w:r>
        <w:t>ningslinjer for varsling. Etter nemndas syn er dette tilstrekkelig forebyggende tiltak sett hen til antall a</w:t>
      </w:r>
      <w:r>
        <w:t>nsatte i C. Da det heller ikke har forekommet påstander om trakassering verken før e</w:t>
      </w:r>
      <w:r>
        <w:t>l</w:t>
      </w:r>
      <w:r>
        <w:t>ler etter hendelsen på julebordet, fremstår også virksomhetens forebyggende tiltak som ti</w:t>
      </w:r>
      <w:r>
        <w:t>l</w:t>
      </w:r>
      <w:r>
        <w:t>strekkelige.</w:t>
      </w:r>
    </w:p>
    <w:p w:rsidR="00000000" w:rsidRDefault="00D718D0" w:rsidP="00BA3E8B">
      <w:pPr>
        <w:pStyle w:val="blokksit"/>
      </w:pPr>
      <w:r>
        <w:t>Plikten til «å søke å hindre» innebærer at arbeidsgiver har en «plik</w:t>
      </w:r>
      <w:r>
        <w:t>t til å gripe fatt i aktuelle pr</w:t>
      </w:r>
      <w:r>
        <w:t>o</w:t>
      </w:r>
      <w:r>
        <w:t>blemer og å utrede hva som har skjedd og komme fram til en løsning. Det er tilstrekkelig at den a</w:t>
      </w:r>
      <w:r>
        <w:t>n</w:t>
      </w:r>
      <w:r>
        <w:t>svarlige har forsøkt å hindre trakasseringen, det kreves ikke at trakasseringen faktisk er fo</w:t>
      </w:r>
      <w:r>
        <w:t>r</w:t>
      </w:r>
      <w:r>
        <w:t>hindret.», jf. Ot.prp. nr. 33 (</w:t>
      </w:r>
      <w:r>
        <w:t>2004–2005) side 208.»</w:t>
      </w:r>
    </w:p>
    <w:p w:rsidR="00000000" w:rsidRDefault="00D718D0" w:rsidP="00BA3E8B">
      <w:r>
        <w:t>Det er Diskrimineringsnemnda som håndhever vernebestemmelsen, men nemnda har ikke myndighet til å ilegge oppreisning og erstatning. Et eventuelt krav om oppreisning og erstatning må derfor fremmes for de ordinære domstoler.</w:t>
      </w:r>
    </w:p>
    <w:p w:rsidR="00000000" w:rsidRDefault="00D718D0" w:rsidP="00BA3E8B">
      <w:r>
        <w:t>Brudd på v</w:t>
      </w:r>
      <w:r>
        <w:t>ernebestemmelsen er uttrykkelig unntatt fra adgangen til å kreve oppreisning og erstatning etter likestillings- og diskrimineringsloven, jf. § 38 første ledd bokstav a.</w:t>
      </w:r>
    </w:p>
    <w:p w:rsidR="00000000" w:rsidRDefault="00D718D0" w:rsidP="00BA3E8B">
      <w:pPr>
        <w:pStyle w:val="Undertittel"/>
      </w:pPr>
      <w:r>
        <w:t>Mulige sanksjoner i likestillings- og diskrimineringsloven</w:t>
      </w:r>
    </w:p>
    <w:p w:rsidR="00000000" w:rsidRDefault="00D718D0" w:rsidP="00BA3E8B">
      <w:r>
        <w:t>Brudd på vernebestemmelsen e</w:t>
      </w:r>
      <w:r>
        <w:t>r altså uttrykkelig unntatt fra adgangen til å kreve oppreisning og ersta</w:t>
      </w:r>
      <w:r>
        <w:t>t</w:t>
      </w:r>
      <w:r>
        <w:t>ning etter likestillings- og diskrimineringsloven. Krav om oppreisning og erstatning etter de alminnelige erstatningsregler ved overtredelse av vernebestemmelsen, kan imidlertid frem</w:t>
      </w:r>
      <w:r>
        <w:t>mes for de alminnelige domstoler. Spørsmålet er om dette er tilstrekkelig, eller om det isteden bør innføres et objektivt ansvar for arbeidsgiver som fremgår direkte av likestillings- og diskrim</w:t>
      </w:r>
      <w:r>
        <w:t>i</w:t>
      </w:r>
      <w:r>
        <w:t>neringsloven.</w:t>
      </w:r>
    </w:p>
    <w:p w:rsidR="00000000" w:rsidRDefault="00D718D0" w:rsidP="00BA3E8B">
      <w:r>
        <w:t>I opplæringslova § </w:t>
      </w:r>
      <w:r>
        <w:t>9 A-14, som regulerer skoleeiers erstatningsansvar ved brudd på elevens rett til et godt psykososialt arbeidsmiljø, herunder brudd på skoleeiers aktivitetsplikt for å sikre dette i henhold til oppl</w:t>
      </w:r>
      <w:r>
        <w:t>æ</w:t>
      </w:r>
      <w:r>
        <w:t>ringslova kapittel 9 A, fremgår ikke ansvaret direkte av l</w:t>
      </w:r>
      <w:r>
        <w:t>oven. Opplæringslova viser til de alminn</w:t>
      </w:r>
      <w:r>
        <w:t>e</w:t>
      </w:r>
      <w:r>
        <w:t>lige e</w:t>
      </w:r>
      <w:r>
        <w:t>r</w:t>
      </w:r>
      <w:r>
        <w:t>statningsrettslige reglene:</w:t>
      </w:r>
    </w:p>
    <w:p w:rsidR="00000000" w:rsidRDefault="00D718D0" w:rsidP="00BA3E8B">
      <w:pPr>
        <w:pStyle w:val="blokksit"/>
      </w:pPr>
      <w:r>
        <w:t>«Reglane i lov 13. juni 1969 nr. 26 om skadeserstatning kapittel 2 gjeld for saker om psykosos</w:t>
      </w:r>
      <w:r>
        <w:t>i</w:t>
      </w:r>
      <w:r>
        <w:t>alt sk</w:t>
      </w:r>
      <w:r>
        <w:t>o</w:t>
      </w:r>
      <w:r>
        <w:t>lemiljø etter reglane i dette kapitlet.»</w:t>
      </w:r>
    </w:p>
    <w:p w:rsidR="00000000" w:rsidRDefault="00D718D0" w:rsidP="00BA3E8B">
      <w:r>
        <w:t>Varslingsutvalget har i sin utredning</w:t>
      </w:r>
      <w:r>
        <w:t xml:space="preserve"> om varsling i arbeidslivet, NOU 2018:6, foreslått å lovfeste en rett til erstatning og oppreisning etter alminnelige erstatningsrettslige regler for brudd på omsorgsplikten ved varsling av kritikkverdige forhold i selve varslingskapittelet i arbeidsmi</w:t>
      </w:r>
      <w:r>
        <w:t>l</w:t>
      </w:r>
      <w:r>
        <w:t>jøl</w:t>
      </w:r>
      <w:r>
        <w:t>oven. Denne omsorgsplikten har likhetstrekk med arbeidsgivers plikter etter vernebeste</w:t>
      </w:r>
      <w:r>
        <w:t>m</w:t>
      </w:r>
      <w:r>
        <w:t>melsen i likestillings- og diskrimineringsl</w:t>
      </w:r>
      <w:r>
        <w:t>o</w:t>
      </w:r>
      <w:r>
        <w:t>ven § 13 sjette ledd.</w:t>
      </w:r>
    </w:p>
    <w:p w:rsidR="00000000" w:rsidRDefault="00D718D0" w:rsidP="00BA3E8B">
      <w:r>
        <w:t>Av Falken-dommen (Rt. 1997 s. 786) fremgår at en arbeidsgiver kan holdes objektivt ansvarlig etter de a</w:t>
      </w:r>
      <w:r>
        <w:t>l</w:t>
      </w:r>
      <w:r>
        <w:t>minnelige erstatningsreglene. Førstevoterende har i dommen vist til at:</w:t>
      </w:r>
    </w:p>
    <w:p w:rsidR="00000000" w:rsidRDefault="00D718D0" w:rsidP="00BA3E8B">
      <w:pPr>
        <w:pStyle w:val="blokksit"/>
        <w:rPr>
          <w:rFonts w:ascii="Times New Roman" w:hAnsi="Times New Roman" w:cs="Times New Roman"/>
          <w:szCs w:val="24"/>
          <w:lang w:val="en-US"/>
        </w:rPr>
      </w:pPr>
      <w:r>
        <w:t>«Jeg antar at det innenfor rammen av reglene om skyldansvar vil kunne være grunnlag for å ho</w:t>
      </w:r>
      <w:r>
        <w:t>l</w:t>
      </w:r>
      <w:r>
        <w:t>de en arbeidsgiver, og også medarbeidere på en arbeidsplass, erstatningsrettslig ansvarlig</w:t>
      </w:r>
      <w:r>
        <w:t>e for skader av f</w:t>
      </w:r>
      <w:r>
        <w:t>y</w:t>
      </w:r>
      <w:r>
        <w:t>sisk og psykisk karakter som en arbeidstaker har pådradd seg som følge av slike f</w:t>
      </w:r>
      <w:r>
        <w:t>e</w:t>
      </w:r>
      <w:r>
        <w:t>nomener som man betegner som mobbing.»</w:t>
      </w:r>
    </w:p>
    <w:p w:rsidR="00000000" w:rsidRDefault="00D718D0" w:rsidP="00BA3E8B">
      <w:r>
        <w:lastRenderedPageBreak/>
        <w:t>Mindretallet i saken har imidlertid vist til at:</w:t>
      </w:r>
    </w:p>
    <w:p w:rsidR="00000000" w:rsidRDefault="00D718D0" w:rsidP="00BA3E8B">
      <w:pPr>
        <w:pStyle w:val="blokksit"/>
      </w:pPr>
      <w:r>
        <w:t>«… jeg finner det ikke riktig å åpne for en slik utvidelse av arbeid</w:t>
      </w:r>
      <w:r>
        <w:t>sgiveransvaret som et generelt o</w:t>
      </w:r>
      <w:r>
        <w:t>b</w:t>
      </w:r>
      <w:r>
        <w:t>jektivt ansvar for mobbeskader etter min mening vil medføre.»</w:t>
      </w:r>
    </w:p>
    <w:p w:rsidR="00000000" w:rsidRDefault="00D718D0" w:rsidP="00BA3E8B">
      <w:r>
        <w:t xml:space="preserve">Det er liten tvil om at arbeidsgivers forebyggende arbeid er særdeles viktig, og det må også antas at et objektivt ansvar for arbeidsgiver vil kunne bidra til å </w:t>
      </w:r>
      <w:r>
        <w:t>effektivisere vernebestemmelsen.</w:t>
      </w:r>
    </w:p>
    <w:p w:rsidR="00000000" w:rsidRDefault="00D718D0" w:rsidP="00BA3E8B">
      <w:r>
        <w:t>Departementet mener likevel det kan føre for langt å holde arbeidsgiver objektivt ansvarlig etter lik</w:t>
      </w:r>
      <w:r>
        <w:t>e</w:t>
      </w:r>
      <w:r>
        <w:t>stillings- og diskrimineringsloven. Et objektivt ansvar vil kunne innebære at arbeidsgiveren hefter selv om pliktene ette</w:t>
      </w:r>
      <w:r>
        <w:t>r likestillings- og diskrimineringsloven er oppfylt. Etter depart</w:t>
      </w:r>
      <w:r>
        <w:t>e</w:t>
      </w:r>
      <w:r>
        <w:t>mentets mening vil et generelt objektivt ansvar for arbeidsgiver være å gå for langt, og det er vanskelig å se at en slik utvidelse av ansv</w:t>
      </w:r>
      <w:r>
        <w:t>a</w:t>
      </w:r>
      <w:r>
        <w:t>ret vil være ti</w:t>
      </w:r>
      <w:r>
        <w:t>l</w:t>
      </w:r>
      <w:r>
        <w:t>strekkelig begrunnet i de hensyn s</w:t>
      </w:r>
      <w:r>
        <w:t>om vernebestemmelsen skal ivareta.</w:t>
      </w:r>
    </w:p>
    <w:p w:rsidR="00000000" w:rsidRDefault="00D718D0" w:rsidP="00BA3E8B">
      <w:r>
        <w:t>Departementet vil bemerke at regjeringen har foreslått en styrking av aktivitets- og redegjøre</w:t>
      </w:r>
      <w:r>
        <w:t>l</w:t>
      </w:r>
      <w:r>
        <w:t>sespli</w:t>
      </w:r>
      <w:r>
        <w:t>k</w:t>
      </w:r>
      <w:r>
        <w:t>ten, se kapittel 3. Forslaget innebærer blant annet at ombudet skal få ansvar for veile</w:t>
      </w:r>
      <w:r>
        <w:t>d</w:t>
      </w:r>
      <w:r>
        <w:t>ningen, både av private og offe</w:t>
      </w:r>
      <w:r>
        <w:t>ntlige aktører. Aktivitetsplikten skal også konkretiseres og tyd</w:t>
      </w:r>
      <w:r>
        <w:t>e</w:t>
      </w:r>
      <w:r>
        <w:t>liggjøres ytterligere, også når det gjelder aktivt arbeid mot seksuell trakassering på arbeid</w:t>
      </w:r>
      <w:r>
        <w:t>s</w:t>
      </w:r>
      <w:r>
        <w:t>plassen. Det foreslås også at ombudets kontroll skal gje</w:t>
      </w:r>
      <w:r>
        <w:t>n</w:t>
      </w:r>
      <w:r>
        <w:t>nomføres slik at den blir en reell støtt</w:t>
      </w:r>
      <w:r>
        <w:t>e i kvalitetsutviklingen av virksomheters likesti</w:t>
      </w:r>
      <w:r>
        <w:t>l</w:t>
      </w:r>
      <w:r>
        <w:t>lingsarbeid. Ombudets oppfølgingsarbeid vil i praksis kunne innebære at ombudet gjennomgår virkso</w:t>
      </w:r>
      <w:r>
        <w:t>m</w:t>
      </w:r>
      <w:r>
        <w:t>hetens likestillingsredegj</w:t>
      </w:r>
      <w:r>
        <w:t>ø</w:t>
      </w:r>
      <w:r>
        <w:t>relser, an</w:t>
      </w:r>
      <w:r>
        <w:t>a</w:t>
      </w:r>
      <w:r>
        <w:t>lyserer funnene og kommer med forslag til forbedringstiltak og sty</w:t>
      </w:r>
      <w:r>
        <w:t>r</w:t>
      </w:r>
      <w:r>
        <w:t>kin</w:t>
      </w:r>
      <w:r>
        <w:t>g av innsats. Veilednings- og kontrollfunksjonen skal i henhold til forslaget slås sammen, slik at ko</w:t>
      </w:r>
      <w:r>
        <w:t>n</w:t>
      </w:r>
      <w:r>
        <w:t>troll og oppfølging får en «mykere innretning». Departementet mener at forslaget om en styrking av akt</w:t>
      </w:r>
      <w:r>
        <w:t>i</w:t>
      </w:r>
      <w:r>
        <w:t>vitets- og r</w:t>
      </w:r>
      <w:r>
        <w:t>e</w:t>
      </w:r>
      <w:r>
        <w:t>degjørelsesplikten vil kunne bidra til</w:t>
      </w:r>
      <w:r>
        <w:t xml:space="preserve"> å forebygge seksuell trakassering i arbeidslivet.</w:t>
      </w:r>
    </w:p>
    <w:p w:rsidR="00000000" w:rsidRDefault="00D718D0" w:rsidP="00BA3E8B">
      <w:r>
        <w:t>Departementet mener på denne bakgrunn at dette fanges opp av de alminnelige erstatningsrett</w:t>
      </w:r>
      <w:r>
        <w:t>s</w:t>
      </w:r>
      <w:r>
        <w:t>lige reglene i skadeserstatningsloven. En hovedregel om objektivt ansvar for arbeidsgiver i l</w:t>
      </w:r>
      <w:r>
        <w:t>i</w:t>
      </w:r>
      <w:r>
        <w:t>kestillings- og dis</w:t>
      </w:r>
      <w:r>
        <w:t>krimin</w:t>
      </w:r>
      <w:r>
        <w:t>e</w:t>
      </w:r>
      <w:r>
        <w:t>ringsloven vil trekke arbeidsgiveransvaret for langt. Falken-dommen har dessuten vist at de alminnelige erstatningsreglene åpner for å pålegge objektivt arbeidsg</w:t>
      </w:r>
      <w:r>
        <w:t>i</w:t>
      </w:r>
      <w:r>
        <w:t>veransvar i særlige tilfeller. Det å pålegge arbeid</w:t>
      </w:r>
      <w:r>
        <w:t>s</w:t>
      </w:r>
      <w:r>
        <w:t>giver et objektivt ansvar for seksu</w:t>
      </w:r>
      <w:r>
        <w:t>ell traka</w:t>
      </w:r>
      <w:r>
        <w:t>s</w:t>
      </w:r>
      <w:r>
        <w:t>sering som har funnet sted på arbeidsplassen er, etter depart</w:t>
      </w:r>
      <w:r>
        <w:t>e</w:t>
      </w:r>
      <w:r>
        <w:t>mentets mening, en svært inngr</w:t>
      </w:r>
      <w:r>
        <w:t>i</w:t>
      </w:r>
      <w:r>
        <w:t>pende sanksjon, som av rettssikkerhetshensyn bør ile</w:t>
      </w:r>
      <w:r>
        <w:t>g</w:t>
      </w:r>
      <w:r>
        <w:t>ges av de alminnelige domstoler.</w:t>
      </w:r>
    </w:p>
    <w:p w:rsidR="00000000" w:rsidRDefault="00D718D0" w:rsidP="00BA3E8B">
      <w:pPr>
        <w:pStyle w:val="Overskrift4"/>
      </w:pPr>
      <w:r>
        <w:t>Konklusjon</w:t>
      </w:r>
    </w:p>
    <w:p w:rsidR="00000000" w:rsidRDefault="00D718D0" w:rsidP="00BA3E8B">
      <w:r>
        <w:t>Departementet opprettholder forslaget om</w:t>
      </w:r>
      <w:r>
        <w:t xml:space="preserve"> at Diskrimineringsnemnda skal gis myndighet til å ilegge oppreisning i saker om seksuell trakassering etter likestillings- og diskrimineringsloven innenfor arbeid</w:t>
      </w:r>
      <w:r>
        <w:t>s</w:t>
      </w:r>
      <w:r>
        <w:t>livet.</w:t>
      </w:r>
    </w:p>
    <w:p w:rsidR="00000000" w:rsidRDefault="00D718D0" w:rsidP="00BA3E8B">
      <w:r>
        <w:t>Departementet opprettholder også forslaget om at Diskrimineringsnemnda skal gis myndi</w:t>
      </w:r>
      <w:r>
        <w:t>ghet til å ilegge erstatning i enkle saksforhold både i og utenfor arbeidslivet.</w:t>
      </w:r>
    </w:p>
    <w:p w:rsidR="00000000" w:rsidRDefault="00D718D0" w:rsidP="00BA3E8B">
      <w:r>
        <w:t>Effektive sanksjoner forutsetter at lovbrudd blir håndhevet. Hensynet til å oppnå et effektivt diskrim</w:t>
      </w:r>
      <w:r>
        <w:t>i</w:t>
      </w:r>
      <w:r>
        <w:t>n</w:t>
      </w:r>
      <w:r>
        <w:t>e</w:t>
      </w:r>
      <w:r>
        <w:t>ringsvern med effektiv ressursbruk taler for at nemnda gis myndighet t</w:t>
      </w:r>
      <w:r>
        <w:t>il å ilegge oppreisning i saker innenfor arbeidslivet og erstatning i enkle saksforhold. Et reelt alternativ til domstolsbehandling vil være en raskere og rimeligere løsning for partene.</w:t>
      </w:r>
    </w:p>
    <w:p w:rsidR="00000000" w:rsidRDefault="00D718D0" w:rsidP="00BA3E8B">
      <w:r>
        <w:t xml:space="preserve">Departementet foreslår i tillegg at det tas inn en henvisning til de </w:t>
      </w:r>
      <w:r>
        <w:t>alminnelige erstatningsrettslige reglene i et nytt fjerde ledd i diskrimineringsloven § 38 fjerde ledd. Dette for å synliggjøre a</w:t>
      </w:r>
      <w:r>
        <w:t>d</w:t>
      </w:r>
      <w:r>
        <w:lastRenderedPageBreak/>
        <w:t>gangen til å kreve op</w:t>
      </w:r>
      <w:r>
        <w:t>p</w:t>
      </w:r>
      <w:r>
        <w:t>reisning og erstatning etter de alminnelige erstatningsreglene, og innebærer blant annet at a</w:t>
      </w:r>
      <w:r>
        <w:t>r</w:t>
      </w:r>
      <w:r>
        <w:t>beidsgiver</w:t>
      </w:r>
      <w:r>
        <w:t xml:space="preserve"> kan bli ansvarlig dersom det ikke er gjort tilstrekkelig for å forebygge eller forhindre trakass</w:t>
      </w:r>
      <w:r>
        <w:t>e</w:t>
      </w:r>
      <w:r>
        <w:t>ring mellom arbeid</w:t>
      </w:r>
      <w:r>
        <w:t>s</w:t>
      </w:r>
      <w:r>
        <w:t>takere på arbeidsplassen.</w:t>
      </w:r>
    </w:p>
    <w:p w:rsidR="00000000" w:rsidRDefault="00D718D0" w:rsidP="00BA3E8B">
      <w:r>
        <w:t>Departementet opprettholder ikke forslaget om en endring i diskrimineringsombudsloven § 12. D</w:t>
      </w:r>
      <w:r>
        <w:t>e</w:t>
      </w:r>
      <w:r>
        <w:t>partementet foreslå</w:t>
      </w:r>
      <w:r>
        <w:t>r isteden en presisering i likestillings- og diskrimineringsloven § 38 annet ledd, slik at det klart fremgår at arbeidsgiver ikke kan holdes objektivt ansvarlig dersom en ansatt trakasserer en ko</w:t>
      </w:r>
      <w:r>
        <w:t>l</w:t>
      </w:r>
      <w:r>
        <w:t>lega.</w:t>
      </w:r>
    </w:p>
    <w:p w:rsidR="00000000" w:rsidRDefault="00D718D0" w:rsidP="00BA3E8B">
      <w:r>
        <w:t>Departementet ønsker med denne endringen å tydeliggjør</w:t>
      </w:r>
      <w:r>
        <w:t>e grensene for arbeidsgivers objektive a</w:t>
      </w:r>
      <w:r>
        <w:t>n</w:t>
      </w:r>
      <w:r>
        <w:t>svar.</w:t>
      </w:r>
    </w:p>
    <w:p w:rsidR="00000000" w:rsidRDefault="00D718D0" w:rsidP="00BA3E8B">
      <w:pPr>
        <w:pStyle w:val="Overskrift2"/>
      </w:pPr>
      <w:r>
        <w:t>Veilednings- og hjelpetilbudet styrkes</w:t>
      </w:r>
    </w:p>
    <w:p w:rsidR="00000000" w:rsidRDefault="00D718D0" w:rsidP="00BA3E8B">
      <w:pPr>
        <w:pStyle w:val="Overskrift3"/>
      </w:pPr>
      <w:r>
        <w:t>Gjeldende rett</w:t>
      </w:r>
    </w:p>
    <w:p w:rsidR="00000000" w:rsidRDefault="00D718D0" w:rsidP="00BA3E8B">
      <w:r>
        <w:t>Forvaltningsorganer har en alminnelig veiledningsplikt innenfor sitt saksområde, jf. forval</w:t>
      </w:r>
      <w:r>
        <w:t>t</w:t>
      </w:r>
      <w:r>
        <w:t>ningsloven § 11.</w:t>
      </w:r>
    </w:p>
    <w:p w:rsidR="00000000" w:rsidRDefault="00D718D0" w:rsidP="00BA3E8B">
      <w:r>
        <w:t>Ombudets sær</w:t>
      </w:r>
      <w:r>
        <w:t>lige veiledningsplikt i diskrimineringssaker fremgår av diskrimineringsombud</w:t>
      </w:r>
      <w:r>
        <w:t>s</w:t>
      </w:r>
      <w:r>
        <w:t>loven § 5 annet ledd:</w:t>
      </w:r>
    </w:p>
    <w:p w:rsidR="00000000" w:rsidRDefault="00D718D0" w:rsidP="00BA3E8B">
      <w:pPr>
        <w:pStyle w:val="blokksit"/>
      </w:pPr>
      <w:r>
        <w:t>«Ombudet skal gi veiledning om bestemmelsene nevnt i § 1 annet ledd. Enhver kan henvende seg til ombudet for veiledning.»</w:t>
      </w:r>
    </w:p>
    <w:p w:rsidR="00000000" w:rsidRDefault="00D718D0" w:rsidP="00BA3E8B">
      <w:pPr>
        <w:pStyle w:val="Overskrift4"/>
      </w:pPr>
      <w:r>
        <w:t>Enkeltsaker</w:t>
      </w:r>
    </w:p>
    <w:p w:rsidR="00000000" w:rsidRDefault="00D718D0" w:rsidP="00BA3E8B">
      <w:r>
        <w:t>Ombudet</w:t>
      </w:r>
      <w:r>
        <w:t xml:space="preserve"> skal i sin veiledning overfor enkeltpersoner gi råd om hvorvidt det de har opplevd kan være i strid med lovverket, eller hvordan de kan løse situasjonen selv. Veiledningen overfor enkeltpersoner er både skriftlig og muntlig. Den muntlige veiledningen skje</w:t>
      </w:r>
      <w:r>
        <w:t>r enten gjennom kontakt på telefon eller ved personlig oppmøte hos ombudet. Veiledningen overfor enkeltpe</w:t>
      </w:r>
      <w:r>
        <w:t>r</w:t>
      </w:r>
      <w:r>
        <w:t>soner innebærer i noen tilfeller også å bistå den trakasserte ved utforming av en skriftlig klage til nemnda.</w:t>
      </w:r>
    </w:p>
    <w:p w:rsidR="00000000" w:rsidRDefault="00D718D0" w:rsidP="00BA3E8B">
      <w:r>
        <w:t>Veiledningsplikten omfatter også å gi in</w:t>
      </w:r>
      <w:r>
        <w:t>formasjon og veiledning om de muligheter loven gir og de sanksjoner som kan være aktuelle, f. eks. veiledning om muligheten til å få en oppsigelsessak behandlet etter arbeid</w:t>
      </w:r>
      <w:r>
        <w:t>s</w:t>
      </w:r>
      <w:r>
        <w:t>miljølovens system.</w:t>
      </w:r>
    </w:p>
    <w:p w:rsidR="00000000" w:rsidRDefault="00D718D0" w:rsidP="00BA3E8B">
      <w:r>
        <w:t>Ombudet skal også i dag gi veiledning i saker om seksuell trak</w:t>
      </w:r>
      <w:r>
        <w:t>assering.</w:t>
      </w:r>
    </w:p>
    <w:p w:rsidR="00000000" w:rsidRDefault="00D718D0" w:rsidP="00BA3E8B">
      <w:r>
        <w:t>Målet med veiledningen i enkeltsaker er først og fremst å gi en juridisk vurdering av saken som kan danne grunnlag for en god håndtering og eventuelt en avslutning av saken. Ombudet gir veiledning om regelverket og om hvilke rettigheter vedkommen</w:t>
      </w:r>
      <w:r>
        <w:t>de har. I og med at ombudet har erfaring med saksfeltet gjennom veile</w:t>
      </w:r>
      <w:r>
        <w:t>d</w:t>
      </w:r>
      <w:r>
        <w:t>ninger på enkeltsaksnivå og kontakten med arbeidsgivere og virksomheter for øvrig i f</w:t>
      </w:r>
      <w:r>
        <w:t>o</w:t>
      </w:r>
      <w:r>
        <w:t>rebyggingsøyemed, vil ombudet lettere kunne forstå de proble</w:t>
      </w:r>
      <w:r>
        <w:t>m</w:t>
      </w:r>
      <w:r>
        <w:t>stillingene sakene reiser og gi relevan</w:t>
      </w:r>
      <w:r>
        <w:t>t rådgivning til de som he</w:t>
      </w:r>
      <w:r>
        <w:t>n</w:t>
      </w:r>
      <w:r>
        <w:t>vender seg. Ombudet kan ved sin veiledning bidra til at den som er utsatt for seksuell trakassering står sterkere i den videre b</w:t>
      </w:r>
      <w:r>
        <w:t>e</w:t>
      </w:r>
      <w:r>
        <w:t>handlingen av saken.</w:t>
      </w:r>
    </w:p>
    <w:p w:rsidR="00000000" w:rsidRDefault="00D718D0" w:rsidP="00BA3E8B">
      <w:pPr>
        <w:pStyle w:val="Overskrift4"/>
      </w:pPr>
      <w:r>
        <w:lastRenderedPageBreak/>
        <w:t>Forebyggende arbeid</w:t>
      </w:r>
    </w:p>
    <w:p w:rsidR="00000000" w:rsidRDefault="00D718D0" w:rsidP="00BA3E8B">
      <w:r>
        <w:t>Det føl</w:t>
      </w:r>
      <w:r>
        <w:t>ger av likestillings- og diskrimineringsloven § 13 siste ledd at arbeidsgivere og ledelsen i organis</w:t>
      </w:r>
      <w:r>
        <w:t>a</w:t>
      </w:r>
      <w:r>
        <w:t>sjoner og utdanningsinstitusjoner innenfor sitt ansvarsområde skal forebygge og fo</w:t>
      </w:r>
      <w:r>
        <w:t>r</w:t>
      </w:r>
      <w:r>
        <w:t>hindre trakassering og seksuell trakassering. Videre har offentlige mynd</w:t>
      </w:r>
      <w:r>
        <w:t>igheter, arbeidslivets organisasjoner og arbeidsgiv</w:t>
      </w:r>
      <w:r>
        <w:t>e</w:t>
      </w:r>
      <w:r>
        <w:t>re, i henhold til likestillings- og diskrimineringsloven kapittel 4, en plikt til å fremme likestilling og hindre di</w:t>
      </w:r>
      <w:r>
        <w:t>s</w:t>
      </w:r>
      <w:r>
        <w:t>kriminering.</w:t>
      </w:r>
    </w:p>
    <w:p w:rsidR="00000000" w:rsidRDefault="00D718D0" w:rsidP="00BA3E8B">
      <w:r>
        <w:t>Sentralt i det forebyggende arbeidet står informasjon, opplæring, identifi</w:t>
      </w:r>
      <w:r>
        <w:t>sering av risikofaktorer, u</w:t>
      </w:r>
      <w:r>
        <w:t>t</w:t>
      </w:r>
      <w:r>
        <w:t>arbeiding og iverksetting av relevante forebyggende tiltak, rutiner for varsling, retningslinjer for håndt</w:t>
      </w:r>
      <w:r>
        <w:t>e</w:t>
      </w:r>
      <w:r>
        <w:t>ring mv.</w:t>
      </w:r>
    </w:p>
    <w:p w:rsidR="00000000" w:rsidRDefault="00D718D0" w:rsidP="00BA3E8B">
      <w:r>
        <w:t>Ombudet gir både skriftlig og muntlig veiledning til de enkelte virksomhetene som kontakter omb</w:t>
      </w:r>
      <w:r>
        <w:t>u</w:t>
      </w:r>
      <w:r>
        <w:t>det. Videre hold</w:t>
      </w:r>
      <w:r>
        <w:t>er ombudets ansatte en rekke foredrag og kurs rettet mot ulike bransjer i næringslivet, a</w:t>
      </w:r>
      <w:r>
        <w:t>r</w:t>
      </w:r>
      <w:r>
        <w:t>beidslivets organisasjoner og tillitsvalgtapparat, rettshjelpstiltak, offentlig virksomhet mv. På denne måten når de ut til mange aktører som har særlige plikter i de</w:t>
      </w:r>
      <w:r>
        <w:t>t for</w:t>
      </w:r>
      <w:r>
        <w:t>e</w:t>
      </w:r>
      <w:r>
        <w:t>byggende arbeidet, både etter a</w:t>
      </w:r>
      <w:r>
        <w:t>r</w:t>
      </w:r>
      <w:r>
        <w:t>beidsmilj</w:t>
      </w:r>
      <w:r>
        <w:t>ø</w:t>
      </w:r>
      <w:r>
        <w:t>loven og etter likestillings- og diskrimineringsloven.</w:t>
      </w:r>
    </w:p>
    <w:p w:rsidR="00000000" w:rsidRDefault="00D718D0" w:rsidP="00BA3E8B">
      <w:r>
        <w:t>Ombudet samarbeider også med andre organer og aktører i det forebyggende arbeidet, både gjennom sin kurs- og foredragsvirksomhet, men også gjennom prosje</w:t>
      </w:r>
      <w:r>
        <w:t>kter. Ombudet har for eksempel siden mai 2017 hatt en samarbeidsavtale med Arbeidstilsynet om etableringen av et operativt samarbeid for felles innsats mot tr</w:t>
      </w:r>
      <w:r>
        <w:t>a</w:t>
      </w:r>
      <w:r>
        <w:t>kassering og seksuell trakassering i utelivs- og overnattingsnæringen.</w:t>
      </w:r>
    </w:p>
    <w:p w:rsidR="00000000" w:rsidRDefault="00D718D0" w:rsidP="00BA3E8B">
      <w:r>
        <w:t>Veilederrollen innebærer f</w:t>
      </w:r>
      <w:r>
        <w:t>or det første å bistå virksomheter og organisasjoner i arbeidet med å lage rutiner og retningslinjer i saker om seksuell trakassering. Det kan dreie seg om å veilede om opplegg for likestilling</w:t>
      </w:r>
      <w:r>
        <w:t>s</w:t>
      </w:r>
      <w:r>
        <w:t>prosjekter, formidle relevant statistikk, informasjonsmateriel</w:t>
      </w:r>
      <w:r>
        <w:t>l og nye forskningsresultater, inngå samarbeid med offentlige myndigheter og andre sentrale aktører for å fremme likestilling.</w:t>
      </w:r>
    </w:p>
    <w:p w:rsidR="00000000" w:rsidRDefault="00D718D0" w:rsidP="00BA3E8B">
      <w:r>
        <w:t>Ombudet skal også veilede om arbeidsgivers aktivitetsplikt. Aktivitets- og redegjørelsesplikten er ombudets viktigste virkemiddel</w:t>
      </w:r>
      <w:r>
        <w:t xml:space="preserve"> i pådriverarbeidet overfor offentlige myndigheter og a</w:t>
      </w:r>
      <w:r>
        <w:t>r</w:t>
      </w:r>
      <w:r>
        <w:t>beidslivet. Alle arbeidsgivere, uansett størrelse, har en generell aktivitetsplikt. Plikten er generelt utformet, og det er opp til hver enkelt virksomhet å vurdere hvilke tiltak som vil være egnet fo</w:t>
      </w:r>
      <w:r>
        <w:t>r deres virksomhet. Målet er å skape bevissthet i virksomhetene og sikre at bedriftene innfører tiltak som er tilpasset for å møte event</w:t>
      </w:r>
      <w:r>
        <w:t>u</w:t>
      </w:r>
      <w:r>
        <w:t>elle utfordringer som kjennetegner den enkelte vir</w:t>
      </w:r>
      <w:r>
        <w:t>k</w:t>
      </w:r>
      <w:r>
        <w:t>somhet. Saker om seksuell trakassering i arbeidslivet er først og fr</w:t>
      </w:r>
      <w:r>
        <w:t>emst et a</w:t>
      </w:r>
      <w:r>
        <w:t>r</w:t>
      </w:r>
      <w:r>
        <w:t>beidsgiveransvar. Ombudet gir veiledning om aktivitetsplikten.</w:t>
      </w:r>
    </w:p>
    <w:p w:rsidR="00000000" w:rsidRDefault="00D718D0" w:rsidP="00BA3E8B">
      <w:r>
        <w:t>Alle offentlige myndigheter har i henhold til likestillings- og diskrimineringsloven en plikt til å jobbe aktivt mot seksuell trakassering. Alle arbeidsgivere, utdanningsinstitusjoner</w:t>
      </w:r>
      <w:r>
        <w:t xml:space="preserve"> og organis</w:t>
      </w:r>
      <w:r>
        <w:t>a</w:t>
      </w:r>
      <w:r>
        <w:t>sjoner har en plikt til å forhindre seksuell trakassering i egen virksomhet. Lovens formål er at det iverksettes tiltak som er reelt forebyggende, ved for eksempel å utarbeide retningslinjer der det fremgår at seksuell trakass</w:t>
      </w:r>
      <w:r>
        <w:t>e</w:t>
      </w:r>
      <w:r>
        <w:t>ring ikke er till</w:t>
      </w:r>
      <w:r>
        <w:t>att, og som gir veiledning for hvordan arbeidsgivere skal reagere dersom noen opplever seg trakassert. Det bør også utarbeides varslingsrutiner, og iverksettes andre tiltak som tar sikte på å endre holdninger for å minske risikoen for trakassering i virkso</w:t>
      </w:r>
      <w:r>
        <w:t>mheten.</w:t>
      </w:r>
    </w:p>
    <w:p w:rsidR="00000000" w:rsidRDefault="00D718D0" w:rsidP="00BA3E8B">
      <w:pPr>
        <w:pStyle w:val="Overskrift3"/>
      </w:pPr>
      <w:r>
        <w:lastRenderedPageBreak/>
        <w:t>Forslag i høringsnotatet</w:t>
      </w:r>
    </w:p>
    <w:p w:rsidR="00000000" w:rsidRDefault="00D718D0" w:rsidP="00BA3E8B">
      <w:r>
        <w:t>Departementet foreslo å styrke veilednings- og hjelpetilbudet til personer som utsettes for se</w:t>
      </w:r>
      <w:r>
        <w:t>k</w:t>
      </w:r>
      <w:r>
        <w:t>suell tr</w:t>
      </w:r>
      <w:r>
        <w:t>a</w:t>
      </w:r>
      <w:r>
        <w:t>kassering.</w:t>
      </w:r>
    </w:p>
    <w:p w:rsidR="00000000" w:rsidRDefault="00D718D0" w:rsidP="00BA3E8B">
      <w:r>
        <w:t xml:space="preserve">Departementet foreslo videre at det presiseres i diskrimineringsombudsloven § 5 at det påhviler </w:t>
      </w:r>
      <w:r>
        <w:t>o</w:t>
      </w:r>
      <w:r>
        <w:t>m</w:t>
      </w:r>
      <w:r>
        <w:t>budet en plikt til veiledning i enkeltsaker.</w:t>
      </w:r>
    </w:p>
    <w:p w:rsidR="00000000" w:rsidRDefault="00D718D0" w:rsidP="00BA3E8B">
      <w:r>
        <w:t>Departementet foreslo også at innholdet i diskrimineringsombudsloven § 5, av pedagogiske hensyn og for å synliggjøre viktigheten av det forebyggende arbeidet, tydeliggjøres.</w:t>
      </w:r>
    </w:p>
    <w:p w:rsidR="00000000" w:rsidRDefault="00D718D0" w:rsidP="00BA3E8B">
      <w:pPr>
        <w:pStyle w:val="Overskrift3"/>
      </w:pPr>
      <w:r>
        <w:t>Høringsinstansenes syn</w:t>
      </w:r>
    </w:p>
    <w:p w:rsidR="00000000" w:rsidRPr="009445FD" w:rsidRDefault="00D718D0" w:rsidP="00BA3E8B">
      <w:pPr>
        <w:rPr>
          <w:rStyle w:val="kursiv"/>
        </w:rPr>
      </w:pPr>
      <w:r>
        <w:rPr>
          <w:rStyle w:val="kursiv"/>
          <w:sz w:val="21"/>
          <w:szCs w:val="21"/>
        </w:rPr>
        <w:t xml:space="preserve">Likestillings- og diskrimineringsombudet </w:t>
      </w:r>
      <w:r>
        <w:t>sier blant annet at:</w:t>
      </w:r>
    </w:p>
    <w:p w:rsidR="00000000" w:rsidRDefault="00D718D0" w:rsidP="00BA3E8B">
      <w:pPr>
        <w:pStyle w:val="blokksit"/>
        <w:rPr>
          <w:rFonts w:ascii="Times New Roman" w:hAnsi="Times New Roman" w:cs="Times New Roman"/>
          <w:szCs w:val="24"/>
          <w:lang w:val="en-US"/>
        </w:rPr>
      </w:pPr>
      <w:r>
        <w:t>«Vi er positive til å få en tydelig veilederrolle i det forebyggende arbeidet mot seksuell trakass</w:t>
      </w:r>
      <w:r>
        <w:t>e</w:t>
      </w:r>
      <w:r>
        <w:t>ring, men vil påpeke at det er avgjørende at ombudet får tilført de nødvendige ressursene, slik</w:t>
      </w:r>
      <w:r>
        <w:t xml:space="preserve"> at denne funksjonen ikke skal gå på bekostning av andre oppgaver i henhold til vårt mandat.»</w:t>
      </w:r>
    </w:p>
    <w:p w:rsidR="00000000" w:rsidRPr="009445FD" w:rsidRDefault="00D718D0" w:rsidP="00BA3E8B">
      <w:pPr>
        <w:rPr>
          <w:rStyle w:val="kursiv"/>
        </w:rPr>
      </w:pPr>
      <w:r>
        <w:rPr>
          <w:rStyle w:val="kursiv"/>
          <w:sz w:val="21"/>
          <w:szCs w:val="21"/>
        </w:rPr>
        <w:t>Diskrimineringsnemnda</w:t>
      </w:r>
      <w:r>
        <w:t xml:space="preserve"> er enig med departementet i at veilednings- og hjelpetilbudet til personer som utsettes for seksuell trakassering bør styrkes. Nemnda er ogs</w:t>
      </w:r>
      <w:r>
        <w:t>å:</w:t>
      </w:r>
    </w:p>
    <w:p w:rsidR="00000000" w:rsidRDefault="00D718D0" w:rsidP="00BA3E8B">
      <w:pPr>
        <w:pStyle w:val="blokksit"/>
      </w:pPr>
      <w:r>
        <w:t>«… positiv til at diskrimineringsombudsloven § 5 annet ledd presiseres, slik at det klart fremgår at Likestillings- og diskrimineringsombudet har en plikt til å gi veiledning i enkeltsaker. Vi ser at det er et klart behov for denne typen en-til-én-veile</w:t>
      </w:r>
      <w:r>
        <w:t>dning.»</w:t>
      </w:r>
    </w:p>
    <w:p w:rsidR="00000000" w:rsidRPr="009445FD" w:rsidRDefault="00D718D0" w:rsidP="00BA3E8B">
      <w:pPr>
        <w:rPr>
          <w:rStyle w:val="kursiv"/>
        </w:rPr>
      </w:pPr>
      <w:r>
        <w:rPr>
          <w:rStyle w:val="kursiv"/>
          <w:sz w:val="21"/>
          <w:szCs w:val="21"/>
        </w:rPr>
        <w:t xml:space="preserve">Arbeidsgiverforeningen Spekter </w:t>
      </w:r>
      <w:r>
        <w:t>viser blant annet til at:</w:t>
      </w:r>
    </w:p>
    <w:p w:rsidR="00000000" w:rsidRDefault="00D718D0" w:rsidP="00BA3E8B">
      <w:pPr>
        <w:pStyle w:val="blokksit"/>
      </w:pPr>
      <w:r>
        <w:t>«Det avgjørende blir at ombudet finner balansen i sin utøvelse av styring av veilederrollen, slik at det ikke oppstår manglende tillit i forholdet til arbeidsgiversiden.»</w:t>
      </w:r>
    </w:p>
    <w:p w:rsidR="00000000" w:rsidRPr="009445FD" w:rsidRDefault="00D718D0" w:rsidP="00BA3E8B">
      <w:pPr>
        <w:rPr>
          <w:rStyle w:val="kursiv"/>
        </w:rPr>
      </w:pPr>
      <w:r>
        <w:rPr>
          <w:rStyle w:val="kursiv"/>
          <w:sz w:val="21"/>
          <w:szCs w:val="21"/>
        </w:rPr>
        <w:t>NHO</w:t>
      </w:r>
      <w:r>
        <w:t xml:space="preserve"> viser til at vei</w:t>
      </w:r>
      <w:r>
        <w:t xml:space="preserve">ledningsregelen i § 5 annet ledd har en helt generell utforming, og således omfatter veiledning innenfor alle diskrimineringsgrunnlagene. De mener derfor det er vanskelig å forstå hvorfor veiledning om seksuell trakassering skal trekkes frem spesielt, for </w:t>
      </w:r>
      <w:r>
        <w:t>eksempel på bekostning av veiledning til gravide eller personer med funksjonsnedsettelser som opplever seg diskriminert:</w:t>
      </w:r>
    </w:p>
    <w:p w:rsidR="00000000" w:rsidRDefault="00D718D0" w:rsidP="00BA3E8B">
      <w:pPr>
        <w:pStyle w:val="blokksit"/>
        <w:rPr>
          <w:rFonts w:ascii="Times New Roman" w:hAnsi="Times New Roman" w:cs="Times New Roman"/>
          <w:szCs w:val="24"/>
          <w:lang w:val="en-US"/>
        </w:rPr>
      </w:pPr>
      <w:r>
        <w:t>«Veiledning knyttet til seksuell trakassering er bare en del av ombudets veiledningsoppgave. Her bør det være tilstrekkelig at dette fr</w:t>
      </w:r>
      <w:r>
        <w:t>emgår av lovens forarbeider.»</w:t>
      </w:r>
    </w:p>
    <w:p w:rsidR="00000000" w:rsidRPr="009445FD" w:rsidRDefault="00D718D0" w:rsidP="00BA3E8B">
      <w:pPr>
        <w:rPr>
          <w:rStyle w:val="kursiv"/>
        </w:rPr>
      </w:pPr>
      <w:r>
        <w:rPr>
          <w:rStyle w:val="kursiv"/>
          <w:sz w:val="21"/>
          <w:szCs w:val="21"/>
        </w:rPr>
        <w:t xml:space="preserve">Likestillings- og diskrimineringsombudet </w:t>
      </w:r>
      <w:r>
        <w:t>mener imidlertid at et tillegg til diskrimineringsombud</w:t>
      </w:r>
      <w:r>
        <w:t>s</w:t>
      </w:r>
      <w:r>
        <w:t>loven § 5 annet ledd vil:</w:t>
      </w:r>
    </w:p>
    <w:p w:rsidR="00000000" w:rsidRDefault="00D718D0" w:rsidP="00BA3E8B">
      <w:pPr>
        <w:pStyle w:val="blokksit"/>
        <w:rPr>
          <w:rFonts w:ascii="Times New Roman" w:hAnsi="Times New Roman" w:cs="Times New Roman"/>
          <w:szCs w:val="24"/>
          <w:lang w:val="en-US"/>
        </w:rPr>
      </w:pPr>
      <w:r>
        <w:t>«…være viktig av pedagogiske hensyn overfor pliktsubjektene, i tillegg til at det fremhever b</w:t>
      </w:r>
      <w:r>
        <w:t>e</w:t>
      </w:r>
      <w:r>
        <w:t>ty</w:t>
      </w:r>
      <w:r>
        <w:t>d</w:t>
      </w:r>
      <w:r>
        <w:t>ningen</w:t>
      </w:r>
      <w:r>
        <w:t xml:space="preserve"> av det forebyggende arbeidet og ombudets rolle i den forbindelse.»</w:t>
      </w:r>
    </w:p>
    <w:p w:rsidR="00000000" w:rsidRDefault="00D718D0" w:rsidP="00BA3E8B">
      <w:r>
        <w:t xml:space="preserve">Mange høringsinstanser viser også til at ombudet må sikres tilstrekkelige ressurser, slik at de kan møte det økte veiledningsbehovet i saker om seksuell trakassering. </w:t>
      </w:r>
      <w:r>
        <w:rPr>
          <w:rStyle w:val="kursiv"/>
          <w:sz w:val="21"/>
          <w:szCs w:val="21"/>
        </w:rPr>
        <w:t>LO</w:t>
      </w:r>
      <w:r>
        <w:t xml:space="preserve"> sier for eksempel </w:t>
      </w:r>
      <w:r>
        <w:t>at:</w:t>
      </w:r>
    </w:p>
    <w:p w:rsidR="00000000" w:rsidRDefault="00D718D0" w:rsidP="00BA3E8B">
      <w:pPr>
        <w:pStyle w:val="blokksit"/>
      </w:pPr>
      <w:r>
        <w:t>«Det er viktig at LDO har kapasitet til å møte både en økende etterspørsel og nye krav, uten at det går på urimelig bekostning av andre viktige oppgaver hos ombudet.»</w:t>
      </w:r>
    </w:p>
    <w:p w:rsidR="00000000" w:rsidRDefault="00D718D0" w:rsidP="00BA3E8B">
      <w:pPr>
        <w:pStyle w:val="Overskrift3"/>
      </w:pPr>
      <w:r>
        <w:lastRenderedPageBreak/>
        <w:t>Departementets vurderinger</w:t>
      </w:r>
    </w:p>
    <w:p w:rsidR="00000000" w:rsidRDefault="00D718D0" w:rsidP="00BA3E8B">
      <w:pPr>
        <w:pStyle w:val="Overskrift4"/>
      </w:pPr>
      <w:r>
        <w:t>Innledning</w:t>
      </w:r>
    </w:p>
    <w:p w:rsidR="00000000" w:rsidRDefault="00D718D0" w:rsidP="00BA3E8B">
      <w:r>
        <w:t>Departementet foreslår å gi Diskrimineringsnemnda myndighet til å håndheve likestillings- og diskrim</w:t>
      </w:r>
      <w:r>
        <w:t>i</w:t>
      </w:r>
      <w:r>
        <w:t>neringslovens forbud mot seksuell trakassering. Det må antas at dette vil føre til et økt veiledningsbehov, både for enkeltpersoner som utsettes for trakas</w:t>
      </w:r>
      <w:r>
        <w:t>sering og for virksomheter, organisasjoner og utda</w:t>
      </w:r>
      <w:r>
        <w:t>n</w:t>
      </w:r>
      <w:r>
        <w:t>ningsinstitusjoner som ønsker råd og veiledning om hvordan de skal håndtere enkeltsaker og hvordan de skal utarbeide klare retningslinjer og varslingsrutiner internt.</w:t>
      </w:r>
    </w:p>
    <w:p w:rsidR="00000000" w:rsidRDefault="00D718D0" w:rsidP="00BA3E8B">
      <w:r>
        <w:t>Likestillings- og diskrimineringsombud</w:t>
      </w:r>
      <w:r>
        <w:t>et har i dag en sentral rolle som rettighetsveileder på diskr</w:t>
      </w:r>
      <w:r>
        <w:t>i</w:t>
      </w:r>
      <w:r>
        <w:t>min</w:t>
      </w:r>
      <w:r>
        <w:t>e</w:t>
      </w:r>
      <w:r>
        <w:t>ringsområdet, og har bred erfaring med veiledning. Denne veiledningsrollen bør u</w:t>
      </w:r>
      <w:r>
        <w:t>t</w:t>
      </w:r>
      <w:r>
        <w:t>vikles og styrkes.</w:t>
      </w:r>
    </w:p>
    <w:p w:rsidR="00000000" w:rsidRDefault="00D718D0" w:rsidP="00BA3E8B">
      <w:r>
        <w:t>Ombudet gir veiledning til enkeltpersoner som har vært utsatt for seksuell trakassering, v</w:t>
      </w:r>
      <w:r>
        <w:t>eile</w:t>
      </w:r>
      <w:r>
        <w:t>d</w:t>
      </w:r>
      <w:r>
        <w:t>ning til a</w:t>
      </w:r>
      <w:r>
        <w:t>r</w:t>
      </w:r>
      <w:r>
        <w:t>beidsgivere, organisasjoner og utdanningsinstitusjoner i pågående saker og veiledning knyttet til vir</w:t>
      </w:r>
      <w:r>
        <w:t>k</w:t>
      </w:r>
      <w:r>
        <w:t>so</w:t>
      </w:r>
      <w:r>
        <w:t>m</w:t>
      </w:r>
      <w:r>
        <w:t>hetenes plikt til å forebygge og hindre trakassering. Det er nær sammenheng mellom de ulike typene av ve</w:t>
      </w:r>
      <w:r>
        <w:t>i</w:t>
      </w:r>
      <w:r>
        <w:t>ledning – et effektivt lavters</w:t>
      </w:r>
      <w:r>
        <w:t>keltilbud for den enkelte forutsetter også et godt forebyggende arbeid på stru</w:t>
      </w:r>
      <w:r>
        <w:t>k</w:t>
      </w:r>
      <w:r>
        <w:t>turnivå.</w:t>
      </w:r>
    </w:p>
    <w:p w:rsidR="00000000" w:rsidRDefault="00D718D0" w:rsidP="00BA3E8B">
      <w:r>
        <w:t>Ombudets veiledningsrolle er viktig fordi det må antas at terskelen for å klage på seksuell tr</w:t>
      </w:r>
      <w:r>
        <w:t>a</w:t>
      </w:r>
      <w:r>
        <w:t>kass</w:t>
      </w:r>
      <w:r>
        <w:t>e</w:t>
      </w:r>
      <w:r>
        <w:t xml:space="preserve">ring er høy. Dette kan skyldes både at det er vanskelig å bevise at </w:t>
      </w:r>
      <w:r>
        <w:t>diskriminering virkelig har funnet sted, og en bekymring for hvilke konsekvenser det kan få å reise sak. I mange saker er det også et mål å vid</w:t>
      </w:r>
      <w:r>
        <w:t>e</w:t>
      </w:r>
      <w:r>
        <w:t>reføre arbeidsforholdet, og da kan ombudet gjennom veiledning bidra til å dempe konfliktnivået. Det er viktig at</w:t>
      </w:r>
      <w:r>
        <w:t xml:space="preserve"> saker om seksuell trakassering løses på et lavest mulig nivå, og det er derfor helt avgjørende at det finnes et veiledningstilbud som er lett tilgjengelig.</w:t>
      </w:r>
    </w:p>
    <w:p w:rsidR="00000000" w:rsidRDefault="00D718D0" w:rsidP="00BA3E8B">
      <w:r>
        <w:t>Departementet mener at hovedfokus i en styrking av veilednings- og hjelpetilbudet bør rettes inn mo</w:t>
      </w:r>
      <w:r>
        <w:t>t det forebyggende og strukturelle arbeidet.</w:t>
      </w:r>
    </w:p>
    <w:p w:rsidR="00000000" w:rsidRDefault="00D718D0" w:rsidP="00BA3E8B">
      <w:pPr>
        <w:pStyle w:val="Overskrift4"/>
      </w:pPr>
      <w:r>
        <w:t>Enkeltsaker</w:t>
      </w:r>
    </w:p>
    <w:p w:rsidR="00000000" w:rsidRDefault="00D718D0" w:rsidP="00BA3E8B">
      <w:r>
        <w:t>Ombudet skal, i henhold til diskrimineringsombudsloven § 5 annet ledd, gi veiledning.</w:t>
      </w:r>
    </w:p>
    <w:p w:rsidR="00000000" w:rsidRDefault="00D718D0" w:rsidP="00BA3E8B">
      <w:r>
        <w:t>Veiledningen av enkeltpersoner er tidkrevende. I hver enkelt sak utarbeides et skriftlig unde</w:t>
      </w:r>
      <w:r>
        <w:t>r</w:t>
      </w:r>
      <w:r>
        <w:t>lag</w:t>
      </w:r>
      <w:r>
        <w:t>sd</w:t>
      </w:r>
      <w:r>
        <w:t>o</w:t>
      </w:r>
      <w:r>
        <w:t>kument som skisserer faktum og gir anvisning på hvilket lovverk som er relevant. Dette dokumentet danner grunnlag for videre drøftinger med arbeidsgiver, og kan bidra til at saken løses gjennom ko</w:t>
      </w:r>
      <w:r>
        <w:t>n</w:t>
      </w:r>
      <w:r>
        <w:t>struktiv dialog. Det er viktig at ombudets rolle som vei</w:t>
      </w:r>
      <w:r>
        <w:t>leder i enkeltsaker ivaretas og videreføres på en like god og effektiv måte.</w:t>
      </w:r>
    </w:p>
    <w:p w:rsidR="00000000" w:rsidRDefault="00D718D0" w:rsidP="00BA3E8B">
      <w:r>
        <w:t xml:space="preserve">Praksis ved ombudet er at alle henvendelser om veiledning behandles. Ingen saker avvises, hverken under henvisning til manglende ressurser eller av andre årsaker. Dette sikrer at </w:t>
      </w:r>
      <w:r>
        <w:t>den som opplever seks</w:t>
      </w:r>
      <w:r>
        <w:t>u</w:t>
      </w:r>
      <w:r>
        <w:t>ell traka</w:t>
      </w:r>
      <w:r>
        <w:t>s</w:t>
      </w:r>
      <w:r>
        <w:t>sering har et sted å henvende seg – enten muntlig eller skriftlig. Ikke alle vet med sikkerhet om det de har blitt utsatt for, er ulovlig, eller om det er mulighet for å gjøre noe med det. Å ivareta de som har vært utsatt fo</w:t>
      </w:r>
      <w:r>
        <w:t>r seksuell trakassering og eventuelle andre varslere, og finne frem til gode løsninger i sak</w:t>
      </w:r>
      <w:r>
        <w:t>e</w:t>
      </w:r>
      <w:r>
        <w:t>ne, er viktig.</w:t>
      </w:r>
    </w:p>
    <w:p w:rsidR="00000000" w:rsidRDefault="00D718D0" w:rsidP="00BA3E8B">
      <w:r>
        <w:t>Det er ikke et mål i seg selv at alle saker skal munne ut i domstolsprosesser eller som saker for Di</w:t>
      </w:r>
      <w:r>
        <w:t>s</w:t>
      </w:r>
      <w:r>
        <w:t>krimin</w:t>
      </w:r>
      <w:r>
        <w:t>e</w:t>
      </w:r>
      <w:r>
        <w:t>ringsnemnda. Det arbeidet som gjøres for</w:t>
      </w:r>
      <w:r>
        <w:t xml:space="preserve"> å hindre, og følge opp seksuell trakassering på den enkelte a</w:t>
      </w:r>
      <w:r>
        <w:t>r</w:t>
      </w:r>
      <w:r>
        <w:t>beidsplass må videreføres. Etableringen av et lavterskeltilbud er ikke ment å svekke dette a</w:t>
      </w:r>
      <w:r>
        <w:t>r</w:t>
      </w:r>
      <w:r>
        <w:t>beidet. Det skal fortsatt være et mål at saker om seksuell trakassering løses på et lavest mulig niv</w:t>
      </w:r>
      <w:r>
        <w:t xml:space="preserve">å. I sin skriftlige veiledning legger ombudet derfor vekt på at informasjonen og </w:t>
      </w:r>
      <w:r>
        <w:lastRenderedPageBreak/>
        <w:t>rådene skal være av en slik k</w:t>
      </w:r>
      <w:r>
        <w:t>a</w:t>
      </w:r>
      <w:r>
        <w:t>rakter at den ansatte kan legge den frem for sin arbeidsgiver eller ledelsen i virksomheten som et faglig fundert innspill til fremdrift og løsni</w:t>
      </w:r>
      <w:r>
        <w:t>ng av saken. Ombudets veiledning i enkeltsaker fører ofte til at saken løses i dialog med arbeidsgiver. Dette bidrar både til å dempe konfliktnivået i saker der målet er å vider</w:t>
      </w:r>
      <w:r>
        <w:t>e</w:t>
      </w:r>
      <w:r>
        <w:t>føre et arbeidsforhold, og til å begrense antall saker som fremmes som klagesa</w:t>
      </w:r>
      <w:r>
        <w:t>ker enten for Diskrimin</w:t>
      </w:r>
      <w:r>
        <w:t>e</w:t>
      </w:r>
      <w:r>
        <w:t>ringsnemnda eller domstolene.</w:t>
      </w:r>
    </w:p>
    <w:p w:rsidR="00000000" w:rsidRDefault="00D718D0" w:rsidP="00BA3E8B">
      <w:r>
        <w:t>Noen saker lar seg likevel ikke løse gjennom dialog. Særlig i små virksomheter, og ikke minst i tilfe</w:t>
      </w:r>
      <w:r>
        <w:t>l</w:t>
      </w:r>
      <w:r>
        <w:t>ler der det er representanter for ledelsen som påstås å ha trakassert, kan det være vanskelig å vars</w:t>
      </w:r>
      <w:r>
        <w:t>le om seksuell traka</w:t>
      </w:r>
      <w:r>
        <w:t>s</w:t>
      </w:r>
      <w:r>
        <w:t>sering og få saken håndtert på en god måte. Å få til en løsning innen virksomheten kan i slike saker vise seg vanskelig, og sakene ender oftest med at den som har vært utsatt for trakassering avslutter sitt arbeidsforhold. Ombudets vei</w:t>
      </w:r>
      <w:r>
        <w:t>ledningsrolle vil i disse sakene være å bistå den som mener seg diskriminert med en fremstilling av saken. Det er derfor viktig at det finnes et tilbud utenfor vir</w:t>
      </w:r>
      <w:r>
        <w:t>k</w:t>
      </w:r>
      <w:r>
        <w:t>somheten, som er lett tilgjengelig og som kan gi veiledning som gjør det enklere å løse sake</w:t>
      </w:r>
      <w:r>
        <w:t>n og som ivaretar ofrene og eventuelle andre varslere.</w:t>
      </w:r>
    </w:p>
    <w:p w:rsidR="00000000" w:rsidRDefault="00D718D0" w:rsidP="00BA3E8B">
      <w:r>
        <w:t>Departementet mener likevel at ombudet bør balansere veiledningsrollen slik at engasjementet i e</w:t>
      </w:r>
      <w:r>
        <w:t>n</w:t>
      </w:r>
      <w:r>
        <w:t>keltsaker ikke fører til manglende tillit i forholdet til arbeidsgiversiden. Det er viktig at begge part</w:t>
      </w:r>
      <w:r>
        <w:t>er i en sak føler seg godt ivaretatt, og har tillit til at ombudet vil gi en god og uhildet ve</w:t>
      </w:r>
      <w:r>
        <w:t>i</w:t>
      </w:r>
      <w:r>
        <w:t>ledning.</w:t>
      </w:r>
    </w:p>
    <w:p w:rsidR="00000000" w:rsidRDefault="00D718D0" w:rsidP="00BA3E8B">
      <w:r>
        <w:t>Departementet foreslår at ombudets veiledningsplikt i enkeltsaker, presiseres både i diskrim</w:t>
      </w:r>
      <w:r>
        <w:t>i</w:t>
      </w:r>
      <w:r>
        <w:t>n</w:t>
      </w:r>
      <w:r>
        <w:t>e</w:t>
      </w:r>
      <w:r>
        <w:t>ringso</w:t>
      </w:r>
      <w:r>
        <w:t>m</w:t>
      </w:r>
      <w:r>
        <w:t xml:space="preserve">budslovens forarbeider og i selve lovbestemmelsen </w:t>
      </w:r>
      <w:r>
        <w:t>i diskrimineringsombudsloven § 5 annet ledd. Veile</w:t>
      </w:r>
      <w:r>
        <w:t>d</w:t>
      </w:r>
      <w:r>
        <w:t>nings- og hjelpetilbudet til enkeltpersoner vil med dette sikres og styrkes.</w:t>
      </w:r>
    </w:p>
    <w:p w:rsidR="00000000" w:rsidRDefault="00D718D0" w:rsidP="00BA3E8B">
      <w:r>
        <w:t>Ordlyden i diskrimineringsombudsloven § 5 annet ledd foreslås presisert, slik at ombudets ve</w:t>
      </w:r>
      <w:r>
        <w:t>i</w:t>
      </w:r>
      <w:r>
        <w:t>le</w:t>
      </w:r>
      <w:r>
        <w:t>d</w:t>
      </w:r>
      <w:r>
        <w:t>ningsrolle – både overfor enkelt</w:t>
      </w:r>
      <w:r>
        <w:t>personer og det forebyggende veiledningsarbeidet – tydeli</w:t>
      </w:r>
      <w:r>
        <w:t>g</w:t>
      </w:r>
      <w:r>
        <w:t>gjøres:</w:t>
      </w:r>
    </w:p>
    <w:p w:rsidR="00000000" w:rsidRPr="009445FD" w:rsidRDefault="00D718D0" w:rsidP="00BA3E8B">
      <w:pPr>
        <w:pStyle w:val="blokksit"/>
        <w:rPr>
          <w:rStyle w:val="kursiv"/>
        </w:rPr>
      </w:pPr>
      <w:r>
        <w:rPr>
          <w:rStyle w:val="kursiv"/>
          <w:sz w:val="21"/>
          <w:szCs w:val="21"/>
        </w:rPr>
        <w:t>«Ombudet skal gi veiledning om bestemmelsene i § 1 annet ledd, herunder veiledning i saker om seksuell tr</w:t>
      </w:r>
      <w:r>
        <w:rPr>
          <w:rStyle w:val="kursiv"/>
          <w:sz w:val="21"/>
          <w:szCs w:val="21"/>
        </w:rPr>
        <w:t>a</w:t>
      </w:r>
      <w:r>
        <w:rPr>
          <w:rStyle w:val="kursiv"/>
          <w:sz w:val="21"/>
          <w:szCs w:val="21"/>
        </w:rPr>
        <w:t>kassering og om plikten til å forebygge og forhindre trakassering og seksuell trakas</w:t>
      </w:r>
      <w:r>
        <w:rPr>
          <w:rStyle w:val="kursiv"/>
          <w:sz w:val="21"/>
          <w:szCs w:val="21"/>
        </w:rPr>
        <w:t>sering etter likesti</w:t>
      </w:r>
      <w:r>
        <w:rPr>
          <w:rStyle w:val="kursiv"/>
          <w:sz w:val="21"/>
          <w:szCs w:val="21"/>
        </w:rPr>
        <w:t>l</w:t>
      </w:r>
      <w:r>
        <w:rPr>
          <w:rStyle w:val="kursiv"/>
          <w:sz w:val="21"/>
          <w:szCs w:val="21"/>
        </w:rPr>
        <w:t>lings- og diskrimineringsloven § 13 siste ledd. Ombudet skal gi veiledning i enkeltsaker. Enhver kan he</w:t>
      </w:r>
      <w:r>
        <w:rPr>
          <w:rStyle w:val="kursiv"/>
          <w:sz w:val="21"/>
          <w:szCs w:val="21"/>
        </w:rPr>
        <w:t>n</w:t>
      </w:r>
      <w:r>
        <w:rPr>
          <w:rStyle w:val="kursiv"/>
          <w:sz w:val="21"/>
          <w:szCs w:val="21"/>
        </w:rPr>
        <w:t>vende seg til ombudet for veiledning.»</w:t>
      </w:r>
    </w:p>
    <w:p w:rsidR="00000000" w:rsidRDefault="00D718D0" w:rsidP="00BA3E8B">
      <w:r>
        <w:t>Ombudets veiledningsarbeid overfor arbeidsgivere har en annen form, det har ikke samme «akut</w:t>
      </w:r>
      <w:r>
        <w:t>tpreg» som enkeltsakene har. Arbeidet overfor arbeidsgivere m.m. tar i hovedsak form av forebyggende arbeid – hensikten er å sette disse i stand til selv å håndtere saker om seksuell trakassering. Dette arbeidet må følge samfunnsutviklingen, og kan i størr</w:t>
      </w:r>
      <w:r>
        <w:t>e grad planlegges og strømlinjeformes. Man kan gjenbruke u</w:t>
      </w:r>
      <w:r>
        <w:t>n</w:t>
      </w:r>
      <w:r>
        <w:t>dervi</w:t>
      </w:r>
      <w:r>
        <w:t>s</w:t>
      </w:r>
      <w:r>
        <w:t>ningsopplegg og holde foredrag og kurs for flere aktører samtidig. Dette står i sterk kontrast til enkelts</w:t>
      </w:r>
      <w:r>
        <w:t>a</w:t>
      </w:r>
      <w:r>
        <w:t>kene som må håndteres enkeltvis.</w:t>
      </w:r>
    </w:p>
    <w:p w:rsidR="00000000" w:rsidRDefault="00D718D0" w:rsidP="00BA3E8B">
      <w:pPr>
        <w:pStyle w:val="Overskrift4"/>
      </w:pPr>
      <w:r>
        <w:t>Forebyggende arbeid</w:t>
      </w:r>
    </w:p>
    <w:p w:rsidR="00000000" w:rsidRDefault="00D718D0" w:rsidP="00BA3E8B">
      <w:r>
        <w:t>Ombudets veiledningsarbeid handler ikke bare om å hjelpe enkeltpersoner som har opplevd diskrimin</w:t>
      </w:r>
      <w:r>
        <w:t>e</w:t>
      </w:r>
      <w:r>
        <w:t>ring. En stor del av veiledningsarbeidet dreier seg om å forebygge, og å sikre sa</w:t>
      </w:r>
      <w:r>
        <w:t>m</w:t>
      </w:r>
      <w:r>
        <w:t>funnsstrukturer som bidrar til å fremme likestilling og hindre diskriminerin</w:t>
      </w:r>
      <w:r>
        <w:t>g. Dette veile</w:t>
      </w:r>
      <w:r>
        <w:t>d</w:t>
      </w:r>
      <w:r>
        <w:t>ningsarbeidet gjennomføres blant annet gjennom samarbeidsprosjekter med ulike bransjer og ved utstrakt foredragsvirksomhet og kursing av virksomheter, organisasjoner og utdanningsinstit</w:t>
      </w:r>
      <w:r>
        <w:t>u</w:t>
      </w:r>
      <w:r>
        <w:t>sjoner. Enkeltsaker og strukturell veiledning henger sa</w:t>
      </w:r>
      <w:r>
        <w:t>mmen, enkeltsakene er viktige også i det strukturelle og forebyggende arbeidet fordi de bidrar til å synliggjøre hvilke bransjer som blinker seg ut, slik at ombudet kan jobbe overordnet på grunnlag av dette.</w:t>
      </w:r>
    </w:p>
    <w:p w:rsidR="00000000" w:rsidRDefault="00D718D0" w:rsidP="00BA3E8B">
      <w:r>
        <w:lastRenderedPageBreak/>
        <w:t>Det har vært en jevn økning i antallet veilednin</w:t>
      </w:r>
      <w:r>
        <w:t>gssaker hos ombudet de siste årene, og #Metoo -kampanjen har ført til en massiv økning i antallet organisasjoner, arbeidsgivere og arbeidst</w:t>
      </w:r>
      <w:r>
        <w:t>a</w:t>
      </w:r>
      <w:r>
        <w:t>kerorganis</w:t>
      </w:r>
      <w:r>
        <w:t>a</w:t>
      </w:r>
      <w:r>
        <w:t>sjoner som henvender seg med ønske om veiledning.</w:t>
      </w:r>
    </w:p>
    <w:p w:rsidR="00000000" w:rsidRDefault="00D718D0" w:rsidP="00BA3E8B">
      <w:r>
        <w:t xml:space="preserve">Ombudet mottok i overkant av 2300 henvendelser i 2018. </w:t>
      </w:r>
      <w:r>
        <w:t>70 prosent av disse kom fra priva</w:t>
      </w:r>
      <w:r>
        <w:t>t</w:t>
      </w:r>
      <w:r>
        <w:t>personer, mens de resterende hovedsakelig kom fra arbeidsgivere, offentlig forvaltning og fa</w:t>
      </w:r>
      <w:r>
        <w:t>g</w:t>
      </w:r>
      <w:r>
        <w:t>forenin</w:t>
      </w:r>
      <w:r>
        <w:t>g</w:t>
      </w:r>
      <w:r>
        <w:t>er/arbeidsgiverorganisasjoner. Om lag halvparten av henvendelsene er spørsmål om hjelp, råd eller ve</w:t>
      </w:r>
      <w:r>
        <w:t>i</w:t>
      </w:r>
      <w:r>
        <w:t>ledning, mens om lag</w:t>
      </w:r>
      <w:r>
        <w:t xml:space="preserve"> 300 saker er henvendelser der ombudet bes om å holde kurs, opplæring eller for</w:t>
      </w:r>
      <w:r>
        <w:t>e</w:t>
      </w:r>
      <w:r>
        <w:t>drag.</w:t>
      </w:r>
    </w:p>
    <w:p w:rsidR="00000000" w:rsidRDefault="00D718D0" w:rsidP="00BA3E8B">
      <w:r>
        <w:t>Om lag 170 henvendelser gjaldt seksuell trakassering. Litt under halvparten av disse sakene kom fra priva</w:t>
      </w:r>
      <w:r>
        <w:t>t</w:t>
      </w:r>
      <w:r>
        <w:t>personer, virksomheter og tillitsvalgte som ba om hjelp eller rå</w:t>
      </w:r>
      <w:r>
        <w:t>d i konkrete situasjoner. Drøyt hal</w:t>
      </w:r>
      <w:r>
        <w:t>v</w:t>
      </w:r>
      <w:r>
        <w:t>parten av sakene var forespørsler om kurs, opplæring eller foredrag. Ombudet holdt 84 kurs og foredrag om seksuell trakassering, for til sammen om lag 7000 tilhørere i løpet av 2018.</w:t>
      </w:r>
    </w:p>
    <w:p w:rsidR="00000000" w:rsidRDefault="00D718D0" w:rsidP="00BA3E8B">
      <w:r>
        <w:t>Gjennom et godt forebyggende arbeid k</w:t>
      </w:r>
      <w:r>
        <w:t>an ombudet bidra til å hindre at seksuell trakassering skjer, og sikre at seksuell trakassering blir håndtert på en ryddig måte. Det å jobbe strategisk med nettverk, a</w:t>
      </w:r>
      <w:r>
        <w:t>r</w:t>
      </w:r>
      <w:r>
        <w:t>beidsgivere og organisasjoner bidrar til en effektiv ressursutnyttelse.</w:t>
      </w:r>
    </w:p>
    <w:p w:rsidR="00000000" w:rsidRDefault="00D718D0" w:rsidP="00BA3E8B">
      <w:r>
        <w:t>Det forebyggende</w:t>
      </w:r>
      <w:r>
        <w:t xml:space="preserve"> veiledningsarbeidet er ressurskrevende, og det er derfor et behov for å styrke o</w:t>
      </w:r>
      <w:r>
        <w:t>m</w:t>
      </w:r>
      <w:r>
        <w:t>budets veiledningsrolle. Dette for at de skal kunne møte den økte pågangen fra enkeltpersoner, men også slik at de skal kunne følge opp det forebyggende veiledningstilbudet m</w:t>
      </w:r>
      <w:r>
        <w:t>er helhetlig. Det bør være et h</w:t>
      </w:r>
      <w:r>
        <w:t>o</w:t>
      </w:r>
      <w:r>
        <w:t>vedmål med ombudets forebyggende arbeid at arbeidsgivere m.m. blir selvhjulpne.</w:t>
      </w:r>
    </w:p>
    <w:p w:rsidR="00000000" w:rsidRDefault="00D718D0" w:rsidP="00BA3E8B">
      <w:r>
        <w:t>For å forebygge trakassering og for å håndtere saker på en god måte, vil mange virksomheter trenge veile</w:t>
      </w:r>
      <w:r>
        <w:t>d</w:t>
      </w:r>
      <w:r>
        <w:t>ning. Det er fornuftig bruk av ressurse</w:t>
      </w:r>
      <w:r>
        <w:t>r at ombudet, gjennom kurs og opplæring, setter arbeidsg</w:t>
      </w:r>
      <w:r>
        <w:t>i</w:t>
      </w:r>
      <w:r>
        <w:t>vere m.m. i stand til selv å oppfylle sine lovpålagte plikter.</w:t>
      </w:r>
    </w:p>
    <w:p w:rsidR="00000000" w:rsidRDefault="00D718D0" w:rsidP="00BA3E8B">
      <w:r>
        <w:t>Likestillings- og diskrimineringsombudet og Arbeidstilsynet har, i tillegg til andre aktører, en viktig rolle i dette arbeidet. Holdning</w:t>
      </w:r>
      <w:r>
        <w:t>sarbeid, gode rutiner og klare retningslinjer kan forbygge seksuell traka</w:t>
      </w:r>
      <w:r>
        <w:t>s</w:t>
      </w:r>
      <w:r>
        <w:t>sering og føre til en bedre håndtering av de sakene som oppstår. Veiledningsti</w:t>
      </w:r>
      <w:r>
        <w:t>l</w:t>
      </w:r>
      <w:r>
        <w:t>budet til virksomhetene bør inkludere ve</w:t>
      </w:r>
      <w:r>
        <w:t>i</w:t>
      </w:r>
      <w:r>
        <w:t>ledning både om hvordan retningslinjene bør være, om rettighet</w:t>
      </w:r>
      <w:r>
        <w:t>er og om prosess og i tillegg praktisk bistand på stedet.</w:t>
      </w:r>
    </w:p>
    <w:p w:rsidR="00000000" w:rsidRDefault="00D718D0" w:rsidP="00BA3E8B">
      <w:r>
        <w:t>En viktig del av det forebyggende arbeidet er også å veilede om den lovpålagte aktivitets- og redegj</w:t>
      </w:r>
      <w:r>
        <w:t>ø</w:t>
      </w:r>
      <w:r>
        <w:t>relse</w:t>
      </w:r>
      <w:r>
        <w:t>s</w:t>
      </w:r>
      <w:r>
        <w:t>plikten. Dette er et effektivt virkemiddel for å forebygge diskriminering og fremme like mu</w:t>
      </w:r>
      <w:r>
        <w:t>ligheter og re</w:t>
      </w:r>
      <w:r>
        <w:t>t</w:t>
      </w:r>
      <w:r>
        <w:t>tigheter i arbeidslivet. Arbeidsgiver pålegges klare plikter, men gis sa</w:t>
      </w:r>
      <w:r>
        <w:t>m</w:t>
      </w:r>
      <w:r>
        <w:t>tidig fleksibilitet til å iver</w:t>
      </w:r>
      <w:r>
        <w:t>k</w:t>
      </w:r>
      <w:r>
        <w:t>sette de tiltak som er relevante.</w:t>
      </w:r>
    </w:p>
    <w:p w:rsidR="00000000" w:rsidRDefault="00D718D0" w:rsidP="00BA3E8B">
      <w:r>
        <w:t>Ombudet får gjennom dette veiledningsarbeidet også nyttig kunnskap om hvordan arbeidsg</w:t>
      </w:r>
      <w:r>
        <w:t>i</w:t>
      </w:r>
      <w:r>
        <w:t>verne jobber med</w:t>
      </w:r>
      <w:r>
        <w:t xml:space="preserve"> disse problemstillingene, og kan således bidra til at rutiner, praksis og de interne systemene i større grad bidrar til målet om et likestilt arbeidsliv. Det kan i noen tilfeller være vanskelig å skille mellom veiledning om aktivitetsplikten og annen veil</w:t>
      </w:r>
      <w:r>
        <w:t>edning som gis til arbeidsgivere.</w:t>
      </w:r>
    </w:p>
    <w:p w:rsidR="00000000" w:rsidRDefault="00D718D0" w:rsidP="00BA3E8B">
      <w:r>
        <w:t>Arbeidslivets virksomheter varierer i størrelse, og veiledningstilbudet må derfor tilpasses vir</w:t>
      </w:r>
      <w:r>
        <w:t>k</w:t>
      </w:r>
      <w:r>
        <w:t>somh</w:t>
      </w:r>
      <w:r>
        <w:t>e</w:t>
      </w:r>
      <w:r>
        <w:t>tenes behov, som vil variere både med tanke på hvor omfattende veiledning de har behov for og hva slags veiledning som er</w:t>
      </w:r>
      <w:r>
        <w:t xml:space="preserve"> mest hensiktsmessig.</w:t>
      </w:r>
    </w:p>
    <w:p w:rsidR="00000000" w:rsidRDefault="00D718D0" w:rsidP="00BA3E8B">
      <w:r>
        <w:lastRenderedPageBreak/>
        <w:t>En styrking av veilednings- og hjelpetilbudet innebærer også å legge til rette for gode rutiner i de d</w:t>
      </w:r>
      <w:r>
        <w:t>e</w:t>
      </w:r>
      <w:r>
        <w:t>ler av samfunnet som ikke har et aktivt HMS-arbeid, som for eksempel idrettsforeninger og frivillig se</w:t>
      </w:r>
      <w:r>
        <w:t>k</w:t>
      </w:r>
      <w:r>
        <w:t>tor. Det må settes av ressur</w:t>
      </w:r>
      <w:r>
        <w:t>ser også til dette arbeidet.</w:t>
      </w:r>
    </w:p>
    <w:p w:rsidR="00000000" w:rsidRDefault="00D718D0" w:rsidP="00BA3E8B">
      <w:r>
        <w:t>Behovet for kunnskap er stort, og ombudet gjennomfører og deltar derfor på en rekke kursop</w:t>
      </w:r>
      <w:r>
        <w:t>p</w:t>
      </w:r>
      <w:r>
        <w:t>legg for de ulike aktørene i arbeidslivet. Ombudet samarbeider også med andre organer og a</w:t>
      </w:r>
      <w:r>
        <w:t>k</w:t>
      </w:r>
      <w:r>
        <w:t>tører i det foreby</w:t>
      </w:r>
      <w:r>
        <w:t>g</w:t>
      </w:r>
      <w:r>
        <w:t>gende arbeidet, både gjenn</w:t>
      </w:r>
      <w:r>
        <w:t xml:space="preserve">om sin kurs- og foredragsvirksomhet, men også gjennom prosjekter. Ombudet har for eksempel siden mai 2017 hatt en samarbeidsavtale med Arbeidstilsynet om etableringen av et operativt samarbeid for felles innsats mot trakassering og seksuell trakassering i </w:t>
      </w:r>
      <w:r>
        <w:t>utelivs- og overna</w:t>
      </w:r>
      <w:r>
        <w:t>t</w:t>
      </w:r>
      <w:r>
        <w:t>tingsnæringen.</w:t>
      </w:r>
    </w:p>
    <w:p w:rsidR="00000000" w:rsidRDefault="00D718D0" w:rsidP="00BA3E8B">
      <w:r>
        <w:t>Kursvirksomheten gir nyttig kunnskap om, og innsikt i de utfordringene som arbeidsgivere m.m. har. Ombudet holder også en rekke foredrag. I 2017 holdt ombudet for eksempel en serie foredrag for F</w:t>
      </w:r>
      <w:r>
        <w:t>i</w:t>
      </w:r>
      <w:r>
        <w:t>nansforbundet og gjennomfø</w:t>
      </w:r>
      <w:r>
        <w:t>rte i tillegg flere seminarer i samarbeid med Finansforbundet der det ble fokusert på ulike viktige temaer, som for eksempel aktivitets- og redegjørelsesplikten.</w:t>
      </w:r>
    </w:p>
    <w:p w:rsidR="00000000" w:rsidRDefault="00D718D0" w:rsidP="00BA3E8B">
      <w:r>
        <w:t>I 2017 etablerte treparts- bransjeprogrammet uteliv og ombudet i fellesskap et samarbeidspr</w:t>
      </w:r>
      <w:r>
        <w:t>o</w:t>
      </w:r>
      <w:r>
        <w:t>sj</w:t>
      </w:r>
      <w:r>
        <w:t>ekt om tr</w:t>
      </w:r>
      <w:r>
        <w:t>a</w:t>
      </w:r>
      <w:r>
        <w:t>kassering og seksuell trakassering i utelivsbransjen. Hensikten med samarbeidet har vært å mobilisere a</w:t>
      </w:r>
      <w:r>
        <w:t>r</w:t>
      </w:r>
      <w:r>
        <w:t>beidsgivere, arbeidstakere og myndigheter til i fellesskap å dokumentere og ta tak i disse utfordring</w:t>
      </w:r>
      <w:r>
        <w:t>e</w:t>
      </w:r>
      <w:r>
        <w:t>ne.</w:t>
      </w:r>
    </w:p>
    <w:p w:rsidR="00000000" w:rsidRDefault="00D718D0" w:rsidP="00BA3E8B">
      <w:r>
        <w:t xml:space="preserve">Seksuell trakassering er et problem </w:t>
      </w:r>
      <w:r>
        <w:t>i utelivs- og overnattingsbransjen, og forskningsstiftelsen Fafo har blant annet dokumentert dette i to forskningsrapporter:</w:t>
      </w:r>
    </w:p>
    <w:p w:rsidR="00000000" w:rsidRDefault="00D718D0" w:rsidP="00BA3E8B">
      <w:r>
        <w:t>I rapporten «Arbeidsforhold i utelivsbransjen» fra 2014 fremgår det at 17 prosent av de ansatte har vært utsatt for uønsket seksuel</w:t>
      </w:r>
      <w:r>
        <w:t>l oppmerksomhet i løpet av de siste tolv månedene, og at 20 prosent av kvinnene har opplevd dette. Den uønskede seksuelle oppmerksomheten kommer i hovedsak fra kundene (86 %), mens 29 prosent av de utsatte har opplevd dette fra kolleger og 12 prosent har o</w:t>
      </w:r>
      <w:r>
        <w:t>pplevde dette fra ledere. 5 prosent av dem som har opplevd seksuell trakassering har fått sykefravær som følge av dette.</w:t>
      </w:r>
    </w:p>
    <w:p w:rsidR="00000000" w:rsidRDefault="00D718D0" w:rsidP="00BA3E8B">
      <w:r>
        <w:t>I en rapport fra 2017 om seksuell trakassering i hotell- og restaurantbransjen og i helsesektoren fre</w:t>
      </w:r>
      <w:r>
        <w:t>m</w:t>
      </w:r>
      <w:r>
        <w:t>går det at to av fem har vært uts</w:t>
      </w:r>
      <w:r>
        <w:t>att for seksuell trakassering av kunder, kolleger eller ledere de siste tre årene. Litt under halvparten svarer at de har blitt seksuelt trakassert av kolleger og en fjerdedel opplyser at de har opplevd å bli seksuelt trakassert av ledere. Rapporten er bas</w:t>
      </w:r>
      <w:r>
        <w:t>ert på en spørreundersøkelse blant medlemmene i LO-forbundene.</w:t>
      </w:r>
    </w:p>
    <w:p w:rsidR="00000000" w:rsidRDefault="00D718D0" w:rsidP="00BA3E8B">
      <w:r>
        <w:t>Ombudet og Arbeidstilsynet har etablert et operativt samarbeid for felles innsats mot trakass</w:t>
      </w:r>
      <w:r>
        <w:t>e</w:t>
      </w:r>
      <w:r>
        <w:t>ring, herunder seksuell trakassering, i utelivs- og overnattingsnæringen. Samarbeidet skal bidra ti</w:t>
      </w:r>
      <w:r>
        <w:t>l å øke kunnskapen om hva seksuell trakassering er og hvordan dette kan forebygges og hindres på arbeid</w:t>
      </w:r>
      <w:r>
        <w:t>s</w:t>
      </w:r>
      <w:r>
        <w:t>plassen. Det overordnede målet med samarbeidet er å:</w:t>
      </w:r>
    </w:p>
    <w:p w:rsidR="00000000" w:rsidRDefault="00D718D0" w:rsidP="00BA3E8B">
      <w:pPr>
        <w:pStyle w:val="Liste"/>
      </w:pPr>
      <w:r>
        <w:t>Øke arbeidsgiveres og arbeidstakeres kunnskap om hva trakassering og seksuell trakassering er o</w:t>
      </w:r>
      <w:r>
        <w:t>g hvordan dette kan forebygges på arbeidsplassen.</w:t>
      </w:r>
    </w:p>
    <w:p w:rsidR="00000000" w:rsidRDefault="00D718D0" w:rsidP="00BA3E8B">
      <w:pPr>
        <w:pStyle w:val="Liste"/>
      </w:pPr>
      <w:r>
        <w:t>Styrke arbeidstakernes handlingskompetanse, slik at de vet hva de skal gjøre dersom de opplever traka</w:t>
      </w:r>
      <w:r>
        <w:t>s</w:t>
      </w:r>
      <w:r>
        <w:t>sering, herunder seksuell trakassering, på jobb og slik at de melder fra om opplevd trakass</w:t>
      </w:r>
      <w:r>
        <w:t>e</w:t>
      </w:r>
      <w:r>
        <w:t>ring.</w:t>
      </w:r>
    </w:p>
    <w:p w:rsidR="00000000" w:rsidRDefault="00D718D0" w:rsidP="00BA3E8B">
      <w:pPr>
        <w:pStyle w:val="Liste"/>
      </w:pPr>
      <w:r>
        <w:t>Redusere antall tilfeller av trakassering, herunder seksuell trakassering, i bransjen.</w:t>
      </w:r>
    </w:p>
    <w:p w:rsidR="00000000" w:rsidRDefault="00D718D0" w:rsidP="00BA3E8B">
      <w:r>
        <w:lastRenderedPageBreak/>
        <w:t>Både ombudet og Arbeidstilsynet er opptatt av at bedriftene skal etablere gode rutiner. Det skal på enhver arbeidsplass vær</w:t>
      </w:r>
      <w:r>
        <w:t>e klare rutiner for hvordan seksuell trakassering skal forebygges og håndteres. Rutinene skal bidra til at de ansatte vet hva de skal gjøre dersom de utsettes for se</w:t>
      </w:r>
      <w:r>
        <w:t>k</w:t>
      </w:r>
      <w:r>
        <w:t>suell trakassering, og også sikre at de vet hvor de skal henvende seg for å få hjelp. Arbe</w:t>
      </w:r>
      <w:r>
        <w:t>idsgiver har videre en plikt til å følge opp alle var</w:t>
      </w:r>
      <w:r>
        <w:t>s</w:t>
      </w:r>
      <w:r>
        <w:t>ler om seksuell trakassering. Det er viktig at alle vet hvem de kan ta opp denne type opplevelser med. I tillegg til ledelsen vil både verneombudet og tillitsvalgte ha en viktig rolle. Dessuten vil bedr</w:t>
      </w:r>
      <w:r>
        <w:t>iftshelsetj</w:t>
      </w:r>
      <w:r>
        <w:t>e</w:t>
      </w:r>
      <w:r>
        <w:t>nesten også være en varslingsinstans i de bedriftene som er knyttet til en slik tjeneste. Ansatte i bedrifter med klare retningslinjer har det tryggere på jobb.</w:t>
      </w:r>
    </w:p>
    <w:p w:rsidR="00000000" w:rsidRDefault="00D718D0" w:rsidP="00BA3E8B">
      <w:r>
        <w:t>Som ledd i dette prosjektet har Arbeidstilsynets inspektører for overnatting og ser</w:t>
      </w:r>
      <w:r>
        <w:t>vering fått oppl</w:t>
      </w:r>
      <w:r>
        <w:t>æ</w:t>
      </w:r>
      <w:r>
        <w:t>ring om seksuell trakassering. Seksuell trakassering er også lagt inn som et punkt på A</w:t>
      </w:r>
      <w:r>
        <w:t>r</w:t>
      </w:r>
      <w:r>
        <w:t>beidstilsynets tilsyn i bransjen. Det er også utviklet en tre-timers opplæringsmodul for arbeid</w:t>
      </w:r>
      <w:r>
        <w:t>s</w:t>
      </w:r>
      <w:r>
        <w:t>givere, vernepersonell og tillit</w:t>
      </w:r>
      <w:r>
        <w:t>s</w:t>
      </w:r>
      <w:r>
        <w:t>valgte. Sa</w:t>
      </w:r>
      <w:r>
        <w:t>m</w:t>
      </w:r>
      <w:r>
        <w:t>arbeidet ha</w:t>
      </w:r>
      <w:r>
        <w:t>r videre resultert i en veileder som blir lansert på nett i samarbeid med et tr</w:t>
      </w:r>
      <w:r>
        <w:t>e</w:t>
      </w:r>
      <w:r>
        <w:t>parts-bransjeprogram for utelivsbransjen. Oppbyggingen av veilederen er basert på gode HMS-tiltak for å vurdere risiko, igangsette tiltak og håndtere saker. Den kan derfor også</w:t>
      </w:r>
      <w:r>
        <w:t xml:space="preserve"> brukes som et utgangspunkt for veiledning i arbeidslivet for øvrig.</w:t>
      </w:r>
    </w:p>
    <w:p w:rsidR="00000000" w:rsidRDefault="00D718D0" w:rsidP="00BA3E8B">
      <w:r>
        <w:t>Erfaringene med dette samarbeidet er gode, og ombudet ønsker å se nærmere på om dette kan være et arbeid som bør videreutvikles.</w:t>
      </w:r>
    </w:p>
    <w:p w:rsidR="00000000" w:rsidRDefault="00D718D0" w:rsidP="00BA3E8B">
      <w:r>
        <w:t>Det følger av diskrimineringsombudsloven § 5 annet ledd at</w:t>
      </w:r>
      <w:r>
        <w:t xml:space="preserve"> ombudet skal gi veiledning om beste</w:t>
      </w:r>
      <w:r>
        <w:t>m</w:t>
      </w:r>
      <w:r>
        <w:t>melsene i samme lov § 1 annet ledd. Det fremgår av lovens forarbeider at dette også innebærer å gi ve</w:t>
      </w:r>
      <w:r>
        <w:t>i</w:t>
      </w:r>
      <w:r>
        <w:t>ledning om plikten etter likestillings- og diskrimineringsloven til å forebygge og hindre seksuell trakass</w:t>
      </w:r>
      <w:r>
        <w:t>e</w:t>
      </w:r>
      <w:r>
        <w:t>ring og om</w:t>
      </w:r>
      <w:r>
        <w:t xml:space="preserve"> plikten til aktivt likestillingsarbeid.</w:t>
      </w:r>
    </w:p>
    <w:p w:rsidR="00000000" w:rsidRDefault="00D718D0" w:rsidP="00BA3E8B">
      <w:r>
        <w:t>Departementet foreslår likevel at bestemmelsens innhold, av pedagogiske hensyn og for å sy</w:t>
      </w:r>
      <w:r>
        <w:t>n</w:t>
      </w:r>
      <w:r>
        <w:t>liggjøre vi</w:t>
      </w:r>
      <w:r>
        <w:t>k</w:t>
      </w:r>
      <w:r>
        <w:t>tigheten av det forebyggende arbeidet, tydeliggjøres både i diskrimineringso</w:t>
      </w:r>
      <w:r>
        <w:t>m</w:t>
      </w:r>
      <w:r>
        <w:t>budslovens forarbeider og i selve l</w:t>
      </w:r>
      <w:r>
        <w:t>ovbestemmelsen.</w:t>
      </w:r>
    </w:p>
    <w:p w:rsidR="00000000" w:rsidRDefault="00D718D0" w:rsidP="00BA3E8B">
      <w:r>
        <w:t>Ordlyden i diskrimineringsombudsloven § 5 annet ledd foreslås som nevnt ovenfor presisert, slik at ombudets veiledningsrolle – både overfor enkeltpersoner og det forebyggende veiledning</w:t>
      </w:r>
      <w:r>
        <w:t>s</w:t>
      </w:r>
      <w:r>
        <w:t>arbeidet – t</w:t>
      </w:r>
      <w:r>
        <w:t>y</w:t>
      </w:r>
      <w:r>
        <w:t>deliggjøres:</w:t>
      </w:r>
    </w:p>
    <w:p w:rsidR="00000000" w:rsidRPr="009445FD" w:rsidRDefault="00D718D0" w:rsidP="00BA3E8B">
      <w:pPr>
        <w:pStyle w:val="blokksit"/>
        <w:rPr>
          <w:rStyle w:val="kursiv"/>
        </w:rPr>
      </w:pPr>
      <w:r>
        <w:t xml:space="preserve">«Ombudet skal gi veiledning </w:t>
      </w:r>
      <w:r>
        <w:t>om bestemmelsene i § 1 annet ledd, herunder veiledning i saker om seksuell trakassering og om plikten til å forebygge og forhindre trakassering og seksuell traka</w:t>
      </w:r>
      <w:r>
        <w:t>s</w:t>
      </w:r>
      <w:r>
        <w:t>sering etter likestillings- og diskrimineringsloven § 13 siste ledd. Ombudet plikter å gi veil</w:t>
      </w:r>
      <w:r>
        <w:t>edning i enkelts</w:t>
      </w:r>
      <w:r>
        <w:t>a</w:t>
      </w:r>
      <w:r>
        <w:t>ker. Enhver kan henvende seg til ombudet for veiledning.»</w:t>
      </w:r>
    </w:p>
    <w:p w:rsidR="00000000" w:rsidRDefault="00D718D0" w:rsidP="00BA3E8B">
      <w:pPr>
        <w:pStyle w:val="Overskrift4"/>
      </w:pPr>
      <w:r>
        <w:t>Konklusjon</w:t>
      </w:r>
    </w:p>
    <w:p w:rsidR="00000000" w:rsidRDefault="00D718D0" w:rsidP="00BA3E8B">
      <w:r>
        <w:t>Departementet opprettholder forslaget om å styrke Likestillings- og diskrimineringsombudets veile</w:t>
      </w:r>
      <w:r>
        <w:t>d</w:t>
      </w:r>
      <w:r>
        <w:t>nings- og hjelpetilbud til personer som utsettes for sek</w:t>
      </w:r>
      <w:r>
        <w:t>suell trakassering.</w:t>
      </w:r>
    </w:p>
    <w:p w:rsidR="00000000" w:rsidRDefault="00D718D0" w:rsidP="00BA3E8B">
      <w:r>
        <w:t>Ombudet har allerede en veiledningsrolle, men veiledningsrollen bør utvikles og styrkes, slik at tilb</w:t>
      </w:r>
      <w:r>
        <w:t>u</w:t>
      </w:r>
      <w:r>
        <w:t>det kan følges opp på en mer helhetlig måte.</w:t>
      </w:r>
    </w:p>
    <w:p w:rsidR="00000000" w:rsidRDefault="00D718D0" w:rsidP="00BA3E8B">
      <w:r>
        <w:t>Det er et overordnet mål at saker om seksuell trakassering løses på et så lavt nivå som m</w:t>
      </w:r>
      <w:r>
        <w:t>ulig. A</w:t>
      </w:r>
      <w:r>
        <w:t>r</w:t>
      </w:r>
      <w:r>
        <w:t>beidsgivere, utdanningsinstitusjoner og organisasjoner har alle et overordnet ansvar for å forebygge og følge opp disse sakene, og skal utarbeide klare retningslinjer og varslingsrutiner internt.</w:t>
      </w:r>
    </w:p>
    <w:p w:rsidR="00000000" w:rsidRDefault="00D718D0" w:rsidP="00BA3E8B">
      <w:r>
        <w:lastRenderedPageBreak/>
        <w:t>Veiledning bidrar i stor grad til å begrense antalle</w:t>
      </w:r>
      <w:r>
        <w:t>t klagesaker til Diskrimineringsnemnda. En rekke saker løses gjennom veiledning, enten ved at vedkommende får hjelp til å løse saken, eller ved at det sk</w:t>
      </w:r>
      <w:r>
        <w:t>a</w:t>
      </w:r>
      <w:r>
        <w:t>pes en forståelse for at vedkommende ikke har en sak å gå videre med. Ombudet gjør således en betyd</w:t>
      </w:r>
      <w:r>
        <w:t>e</w:t>
      </w:r>
      <w:r>
        <w:t>li</w:t>
      </w:r>
      <w:r>
        <w:t>g innsats for å ide</w:t>
      </w:r>
      <w:r>
        <w:t>n</w:t>
      </w:r>
      <w:r>
        <w:t>tifisere saker som i liten grad egner seg for nemnds- eller domstolsbehandling.</w:t>
      </w:r>
    </w:p>
    <w:p w:rsidR="00000000" w:rsidRDefault="00D718D0" w:rsidP="00BA3E8B">
      <w:r>
        <w:t>Departementet mener at hovedfokus i en styrking av veilednings- og hjelpetilbudet bør rettes inn mot det forebyggende arbeidet. I arbeidet mot seksuell trak</w:t>
      </w:r>
      <w:r>
        <w:t>assering bør målet først og fremst være å redusere for</w:t>
      </w:r>
      <w:r>
        <w:t>e</w:t>
      </w:r>
      <w:r>
        <w:t>komsten av slike hendelser. Dette står likevel ikke i motsetning til ønsket om et godt utviklet veile</w:t>
      </w:r>
      <w:r>
        <w:t>d</w:t>
      </w:r>
      <w:r>
        <w:t>nings- og hjelpetilbud til den enkelte som utsettes for seksuell trakassering. Men fordi veiledning</w:t>
      </w:r>
      <w:r>
        <w:t>s- og hjelpetilbudet vanskelig vil kunne dekke alle behov og nå alle som trenger det, så må fokus rettes inn mot det forebyggende arbeidet.</w:t>
      </w:r>
    </w:p>
    <w:p w:rsidR="00000000" w:rsidRDefault="00D718D0" w:rsidP="00BA3E8B">
      <w:r>
        <w:t>Departementet opprettholder også forslag om å presisere i diskrimineringsombudsloven § 5 at o</w:t>
      </w:r>
      <w:r>
        <w:t>m</w:t>
      </w:r>
      <w:r>
        <w:t>budet skal gi veiledni</w:t>
      </w:r>
      <w:r>
        <w:t>ng i enkeltsaker.</w:t>
      </w:r>
    </w:p>
    <w:p w:rsidR="00000000" w:rsidRDefault="00D718D0" w:rsidP="00BA3E8B">
      <w:r>
        <w:t>Departementet opprettholder videre forslag om at innholdet i diskrimineringsombudsloven § 5, av pedag</w:t>
      </w:r>
      <w:r>
        <w:t>o</w:t>
      </w:r>
      <w:r>
        <w:t>giske hensyn og for å synliggjøre viktigheten av det forebyggende arbeidet, tydeli</w:t>
      </w:r>
      <w:r>
        <w:t>g</w:t>
      </w:r>
      <w:r>
        <w:t>gjøres.</w:t>
      </w:r>
    </w:p>
    <w:p w:rsidR="00000000" w:rsidRDefault="00D718D0" w:rsidP="00BA3E8B">
      <w:pPr>
        <w:pStyle w:val="Overskrift1"/>
      </w:pPr>
      <w:r>
        <w:t>Styrking av aktivitets- og redegjør</w:t>
      </w:r>
      <w:r>
        <w:t>elsesplikten</w:t>
      </w:r>
    </w:p>
    <w:p w:rsidR="00000000" w:rsidRDefault="00D718D0" w:rsidP="00BA3E8B">
      <w:pPr>
        <w:pStyle w:val="Overskrift2"/>
      </w:pPr>
      <w:r>
        <w:t>Bakgrunn for lovforslaget</w:t>
      </w:r>
    </w:p>
    <w:p w:rsidR="00000000" w:rsidRDefault="00D718D0" w:rsidP="00BA3E8B">
      <w:pPr>
        <w:pStyle w:val="Overskrift3"/>
      </w:pPr>
      <w:r>
        <w:t>Innledning</w:t>
      </w:r>
    </w:p>
    <w:p w:rsidR="00000000" w:rsidRDefault="00D718D0" w:rsidP="00BA3E8B">
      <w:r>
        <w:t>Aktivitets- og redegjørelsesplikten etter likestillings- og diskrimineringsloven er et viktig verktøy for å oppnå reell likestilling. For å oppnå likestilling kreves det i tillegg til et</w:t>
      </w:r>
      <w:r>
        <w:t xml:space="preserve"> diskr</w:t>
      </w:r>
      <w:r>
        <w:t>i</w:t>
      </w:r>
      <w:r>
        <w:t>mineringsvern for enkelti</w:t>
      </w:r>
      <w:r>
        <w:t>n</w:t>
      </w:r>
      <w:r>
        <w:t>divider også en aktiv innsats fra arbeidsgivere og myndigheter.</w:t>
      </w:r>
    </w:p>
    <w:p w:rsidR="00000000" w:rsidRDefault="00D718D0" w:rsidP="00BA3E8B">
      <w:r>
        <w:t>Formålet med lovforslaget er å fremme likestillingsarbeidet med underliggende strukturer og syst</w:t>
      </w:r>
      <w:r>
        <w:t>e</w:t>
      </w:r>
      <w:r>
        <w:t>mer på alle samfunnsområder.</w:t>
      </w:r>
    </w:p>
    <w:p w:rsidR="00000000" w:rsidRDefault="00D718D0" w:rsidP="00BA3E8B">
      <w:r>
        <w:t xml:space="preserve">Et utgangspunkt i lovarbeidet er </w:t>
      </w:r>
      <w:r>
        <w:t>at det skal sikres en god balanse mellom behovet for å styrke aktiv</w:t>
      </w:r>
      <w:r>
        <w:t>i</w:t>
      </w:r>
      <w:r>
        <w:t>tets- og redegjørelsesplikten og målsettingen til forenkling og avbyråkratisering. Mao. skal pliktene for likestilling</w:t>
      </w:r>
      <w:r>
        <w:t>s</w:t>
      </w:r>
      <w:r>
        <w:t>arbeidet styrkes samtidig som behovet for å forenkle hverdagen for næ</w:t>
      </w:r>
      <w:r>
        <w:t>ringsdrivende, særlig for små bedrifter, skal ivaretas. Lovforslagene som fremmes i denne lovproposisjonen ivaretar begge hensynene.</w:t>
      </w:r>
    </w:p>
    <w:p w:rsidR="00000000" w:rsidRDefault="00D718D0" w:rsidP="00BA3E8B">
      <w:pPr>
        <w:pStyle w:val="Overskrift3"/>
      </w:pPr>
      <w:r>
        <w:t>Graver-utvalget</w:t>
      </w:r>
    </w:p>
    <w:p w:rsidR="00000000" w:rsidRDefault="00D718D0" w:rsidP="00BA3E8B">
      <w:r>
        <w:t>Graver-utvalget, som ble oppnevnt i 2007, fikk som oppgave å</w:t>
      </w:r>
      <w:r>
        <w:t xml:space="preserve"> foreta en helhetlig utredning av diskrimin</w:t>
      </w:r>
      <w:r>
        <w:t>e</w:t>
      </w:r>
      <w:r>
        <w:t>ringsvernet. Utvalgets utredning NOU 2009: 14 Et helhetlig diskrimineringsvern – Diskrimineringslovu</w:t>
      </w:r>
      <w:r>
        <w:t>t</w:t>
      </w:r>
      <w:r>
        <w:t>valgets utredning om en samlet diskrimineringslov, grunnlovsvern og r</w:t>
      </w:r>
      <w:r>
        <w:t>a</w:t>
      </w:r>
      <w:r>
        <w:t>tifikasjon av tilleggsprotokoll nr. 12 ti</w:t>
      </w:r>
      <w:r>
        <w:t>l EMK innebar bl.a. forslag om regulering av aktivt lik</w:t>
      </w:r>
      <w:r>
        <w:t>e</w:t>
      </w:r>
      <w:r>
        <w:t>stillingsarbeid. Utvalget foreslo at:</w:t>
      </w:r>
    </w:p>
    <w:p w:rsidR="00000000" w:rsidRDefault="00D718D0" w:rsidP="00BA3E8B">
      <w:pPr>
        <w:pStyle w:val="Liste"/>
      </w:pPr>
      <w:r>
        <w:lastRenderedPageBreak/>
        <w:t>arbeidsgivers plikt å arbeide aktivt for likestilling utvides til å omfatte alle diskrimin</w:t>
      </w:r>
      <w:r>
        <w:t>e</w:t>
      </w:r>
      <w:r>
        <w:t>ringsgrunnlag vernet i loven</w:t>
      </w:r>
    </w:p>
    <w:p w:rsidR="00000000" w:rsidRDefault="00D718D0" w:rsidP="00BA3E8B">
      <w:pPr>
        <w:pStyle w:val="Liste"/>
      </w:pPr>
      <w:r>
        <w:t>aktivitetsplikten skulle styrkes v</w:t>
      </w:r>
      <w:r>
        <w:t>ed at den innlemmes i virksomhetenes systematiske helse-, miljø- og sikkerhetsarbeid (HMS)</w:t>
      </w:r>
    </w:p>
    <w:p w:rsidR="00000000" w:rsidRDefault="00D718D0" w:rsidP="00BA3E8B">
      <w:pPr>
        <w:pStyle w:val="Liste"/>
      </w:pPr>
      <w:r>
        <w:t>arbeidsgivers aktivitetsplikt skulle konkretiseres og tydeliggjøres i lov og forskrift, og i samsvar med arbeidsmiljølovens regler om systematisk HMS-arbeid</w:t>
      </w:r>
    </w:p>
    <w:p w:rsidR="00000000" w:rsidRDefault="00D718D0" w:rsidP="00BA3E8B">
      <w:pPr>
        <w:pStyle w:val="Liste"/>
      </w:pPr>
      <w:r>
        <w:t>virksomheter pålegges en plikt til å dokumentere faktisk tilstand for likestilling og tiltak som er iver</w:t>
      </w:r>
      <w:r>
        <w:t>k</w:t>
      </w:r>
      <w:r>
        <w:t>satt eller som planlegges iverksatt. Redegjørelsesplikten skulle oppheves</w:t>
      </w:r>
    </w:p>
    <w:p w:rsidR="00000000" w:rsidRDefault="00D718D0" w:rsidP="00BA3E8B">
      <w:pPr>
        <w:pStyle w:val="Liste"/>
      </w:pPr>
      <w:r>
        <w:t>Arbeidstilsynet skulle håndheve pliktene som et ledd i sin ordinære tilsy</w:t>
      </w:r>
      <w:r>
        <w:t>nsvirksomhet</w:t>
      </w:r>
    </w:p>
    <w:p w:rsidR="00000000" w:rsidRDefault="00D718D0" w:rsidP="00BA3E8B">
      <w:pPr>
        <w:pStyle w:val="Liste"/>
      </w:pPr>
      <w:r>
        <w:t>offentlige myndigheter skulle ha en aktivitetsplikt på alle lovens diskrimineringsgrunnlag. Utvalget f</w:t>
      </w:r>
      <w:r>
        <w:t>o</w:t>
      </w:r>
      <w:r>
        <w:t>reslo derimot ikke en redegjørelsesplikt for offentlige myndigheter</w:t>
      </w:r>
    </w:p>
    <w:p w:rsidR="00000000" w:rsidRDefault="00D718D0" w:rsidP="00BA3E8B">
      <w:pPr>
        <w:pStyle w:val="Liste"/>
      </w:pPr>
      <w:r>
        <w:t>aktivitetsplikten for arbeidslivets organisasjoner skulle opphev</w:t>
      </w:r>
      <w:r>
        <w:t>es.</w:t>
      </w:r>
    </w:p>
    <w:p w:rsidR="00000000" w:rsidRDefault="00D718D0" w:rsidP="00BA3E8B">
      <w:r>
        <w:t xml:space="preserve">Utredningen NOU 2009: 14 Et helhetlig diskrimineringsvern ble sendt på høring sommeren 2009. Flere høringsinstanser, herunder Arbeids- og sosialdepartementet og Arbeidstilsynet, motsatte seg forslaget om arbeidsgiveres aktivitetsplikt og håndheving av </w:t>
      </w:r>
      <w:r>
        <w:t>denne plikten. Mo</w:t>
      </w:r>
      <w:r>
        <w:t>t</w:t>
      </w:r>
      <w:r>
        <w:t>standen var særlig basert på at likesti</w:t>
      </w:r>
      <w:r>
        <w:t>l</w:t>
      </w:r>
      <w:r>
        <w:t>lingsarbeid, som i stor grad er knyttet til privatrettslige arbeidsforhold, ikke passer inn i HMS-strukturen. Flere høringsinstanser var bekymret for at likestilling skulle få for lite plass i HMS-a</w:t>
      </w:r>
      <w:r>
        <w:t>rbeidet, mens andre var redd for at likestillingsarbeid skulle ta plass fra det tradisjonelle HMS-arbeidet.</w:t>
      </w:r>
    </w:p>
    <w:p w:rsidR="00000000" w:rsidRDefault="00D718D0" w:rsidP="00BA3E8B">
      <w:pPr>
        <w:pStyle w:val="Overskrift3"/>
      </w:pPr>
      <w:r>
        <w:t>Skjeie-utvalget</w:t>
      </w:r>
    </w:p>
    <w:p w:rsidR="00000000" w:rsidRDefault="00D718D0" w:rsidP="00BA3E8B">
      <w:pPr>
        <w:pStyle w:val="Overskrift4"/>
      </w:pPr>
      <w:r>
        <w:t>Innledning</w:t>
      </w:r>
    </w:p>
    <w:p w:rsidR="00000000" w:rsidRDefault="00D718D0" w:rsidP="00BA3E8B">
      <w:r>
        <w:t>Skjeie-utvalget ble oppnevnt i februar 2010 for å utrede kjøn</w:t>
      </w:r>
      <w:r>
        <w:t>nslikestilling med utgangspunkt i livsløp, etn</w:t>
      </w:r>
      <w:r>
        <w:t>i</w:t>
      </w:r>
      <w:r>
        <w:t>sitet og klasse. Utvalget vurderte i sin utredning NOU 2011: 18 Struktur for lik</w:t>
      </w:r>
      <w:r>
        <w:t>e</w:t>
      </w:r>
      <w:r>
        <w:t>stilling de eksisterende institusjonelle og organisatoriske rammene for arbeidet med likestilling.</w:t>
      </w:r>
    </w:p>
    <w:p w:rsidR="00000000" w:rsidRDefault="00D718D0" w:rsidP="00BA3E8B">
      <w:r>
        <w:t>Skjeie-utvalget uttalte at li</w:t>
      </w:r>
      <w:r>
        <w:t>kestilling kan anses som et element av virksomheters samfunnsansvar. U</w:t>
      </w:r>
      <w:r>
        <w:t>t</w:t>
      </w:r>
      <w:r>
        <w:t>valget viste til stortingsmeldingen om aktivt eierskap (Meld. St. 13 (2010–2011)) og Sto</w:t>
      </w:r>
      <w:r>
        <w:t>r</w:t>
      </w:r>
      <w:r>
        <w:t>tingsmeldingen om n</w:t>
      </w:r>
      <w:r>
        <w:t>æ</w:t>
      </w:r>
      <w:r>
        <w:t>ringslivets samfunnsansvar i en global økonomi (St. meld. nr. 10 (2008–2009)</w:t>
      </w:r>
      <w:r>
        <w:t>) og ga uttrykk for at op</w:t>
      </w:r>
      <w:r>
        <w:t>p</w:t>
      </w:r>
      <w:r>
        <w:t>merksomheten rundt næringslivets samfunnsansvar er økende, både nasjonalt og internasjonalt, jf. NOU 2011: 18 side 21 og 51. Utvalget uttalte på side 21:</w:t>
      </w:r>
    </w:p>
    <w:p w:rsidR="00000000" w:rsidRDefault="00D718D0" w:rsidP="00BA3E8B">
      <w:pPr>
        <w:pStyle w:val="blokksit"/>
      </w:pPr>
      <w:r>
        <w:t>«[d]et understrekes at likestilling i næringslivet er et konkurransefortrinn</w:t>
      </w:r>
      <w:r>
        <w:t xml:space="preserve"> som kan bidra til å møte selskapenes globale utfordringer. I tillegg til et mål om høy grad av kjønnsbalanse i styrer, gis det klare føringer om at norske selskaper bør legge strategier for hvordan den beste kompetansen kan benyttes i selskapene, inklusiv</w:t>
      </w:r>
      <w:r>
        <w:t xml:space="preserve"> hvordan kvinner og minoritetsgrupper kan rekrutteres til toppl</w:t>
      </w:r>
      <w:r>
        <w:t>e</w:t>
      </w:r>
      <w:r>
        <w:t>dersti</w:t>
      </w:r>
      <w:r>
        <w:t>l</w:t>
      </w:r>
      <w:r>
        <w:t>linger, jf. Meld. St. 13 (2010–2011) Aktivt eierskap.»</w:t>
      </w:r>
    </w:p>
    <w:p w:rsidR="00000000" w:rsidRDefault="00D718D0" w:rsidP="00BA3E8B">
      <w:r>
        <w:t>Utvalget anbefalte at aktivitetsplikten for arbeidsgivere og offentlige myndigheter, som my</w:t>
      </w:r>
      <w:r>
        <w:t>n</w:t>
      </w:r>
      <w:r>
        <w:t>dighetsu</w:t>
      </w:r>
      <w:r>
        <w:t>t</w:t>
      </w:r>
      <w:r>
        <w:t>øvere og tjenesteytere, konkr</w:t>
      </w:r>
      <w:r>
        <w:t>etiseres i loven. Utvalget foreslo at virksomheter som er pålagt å utarbeide årsb</w:t>
      </w:r>
      <w:r>
        <w:t>e</w:t>
      </w:r>
      <w:r>
        <w:t>retning, skulle redegjøre for kjønnslikestilling i årsberetningen. Offen</w:t>
      </w:r>
      <w:r>
        <w:t>t</w:t>
      </w:r>
      <w:r>
        <w:t>lige virksomheter, som ikke har en plikt til å utarbeide årsberetning, skulle gi en redegjørelse om l</w:t>
      </w:r>
      <w:r>
        <w:t>ikestilling i årsbudsjettet. Utvalget mente at departementet skulle gis myndighet til å føre tilsyn med aktivitetsplikten for offentlige myndi</w:t>
      </w:r>
      <w:r>
        <w:t>g</w:t>
      </w:r>
      <w:r>
        <w:t>heter, og at departementet skulle ha mulighet til å delegere denne oppgaven til et underliggende organ (direktora</w:t>
      </w:r>
      <w:r>
        <w:t>t). Likestillings- og diskrimin</w:t>
      </w:r>
      <w:r>
        <w:t>e</w:t>
      </w:r>
      <w:r>
        <w:t>ringsombudet skulle ha ansvaret for å kontrollere oppfyllelsen av arbeidsgiv</w:t>
      </w:r>
      <w:r>
        <w:t>e</w:t>
      </w:r>
      <w:r>
        <w:t>res redegjørelse</w:t>
      </w:r>
      <w:r>
        <w:t>s</w:t>
      </w:r>
      <w:r>
        <w:t>plikt.</w:t>
      </w:r>
    </w:p>
    <w:p w:rsidR="00000000" w:rsidRDefault="00D718D0" w:rsidP="00BA3E8B">
      <w:pPr>
        <w:pStyle w:val="Overskrift4"/>
      </w:pPr>
      <w:r>
        <w:lastRenderedPageBreak/>
        <w:t>Utvalgets forslag</w:t>
      </w:r>
    </w:p>
    <w:p w:rsidR="00000000" w:rsidRDefault="00D718D0" w:rsidP="00BA3E8B">
      <w:r>
        <w:t>Utvalget mente at aktivitets- og redegjørelsesplikten for arbeidsgivere er et sentralt vi</w:t>
      </w:r>
      <w:r>
        <w:t>rkemiddel for å fremme kjønnslikestilling i arbeidslivet. Utvalget anbefalte at arbeidsgivere skulle pålegges en generell aktivitetsplikt som innebærer en plikt til å arbeide aktivt, målrettet og planmessig for likestilling mellom kjønnene innenfor sin vir</w:t>
      </w:r>
      <w:r>
        <w:t>ksomhet. Aktivitetsplikten skulle omfatte blant annet rekruttering, lønns- og arbeidsvilkår, arbeidstid, herunder ufrivillig deltid, individuell tilrettelegging, utviklingsmuligheter og beskyttelse mot seksuell trakassering og trakassering på grunn av kjøn</w:t>
      </w:r>
      <w:r>
        <w:t>n, jf. NOU 2011: 18 kapittel 3.5.3.</w:t>
      </w:r>
    </w:p>
    <w:p w:rsidR="00000000" w:rsidRDefault="00D718D0" w:rsidP="00BA3E8B">
      <w:r>
        <w:t>En kartlegging av kommunalt og regionalt likestillingsarbeid hadde også avdekket usikkerhet blant kommuner og andre offentlige virksomheter omkring hvordan arbeide med likestilling og hvordan ra</w:t>
      </w:r>
      <w:r>
        <w:t>p</w:t>
      </w:r>
      <w:r>
        <w:t>portere om det, jf. rappo</w:t>
      </w:r>
      <w:r>
        <w:t>rten «Vedvarende vikeplikt» 2011 og NOU 2011: 18 kapittel 3.5.1.3.</w:t>
      </w:r>
    </w:p>
    <w:p w:rsidR="00000000" w:rsidRDefault="00D718D0" w:rsidP="00BA3E8B">
      <w:r>
        <w:t>Utvalget anbefalte at kravene til private virksomheter som har mer enn 50 ansatte, og for alle offentlige virksomheter, skulle konkretiseres, jf. NOU 2011: 18 kapittel 3.5.1.3. I disse vir</w:t>
      </w:r>
      <w:r>
        <w:t>k</w:t>
      </w:r>
      <w:r>
        <w:t>somhetene skulle a</w:t>
      </w:r>
      <w:r>
        <w:t>r</w:t>
      </w:r>
      <w:r>
        <w:t>beid</w:t>
      </w:r>
      <w:r>
        <w:t>s</w:t>
      </w:r>
      <w:r>
        <w:t>giver:</w:t>
      </w:r>
    </w:p>
    <w:p w:rsidR="00000000" w:rsidRDefault="00D718D0" w:rsidP="0002287D">
      <w:pPr>
        <w:pStyle w:val="alfaliste"/>
        <w:numPr>
          <w:ilvl w:val="0"/>
          <w:numId w:val="262"/>
        </w:numPr>
      </w:pPr>
      <w:r>
        <w:t>fastsette mål for kjønnslikestillingsarbeidet</w:t>
      </w:r>
    </w:p>
    <w:p w:rsidR="00000000" w:rsidRDefault="00D718D0" w:rsidP="00BA3E8B">
      <w:pPr>
        <w:pStyle w:val="alfaliste"/>
      </w:pPr>
      <w:r>
        <w:t>gjennomgå virksomhetens praksis og kultur for å identifisere barrierer for kjønnslikestilling, herunder ha oppmerksomhet på kjøn</w:t>
      </w:r>
      <w:r>
        <w:t>nsdiskriminering i sammenheng med de andre diskr</w:t>
      </w:r>
      <w:r>
        <w:t>i</w:t>
      </w:r>
      <w:r>
        <w:t>mineringsgrunnl</w:t>
      </w:r>
      <w:r>
        <w:t>a</w:t>
      </w:r>
      <w:r>
        <w:t>gene etn</w:t>
      </w:r>
      <w:r>
        <w:t>i</w:t>
      </w:r>
      <w:r>
        <w:t>sitet, religion, livssyn, alder, seksuell orientering og nedsatt funksjonsevne</w:t>
      </w:r>
    </w:p>
    <w:p w:rsidR="00000000" w:rsidRDefault="00D718D0" w:rsidP="00BA3E8B">
      <w:pPr>
        <w:pStyle w:val="alfaliste"/>
      </w:pPr>
      <w:r>
        <w:t>utarbeide lønnsstatistikk fordelt etter kjønn</w:t>
      </w:r>
    </w:p>
    <w:p w:rsidR="00000000" w:rsidRDefault="00D718D0" w:rsidP="00BA3E8B">
      <w:pPr>
        <w:pStyle w:val="alfaliste"/>
      </w:pPr>
      <w:r>
        <w:t>kartlegge bruk av ufrivillig deltid innen vir</w:t>
      </w:r>
      <w:r>
        <w:t>ksomheten</w:t>
      </w:r>
    </w:p>
    <w:p w:rsidR="00000000" w:rsidRDefault="00D718D0" w:rsidP="00BA3E8B">
      <w:pPr>
        <w:pStyle w:val="alfaliste"/>
      </w:pPr>
      <w:r>
        <w:t>forebygge diskriminering, seksuell trakassering og trakassering på grunn av kjønn</w:t>
      </w:r>
    </w:p>
    <w:p w:rsidR="00000000" w:rsidRDefault="00D718D0" w:rsidP="00BA3E8B">
      <w:pPr>
        <w:pStyle w:val="alfaliste"/>
      </w:pPr>
      <w:r>
        <w:t>holde oversikt over fordeling av ansvar, oppgaver og myndighet når det gjelder kjønnslik</w:t>
      </w:r>
      <w:r>
        <w:t>e</w:t>
      </w:r>
      <w:r>
        <w:t>stilling, og</w:t>
      </w:r>
    </w:p>
    <w:p w:rsidR="00000000" w:rsidRDefault="00D718D0" w:rsidP="00BA3E8B">
      <w:pPr>
        <w:pStyle w:val="alfaliste"/>
      </w:pPr>
      <w:r>
        <w:t>sør</w:t>
      </w:r>
      <w:r>
        <w:t>ge for at virksomheten driver systematisk arbeid på områdene i bokstav a-f.</w:t>
      </w:r>
    </w:p>
    <w:p w:rsidR="00000000" w:rsidRDefault="00D718D0" w:rsidP="00BA3E8B">
      <w:r>
        <w:t>Under henvisning til kartleggingen av kommunalt og regionalt likestillingsarbeid «Vedvarende vikeplikt» (2011), uttalte utvalget at lederforankring og ansvarsfordeling er viktige e</w:t>
      </w:r>
      <w:r>
        <w:t>lementer i kommunalt og r</w:t>
      </w:r>
      <w:r>
        <w:t>e</w:t>
      </w:r>
      <w:r>
        <w:t>gionalt likestillingsarbeid. Utvalget understreket også viktigheten av en sy</w:t>
      </w:r>
      <w:r>
        <w:t>s</w:t>
      </w:r>
      <w:r>
        <w:t>tematisk tilnærming til lik</w:t>
      </w:r>
      <w:r>
        <w:t>e</w:t>
      </w:r>
      <w:r>
        <w:t>stillingsarbeid som innebærer å kartlegge, sette mål, planlegge, iverksette og følge opp tiltak. Utvalget anbefalte videre at</w:t>
      </w:r>
      <w:r>
        <w:t xml:space="preserve"> Kongen skal kunne utdype nærmere pliktene til likestillingsarbeid ved forskrift.</w:t>
      </w:r>
    </w:p>
    <w:p w:rsidR="00000000" w:rsidRDefault="00D718D0" w:rsidP="00BA3E8B">
      <w:r>
        <w:t>Utvalget anbefalte at arbeidsgivere skulle pålegges en redegjørelsesplikt. Utvalget viste til at offentlig ti</w:t>
      </w:r>
      <w:r>
        <w:t>l</w:t>
      </w:r>
      <w:r>
        <w:t>gjengelige redegjørelser vil innebære en synliggjøring og beviss</w:t>
      </w:r>
      <w:r>
        <w:t>tgjøring, og vil kunne skape økt og mer systematisk oppmerksomhet på likestilling i virksomhetene, jf. Ot.prp. nr. 77 (2000–2001) kapittel 5. År</w:t>
      </w:r>
      <w:r>
        <w:t>s</w:t>
      </w:r>
      <w:r>
        <w:t>beretningen ble ansett som en viktig kilde til informasjon som kan gi en pekepinn om hvordan næringsl</w:t>
      </w:r>
      <w:r>
        <w:t>i</w:t>
      </w:r>
      <w:r>
        <w:t>vet benyt</w:t>
      </w:r>
      <w:r>
        <w:t>ter menneskelige ressurser, om virksomhetens holdning til likestilling, og om virksomheten som a</w:t>
      </w:r>
      <w:r>
        <w:t>r</w:t>
      </w:r>
      <w:r>
        <w:t>beidsplass. Departementet viser til NOU 2011: 18 kapittel 3.5.1.3.</w:t>
      </w:r>
    </w:p>
    <w:p w:rsidR="00000000" w:rsidRDefault="00D718D0" w:rsidP="00BA3E8B">
      <w:r>
        <w:t>Utvalget anbefalte virksomheter som i lov er pålagt å utarbeide årsberetning, en plikt til å</w:t>
      </w:r>
      <w:r>
        <w:t xml:space="preserve"> red</w:t>
      </w:r>
      <w:r>
        <w:t>e</w:t>
      </w:r>
      <w:r>
        <w:t>gjøre i årsb</w:t>
      </w:r>
      <w:r>
        <w:t>e</w:t>
      </w:r>
      <w:r>
        <w:t>retningen for den faktiske tilstanden når det gjelder kjønnslikestilling i virksomh</w:t>
      </w:r>
      <w:r>
        <w:t>e</w:t>
      </w:r>
      <w:r>
        <w:lastRenderedPageBreak/>
        <w:t>ten. Virksomhe</w:t>
      </w:r>
      <w:r>
        <w:t>t</w:t>
      </w:r>
      <w:r>
        <w:t>ene skulle redegjøre for tiltak som er iverksatt og tiltak som planlegges iverksatt for å fremme likestilling og for å fo</w:t>
      </w:r>
      <w:r>
        <w:t>r</w:t>
      </w:r>
      <w:r>
        <w:t>hindre forskjells</w:t>
      </w:r>
      <w:r>
        <w:t>behandling.</w:t>
      </w:r>
    </w:p>
    <w:p w:rsidR="00000000" w:rsidRDefault="00D718D0" w:rsidP="00BA3E8B">
      <w:r>
        <w:t>Utvalget mente at det var behov for å konkretisere pliktene for offentlige myndigheter. Lik</w:t>
      </w:r>
      <w:r>
        <w:t>e</w:t>
      </w:r>
      <w:r>
        <w:t>stilling</w:t>
      </w:r>
      <w:r>
        <w:t>s</w:t>
      </w:r>
      <w:r>
        <w:t>hensyn skulle integreres i all offentlig virksomhet.</w:t>
      </w:r>
    </w:p>
    <w:p w:rsidR="00000000" w:rsidRDefault="00D718D0" w:rsidP="00BA3E8B">
      <w:r>
        <w:t>Utvalget anbefalte at offentlige myndigheter skulle arbeide aktivt, målrettet og planmessi</w:t>
      </w:r>
      <w:r>
        <w:t>g for likesti</w:t>
      </w:r>
      <w:r>
        <w:t>l</w:t>
      </w:r>
      <w:r>
        <w:t>ling mellom kjønnene på alle samfunnsområder. Plikten skulle gjelde for både mynd</w:t>
      </w:r>
      <w:r>
        <w:t>i</w:t>
      </w:r>
      <w:r>
        <w:t>ghetsutøvelse og myndi</w:t>
      </w:r>
      <w:r>
        <w:t>g</w:t>
      </w:r>
      <w:r>
        <w:t>hetenes tjenesteyting. Offentlige myndigheter skulle:</w:t>
      </w:r>
    </w:p>
    <w:p w:rsidR="00000000" w:rsidRDefault="00D718D0" w:rsidP="0002287D">
      <w:pPr>
        <w:pStyle w:val="alfaliste"/>
        <w:numPr>
          <w:ilvl w:val="0"/>
          <w:numId w:val="263"/>
        </w:numPr>
      </w:pPr>
      <w:r>
        <w:t>fastsette mål for kjønnslikestillingsarbeidet</w:t>
      </w:r>
    </w:p>
    <w:p w:rsidR="00000000" w:rsidRDefault="00D718D0" w:rsidP="00BA3E8B">
      <w:pPr>
        <w:pStyle w:val="alfaliste"/>
      </w:pPr>
      <w:r>
        <w:t>kar</w:t>
      </w:r>
      <w:r>
        <w:t>tlegge tilstand og utfordringer når det gjelder barrierer for kjønnslikestilling, herunder ha op</w:t>
      </w:r>
      <w:r>
        <w:t>p</w:t>
      </w:r>
      <w:r>
        <w:t>mer</w:t>
      </w:r>
      <w:r>
        <w:t>k</w:t>
      </w:r>
      <w:r>
        <w:t>somhet på kjønnsdiskriminering i sammenheng med de andre diskriminering</w:t>
      </w:r>
      <w:r>
        <w:t>s</w:t>
      </w:r>
      <w:r>
        <w:t>grunnlagene etn</w:t>
      </w:r>
      <w:r>
        <w:t>i</w:t>
      </w:r>
      <w:r>
        <w:t>sitet, rel</w:t>
      </w:r>
      <w:r>
        <w:t>i</w:t>
      </w:r>
      <w:r>
        <w:t>gion, livssyn, alder, seksuell orientering og nedsatt fu</w:t>
      </w:r>
      <w:r>
        <w:t>nksjonsevne</w:t>
      </w:r>
    </w:p>
    <w:p w:rsidR="00000000" w:rsidRDefault="00D718D0" w:rsidP="00BA3E8B">
      <w:pPr>
        <w:pStyle w:val="alfaliste"/>
      </w:pPr>
      <w:r>
        <w:t>holde oversikt over ansvar, oppgaver og myndighet når det gjelder kjønnslikestilling</w:t>
      </w:r>
    </w:p>
    <w:p w:rsidR="00000000" w:rsidRDefault="00D718D0" w:rsidP="00BA3E8B">
      <w:pPr>
        <w:pStyle w:val="alfaliste"/>
      </w:pPr>
      <w:r>
        <w:t>der dette er relevant, forebygge diskriminering, seksuell trakassering og trakassering på grunn av kjønn, hatvold og kjønnsrelatert vold</w:t>
      </w:r>
    </w:p>
    <w:p w:rsidR="00000000" w:rsidRDefault="00D718D0" w:rsidP="00BA3E8B">
      <w:pPr>
        <w:pStyle w:val="alfaliste"/>
      </w:pPr>
      <w:r>
        <w:t>mota</w:t>
      </w:r>
      <w:r>
        <w:t>rbeide og bekjempe fordommer og stereotypier</w:t>
      </w:r>
    </w:p>
    <w:p w:rsidR="00000000" w:rsidRDefault="00D718D0" w:rsidP="00BA3E8B">
      <w:pPr>
        <w:pStyle w:val="alfaliste"/>
      </w:pPr>
      <w:r>
        <w:t>sørge for at virksomheten driver systematisk arbeid på områdene a-e.</w:t>
      </w:r>
    </w:p>
    <w:p w:rsidR="00000000" w:rsidRDefault="00D718D0" w:rsidP="00BA3E8B">
      <w:r>
        <w:t>Utvalget uttalte at det systematiske arbeidet skulle innebære en gjennomgang av den faktiske tilstanden, fastsetting av mål for kjøn</w:t>
      </w:r>
      <w:r>
        <w:t>nslikestilling, og iverksetting av tiltak på bakgrunn av dette. Virksomhetens arbeid med likestilling skulle bygge på etablerte systemer og rutiner når det gjelder planlegging, organ</w:t>
      </w:r>
      <w:r>
        <w:t>i</w:t>
      </w:r>
      <w:r>
        <w:t>sering, utførelse, evaluering og oppfølging.</w:t>
      </w:r>
    </w:p>
    <w:p w:rsidR="00000000" w:rsidRDefault="00D718D0" w:rsidP="00BA3E8B">
      <w:r>
        <w:t>Utvalget foreslo følgelig at</w:t>
      </w:r>
      <w:r>
        <w:t xml:space="preserve"> offentlige myndigheter skulle ilegges en plikt til å dokumentere tiltakene som følger av bestemmelsene om myndighetenes aktivitetsplikt. Dokumentasjon</w:t>
      </w:r>
      <w:r>
        <w:t>s</w:t>
      </w:r>
      <w:r>
        <w:t>plikten skulle erstatte redegj</w:t>
      </w:r>
      <w:r>
        <w:t>ø</w:t>
      </w:r>
      <w:r>
        <w:t>relsesplikten. Dokumentasjonen skulle være grunnlaget for op</w:t>
      </w:r>
      <w:r>
        <w:t>p</w:t>
      </w:r>
      <w:r>
        <w:t>følging av v</w:t>
      </w:r>
      <w:r>
        <w:t>irksomhetene, med veiledning og kontroll.</w:t>
      </w:r>
    </w:p>
    <w:p w:rsidR="00000000" w:rsidRDefault="00D718D0" w:rsidP="00BA3E8B">
      <w:r>
        <w:t>Utvalget mente at det var behov for å overvåke og sikre at aktivitetsplikten følges opp i praksis. Da u</w:t>
      </w:r>
      <w:r>
        <w:t>t</w:t>
      </w:r>
      <w:r>
        <w:t>valget la frem sin utredning i 2011, var oppgaven med å kontrollere likestillingsredegj</w:t>
      </w:r>
      <w:r>
        <w:t>ø</w:t>
      </w:r>
      <w:r>
        <w:t>relsene tillagt L</w:t>
      </w:r>
      <w:r>
        <w:t>i</w:t>
      </w:r>
      <w:r>
        <w:t>kest</w:t>
      </w:r>
      <w:r>
        <w:t>illings- og diskrimineringsombudet. Ombudet kunne gi en uttalelse knyttet til kontrollen, som igjen kunne klages inn for den tidligere Likestillings- og diskriminering</w:t>
      </w:r>
      <w:r>
        <w:t>s</w:t>
      </w:r>
      <w:r>
        <w:t>nemnda. Nemnda kunne fatte et ve</w:t>
      </w:r>
      <w:r>
        <w:t>d</w:t>
      </w:r>
      <w:r>
        <w:t xml:space="preserve">tak, gi pålegg, og fastsette tvangsmulkt dersom pålegg </w:t>
      </w:r>
      <w:r>
        <w:t>ikke ble fulgt. Utvalget mente at den etablerte or</w:t>
      </w:r>
      <w:r>
        <w:t>d</w:t>
      </w:r>
      <w:r>
        <w:t>ningen skulle videreføres og at Likestillings- og diskrimineringsombudet og Diskrimineringsnemnda fremdeles skulle kontrollere likesti</w:t>
      </w:r>
      <w:r>
        <w:t>l</w:t>
      </w:r>
      <w:r>
        <w:t>ling</w:t>
      </w:r>
      <w:r>
        <w:t>s</w:t>
      </w:r>
      <w:r>
        <w:t>redegjørelsene for arbeidsgivere.</w:t>
      </w:r>
    </w:p>
    <w:p w:rsidR="00000000" w:rsidRDefault="00D718D0" w:rsidP="00BA3E8B">
      <w:r>
        <w:t>Utvalget påpekte at aktivitetsp</w:t>
      </w:r>
      <w:r>
        <w:t>likten for offentlige myndigheter ikke hadde vært fulgt opp hverken gjennom veiledning eller kontroll. Utvalget mente at det var et stort behov for at o</w:t>
      </w:r>
      <w:r>
        <w:t>f</w:t>
      </w:r>
      <w:r>
        <w:t>fentlige virksomheter skulle få veiledning. Oppgaven til å gi veiledning skulle tillegges nytt direktor</w:t>
      </w:r>
      <w:r>
        <w:t>at. Det vises til NOU 2011: 18 kapittel 3.5.2.2.</w:t>
      </w:r>
    </w:p>
    <w:p w:rsidR="00000000" w:rsidRDefault="00D718D0" w:rsidP="00BA3E8B">
      <w:pPr>
        <w:pStyle w:val="Overskrift3"/>
      </w:pPr>
      <w:r>
        <w:t>Anmodningsvedtak Innst. 401 S (2016–2017)</w:t>
      </w:r>
    </w:p>
    <w:p w:rsidR="00000000" w:rsidRDefault="00D718D0" w:rsidP="00BA3E8B">
      <w:r>
        <w:t>I forbindelse med Stortingsbehandlingen av Prop. 81 L (2016–2017) Lov om likestilling og forbud mot diskriminering (likestillings- og diskrimineringslove</w:t>
      </w:r>
      <w:r>
        <w:t>n) i juni 2017 fattet Stortinget følgende anmodning</w:t>
      </w:r>
      <w:r>
        <w:t>s</w:t>
      </w:r>
      <w:r>
        <w:t>vedtak:</w:t>
      </w:r>
    </w:p>
    <w:p w:rsidR="00000000" w:rsidRDefault="00D718D0" w:rsidP="00BA3E8B">
      <w:pPr>
        <w:pStyle w:val="blokksit"/>
      </w:pPr>
      <w:r>
        <w:lastRenderedPageBreak/>
        <w:t>«Stortinget ber regjeringen bevare aktivitets- og redegjørelsesplikten, samt styrke den ved å følge opp Skjeie-utvalgets anbefalinger til endringer, og komme tilbake til Stortinget på egnet måte m</w:t>
      </w:r>
      <w:r>
        <w:t>ed en sak om dette.»</w:t>
      </w:r>
    </w:p>
    <w:p w:rsidR="00000000" w:rsidRDefault="00D718D0" w:rsidP="00BA3E8B">
      <w:pPr>
        <w:pStyle w:val="Overskrift3"/>
      </w:pPr>
      <w:r>
        <w:t>Høringen</w:t>
      </w:r>
    </w:p>
    <w:p w:rsidR="00000000" w:rsidRDefault="00D718D0" w:rsidP="00BA3E8B">
      <w:r>
        <w:t>Barne- og likestillingsdepartementet sendte 4. juli 2018 høringsnotat med forslag om lovendring i likesti</w:t>
      </w:r>
      <w:r>
        <w:t>l</w:t>
      </w:r>
      <w:r>
        <w:t>lings- og diskrimineringslovens regler om aktivitets- og redegjør</w:t>
      </w:r>
      <w:r>
        <w:t>elsesplikten, samt endringer i enkelte andre lover, på høring med tre måneders høringsfrist til følgende høringsi</w:t>
      </w:r>
      <w:r>
        <w:t>n</w:t>
      </w:r>
      <w:r>
        <w:t>stanser:</w:t>
      </w:r>
    </w:p>
    <w:p w:rsidR="00000000" w:rsidRPr="009445FD" w:rsidRDefault="00D718D0" w:rsidP="00BA3E8B">
      <w:pPr>
        <w:pStyle w:val="avsnitt-undertittel"/>
        <w:rPr>
          <w:rStyle w:val="kursiv"/>
        </w:rPr>
      </w:pPr>
      <w:r>
        <w:t>Offentlige instanser</w:t>
      </w:r>
    </w:p>
    <w:p w:rsidR="00000000" w:rsidRDefault="00D718D0" w:rsidP="00BA3E8B">
      <w:pPr>
        <w:pStyle w:val="opplisting"/>
      </w:pPr>
      <w:r>
        <w:t>Arbeids- og sosialdepartementet</w:t>
      </w:r>
    </w:p>
    <w:p w:rsidR="00000000" w:rsidRDefault="00D718D0" w:rsidP="00BA3E8B">
      <w:pPr>
        <w:pStyle w:val="opplisting"/>
      </w:pPr>
      <w:r>
        <w:t>Finansdepartementet</w:t>
      </w:r>
    </w:p>
    <w:p w:rsidR="00000000" w:rsidRDefault="00D718D0" w:rsidP="00BA3E8B">
      <w:pPr>
        <w:pStyle w:val="opplisting"/>
      </w:pPr>
      <w:r>
        <w:t>Fylkesmennene (16)</w:t>
      </w:r>
    </w:p>
    <w:p w:rsidR="00000000" w:rsidRDefault="00D718D0" w:rsidP="00BA3E8B">
      <w:pPr>
        <w:pStyle w:val="opplisting"/>
      </w:pPr>
      <w:r>
        <w:t>Fylkeskommunene (18)</w:t>
      </w:r>
    </w:p>
    <w:p w:rsidR="00000000" w:rsidRDefault="00D718D0" w:rsidP="00BA3E8B">
      <w:pPr>
        <w:pStyle w:val="opplisting"/>
      </w:pPr>
      <w:r>
        <w:t>Klima- og miljødepar</w:t>
      </w:r>
      <w:r>
        <w:t>tementet</w:t>
      </w:r>
    </w:p>
    <w:p w:rsidR="00000000" w:rsidRDefault="00D718D0" w:rsidP="00BA3E8B">
      <w:pPr>
        <w:pStyle w:val="opplisting"/>
      </w:pPr>
      <w:r>
        <w:t>Kommunal- og moderniseringsdepartementet</w:t>
      </w:r>
    </w:p>
    <w:p w:rsidR="00000000" w:rsidRDefault="00D718D0" w:rsidP="00BA3E8B">
      <w:pPr>
        <w:pStyle w:val="opplisting"/>
      </w:pPr>
      <w:r>
        <w:t>Kommunene (422)</w:t>
      </w:r>
    </w:p>
    <w:p w:rsidR="00000000" w:rsidRDefault="00D718D0" w:rsidP="00BA3E8B">
      <w:pPr>
        <w:pStyle w:val="opplisting"/>
      </w:pPr>
      <w:r>
        <w:t>Kulturdepartementet</w:t>
      </w:r>
    </w:p>
    <w:p w:rsidR="00000000" w:rsidRDefault="00D718D0" w:rsidP="00BA3E8B">
      <w:pPr>
        <w:pStyle w:val="opplisting"/>
      </w:pPr>
      <w:r>
        <w:t>Kunnskapsdepartementet</w:t>
      </w:r>
    </w:p>
    <w:p w:rsidR="00000000" w:rsidRDefault="00D718D0" w:rsidP="00BA3E8B">
      <w:pPr>
        <w:pStyle w:val="opplisting"/>
      </w:pPr>
      <w:r>
        <w:t>Landbruks- og matdepartementet</w:t>
      </w:r>
    </w:p>
    <w:p w:rsidR="00000000" w:rsidRDefault="00D718D0" w:rsidP="00BA3E8B">
      <w:pPr>
        <w:pStyle w:val="opplisting"/>
      </w:pPr>
      <w:r>
        <w:t>Nærings- og fiskeridepartementet</w:t>
      </w:r>
    </w:p>
    <w:p w:rsidR="00000000" w:rsidRDefault="00D718D0" w:rsidP="00BA3E8B">
      <w:pPr>
        <w:pStyle w:val="opplisting"/>
      </w:pPr>
      <w:r>
        <w:t>Olje- og energidepartementet</w:t>
      </w:r>
    </w:p>
    <w:p w:rsidR="00000000" w:rsidRDefault="00D718D0" w:rsidP="00BA3E8B">
      <w:pPr>
        <w:pStyle w:val="opplisting"/>
      </w:pPr>
      <w:r>
        <w:t>Samferdselsdepartementet</w:t>
      </w:r>
    </w:p>
    <w:p w:rsidR="00000000" w:rsidRDefault="00D718D0" w:rsidP="00BA3E8B">
      <w:pPr>
        <w:pStyle w:val="opplisting"/>
      </w:pPr>
      <w:r>
        <w:t>Utenriksdepartementet</w:t>
      </w:r>
    </w:p>
    <w:p w:rsidR="00000000" w:rsidRDefault="00D718D0" w:rsidP="00BA3E8B">
      <w:pPr>
        <w:pStyle w:val="opplisting"/>
      </w:pPr>
      <w:r>
        <w:t>Arbeids</w:t>
      </w:r>
      <w:r>
        <w:t>tilsynet</w:t>
      </w:r>
    </w:p>
    <w:p w:rsidR="00000000" w:rsidRDefault="00D718D0" w:rsidP="00BA3E8B">
      <w:pPr>
        <w:pStyle w:val="opplisting"/>
      </w:pPr>
      <w:r>
        <w:t>Arbeids- og velferdsdirektoratet</w:t>
      </w:r>
    </w:p>
    <w:p w:rsidR="00000000" w:rsidRDefault="00D718D0" w:rsidP="00BA3E8B">
      <w:pPr>
        <w:pStyle w:val="opplisting"/>
      </w:pPr>
      <w:r>
        <w:t>Arbeidsretten</w:t>
      </w:r>
    </w:p>
    <w:p w:rsidR="00000000" w:rsidRDefault="00D718D0" w:rsidP="00BA3E8B">
      <w:pPr>
        <w:pStyle w:val="opplisting"/>
      </w:pPr>
      <w:r>
        <w:t>Barne-, ungdoms- og familiedirektoratet</w:t>
      </w:r>
    </w:p>
    <w:p w:rsidR="00000000" w:rsidRDefault="00D718D0" w:rsidP="00BA3E8B">
      <w:pPr>
        <w:pStyle w:val="opplisting"/>
      </w:pPr>
      <w:r>
        <w:t>Barneombudet</w:t>
      </w:r>
    </w:p>
    <w:p w:rsidR="00000000" w:rsidRDefault="00D718D0" w:rsidP="00BA3E8B">
      <w:pPr>
        <w:pStyle w:val="opplisting"/>
      </w:pPr>
      <w:r>
        <w:t>Brønnøysundregistrene</w:t>
      </w:r>
    </w:p>
    <w:p w:rsidR="00000000" w:rsidRDefault="00D718D0" w:rsidP="00BA3E8B">
      <w:pPr>
        <w:pStyle w:val="opplisting"/>
      </w:pPr>
      <w:r>
        <w:t>Barnesakkyndig kommisjon</w:t>
      </w:r>
    </w:p>
    <w:p w:rsidR="00000000" w:rsidRDefault="00D718D0" w:rsidP="00BA3E8B">
      <w:pPr>
        <w:pStyle w:val="opplisting"/>
      </w:pPr>
      <w:r>
        <w:t>Datatilsynet</w:t>
      </w:r>
    </w:p>
    <w:p w:rsidR="00000000" w:rsidRDefault="00D718D0" w:rsidP="00BA3E8B">
      <w:pPr>
        <w:pStyle w:val="opplisting"/>
      </w:pPr>
      <w:r>
        <w:t>Direktoratet for byggkvalitet</w:t>
      </w:r>
    </w:p>
    <w:p w:rsidR="00000000" w:rsidRDefault="00D718D0" w:rsidP="00BA3E8B">
      <w:pPr>
        <w:pStyle w:val="opplisting"/>
      </w:pPr>
      <w:r>
        <w:t>Direktoratet for forvaltning og IKT</w:t>
      </w:r>
    </w:p>
    <w:p w:rsidR="00000000" w:rsidRDefault="00D718D0" w:rsidP="00BA3E8B">
      <w:pPr>
        <w:pStyle w:val="opplisting"/>
      </w:pPr>
      <w:r>
        <w:t>Direktoratet for øk</w:t>
      </w:r>
      <w:r>
        <w:t>onomistyring</w:t>
      </w:r>
    </w:p>
    <w:p w:rsidR="00000000" w:rsidRDefault="00D718D0" w:rsidP="00BA3E8B">
      <w:pPr>
        <w:pStyle w:val="opplisting"/>
      </w:pPr>
      <w:r>
        <w:t>Domstolsadministrasjonen</w:t>
      </w:r>
    </w:p>
    <w:p w:rsidR="00000000" w:rsidRDefault="00D718D0" w:rsidP="00BA3E8B">
      <w:pPr>
        <w:pStyle w:val="opplisting"/>
      </w:pPr>
      <w:r>
        <w:t>Finanstilsynet</w:t>
      </w:r>
    </w:p>
    <w:p w:rsidR="00000000" w:rsidRDefault="00D718D0" w:rsidP="00BA3E8B">
      <w:pPr>
        <w:pStyle w:val="opplisting"/>
      </w:pPr>
      <w:r>
        <w:t>Forbrukerombudet</w:t>
      </w:r>
    </w:p>
    <w:p w:rsidR="00000000" w:rsidRDefault="00D718D0" w:rsidP="00BA3E8B">
      <w:pPr>
        <w:pStyle w:val="opplisting"/>
      </w:pPr>
      <w:r>
        <w:t>Forbrukerrådet</w:t>
      </w:r>
    </w:p>
    <w:p w:rsidR="00000000" w:rsidRDefault="00D718D0" w:rsidP="00BA3E8B">
      <w:pPr>
        <w:pStyle w:val="opplisting"/>
      </w:pPr>
      <w:r>
        <w:t>Forbrukertilsynet</w:t>
      </w:r>
    </w:p>
    <w:p w:rsidR="00000000" w:rsidRDefault="00D718D0" w:rsidP="00BA3E8B">
      <w:pPr>
        <w:pStyle w:val="opplisting"/>
      </w:pPr>
      <w:r>
        <w:t>Helsedirektoratet</w:t>
      </w:r>
    </w:p>
    <w:p w:rsidR="00000000" w:rsidRDefault="00D718D0" w:rsidP="00BA3E8B">
      <w:pPr>
        <w:pStyle w:val="opplisting"/>
      </w:pPr>
      <w:r>
        <w:t>Høyesterett</w:t>
      </w:r>
    </w:p>
    <w:p w:rsidR="00000000" w:rsidRDefault="00D718D0" w:rsidP="00BA3E8B">
      <w:pPr>
        <w:pStyle w:val="opplisting"/>
      </w:pPr>
      <w:r>
        <w:t>Innovasjon Norge</w:t>
      </w:r>
    </w:p>
    <w:p w:rsidR="00000000" w:rsidRDefault="00D718D0" w:rsidP="00BA3E8B">
      <w:pPr>
        <w:pStyle w:val="opplisting"/>
      </w:pPr>
      <w:r>
        <w:t>Integrerings- og mangfoldsdirektoratet</w:t>
      </w:r>
    </w:p>
    <w:p w:rsidR="00000000" w:rsidRDefault="00D718D0" w:rsidP="00BA3E8B">
      <w:pPr>
        <w:pStyle w:val="opplisting"/>
      </w:pPr>
      <w:r>
        <w:lastRenderedPageBreak/>
        <w:t>Diskrimineringsnemnda</w:t>
      </w:r>
    </w:p>
    <w:p w:rsidR="00000000" w:rsidRDefault="00D718D0" w:rsidP="00BA3E8B">
      <w:pPr>
        <w:pStyle w:val="opplisting"/>
      </w:pPr>
      <w:r>
        <w:t>Likestillings- og diskrimineringsombudet</w:t>
      </w:r>
    </w:p>
    <w:p w:rsidR="00000000" w:rsidRDefault="00D718D0" w:rsidP="00BA3E8B">
      <w:pPr>
        <w:pStyle w:val="opplisting"/>
      </w:pPr>
      <w:r>
        <w:t>Luft</w:t>
      </w:r>
      <w:r>
        <w:t>fartstilsynet</w:t>
      </w:r>
    </w:p>
    <w:p w:rsidR="00000000" w:rsidRDefault="00D718D0" w:rsidP="00BA3E8B">
      <w:pPr>
        <w:pStyle w:val="opplisting"/>
      </w:pPr>
      <w:r>
        <w:t>Norges nasjonale institusjon for menneskerettigheter</w:t>
      </w:r>
    </w:p>
    <w:p w:rsidR="00000000" w:rsidRDefault="00D718D0" w:rsidP="00BA3E8B">
      <w:pPr>
        <w:pStyle w:val="opplisting"/>
      </w:pPr>
      <w:r>
        <w:t>Oslo Universitetssykehus HF Rikshospitalet</w:t>
      </w:r>
    </w:p>
    <w:p w:rsidR="00000000" w:rsidRDefault="00D718D0" w:rsidP="00BA3E8B">
      <w:pPr>
        <w:pStyle w:val="opplisting"/>
      </w:pPr>
      <w:r>
        <w:t>Politidirektoratet</w:t>
      </w:r>
    </w:p>
    <w:p w:rsidR="00000000" w:rsidRDefault="00D718D0" w:rsidP="00BA3E8B">
      <w:pPr>
        <w:pStyle w:val="opplisting"/>
      </w:pPr>
      <w:r>
        <w:t>Regelrådet for næringslivet</w:t>
      </w:r>
    </w:p>
    <w:p w:rsidR="00000000" w:rsidRDefault="00D718D0" w:rsidP="00BA3E8B">
      <w:pPr>
        <w:pStyle w:val="opplisting"/>
      </w:pPr>
      <w:r>
        <w:t>Regionale ressurssentre for vold, traumatisk stress og selvmordsforebygging</w:t>
      </w:r>
    </w:p>
    <w:p w:rsidR="00000000" w:rsidRDefault="00D718D0" w:rsidP="00BA3E8B">
      <w:pPr>
        <w:pStyle w:val="opplisting"/>
      </w:pPr>
      <w:r>
        <w:t>Regjeringsadvokaten</w:t>
      </w:r>
    </w:p>
    <w:p w:rsidR="00000000" w:rsidRDefault="00D718D0" w:rsidP="00BA3E8B">
      <w:pPr>
        <w:pStyle w:val="opplisting"/>
      </w:pPr>
      <w:r>
        <w:t>Rik</w:t>
      </w:r>
      <w:r>
        <w:t>sadvokaten</w:t>
      </w:r>
    </w:p>
    <w:p w:rsidR="00000000" w:rsidRDefault="00D718D0" w:rsidP="00BA3E8B">
      <w:pPr>
        <w:pStyle w:val="opplisting"/>
      </w:pPr>
      <w:r>
        <w:t>Sametinget</w:t>
      </w:r>
    </w:p>
    <w:p w:rsidR="00000000" w:rsidRDefault="00D718D0" w:rsidP="00BA3E8B">
      <w:pPr>
        <w:pStyle w:val="opplisting"/>
      </w:pPr>
      <w:r>
        <w:t>Senter for IKT i utdanningen</w:t>
      </w:r>
    </w:p>
    <w:p w:rsidR="00000000" w:rsidRDefault="00D718D0" w:rsidP="00BA3E8B">
      <w:pPr>
        <w:pStyle w:val="opplisting"/>
      </w:pPr>
      <w:r>
        <w:t>Sivilombudsmannen</w:t>
      </w:r>
    </w:p>
    <w:p w:rsidR="00000000" w:rsidRDefault="00D718D0" w:rsidP="00BA3E8B">
      <w:pPr>
        <w:pStyle w:val="opplisting"/>
      </w:pPr>
      <w:r>
        <w:t>Sjøfartsdirektoratet</w:t>
      </w:r>
    </w:p>
    <w:p w:rsidR="00000000" w:rsidRDefault="00D718D0" w:rsidP="00BA3E8B">
      <w:pPr>
        <w:pStyle w:val="opplisting"/>
      </w:pPr>
      <w:r>
        <w:t>Skattedirektoratet</w:t>
      </w:r>
    </w:p>
    <w:p w:rsidR="00000000" w:rsidRDefault="00D718D0" w:rsidP="00BA3E8B">
      <w:pPr>
        <w:pStyle w:val="opplisting"/>
      </w:pPr>
      <w:r>
        <w:t>Standard Norge</w:t>
      </w:r>
    </w:p>
    <w:p w:rsidR="00000000" w:rsidRDefault="00D718D0" w:rsidP="00BA3E8B">
      <w:pPr>
        <w:pStyle w:val="opplisting"/>
      </w:pPr>
      <w:r>
        <w:t>Statens helsetilsyn</w:t>
      </w:r>
    </w:p>
    <w:p w:rsidR="00000000" w:rsidRDefault="00D718D0" w:rsidP="00BA3E8B">
      <w:pPr>
        <w:pStyle w:val="opplisting"/>
      </w:pPr>
      <w:r>
        <w:t>Statens seniorråd</w:t>
      </w:r>
    </w:p>
    <w:p w:rsidR="00000000" w:rsidRDefault="00D718D0" w:rsidP="00BA3E8B">
      <w:pPr>
        <w:pStyle w:val="opplisting"/>
      </w:pPr>
      <w:r>
        <w:t>Statistisk sentralbyrå</w:t>
      </w:r>
    </w:p>
    <w:p w:rsidR="00000000" w:rsidRDefault="00D718D0" w:rsidP="00BA3E8B">
      <w:pPr>
        <w:pStyle w:val="opplisting"/>
      </w:pPr>
      <w:r>
        <w:t>Statsadvokatembetene</w:t>
      </w:r>
    </w:p>
    <w:p w:rsidR="00000000" w:rsidRDefault="00D718D0" w:rsidP="00BA3E8B">
      <w:pPr>
        <w:pStyle w:val="opplisting"/>
      </w:pPr>
      <w:r>
        <w:t>Statsbygg</w:t>
      </w:r>
    </w:p>
    <w:p w:rsidR="00000000" w:rsidRDefault="00D718D0" w:rsidP="00BA3E8B">
      <w:pPr>
        <w:pStyle w:val="opplisting"/>
      </w:pPr>
      <w:r>
        <w:t>Sysselmannen på Svalbard</w:t>
      </w:r>
    </w:p>
    <w:p w:rsidR="00000000" w:rsidRDefault="00D718D0" w:rsidP="00BA3E8B">
      <w:pPr>
        <w:pStyle w:val="opplisting"/>
      </w:pPr>
      <w:r>
        <w:t>Universitets- og høyskolerådet</w:t>
      </w:r>
    </w:p>
    <w:p w:rsidR="00000000" w:rsidRDefault="00D718D0" w:rsidP="00BA3E8B">
      <w:pPr>
        <w:pStyle w:val="opplisting"/>
      </w:pPr>
      <w:r>
        <w:t>Utdanningsdirektoratet</w:t>
      </w:r>
    </w:p>
    <w:p w:rsidR="00000000" w:rsidRDefault="00D718D0" w:rsidP="00BA3E8B">
      <w:pPr>
        <w:pStyle w:val="opplisting"/>
      </w:pPr>
      <w:r>
        <w:t>Vox – Nasjonalt fagorgan for kompetansepolitikk</w:t>
      </w:r>
    </w:p>
    <w:p w:rsidR="00000000" w:rsidRDefault="00D718D0" w:rsidP="00BA3E8B">
      <w:pPr>
        <w:pStyle w:val="avsnitt-undertittel"/>
      </w:pPr>
      <w:r>
        <w:t>Universiteter, forskningsinstitusjoner mv.</w:t>
      </w:r>
    </w:p>
    <w:p w:rsidR="00000000" w:rsidRDefault="00D718D0" w:rsidP="00BA3E8B">
      <w:pPr>
        <w:pStyle w:val="opplisting"/>
      </w:pPr>
      <w:r>
        <w:t>Christian Michelsen Institutt</w:t>
      </w:r>
    </w:p>
    <w:p w:rsidR="00000000" w:rsidRDefault="00D718D0" w:rsidP="00BA3E8B">
      <w:pPr>
        <w:pStyle w:val="opplisting"/>
      </w:pPr>
      <w:r>
        <w:t>Core – Senter for likestillingsforskning</w:t>
      </w:r>
    </w:p>
    <w:p w:rsidR="00000000" w:rsidRDefault="00D718D0" w:rsidP="00BA3E8B">
      <w:pPr>
        <w:pStyle w:val="opplisting"/>
      </w:pPr>
      <w:r>
        <w:t>Folkehelseinstituttet</w:t>
      </w:r>
    </w:p>
    <w:p w:rsidR="00000000" w:rsidRDefault="00D718D0" w:rsidP="00BA3E8B">
      <w:pPr>
        <w:pStyle w:val="opplisting"/>
      </w:pPr>
      <w:r>
        <w:t>Forskingsstiftelse</w:t>
      </w:r>
      <w:r>
        <w:t>n FAFO</w:t>
      </w:r>
    </w:p>
    <w:p w:rsidR="00000000" w:rsidRDefault="00D718D0" w:rsidP="00BA3E8B">
      <w:pPr>
        <w:pStyle w:val="opplisting"/>
      </w:pPr>
      <w:r>
        <w:t>Handelshøyskolen BI</w:t>
      </w:r>
    </w:p>
    <w:p w:rsidR="00000000" w:rsidRDefault="00D718D0" w:rsidP="00BA3E8B">
      <w:pPr>
        <w:pStyle w:val="opplisting"/>
      </w:pPr>
      <w:r>
        <w:t>Høgskolen i Bergen</w:t>
      </w:r>
    </w:p>
    <w:p w:rsidR="00000000" w:rsidRDefault="00D718D0" w:rsidP="00BA3E8B">
      <w:pPr>
        <w:pStyle w:val="opplisting"/>
      </w:pPr>
      <w:r>
        <w:t>Høgskolen i Bodø</w:t>
      </w:r>
    </w:p>
    <w:p w:rsidR="00000000" w:rsidRDefault="00D718D0" w:rsidP="00BA3E8B">
      <w:pPr>
        <w:pStyle w:val="opplisting"/>
      </w:pPr>
      <w:r>
        <w:t>Høgskolen i Finnmark</w:t>
      </w:r>
    </w:p>
    <w:p w:rsidR="00000000" w:rsidRDefault="00D718D0" w:rsidP="00BA3E8B">
      <w:pPr>
        <w:pStyle w:val="opplisting"/>
      </w:pPr>
      <w:r>
        <w:t>Høgskolen i Gjøvik</w:t>
      </w:r>
    </w:p>
    <w:p w:rsidR="00000000" w:rsidRDefault="00D718D0" w:rsidP="00BA3E8B">
      <w:pPr>
        <w:pStyle w:val="opplisting"/>
      </w:pPr>
      <w:r>
        <w:t>Høgskolen i Harstad</w:t>
      </w:r>
    </w:p>
    <w:p w:rsidR="00000000" w:rsidRDefault="00D718D0" w:rsidP="00BA3E8B">
      <w:pPr>
        <w:pStyle w:val="opplisting"/>
      </w:pPr>
      <w:r>
        <w:t>Høgskolen i Hedmark</w:t>
      </w:r>
    </w:p>
    <w:p w:rsidR="00000000" w:rsidRDefault="00D718D0" w:rsidP="00BA3E8B">
      <w:pPr>
        <w:pStyle w:val="opplisting"/>
      </w:pPr>
      <w:r>
        <w:t>Høgskolen i Lillehammer</w:t>
      </w:r>
    </w:p>
    <w:p w:rsidR="00000000" w:rsidRDefault="00D718D0" w:rsidP="00BA3E8B">
      <w:pPr>
        <w:pStyle w:val="opplisting"/>
      </w:pPr>
      <w:r>
        <w:t>Høgskolen i Molde</w:t>
      </w:r>
    </w:p>
    <w:p w:rsidR="00000000" w:rsidRDefault="00D718D0" w:rsidP="00BA3E8B">
      <w:pPr>
        <w:pStyle w:val="opplisting"/>
      </w:pPr>
      <w:r>
        <w:t>Høgskolen i Narvik</w:t>
      </w:r>
    </w:p>
    <w:p w:rsidR="00000000" w:rsidRDefault="00D718D0" w:rsidP="00BA3E8B">
      <w:pPr>
        <w:pStyle w:val="opplisting"/>
      </w:pPr>
      <w:r>
        <w:t>Høgskolen i Nesna</w:t>
      </w:r>
    </w:p>
    <w:p w:rsidR="00000000" w:rsidRDefault="00D718D0" w:rsidP="00BA3E8B">
      <w:pPr>
        <w:pStyle w:val="opplisting"/>
      </w:pPr>
      <w:r>
        <w:t>Høgskolen i Nord-Trøndelag</w:t>
      </w:r>
    </w:p>
    <w:p w:rsidR="00000000" w:rsidRDefault="00D718D0" w:rsidP="00BA3E8B">
      <w:pPr>
        <w:pStyle w:val="opplisting"/>
      </w:pPr>
      <w:r>
        <w:t>Høgskol</w:t>
      </w:r>
      <w:r>
        <w:t>en i Oslo og Akershus</w:t>
      </w:r>
    </w:p>
    <w:p w:rsidR="00000000" w:rsidRDefault="00D718D0" w:rsidP="00BA3E8B">
      <w:pPr>
        <w:pStyle w:val="opplisting"/>
      </w:pPr>
      <w:r>
        <w:t>Høgskolen i Sogn og Fjordane</w:t>
      </w:r>
    </w:p>
    <w:p w:rsidR="00000000" w:rsidRDefault="00D718D0" w:rsidP="00BA3E8B">
      <w:pPr>
        <w:pStyle w:val="opplisting"/>
      </w:pPr>
      <w:r>
        <w:lastRenderedPageBreak/>
        <w:t>Høgskolen i Stord/Haugesund</w:t>
      </w:r>
    </w:p>
    <w:p w:rsidR="00000000" w:rsidRDefault="00D718D0" w:rsidP="00BA3E8B">
      <w:pPr>
        <w:pStyle w:val="opplisting"/>
      </w:pPr>
      <w:r>
        <w:t>Høgskolen i Sør-Trøndelag</w:t>
      </w:r>
    </w:p>
    <w:p w:rsidR="00000000" w:rsidRDefault="00D718D0" w:rsidP="00BA3E8B">
      <w:pPr>
        <w:pStyle w:val="opplisting"/>
      </w:pPr>
      <w:r>
        <w:t>Høgskolen i Sørøst-Norge</w:t>
      </w:r>
    </w:p>
    <w:p w:rsidR="00000000" w:rsidRDefault="00D718D0" w:rsidP="00BA3E8B">
      <w:pPr>
        <w:pStyle w:val="opplisting"/>
      </w:pPr>
      <w:r>
        <w:t>Høgskolen i Vestfold</w:t>
      </w:r>
    </w:p>
    <w:p w:rsidR="00000000" w:rsidRDefault="00D718D0" w:rsidP="00BA3E8B">
      <w:pPr>
        <w:pStyle w:val="opplisting"/>
      </w:pPr>
      <w:r>
        <w:t>Høgskolen i Volda</w:t>
      </w:r>
    </w:p>
    <w:p w:rsidR="00000000" w:rsidRDefault="00D718D0" w:rsidP="00BA3E8B">
      <w:pPr>
        <w:pStyle w:val="opplisting"/>
      </w:pPr>
      <w:r>
        <w:t>Høgskolen i Østfold</w:t>
      </w:r>
    </w:p>
    <w:p w:rsidR="00000000" w:rsidRDefault="00D718D0" w:rsidP="00BA3E8B">
      <w:pPr>
        <w:pStyle w:val="opplisting"/>
      </w:pPr>
      <w:r>
        <w:t>Høgskolen i Ålesund</w:t>
      </w:r>
    </w:p>
    <w:p w:rsidR="00000000" w:rsidRDefault="00D718D0" w:rsidP="00BA3E8B">
      <w:pPr>
        <w:pStyle w:val="opplisting"/>
      </w:pPr>
      <w:r>
        <w:t>Institutt for samfunnsforskning</w:t>
      </w:r>
    </w:p>
    <w:p w:rsidR="00000000" w:rsidRDefault="00D718D0" w:rsidP="00BA3E8B">
      <w:pPr>
        <w:pStyle w:val="opplisting"/>
      </w:pPr>
      <w:r>
        <w:t>Kilden Informasjonssenter for samfunnsforskning</w:t>
      </w:r>
    </w:p>
    <w:p w:rsidR="00000000" w:rsidRDefault="00D718D0" w:rsidP="00BA3E8B">
      <w:pPr>
        <w:pStyle w:val="opplisting"/>
      </w:pPr>
      <w:r>
        <w:t>Komiteen for kjønnsbalanse og mangfold i forskning</w:t>
      </w:r>
    </w:p>
    <w:p w:rsidR="00000000" w:rsidRDefault="00D718D0" w:rsidP="00BA3E8B">
      <w:pPr>
        <w:pStyle w:val="opplisting"/>
      </w:pPr>
      <w:r>
        <w:t>Konkurransetilsynet</w:t>
      </w:r>
    </w:p>
    <w:p w:rsidR="00000000" w:rsidRDefault="00D718D0" w:rsidP="00BA3E8B">
      <w:pPr>
        <w:pStyle w:val="opplisting"/>
      </w:pPr>
      <w:r>
        <w:t>Likestillingssenteret</w:t>
      </w:r>
    </w:p>
    <w:p w:rsidR="00000000" w:rsidRDefault="00D718D0" w:rsidP="00BA3E8B">
      <w:pPr>
        <w:pStyle w:val="opplisting"/>
      </w:pPr>
      <w:r>
        <w:t>Nasjonalt kunnskapssenter om vold og traumatisk stress (NKVTS)</w:t>
      </w:r>
    </w:p>
    <w:p w:rsidR="00000000" w:rsidRDefault="00D718D0" w:rsidP="00BA3E8B">
      <w:pPr>
        <w:pStyle w:val="opplisting"/>
      </w:pPr>
      <w:r>
        <w:t>Nordlandsforskning</w:t>
      </w:r>
    </w:p>
    <w:p w:rsidR="00000000" w:rsidRDefault="00D718D0" w:rsidP="00BA3E8B">
      <w:pPr>
        <w:pStyle w:val="opplisting"/>
      </w:pPr>
      <w:r>
        <w:t>Norges arktiske universitet (UIT)</w:t>
      </w:r>
    </w:p>
    <w:p w:rsidR="00000000" w:rsidRDefault="00D718D0" w:rsidP="00BA3E8B">
      <w:pPr>
        <w:pStyle w:val="opplisting"/>
      </w:pPr>
      <w:r>
        <w:t>Norges forskningsråd</w:t>
      </w:r>
    </w:p>
    <w:p w:rsidR="00000000" w:rsidRDefault="00D718D0" w:rsidP="00BA3E8B">
      <w:pPr>
        <w:pStyle w:val="opplisting"/>
      </w:pPr>
      <w:r>
        <w:t>Norges teknisk-naturvitenskaplige universitet (NTNU)</w:t>
      </w:r>
    </w:p>
    <w:p w:rsidR="00000000" w:rsidRDefault="00D718D0" w:rsidP="00BA3E8B">
      <w:pPr>
        <w:pStyle w:val="opplisting"/>
      </w:pPr>
      <w:r>
        <w:t>Norsk institutt for by- og regionforskning (NIBR)</w:t>
      </w:r>
    </w:p>
    <w:p w:rsidR="00000000" w:rsidRDefault="00D718D0" w:rsidP="00BA3E8B">
      <w:pPr>
        <w:pStyle w:val="opplisting"/>
      </w:pPr>
      <w:r>
        <w:t>Norsk institutt for forskning om oppvekst, velferd og aldring (NOVA)</w:t>
      </w:r>
    </w:p>
    <w:p w:rsidR="00000000" w:rsidRDefault="00D718D0" w:rsidP="00BA3E8B">
      <w:pPr>
        <w:pStyle w:val="opplisting"/>
      </w:pPr>
      <w:r>
        <w:t>Norsk Regnesentral</w:t>
      </w:r>
    </w:p>
    <w:p w:rsidR="00000000" w:rsidRDefault="00D718D0" w:rsidP="00BA3E8B">
      <w:pPr>
        <w:pStyle w:val="opplisting"/>
      </w:pPr>
      <w:r>
        <w:t>Samisk høgskole</w:t>
      </w:r>
    </w:p>
    <w:p w:rsidR="00000000" w:rsidRDefault="00D718D0" w:rsidP="00BA3E8B">
      <w:pPr>
        <w:pStyle w:val="opplisting"/>
      </w:pPr>
      <w:r>
        <w:t>Senter for kunnskap og like</w:t>
      </w:r>
      <w:r>
        <w:t>stilling (KUN)</w:t>
      </w:r>
    </w:p>
    <w:p w:rsidR="00000000" w:rsidRDefault="00D718D0" w:rsidP="00BA3E8B">
      <w:pPr>
        <w:pStyle w:val="opplisting"/>
      </w:pPr>
      <w:r>
        <w:t>Senter for samiske studier</w:t>
      </w:r>
    </w:p>
    <w:p w:rsidR="00000000" w:rsidRDefault="00D718D0" w:rsidP="00BA3E8B">
      <w:pPr>
        <w:pStyle w:val="opplisting"/>
      </w:pPr>
      <w:r>
        <w:t>Senter for studier av Holocaust og livssynsminoriteter</w:t>
      </w:r>
    </w:p>
    <w:p w:rsidR="00000000" w:rsidRDefault="00D718D0" w:rsidP="00BA3E8B">
      <w:pPr>
        <w:pStyle w:val="opplisting"/>
      </w:pPr>
      <w:r>
        <w:t>Senter for tverrfaglig kjønnsforskning UiO</w:t>
      </w:r>
    </w:p>
    <w:p w:rsidR="00000000" w:rsidRDefault="00D718D0" w:rsidP="00BA3E8B">
      <w:pPr>
        <w:pStyle w:val="opplisting"/>
      </w:pPr>
      <w:r>
        <w:t>Universitetet for miljø- og biovitenskap</w:t>
      </w:r>
    </w:p>
    <w:p w:rsidR="00000000" w:rsidRDefault="00D718D0" w:rsidP="00BA3E8B">
      <w:pPr>
        <w:pStyle w:val="opplisting"/>
      </w:pPr>
      <w:r>
        <w:t>Senter for likestilling v/Universitetet i Agder</w:t>
      </w:r>
    </w:p>
    <w:p w:rsidR="00000000" w:rsidRDefault="00D718D0" w:rsidP="00BA3E8B">
      <w:pPr>
        <w:pStyle w:val="opplisting"/>
      </w:pPr>
      <w:r>
        <w:t>Universitetet i Agder</w:t>
      </w:r>
    </w:p>
    <w:p w:rsidR="00000000" w:rsidRDefault="00D718D0" w:rsidP="00BA3E8B">
      <w:pPr>
        <w:pStyle w:val="opplisting"/>
      </w:pPr>
      <w:r>
        <w:t>Unive</w:t>
      </w:r>
      <w:r>
        <w:t>rsitetet i Bergen</w:t>
      </w:r>
    </w:p>
    <w:p w:rsidR="00000000" w:rsidRDefault="00D718D0" w:rsidP="00BA3E8B">
      <w:pPr>
        <w:pStyle w:val="opplisting"/>
      </w:pPr>
      <w:r>
        <w:t>Universitetet i Oslo, Universitetsdirektøren</w:t>
      </w:r>
    </w:p>
    <w:p w:rsidR="00000000" w:rsidRDefault="00D718D0" w:rsidP="00BA3E8B">
      <w:pPr>
        <w:pStyle w:val="opplisting"/>
      </w:pPr>
      <w:r>
        <w:t>Universitetet i Oslo – Det juridiske fakultet, Avd. for kvinnerett, barnerett, likestillings- og diskr</w:t>
      </w:r>
      <w:r>
        <w:t>i</w:t>
      </w:r>
      <w:r>
        <w:t>min</w:t>
      </w:r>
      <w:r>
        <w:t>e</w:t>
      </w:r>
      <w:r>
        <w:t>ringsrett (KVIBALD)</w:t>
      </w:r>
    </w:p>
    <w:p w:rsidR="00000000" w:rsidRDefault="00D718D0" w:rsidP="00BA3E8B">
      <w:pPr>
        <w:pStyle w:val="opplisting"/>
      </w:pPr>
      <w:r>
        <w:t>Universitetet i Oslo – Det juridiske fakultet</w:t>
      </w:r>
    </w:p>
    <w:p w:rsidR="00000000" w:rsidRDefault="00D718D0" w:rsidP="00BA3E8B">
      <w:pPr>
        <w:pStyle w:val="opplisting"/>
      </w:pPr>
      <w:r>
        <w:t>Universitetet i Oslo – Senter for utvikling og miljø</w:t>
      </w:r>
    </w:p>
    <w:p w:rsidR="00000000" w:rsidRDefault="00D718D0" w:rsidP="00BA3E8B">
      <w:pPr>
        <w:pStyle w:val="opplisting"/>
      </w:pPr>
      <w:r>
        <w:t>Norsk senter for menneskerettigheter</w:t>
      </w:r>
    </w:p>
    <w:p w:rsidR="00000000" w:rsidRDefault="00D718D0" w:rsidP="00BA3E8B">
      <w:pPr>
        <w:pStyle w:val="opplisting"/>
      </w:pPr>
      <w:r>
        <w:t>Universitetet i Stavanger</w:t>
      </w:r>
    </w:p>
    <w:p w:rsidR="00000000" w:rsidRDefault="00D718D0" w:rsidP="00BA3E8B">
      <w:pPr>
        <w:pStyle w:val="avsnitt-undertittel"/>
      </w:pPr>
      <w:r>
        <w:t>Hovedorganisasjoner mv. i arbeidslivet</w:t>
      </w:r>
    </w:p>
    <w:p w:rsidR="00000000" w:rsidRDefault="00D718D0" w:rsidP="00BA3E8B">
      <w:pPr>
        <w:pStyle w:val="opplisting"/>
      </w:pPr>
      <w:r>
        <w:t>Akademikerne</w:t>
      </w:r>
    </w:p>
    <w:p w:rsidR="00000000" w:rsidRDefault="00D718D0" w:rsidP="00BA3E8B">
      <w:pPr>
        <w:pStyle w:val="opplisting"/>
      </w:pPr>
      <w:r>
        <w:t>Arbeidsgiverforeningen Spekter</w:t>
      </w:r>
    </w:p>
    <w:p w:rsidR="00000000" w:rsidRDefault="00D718D0" w:rsidP="00BA3E8B">
      <w:pPr>
        <w:pStyle w:val="opplisting"/>
      </w:pPr>
      <w:r>
        <w:t>Bedriftsforbundet</w:t>
      </w:r>
    </w:p>
    <w:p w:rsidR="00000000" w:rsidRDefault="00D718D0" w:rsidP="00BA3E8B">
      <w:pPr>
        <w:pStyle w:val="opplisting"/>
      </w:pPr>
      <w:r>
        <w:t>Den Norske Advokatforening</w:t>
      </w:r>
    </w:p>
    <w:p w:rsidR="00000000" w:rsidRDefault="00D718D0" w:rsidP="00BA3E8B">
      <w:pPr>
        <w:pStyle w:val="opplisting"/>
      </w:pPr>
      <w:r>
        <w:t>Den Norske D</w:t>
      </w:r>
      <w:r>
        <w:t>ommerforening</w:t>
      </w:r>
    </w:p>
    <w:p w:rsidR="00000000" w:rsidRDefault="00D718D0" w:rsidP="00BA3E8B">
      <w:pPr>
        <w:pStyle w:val="opplisting"/>
      </w:pPr>
      <w:r>
        <w:t>Den Norske Forleggerforening</w:t>
      </w:r>
    </w:p>
    <w:p w:rsidR="00000000" w:rsidRDefault="00D718D0" w:rsidP="00BA3E8B">
      <w:pPr>
        <w:pStyle w:val="opplisting"/>
      </w:pPr>
      <w:r>
        <w:t>Den norske legeforening</w:t>
      </w:r>
    </w:p>
    <w:p w:rsidR="00000000" w:rsidRDefault="00D718D0" w:rsidP="00BA3E8B">
      <w:pPr>
        <w:pStyle w:val="opplisting"/>
      </w:pPr>
      <w:r>
        <w:lastRenderedPageBreak/>
        <w:t>EL og IT Forbundet</w:t>
      </w:r>
    </w:p>
    <w:p w:rsidR="00000000" w:rsidRDefault="00D718D0" w:rsidP="00BA3E8B">
      <w:pPr>
        <w:pStyle w:val="opplisting"/>
      </w:pPr>
      <w:r>
        <w:t>Fagforbundet</w:t>
      </w:r>
    </w:p>
    <w:p w:rsidR="00000000" w:rsidRDefault="00D718D0" w:rsidP="00BA3E8B">
      <w:pPr>
        <w:pStyle w:val="opplisting"/>
      </w:pPr>
      <w:r>
        <w:t>Fellesforbundet for sjøfolk</w:t>
      </w:r>
    </w:p>
    <w:p w:rsidR="00000000" w:rsidRDefault="00D718D0" w:rsidP="00BA3E8B">
      <w:pPr>
        <w:pStyle w:val="opplisting"/>
      </w:pPr>
      <w:r>
        <w:t>Fellesorganisasjonen (FO)</w:t>
      </w:r>
    </w:p>
    <w:p w:rsidR="00000000" w:rsidRDefault="00D718D0" w:rsidP="00BA3E8B">
      <w:pPr>
        <w:pStyle w:val="opplisting"/>
      </w:pPr>
      <w:r>
        <w:t>Finans Norge</w:t>
      </w:r>
    </w:p>
    <w:p w:rsidR="00000000" w:rsidRDefault="00D718D0" w:rsidP="00BA3E8B">
      <w:pPr>
        <w:pStyle w:val="opplisting"/>
      </w:pPr>
      <w:r>
        <w:t>Hovedorganisasjonen Virke</w:t>
      </w:r>
    </w:p>
    <w:p w:rsidR="00000000" w:rsidRDefault="00D718D0" w:rsidP="00BA3E8B">
      <w:pPr>
        <w:pStyle w:val="opplisting"/>
      </w:pPr>
      <w:r>
        <w:t>Kirkelig arbeidsgiver- og interesseorganisasjon</w:t>
      </w:r>
    </w:p>
    <w:p w:rsidR="00000000" w:rsidRDefault="00D718D0" w:rsidP="00BA3E8B">
      <w:pPr>
        <w:pStyle w:val="opplisting"/>
      </w:pPr>
      <w:r>
        <w:t>Kommunesektorens</w:t>
      </w:r>
      <w:r>
        <w:t xml:space="preserve"> organisasjon (KS)</w:t>
      </w:r>
    </w:p>
    <w:p w:rsidR="00000000" w:rsidRDefault="00D718D0" w:rsidP="00BA3E8B">
      <w:pPr>
        <w:pStyle w:val="opplisting"/>
      </w:pPr>
      <w:r>
        <w:t>Landsorganisasjonen i Norge (LO)</w:t>
      </w:r>
    </w:p>
    <w:p w:rsidR="00000000" w:rsidRDefault="00D718D0" w:rsidP="00BA3E8B">
      <w:pPr>
        <w:pStyle w:val="opplisting"/>
      </w:pPr>
      <w:r>
        <w:t>Norges Ingeniør- og Teknologiorganisasjon (NITO)</w:t>
      </w:r>
    </w:p>
    <w:p w:rsidR="00000000" w:rsidRDefault="00D718D0" w:rsidP="00BA3E8B">
      <w:pPr>
        <w:pStyle w:val="opplisting"/>
      </w:pPr>
      <w:r>
        <w:t>Norges Juristforbund</w:t>
      </w:r>
    </w:p>
    <w:p w:rsidR="00000000" w:rsidRDefault="00D718D0" w:rsidP="00BA3E8B">
      <w:pPr>
        <w:pStyle w:val="opplisting"/>
      </w:pPr>
      <w:r>
        <w:t>Norges Rederiforbund</w:t>
      </w:r>
    </w:p>
    <w:p w:rsidR="00000000" w:rsidRDefault="00D718D0" w:rsidP="00BA3E8B">
      <w:pPr>
        <w:pStyle w:val="opplisting"/>
      </w:pPr>
      <w:r>
        <w:t>Norsk faglitterær forfatter- og oversetterforening</w:t>
      </w:r>
    </w:p>
    <w:p w:rsidR="00000000" w:rsidRDefault="00D718D0" w:rsidP="00BA3E8B">
      <w:pPr>
        <w:pStyle w:val="opplisting"/>
      </w:pPr>
      <w:r>
        <w:t>Norsk kvinnelig teologforening</w:t>
      </w:r>
    </w:p>
    <w:p w:rsidR="00000000" w:rsidRDefault="00D718D0" w:rsidP="00BA3E8B">
      <w:pPr>
        <w:pStyle w:val="opplisting"/>
      </w:pPr>
      <w:r>
        <w:t>Norsk Lektorlag</w:t>
      </w:r>
    </w:p>
    <w:p w:rsidR="00000000" w:rsidRDefault="00D718D0" w:rsidP="00BA3E8B">
      <w:pPr>
        <w:pStyle w:val="opplisting"/>
      </w:pPr>
      <w:r>
        <w:t>Norsk Psykologforening</w:t>
      </w:r>
    </w:p>
    <w:p w:rsidR="00000000" w:rsidRDefault="00D718D0" w:rsidP="00BA3E8B">
      <w:pPr>
        <w:pStyle w:val="opplisting"/>
      </w:pPr>
      <w:r>
        <w:t>Norsk Redaktørforening</w:t>
      </w:r>
    </w:p>
    <w:p w:rsidR="00000000" w:rsidRDefault="00D718D0" w:rsidP="00BA3E8B">
      <w:pPr>
        <w:pStyle w:val="opplisting"/>
      </w:pPr>
      <w:r>
        <w:t>Norsk Sjømannsforbund</w:t>
      </w:r>
    </w:p>
    <w:p w:rsidR="00000000" w:rsidRDefault="00D718D0" w:rsidP="00BA3E8B">
      <w:pPr>
        <w:pStyle w:val="opplisting"/>
      </w:pPr>
      <w:r>
        <w:t>Norsk Sykepleierforbund</w:t>
      </w:r>
    </w:p>
    <w:p w:rsidR="00000000" w:rsidRDefault="00D718D0" w:rsidP="00BA3E8B">
      <w:pPr>
        <w:pStyle w:val="opplisting"/>
      </w:pPr>
      <w:r>
        <w:t>Norske arkitekters landsforbund</w:t>
      </w:r>
    </w:p>
    <w:p w:rsidR="00000000" w:rsidRDefault="00D718D0" w:rsidP="00BA3E8B">
      <w:pPr>
        <w:pStyle w:val="opplisting"/>
      </w:pPr>
      <w:r>
        <w:t>Næringslivets Hovedorganisasjon (NHO)</w:t>
      </w:r>
    </w:p>
    <w:p w:rsidR="00000000" w:rsidRDefault="00D718D0" w:rsidP="00BA3E8B">
      <w:pPr>
        <w:pStyle w:val="opplisting"/>
      </w:pPr>
      <w:r>
        <w:t>Politijuristene</w:t>
      </w:r>
    </w:p>
    <w:p w:rsidR="00000000" w:rsidRDefault="00D718D0" w:rsidP="00BA3E8B">
      <w:pPr>
        <w:pStyle w:val="opplisting"/>
      </w:pPr>
      <w:r>
        <w:t>Regnskap Norge</w:t>
      </w:r>
    </w:p>
    <w:p w:rsidR="00000000" w:rsidRDefault="00D718D0" w:rsidP="00BA3E8B">
      <w:pPr>
        <w:pStyle w:val="opplisting"/>
      </w:pPr>
      <w:r>
        <w:t>Unio</w:t>
      </w:r>
    </w:p>
    <w:p w:rsidR="00000000" w:rsidRDefault="00D718D0" w:rsidP="00BA3E8B">
      <w:pPr>
        <w:pStyle w:val="opplisting"/>
      </w:pPr>
      <w:r>
        <w:t>Utdanningsforbundet</w:t>
      </w:r>
    </w:p>
    <w:p w:rsidR="00000000" w:rsidRDefault="00D718D0" w:rsidP="00BA3E8B">
      <w:pPr>
        <w:pStyle w:val="opplisting"/>
      </w:pPr>
      <w:r>
        <w:t>Yrkesorganisasjonenes Sentralforbund (</w:t>
      </w:r>
      <w:r>
        <w:t>YS)</w:t>
      </w:r>
    </w:p>
    <w:p w:rsidR="00000000" w:rsidRDefault="00D718D0" w:rsidP="00BA3E8B">
      <w:pPr>
        <w:pStyle w:val="avsnitt-undertittel"/>
      </w:pPr>
      <w:r>
        <w:t>Tros- og livssynssamfunn mv.</w:t>
      </w:r>
    </w:p>
    <w:p w:rsidR="00000000" w:rsidRDefault="00D718D0" w:rsidP="00BA3E8B">
      <w:pPr>
        <w:pStyle w:val="opplisting"/>
      </w:pPr>
      <w:r>
        <w:t>Biskopene</w:t>
      </w:r>
    </w:p>
    <w:p w:rsidR="00000000" w:rsidRDefault="00D718D0" w:rsidP="00BA3E8B">
      <w:pPr>
        <w:pStyle w:val="opplisting"/>
      </w:pPr>
      <w:r>
        <w:t>Bispedømmerådene (11)</w:t>
      </w:r>
    </w:p>
    <w:p w:rsidR="00000000" w:rsidRDefault="00D718D0" w:rsidP="00BA3E8B">
      <w:pPr>
        <w:pStyle w:val="opplisting"/>
      </w:pPr>
      <w:r>
        <w:t>Det Mosaiske Trossamfunn i Oslo</w:t>
      </w:r>
    </w:p>
    <w:p w:rsidR="00000000" w:rsidRDefault="00D718D0" w:rsidP="00BA3E8B">
      <w:pPr>
        <w:pStyle w:val="opplisting"/>
      </w:pPr>
      <w:r>
        <w:t>Det Mosaiske Trossamfunn i Trondheim</w:t>
      </w:r>
    </w:p>
    <w:p w:rsidR="00000000" w:rsidRDefault="00D718D0" w:rsidP="00BA3E8B">
      <w:pPr>
        <w:pStyle w:val="opplisting"/>
      </w:pPr>
      <w:r>
        <w:t>Frelsesarmeen</w:t>
      </w:r>
    </w:p>
    <w:p w:rsidR="00000000" w:rsidRDefault="00D718D0" w:rsidP="00BA3E8B">
      <w:pPr>
        <w:pStyle w:val="opplisting"/>
      </w:pPr>
      <w:r>
        <w:t>Holistisk Forbund</w:t>
      </w:r>
    </w:p>
    <w:p w:rsidR="00000000" w:rsidRDefault="00D718D0" w:rsidP="00BA3E8B">
      <w:pPr>
        <w:pStyle w:val="opplisting"/>
      </w:pPr>
      <w:r>
        <w:t>Human-Etisk Forbund</w:t>
      </w:r>
    </w:p>
    <w:p w:rsidR="00000000" w:rsidRDefault="00D718D0" w:rsidP="00BA3E8B">
      <w:pPr>
        <w:pStyle w:val="opplisting"/>
      </w:pPr>
      <w:r>
        <w:t>Islamsk Råd</w:t>
      </w:r>
    </w:p>
    <w:p w:rsidR="00000000" w:rsidRDefault="00D718D0" w:rsidP="00BA3E8B">
      <w:pPr>
        <w:pStyle w:val="opplisting"/>
      </w:pPr>
      <w:r>
        <w:t>Kirkerådet</w:t>
      </w:r>
    </w:p>
    <w:p w:rsidR="00000000" w:rsidRDefault="00D718D0" w:rsidP="00BA3E8B">
      <w:pPr>
        <w:pStyle w:val="opplisting"/>
      </w:pPr>
      <w:r>
        <w:t>Oslo Katolske bispedømme</w:t>
      </w:r>
    </w:p>
    <w:p w:rsidR="00000000" w:rsidRDefault="00D718D0" w:rsidP="00BA3E8B">
      <w:pPr>
        <w:pStyle w:val="avsnitt-undertittel"/>
      </w:pPr>
      <w:r>
        <w:t>Interesseorganisasjone</w:t>
      </w:r>
      <w:r>
        <w:t>r, humanitære organisasjoner mv.</w:t>
      </w:r>
    </w:p>
    <w:p w:rsidR="00000000" w:rsidRDefault="00D718D0" w:rsidP="00BA3E8B">
      <w:pPr>
        <w:pStyle w:val="opplisting"/>
      </w:pPr>
      <w:r>
        <w:t>Afghanistankomiteen i Norge</w:t>
      </w:r>
    </w:p>
    <w:p w:rsidR="00000000" w:rsidRDefault="00D718D0" w:rsidP="00BA3E8B">
      <w:pPr>
        <w:pStyle w:val="opplisting"/>
      </w:pPr>
      <w:r>
        <w:t>Aleneforeldreforeningen</w:t>
      </w:r>
    </w:p>
    <w:p w:rsidR="00000000" w:rsidRDefault="00D718D0" w:rsidP="00BA3E8B">
      <w:pPr>
        <w:pStyle w:val="opplisting"/>
      </w:pPr>
      <w:r>
        <w:t>Alternativ til Vold</w:t>
      </w:r>
    </w:p>
    <w:p w:rsidR="00000000" w:rsidRDefault="00D718D0" w:rsidP="00BA3E8B">
      <w:pPr>
        <w:pStyle w:val="opplisting"/>
      </w:pPr>
      <w:r>
        <w:t>Amnesty International Norge</w:t>
      </w:r>
    </w:p>
    <w:p w:rsidR="00000000" w:rsidRDefault="00D718D0" w:rsidP="00BA3E8B">
      <w:pPr>
        <w:pStyle w:val="opplisting"/>
      </w:pPr>
      <w:r>
        <w:t>Antirasistisk senter</w:t>
      </w:r>
    </w:p>
    <w:p w:rsidR="00000000" w:rsidRDefault="00D718D0" w:rsidP="00BA3E8B">
      <w:pPr>
        <w:pStyle w:val="opplisting"/>
      </w:pPr>
      <w:r>
        <w:lastRenderedPageBreak/>
        <w:t>Atferdssenteret – Norsk senter for studier av problematferd og innovativ praksis</w:t>
      </w:r>
    </w:p>
    <w:p w:rsidR="00000000" w:rsidRDefault="00D718D0" w:rsidP="00BA3E8B">
      <w:pPr>
        <w:pStyle w:val="opplisting"/>
      </w:pPr>
      <w:r>
        <w:t>Atlas-alliansen</w:t>
      </w:r>
    </w:p>
    <w:p w:rsidR="00000000" w:rsidRDefault="00D718D0" w:rsidP="00BA3E8B">
      <w:pPr>
        <w:pStyle w:val="opplisting"/>
      </w:pPr>
      <w:r>
        <w:t>Avino</w:t>
      </w:r>
      <w:r>
        <w:t>r</w:t>
      </w:r>
    </w:p>
    <w:p w:rsidR="00000000" w:rsidRDefault="00D718D0" w:rsidP="00BA3E8B">
      <w:pPr>
        <w:pStyle w:val="opplisting"/>
      </w:pPr>
      <w:r>
        <w:t>Care Norge</w:t>
      </w:r>
    </w:p>
    <w:p w:rsidR="00000000" w:rsidRDefault="00D718D0" w:rsidP="00BA3E8B">
      <w:pPr>
        <w:pStyle w:val="opplisting"/>
      </w:pPr>
      <w:r>
        <w:t>Caritas Norge</w:t>
      </w:r>
    </w:p>
    <w:p w:rsidR="00000000" w:rsidRDefault="00D718D0" w:rsidP="00BA3E8B">
      <w:pPr>
        <w:pStyle w:val="opplisting"/>
      </w:pPr>
      <w:r>
        <w:t>Den norske legeforening</w:t>
      </w:r>
    </w:p>
    <w:p w:rsidR="00000000" w:rsidRDefault="00D718D0" w:rsidP="00BA3E8B">
      <w:pPr>
        <w:pStyle w:val="opplisting"/>
      </w:pPr>
      <w:r>
        <w:t>Den norske Helsingforskomité</w:t>
      </w:r>
    </w:p>
    <w:p w:rsidR="00000000" w:rsidRDefault="00D718D0" w:rsidP="00BA3E8B">
      <w:pPr>
        <w:pStyle w:val="opplisting"/>
      </w:pPr>
      <w:r>
        <w:t>Den norske Revisorforening</w:t>
      </w:r>
    </w:p>
    <w:p w:rsidR="00000000" w:rsidRDefault="00D718D0" w:rsidP="00BA3E8B">
      <w:pPr>
        <w:pStyle w:val="opplisting"/>
      </w:pPr>
      <w:r>
        <w:t>De reisende kvinners forum</w:t>
      </w:r>
    </w:p>
    <w:p w:rsidR="00000000" w:rsidRDefault="00D718D0" w:rsidP="00BA3E8B">
      <w:pPr>
        <w:pStyle w:val="opplisting"/>
      </w:pPr>
      <w:r>
        <w:t>Elevorganisasjonen</w:t>
      </w:r>
    </w:p>
    <w:p w:rsidR="00000000" w:rsidRDefault="00D718D0" w:rsidP="00BA3E8B">
      <w:pPr>
        <w:pStyle w:val="opplisting"/>
      </w:pPr>
      <w:r>
        <w:t>Fellesrådet for Afrika</w:t>
      </w:r>
    </w:p>
    <w:p w:rsidR="00000000" w:rsidRDefault="00D718D0" w:rsidP="00BA3E8B">
      <w:pPr>
        <w:pStyle w:val="opplisting"/>
      </w:pPr>
      <w:r>
        <w:t>Fellesskapet mot seksuelle overgrep</w:t>
      </w:r>
    </w:p>
    <w:p w:rsidR="00000000" w:rsidRDefault="00D718D0" w:rsidP="00BA3E8B">
      <w:pPr>
        <w:pStyle w:val="opplisting"/>
      </w:pPr>
      <w:r>
        <w:t>Finansforbundet</w:t>
      </w:r>
    </w:p>
    <w:p w:rsidR="00000000" w:rsidRDefault="00D718D0" w:rsidP="00BA3E8B">
      <w:pPr>
        <w:pStyle w:val="opplisting"/>
      </w:pPr>
      <w:r>
        <w:t>Finansieringsselskapenes for</w:t>
      </w:r>
      <w:r>
        <w:t>ening</w:t>
      </w:r>
    </w:p>
    <w:p w:rsidR="00000000" w:rsidRDefault="00D718D0" w:rsidP="00BA3E8B">
      <w:pPr>
        <w:pStyle w:val="opplisting"/>
      </w:pPr>
      <w:r>
        <w:t>Finansnæringens Hovedorganisasjon</w:t>
      </w:r>
    </w:p>
    <w:p w:rsidR="00000000" w:rsidRDefault="00D718D0" w:rsidP="00BA3E8B">
      <w:pPr>
        <w:pStyle w:val="opplisting"/>
      </w:pPr>
      <w:r>
        <w:t>Finnmarkseiendommen</w:t>
      </w:r>
    </w:p>
    <w:p w:rsidR="00000000" w:rsidRDefault="00D718D0" w:rsidP="00BA3E8B">
      <w:pPr>
        <w:pStyle w:val="opplisting"/>
      </w:pPr>
      <w:r>
        <w:t>Flyktningehjelpen</w:t>
      </w:r>
    </w:p>
    <w:p w:rsidR="00000000" w:rsidRDefault="00D718D0" w:rsidP="00BA3E8B">
      <w:pPr>
        <w:pStyle w:val="opplisting"/>
      </w:pPr>
      <w:r>
        <w:t>FN-sambandet i Norge</w:t>
      </w:r>
    </w:p>
    <w:p w:rsidR="00000000" w:rsidRDefault="00D718D0" w:rsidP="00BA3E8B">
      <w:pPr>
        <w:pStyle w:val="opplisting"/>
      </w:pPr>
      <w:r>
        <w:t>Forbundet for transpersoner i Norge</w:t>
      </w:r>
    </w:p>
    <w:p w:rsidR="00000000" w:rsidRDefault="00D718D0" w:rsidP="00BA3E8B">
      <w:pPr>
        <w:pStyle w:val="opplisting"/>
      </w:pPr>
      <w:r>
        <w:t>Foreldreutvalget for grunnopplæringen (FUG)</w:t>
      </w:r>
    </w:p>
    <w:p w:rsidR="00000000" w:rsidRDefault="00D718D0" w:rsidP="00BA3E8B">
      <w:pPr>
        <w:pStyle w:val="opplisting"/>
      </w:pPr>
      <w:r>
        <w:t>Foreningen 2 Foreldre</w:t>
      </w:r>
    </w:p>
    <w:p w:rsidR="00000000" w:rsidRDefault="00D718D0" w:rsidP="00BA3E8B">
      <w:pPr>
        <w:pStyle w:val="opplisting"/>
      </w:pPr>
      <w:r>
        <w:t>Foreningen for kvinne- og kjønnsforskning</w:t>
      </w:r>
    </w:p>
    <w:p w:rsidR="00000000" w:rsidRDefault="00D718D0" w:rsidP="00BA3E8B">
      <w:pPr>
        <w:pStyle w:val="opplisting"/>
      </w:pPr>
      <w:r>
        <w:t>Foreningen fo</w:t>
      </w:r>
      <w:r>
        <w:t>r skolte-/østsamene i Neiden</w:t>
      </w:r>
    </w:p>
    <w:p w:rsidR="00000000" w:rsidRDefault="00D718D0" w:rsidP="00BA3E8B">
      <w:pPr>
        <w:pStyle w:val="opplisting"/>
      </w:pPr>
      <w:r>
        <w:t>Foreningen for østsamene</w:t>
      </w:r>
    </w:p>
    <w:p w:rsidR="00000000" w:rsidRDefault="00D718D0" w:rsidP="00BA3E8B">
      <w:pPr>
        <w:pStyle w:val="opplisting"/>
      </w:pPr>
      <w:r>
        <w:t>Forum for kvinner og utviklingsspørsmål (FOKUS)</w:t>
      </w:r>
    </w:p>
    <w:p w:rsidR="00000000" w:rsidRDefault="00D718D0" w:rsidP="00BA3E8B">
      <w:pPr>
        <w:pStyle w:val="opplisting"/>
      </w:pPr>
      <w:r>
        <w:t>Forum for Utvikling og Miljø</w:t>
      </w:r>
    </w:p>
    <w:p w:rsidR="00000000" w:rsidRDefault="00D718D0" w:rsidP="00BA3E8B">
      <w:pPr>
        <w:pStyle w:val="opplisting"/>
      </w:pPr>
      <w:r>
        <w:t>Framtiden i våre hender</w:t>
      </w:r>
    </w:p>
    <w:p w:rsidR="00000000" w:rsidRDefault="00D718D0" w:rsidP="00BA3E8B">
      <w:pPr>
        <w:pStyle w:val="opplisting"/>
      </w:pPr>
      <w:r>
        <w:t>Frivillighet Norge</w:t>
      </w:r>
    </w:p>
    <w:p w:rsidR="00000000" w:rsidRDefault="00D718D0" w:rsidP="00BA3E8B">
      <w:pPr>
        <w:pStyle w:val="opplisting"/>
      </w:pPr>
      <w:r>
        <w:t>Funksjonshemmedes Fellesorganisasjon (FFO)</w:t>
      </w:r>
    </w:p>
    <w:p w:rsidR="00000000" w:rsidRDefault="00D718D0" w:rsidP="00BA3E8B">
      <w:pPr>
        <w:pStyle w:val="opplisting"/>
      </w:pPr>
      <w:r>
        <w:t>Harry Benjamin Ressurssenter</w:t>
      </w:r>
    </w:p>
    <w:p w:rsidR="00000000" w:rsidRDefault="00D718D0" w:rsidP="00BA3E8B">
      <w:pPr>
        <w:pStyle w:val="opplisting"/>
      </w:pPr>
      <w:r>
        <w:t>HivNorge</w:t>
      </w:r>
    </w:p>
    <w:p w:rsidR="00000000" w:rsidRDefault="00D718D0" w:rsidP="00BA3E8B">
      <w:pPr>
        <w:pStyle w:val="opplisting"/>
      </w:pPr>
      <w:r>
        <w:t>Human Rights Service (HRS)</w:t>
      </w:r>
    </w:p>
    <w:p w:rsidR="00000000" w:rsidRDefault="00D718D0" w:rsidP="00BA3E8B">
      <w:pPr>
        <w:pStyle w:val="opplisting"/>
      </w:pPr>
      <w:r>
        <w:t>IKT Norge</w:t>
      </w:r>
    </w:p>
    <w:p w:rsidR="00000000" w:rsidRDefault="00D718D0" w:rsidP="00BA3E8B">
      <w:pPr>
        <w:pStyle w:val="opplisting"/>
      </w:pPr>
      <w:r>
        <w:t>Initiativ for Etisk Handel</w:t>
      </w:r>
    </w:p>
    <w:p w:rsidR="00000000" w:rsidRDefault="00D718D0" w:rsidP="00BA3E8B">
      <w:pPr>
        <w:pStyle w:val="opplisting"/>
      </w:pPr>
      <w:r>
        <w:t>Innvandreres Landsorganisasjon (INLO)</w:t>
      </w:r>
    </w:p>
    <w:p w:rsidR="00000000" w:rsidRDefault="00D718D0" w:rsidP="00BA3E8B">
      <w:pPr>
        <w:pStyle w:val="opplisting"/>
      </w:pPr>
      <w:r>
        <w:t>Juridisk rådgivning for kvinner (JURK)</w:t>
      </w:r>
    </w:p>
    <w:p w:rsidR="00000000" w:rsidRDefault="00D718D0" w:rsidP="00BA3E8B">
      <w:pPr>
        <w:pStyle w:val="opplisting"/>
      </w:pPr>
      <w:r>
        <w:t>Juss-Buss</w:t>
      </w:r>
    </w:p>
    <w:p w:rsidR="00000000" w:rsidRDefault="00D718D0" w:rsidP="00BA3E8B">
      <w:pPr>
        <w:pStyle w:val="opplisting"/>
      </w:pPr>
      <w:r>
        <w:t>Jusshjelpa i Midt-Norge</w:t>
      </w:r>
    </w:p>
    <w:p w:rsidR="00000000" w:rsidRDefault="00D718D0" w:rsidP="00BA3E8B">
      <w:pPr>
        <w:pStyle w:val="opplisting"/>
      </w:pPr>
      <w:r>
        <w:t>Jusshjelpa i Nord-Norge</w:t>
      </w:r>
    </w:p>
    <w:p w:rsidR="00000000" w:rsidRDefault="00D718D0" w:rsidP="00BA3E8B">
      <w:pPr>
        <w:pStyle w:val="opplisting"/>
      </w:pPr>
      <w:r>
        <w:t>Kirkens Bymisjon</w:t>
      </w:r>
    </w:p>
    <w:p w:rsidR="00000000" w:rsidRDefault="00D718D0" w:rsidP="00BA3E8B">
      <w:pPr>
        <w:pStyle w:val="opplisting"/>
      </w:pPr>
      <w:r>
        <w:t>Kirkens nødhjelp</w:t>
      </w:r>
    </w:p>
    <w:p w:rsidR="00000000" w:rsidRDefault="00D718D0" w:rsidP="00BA3E8B">
      <w:pPr>
        <w:pStyle w:val="opplisting"/>
      </w:pPr>
      <w:r>
        <w:t>Krisesentersekretariate</w:t>
      </w:r>
      <w:r>
        <w:t>t</w:t>
      </w:r>
    </w:p>
    <w:p w:rsidR="00000000" w:rsidRDefault="00D718D0" w:rsidP="00BA3E8B">
      <w:pPr>
        <w:pStyle w:val="opplisting"/>
      </w:pPr>
      <w:r>
        <w:t>Kvenlandsforbundet</w:t>
      </w:r>
    </w:p>
    <w:p w:rsidR="00000000" w:rsidRDefault="00D718D0" w:rsidP="00BA3E8B">
      <w:pPr>
        <w:pStyle w:val="opplisting"/>
      </w:pPr>
      <w:r>
        <w:t>Landsforeningen for barnevernsbarn</w:t>
      </w:r>
    </w:p>
    <w:p w:rsidR="00000000" w:rsidRDefault="00D718D0" w:rsidP="00BA3E8B">
      <w:pPr>
        <w:pStyle w:val="opplisting"/>
      </w:pPr>
      <w:r>
        <w:t>FRI</w:t>
      </w:r>
    </w:p>
    <w:p w:rsidR="00000000" w:rsidRDefault="00D718D0" w:rsidP="00BA3E8B">
      <w:pPr>
        <w:pStyle w:val="opplisting"/>
      </w:pPr>
      <w:r>
        <w:lastRenderedPageBreak/>
        <w:t>Landsforeningen for overvektige</w:t>
      </w:r>
    </w:p>
    <w:p w:rsidR="00000000" w:rsidRDefault="00D718D0" w:rsidP="00BA3E8B">
      <w:pPr>
        <w:pStyle w:val="opplisting"/>
      </w:pPr>
      <w:r>
        <w:t>Landsforeningen for transkjønnede</w:t>
      </w:r>
    </w:p>
    <w:p w:rsidR="00000000" w:rsidRDefault="00D718D0" w:rsidP="00BA3E8B">
      <w:pPr>
        <w:pStyle w:val="opplisting"/>
      </w:pPr>
      <w:r>
        <w:t>Landsgruppen av helsesøstre</w:t>
      </w:r>
    </w:p>
    <w:p w:rsidR="00000000" w:rsidRDefault="00D718D0" w:rsidP="00BA3E8B">
      <w:pPr>
        <w:pStyle w:val="opplisting"/>
      </w:pPr>
      <w:r>
        <w:t>Landsorganisasjonen for Romanifolket</w:t>
      </w:r>
    </w:p>
    <w:p w:rsidR="00000000" w:rsidRDefault="00D718D0" w:rsidP="00BA3E8B">
      <w:pPr>
        <w:pStyle w:val="opplisting"/>
      </w:pPr>
      <w:r>
        <w:t>Landsrådet for norske barne- og ungdomsorganisasjoner (LNU)</w:t>
      </w:r>
    </w:p>
    <w:p w:rsidR="00000000" w:rsidRDefault="00D718D0" w:rsidP="00BA3E8B">
      <w:pPr>
        <w:pStyle w:val="opplisting"/>
      </w:pPr>
      <w:r>
        <w:t>Likes</w:t>
      </w:r>
      <w:r>
        <w:t>tilling, Integrering, Mangfold (LIM)</w:t>
      </w:r>
    </w:p>
    <w:p w:rsidR="00000000" w:rsidRDefault="00D718D0" w:rsidP="00BA3E8B">
      <w:pPr>
        <w:pStyle w:val="opplisting"/>
      </w:pPr>
      <w:r>
        <w:t>Mangfold i arbeidslivet</w:t>
      </w:r>
    </w:p>
    <w:p w:rsidR="00000000" w:rsidRDefault="00D718D0" w:rsidP="00BA3E8B">
      <w:pPr>
        <w:pStyle w:val="opplisting"/>
      </w:pPr>
      <w:r>
        <w:t>Mannsforum</w:t>
      </w:r>
    </w:p>
    <w:p w:rsidR="00000000" w:rsidRDefault="00D718D0" w:rsidP="00BA3E8B">
      <w:pPr>
        <w:pStyle w:val="opplisting"/>
      </w:pPr>
      <w:r>
        <w:t>Menneskerettsalliansen</w:t>
      </w:r>
    </w:p>
    <w:p w:rsidR="00000000" w:rsidRDefault="00D718D0" w:rsidP="00BA3E8B">
      <w:pPr>
        <w:pStyle w:val="opplisting"/>
      </w:pPr>
      <w:r>
        <w:t>Mental Helse</w:t>
      </w:r>
    </w:p>
    <w:p w:rsidR="00000000" w:rsidRDefault="00D718D0" w:rsidP="00BA3E8B">
      <w:pPr>
        <w:pStyle w:val="opplisting"/>
      </w:pPr>
      <w:r>
        <w:t>Nasjonalt senter for flerkulturell opplæring (NAFO)</w:t>
      </w:r>
    </w:p>
    <w:p w:rsidR="00000000" w:rsidRDefault="00D718D0" w:rsidP="00BA3E8B">
      <w:pPr>
        <w:pStyle w:val="opplisting"/>
      </w:pPr>
      <w:r>
        <w:t>Noereh (samisk ungdomsorganisasjon)</w:t>
      </w:r>
    </w:p>
    <w:p w:rsidR="00000000" w:rsidRDefault="00D718D0" w:rsidP="00BA3E8B">
      <w:pPr>
        <w:pStyle w:val="opplisting"/>
      </w:pPr>
      <w:r>
        <w:t>Norges Autoriserte Regnskapsføreres Forening</w:t>
      </w:r>
    </w:p>
    <w:p w:rsidR="00000000" w:rsidRDefault="00D718D0" w:rsidP="00BA3E8B">
      <w:pPr>
        <w:pStyle w:val="opplisting"/>
      </w:pPr>
      <w:r>
        <w:t>Norges Bygdekvi</w:t>
      </w:r>
      <w:r>
        <w:t>nnelag</w:t>
      </w:r>
    </w:p>
    <w:p w:rsidR="00000000" w:rsidRDefault="00D718D0" w:rsidP="00BA3E8B">
      <w:pPr>
        <w:pStyle w:val="opplisting"/>
      </w:pPr>
      <w:r>
        <w:t>Norges Fiskarkvinnelag</w:t>
      </w:r>
    </w:p>
    <w:p w:rsidR="00000000" w:rsidRDefault="00D718D0" w:rsidP="00BA3E8B">
      <w:pPr>
        <w:pStyle w:val="opplisting"/>
      </w:pPr>
      <w:r>
        <w:t>Norges Handikapforbund</w:t>
      </w:r>
    </w:p>
    <w:p w:rsidR="00000000" w:rsidRDefault="00D718D0" w:rsidP="00BA3E8B">
      <w:pPr>
        <w:pStyle w:val="opplisting"/>
      </w:pPr>
      <w:r>
        <w:t>Norges Idrettsforbund</w:t>
      </w:r>
    </w:p>
    <w:p w:rsidR="00000000" w:rsidRDefault="00D718D0" w:rsidP="00BA3E8B">
      <w:pPr>
        <w:pStyle w:val="opplisting"/>
      </w:pPr>
      <w:r>
        <w:t>Norges Interne Revisorers Forening (NIRF)</w:t>
      </w:r>
    </w:p>
    <w:p w:rsidR="00000000" w:rsidRDefault="00D718D0" w:rsidP="00BA3E8B">
      <w:pPr>
        <w:pStyle w:val="opplisting"/>
      </w:pPr>
      <w:r>
        <w:t>Norges kommunerevisorforbund</w:t>
      </w:r>
    </w:p>
    <w:p w:rsidR="00000000" w:rsidRDefault="00D718D0" w:rsidP="00BA3E8B">
      <w:pPr>
        <w:pStyle w:val="opplisting"/>
      </w:pPr>
      <w:r>
        <w:t>Norges Kristne Råd</w:t>
      </w:r>
    </w:p>
    <w:p w:rsidR="00000000" w:rsidRDefault="00D718D0" w:rsidP="00BA3E8B">
      <w:pPr>
        <w:pStyle w:val="opplisting"/>
      </w:pPr>
      <w:r>
        <w:t>Norges Kvinne- og familieforbund</w:t>
      </w:r>
    </w:p>
    <w:p w:rsidR="00000000" w:rsidRDefault="00D718D0" w:rsidP="00BA3E8B">
      <w:pPr>
        <w:pStyle w:val="opplisting"/>
      </w:pPr>
      <w:r>
        <w:t>Norges kvinnelobby</w:t>
      </w:r>
    </w:p>
    <w:p w:rsidR="00000000" w:rsidRDefault="00D718D0" w:rsidP="00BA3E8B">
      <w:pPr>
        <w:pStyle w:val="opplisting"/>
      </w:pPr>
      <w:r>
        <w:t>Norges OECD kontaktpunkt</w:t>
      </w:r>
    </w:p>
    <w:p w:rsidR="00000000" w:rsidRDefault="00D718D0" w:rsidP="00BA3E8B">
      <w:pPr>
        <w:pStyle w:val="opplisting"/>
      </w:pPr>
      <w:r>
        <w:t>Norges Rød</w:t>
      </w:r>
      <w:r>
        <w:t>e Kors</w:t>
      </w:r>
    </w:p>
    <w:p w:rsidR="00000000" w:rsidRDefault="00D718D0" w:rsidP="00BA3E8B">
      <w:pPr>
        <w:pStyle w:val="opplisting"/>
      </w:pPr>
      <w:r>
        <w:t>Norsk Bedriftsforbund</w:t>
      </w:r>
    </w:p>
    <w:p w:rsidR="00000000" w:rsidRDefault="00D718D0" w:rsidP="00BA3E8B">
      <w:pPr>
        <w:pStyle w:val="opplisting"/>
      </w:pPr>
      <w:r>
        <w:t>Norske Finansanalytikers forening</w:t>
      </w:r>
    </w:p>
    <w:p w:rsidR="00000000" w:rsidRDefault="00D718D0" w:rsidP="00BA3E8B">
      <w:pPr>
        <w:pStyle w:val="opplisting"/>
      </w:pPr>
      <w:r>
        <w:t>Norsk Folkehjelp</w:t>
      </w:r>
    </w:p>
    <w:p w:rsidR="00000000" w:rsidRDefault="00D718D0" w:rsidP="00BA3E8B">
      <w:pPr>
        <w:pStyle w:val="opplisting"/>
      </w:pPr>
      <w:r>
        <w:t>Norsk kommunalteknisk forening</w:t>
      </w:r>
    </w:p>
    <w:p w:rsidR="00000000" w:rsidRDefault="00D718D0" w:rsidP="00BA3E8B">
      <w:pPr>
        <w:pStyle w:val="opplisting"/>
      </w:pPr>
      <w:r>
        <w:t>Norsk Kvinnesaksforening</w:t>
      </w:r>
    </w:p>
    <w:p w:rsidR="00000000" w:rsidRDefault="00D718D0" w:rsidP="00BA3E8B">
      <w:pPr>
        <w:pStyle w:val="opplisting"/>
      </w:pPr>
      <w:r>
        <w:t>Norsk Montessoriforbund</w:t>
      </w:r>
    </w:p>
    <w:p w:rsidR="00000000" w:rsidRDefault="00D718D0" w:rsidP="00BA3E8B">
      <w:pPr>
        <w:pStyle w:val="opplisting"/>
      </w:pPr>
      <w:r>
        <w:t>Norsk organisasjon for asylsøkere (NOAS)</w:t>
      </w:r>
    </w:p>
    <w:p w:rsidR="00000000" w:rsidRDefault="00D718D0" w:rsidP="00BA3E8B">
      <w:pPr>
        <w:pStyle w:val="opplisting"/>
      </w:pPr>
      <w:r>
        <w:t>Norsk psykologforening</w:t>
      </w:r>
    </w:p>
    <w:p w:rsidR="00000000" w:rsidRDefault="00D718D0" w:rsidP="00BA3E8B">
      <w:pPr>
        <w:pStyle w:val="opplisting"/>
      </w:pPr>
      <w:r>
        <w:t>Norsk studentorganisasjon (NSO)</w:t>
      </w:r>
    </w:p>
    <w:p w:rsidR="00000000" w:rsidRDefault="00D718D0" w:rsidP="00BA3E8B">
      <w:pPr>
        <w:pStyle w:val="opplisting"/>
      </w:pPr>
      <w:r>
        <w:t>Norsk Studentunion</w:t>
      </w:r>
    </w:p>
    <w:p w:rsidR="00000000" w:rsidRDefault="00D718D0" w:rsidP="00BA3E8B">
      <w:pPr>
        <w:pStyle w:val="opplisting"/>
      </w:pPr>
      <w:r>
        <w:t>Norske Boligbyggelags Landsforbund</w:t>
      </w:r>
    </w:p>
    <w:p w:rsidR="00000000" w:rsidRDefault="00D718D0" w:rsidP="00BA3E8B">
      <w:pPr>
        <w:pStyle w:val="opplisting"/>
      </w:pPr>
      <w:r>
        <w:t>Norske fag- og friskolers landsforbund</w:t>
      </w:r>
    </w:p>
    <w:p w:rsidR="00000000" w:rsidRDefault="00D718D0" w:rsidP="00BA3E8B">
      <w:pPr>
        <w:pStyle w:val="opplisting"/>
      </w:pPr>
      <w:r>
        <w:t>Norske kveners forbund</w:t>
      </w:r>
    </w:p>
    <w:p w:rsidR="00000000" w:rsidRDefault="00D718D0" w:rsidP="00BA3E8B">
      <w:pPr>
        <w:pStyle w:val="opplisting"/>
      </w:pPr>
      <w:r>
        <w:t>Norske kvinnelige akademikere</w:t>
      </w:r>
    </w:p>
    <w:p w:rsidR="00000000" w:rsidRDefault="00D718D0" w:rsidP="00BA3E8B">
      <w:pPr>
        <w:pStyle w:val="opplisting"/>
      </w:pPr>
      <w:r>
        <w:t>Norske Kvinners Sanitetsforening</w:t>
      </w:r>
    </w:p>
    <w:p w:rsidR="00000000" w:rsidRDefault="00D718D0" w:rsidP="00BA3E8B">
      <w:pPr>
        <w:pStyle w:val="opplisting"/>
      </w:pPr>
      <w:r>
        <w:t>Norske Reindriftssamers Landsforbund</w:t>
      </w:r>
    </w:p>
    <w:p w:rsidR="00000000" w:rsidRDefault="00D718D0" w:rsidP="00BA3E8B">
      <w:pPr>
        <w:pStyle w:val="opplisting"/>
      </w:pPr>
      <w:r>
        <w:t>Norske Samers Riksforbund</w:t>
      </w:r>
    </w:p>
    <w:p w:rsidR="00000000" w:rsidRDefault="00D718D0" w:rsidP="00BA3E8B">
      <w:pPr>
        <w:pStyle w:val="opplisting"/>
      </w:pPr>
      <w:r>
        <w:t>Norsk-Finsk Fo</w:t>
      </w:r>
      <w:r>
        <w:t>rbund</w:t>
      </w:r>
    </w:p>
    <w:p w:rsidR="00000000" w:rsidRDefault="00D718D0" w:rsidP="00BA3E8B">
      <w:pPr>
        <w:pStyle w:val="opplisting"/>
      </w:pPr>
      <w:r>
        <w:t>Norsk Øko-forum</w:t>
      </w:r>
    </w:p>
    <w:p w:rsidR="00000000" w:rsidRDefault="00D718D0" w:rsidP="00BA3E8B">
      <w:pPr>
        <w:pStyle w:val="opplisting"/>
      </w:pPr>
      <w:r>
        <w:t>NSB</w:t>
      </w:r>
    </w:p>
    <w:p w:rsidR="00000000" w:rsidRDefault="00D718D0" w:rsidP="00BA3E8B">
      <w:pPr>
        <w:pStyle w:val="opplisting"/>
      </w:pPr>
      <w:r>
        <w:t>Nye SOS Rasisme</w:t>
      </w:r>
    </w:p>
    <w:p w:rsidR="00000000" w:rsidRDefault="00D718D0" w:rsidP="00BA3E8B">
      <w:pPr>
        <w:pStyle w:val="opplisting"/>
      </w:pPr>
      <w:r>
        <w:lastRenderedPageBreak/>
        <w:t>Organisasjonen for barnevernsforeldre</w:t>
      </w:r>
    </w:p>
    <w:p w:rsidR="00000000" w:rsidRDefault="00D718D0" w:rsidP="00BA3E8B">
      <w:pPr>
        <w:pStyle w:val="opplisting"/>
      </w:pPr>
      <w:r>
        <w:t>Organisasjonen mot offentlig diskriminering</w:t>
      </w:r>
    </w:p>
    <w:p w:rsidR="00000000" w:rsidRDefault="00D718D0" w:rsidP="00BA3E8B">
      <w:pPr>
        <w:pStyle w:val="opplisting"/>
      </w:pPr>
      <w:r>
        <w:t>Press – Redd Barna Ungdom</w:t>
      </w:r>
    </w:p>
    <w:p w:rsidR="00000000" w:rsidRDefault="00D718D0" w:rsidP="00BA3E8B">
      <w:pPr>
        <w:pStyle w:val="opplisting"/>
      </w:pPr>
      <w:r>
        <w:t>Queersamiska forening</w:t>
      </w:r>
    </w:p>
    <w:p w:rsidR="00000000" w:rsidRDefault="00D718D0" w:rsidP="00BA3E8B">
      <w:pPr>
        <w:pStyle w:val="opplisting"/>
      </w:pPr>
      <w:r>
        <w:t>Redd Barna</w:t>
      </w:r>
    </w:p>
    <w:p w:rsidR="00000000" w:rsidRDefault="00D718D0" w:rsidP="00BA3E8B">
      <w:pPr>
        <w:pStyle w:val="opplisting"/>
      </w:pPr>
      <w:r>
        <w:t>REFORM ressurssenter for menn</w:t>
      </w:r>
    </w:p>
    <w:p w:rsidR="00000000" w:rsidRDefault="00D718D0" w:rsidP="00BA3E8B">
      <w:pPr>
        <w:pStyle w:val="opplisting"/>
      </w:pPr>
      <w:r>
        <w:t>Ressurssenter for kvinner med minoritetsbakgrunn (MiRA)</w:t>
      </w:r>
    </w:p>
    <w:p w:rsidR="00000000" w:rsidRDefault="00D718D0" w:rsidP="00BA3E8B">
      <w:pPr>
        <w:pStyle w:val="opplisting"/>
      </w:pPr>
      <w:r>
        <w:t>Rettspolitisk forening</w:t>
      </w:r>
    </w:p>
    <w:p w:rsidR="00000000" w:rsidRDefault="00D718D0" w:rsidP="00BA3E8B">
      <w:pPr>
        <w:pStyle w:val="opplisting"/>
      </w:pPr>
      <w:r>
        <w:t>Romanifolkets Kystkultur</w:t>
      </w:r>
    </w:p>
    <w:p w:rsidR="00000000" w:rsidRDefault="00D718D0" w:rsidP="00BA3E8B">
      <w:pPr>
        <w:pStyle w:val="opplisting"/>
      </w:pPr>
      <w:r>
        <w:t>Romsk råd i Norge</w:t>
      </w:r>
    </w:p>
    <w:p w:rsidR="00000000" w:rsidRDefault="00D718D0" w:rsidP="00BA3E8B">
      <w:pPr>
        <w:pStyle w:val="opplisting"/>
      </w:pPr>
      <w:r>
        <w:t>Rådet for psykisk helse</w:t>
      </w:r>
    </w:p>
    <w:p w:rsidR="00000000" w:rsidRDefault="00D718D0" w:rsidP="00BA3E8B">
      <w:pPr>
        <w:pStyle w:val="opplisting"/>
      </w:pPr>
      <w:r>
        <w:t>Samarbeidsforumet av funksjonshemmedes organisasjoner (SAFO)</w:t>
      </w:r>
    </w:p>
    <w:p w:rsidR="00000000" w:rsidRDefault="00D718D0" w:rsidP="00BA3E8B">
      <w:pPr>
        <w:pStyle w:val="opplisting"/>
      </w:pPr>
      <w:r>
        <w:t>Samarbeidsrådet for tros- og livssynssamfunn</w:t>
      </w:r>
    </w:p>
    <w:p w:rsidR="00000000" w:rsidRDefault="00D718D0" w:rsidP="00BA3E8B">
      <w:pPr>
        <w:pStyle w:val="opplisting"/>
      </w:pPr>
      <w:r>
        <w:t>Same</w:t>
      </w:r>
      <w:r>
        <w:t>nes Folkeforbund</w:t>
      </w:r>
    </w:p>
    <w:p w:rsidR="00000000" w:rsidRDefault="00D718D0" w:rsidP="00BA3E8B">
      <w:pPr>
        <w:pStyle w:val="opplisting"/>
      </w:pPr>
      <w:r>
        <w:t>Samenes landsforbund</w:t>
      </w:r>
    </w:p>
    <w:p w:rsidR="00000000" w:rsidRDefault="00D718D0" w:rsidP="00BA3E8B">
      <w:pPr>
        <w:pStyle w:val="opplisting"/>
      </w:pPr>
      <w:r>
        <w:t>Sami Nisson Forum</w:t>
      </w:r>
    </w:p>
    <w:p w:rsidR="00000000" w:rsidRDefault="00D718D0" w:rsidP="00BA3E8B">
      <w:pPr>
        <w:pStyle w:val="opplisting"/>
      </w:pPr>
      <w:r>
        <w:t>Samisk kirkeråd</w:t>
      </w:r>
    </w:p>
    <w:p w:rsidR="00000000" w:rsidRDefault="00D718D0" w:rsidP="00BA3E8B">
      <w:pPr>
        <w:pStyle w:val="opplisting"/>
      </w:pPr>
      <w:r>
        <w:t>Sárahkka</w:t>
      </w:r>
    </w:p>
    <w:p w:rsidR="00000000" w:rsidRDefault="00D718D0" w:rsidP="00BA3E8B">
      <w:pPr>
        <w:pStyle w:val="opplisting"/>
      </w:pPr>
      <w:r>
        <w:t>Selvhjelp for innvandrere og flyktninger (SEIF)</w:t>
      </w:r>
    </w:p>
    <w:p w:rsidR="00000000" w:rsidRDefault="00D718D0" w:rsidP="00BA3E8B">
      <w:pPr>
        <w:pStyle w:val="opplisting"/>
      </w:pPr>
      <w:r>
        <w:t>Seniorsaken</w:t>
      </w:r>
    </w:p>
    <w:p w:rsidR="00000000" w:rsidRDefault="00D718D0" w:rsidP="00BA3E8B">
      <w:pPr>
        <w:pStyle w:val="opplisting"/>
      </w:pPr>
      <w:r>
        <w:t>Sex og politikk</w:t>
      </w:r>
    </w:p>
    <w:p w:rsidR="00000000" w:rsidRDefault="00D718D0" w:rsidP="00BA3E8B">
      <w:pPr>
        <w:pStyle w:val="opplisting"/>
      </w:pPr>
      <w:r>
        <w:t>Skeiv Ungdom</w:t>
      </w:r>
    </w:p>
    <w:p w:rsidR="00000000" w:rsidRDefault="00D718D0" w:rsidP="00BA3E8B">
      <w:pPr>
        <w:pStyle w:val="opplisting"/>
      </w:pPr>
      <w:r>
        <w:t>Skeiv Verden</w:t>
      </w:r>
    </w:p>
    <w:p w:rsidR="00000000" w:rsidRDefault="00D718D0" w:rsidP="00BA3E8B">
      <w:pPr>
        <w:pStyle w:val="opplisting"/>
      </w:pPr>
      <w:r>
        <w:t>Skogfinske interesser i Norge</w:t>
      </w:r>
    </w:p>
    <w:p w:rsidR="00000000" w:rsidRDefault="00D718D0" w:rsidP="00BA3E8B">
      <w:pPr>
        <w:pStyle w:val="opplisting"/>
      </w:pPr>
      <w:r>
        <w:t>Skolenes landsforbund</w:t>
      </w:r>
    </w:p>
    <w:p w:rsidR="00000000" w:rsidRDefault="00D718D0" w:rsidP="00BA3E8B">
      <w:pPr>
        <w:pStyle w:val="opplisting"/>
      </w:pPr>
      <w:r>
        <w:t>Skatterevisorenes for</w:t>
      </w:r>
      <w:r>
        <w:t>ening</w:t>
      </w:r>
    </w:p>
    <w:p w:rsidR="00000000" w:rsidRDefault="00D718D0" w:rsidP="00BA3E8B">
      <w:pPr>
        <w:pStyle w:val="opplisting"/>
      </w:pPr>
      <w:r>
        <w:t>Småbedriftsforbundet</w:t>
      </w:r>
    </w:p>
    <w:p w:rsidR="00000000" w:rsidRDefault="00D718D0" w:rsidP="00BA3E8B">
      <w:pPr>
        <w:pStyle w:val="opplisting"/>
      </w:pPr>
      <w:r>
        <w:t>Steinerskoleforbundet</w:t>
      </w:r>
    </w:p>
    <w:p w:rsidR="00000000" w:rsidRDefault="00D718D0" w:rsidP="00BA3E8B">
      <w:pPr>
        <w:pStyle w:val="opplisting"/>
      </w:pPr>
      <w:r>
        <w:t>Stensveen Ressurssenter for Transpersoner</w:t>
      </w:r>
    </w:p>
    <w:p w:rsidR="00000000" w:rsidRDefault="00D718D0" w:rsidP="00BA3E8B">
      <w:pPr>
        <w:pStyle w:val="opplisting"/>
      </w:pPr>
      <w:r>
        <w:t>Stine Sofies Stiftelse</w:t>
      </w:r>
    </w:p>
    <w:p w:rsidR="00000000" w:rsidRDefault="00D718D0" w:rsidP="00BA3E8B">
      <w:pPr>
        <w:pStyle w:val="opplisting"/>
      </w:pPr>
      <w:r>
        <w:t>Stopp Diskrimineringen</w:t>
      </w:r>
    </w:p>
    <w:p w:rsidR="00000000" w:rsidRDefault="00D718D0" w:rsidP="00BA3E8B">
      <w:pPr>
        <w:pStyle w:val="opplisting"/>
      </w:pPr>
      <w:r>
        <w:t>Synshemmede Akademikeres forening</w:t>
      </w:r>
    </w:p>
    <w:p w:rsidR="00000000" w:rsidRDefault="00D718D0" w:rsidP="00BA3E8B">
      <w:pPr>
        <w:pStyle w:val="opplisting"/>
      </w:pPr>
      <w:r>
        <w:t>Taternes landsforening</w:t>
      </w:r>
    </w:p>
    <w:p w:rsidR="00000000" w:rsidRDefault="00D718D0" w:rsidP="00BA3E8B">
      <w:pPr>
        <w:pStyle w:val="opplisting"/>
      </w:pPr>
      <w:r>
        <w:t>Taternes/romanifolkets menneskerettighetsforening</w:t>
      </w:r>
    </w:p>
    <w:p w:rsidR="00000000" w:rsidRDefault="00D718D0" w:rsidP="00BA3E8B">
      <w:pPr>
        <w:pStyle w:val="opplisting"/>
      </w:pPr>
      <w:r>
        <w:t>Transparency International Norge</w:t>
      </w:r>
    </w:p>
    <w:p w:rsidR="00000000" w:rsidRDefault="00D718D0" w:rsidP="00BA3E8B">
      <w:pPr>
        <w:pStyle w:val="opplisting"/>
      </w:pPr>
      <w:r>
        <w:t>Uføres Landsorganisasjon (ULO)</w:t>
      </w:r>
    </w:p>
    <w:p w:rsidR="00000000" w:rsidRDefault="00D718D0" w:rsidP="00BA3E8B">
      <w:pPr>
        <w:pStyle w:val="opplisting"/>
      </w:pPr>
      <w:r>
        <w:t>Uloba – Independent Living Norge</w:t>
      </w:r>
    </w:p>
    <w:p w:rsidR="00000000" w:rsidRDefault="00D718D0" w:rsidP="00BA3E8B">
      <w:pPr>
        <w:pStyle w:val="opplisting"/>
      </w:pPr>
      <w:r>
        <w:t>Unge Funksjonshemmede</w:t>
      </w:r>
    </w:p>
    <w:p w:rsidR="00000000" w:rsidRDefault="00D718D0" w:rsidP="00BA3E8B">
      <w:pPr>
        <w:pStyle w:val="opplisting"/>
      </w:pPr>
      <w:r>
        <w:t>UNICEF-komiteen i Norge</w:t>
      </w:r>
    </w:p>
    <w:p w:rsidR="00000000" w:rsidRDefault="00D718D0" w:rsidP="00BA3E8B">
      <w:pPr>
        <w:pStyle w:val="opplisting"/>
      </w:pPr>
      <w:r>
        <w:t>Utrop</w:t>
      </w:r>
    </w:p>
    <w:p w:rsidR="00000000" w:rsidRDefault="00D718D0" w:rsidP="00BA3E8B">
      <w:pPr>
        <w:pStyle w:val="opplisting"/>
      </w:pPr>
      <w:r>
        <w:t>Voksenopplæringsforbundet</w:t>
      </w:r>
    </w:p>
    <w:p w:rsidR="00000000" w:rsidRDefault="00D718D0" w:rsidP="00BA3E8B">
      <w:pPr>
        <w:pStyle w:val="avsnitt-undertittel"/>
      </w:pPr>
      <w:r>
        <w:t>Øvrige høringsinstanser</w:t>
      </w:r>
    </w:p>
    <w:p w:rsidR="00000000" w:rsidRDefault="00D718D0" w:rsidP="00BA3E8B">
      <w:pPr>
        <w:pStyle w:val="opplisting"/>
      </w:pPr>
      <w:r>
        <w:t>Norges Bank</w:t>
      </w:r>
    </w:p>
    <w:p w:rsidR="00000000" w:rsidRDefault="00D718D0" w:rsidP="00BA3E8B">
      <w:pPr>
        <w:pStyle w:val="opplisting"/>
      </w:pPr>
      <w:r>
        <w:t>Oslo Børs</w:t>
      </w:r>
    </w:p>
    <w:p w:rsidR="00000000" w:rsidRDefault="00D718D0" w:rsidP="00BA3E8B">
      <w:pPr>
        <w:pStyle w:val="opplisting"/>
      </w:pPr>
      <w:r>
        <w:lastRenderedPageBreak/>
        <w:t>Pensjonistforbundet</w:t>
      </w:r>
    </w:p>
    <w:p w:rsidR="00000000" w:rsidRDefault="00D718D0" w:rsidP="00BA3E8B">
      <w:pPr>
        <w:pStyle w:val="opplisting"/>
      </w:pPr>
      <w:r>
        <w:t>Seniorenes Fell</w:t>
      </w:r>
      <w:r>
        <w:t>esorganisasjon</w:t>
      </w:r>
    </w:p>
    <w:p w:rsidR="00000000" w:rsidRDefault="00D718D0" w:rsidP="00BA3E8B">
      <w:pPr>
        <w:pStyle w:val="opplisting"/>
      </w:pPr>
      <w:r>
        <w:t>Verdipapirsentralen</w:t>
      </w:r>
    </w:p>
    <w:p w:rsidR="00000000" w:rsidRDefault="00D718D0" w:rsidP="00BA3E8B">
      <w:pPr>
        <w:pStyle w:val="opplisting"/>
      </w:pPr>
      <w:r>
        <w:t>Økonomiforbundet</w:t>
      </w:r>
    </w:p>
    <w:p w:rsidR="00000000" w:rsidRDefault="00D718D0" w:rsidP="00BA3E8B">
      <w:pPr>
        <w:pStyle w:val="avsnitt-undertittel"/>
      </w:pPr>
      <w:r>
        <w:t>Departementet mottok synspunkter fra:</w:t>
      </w:r>
    </w:p>
    <w:p w:rsidR="00000000" w:rsidRDefault="00D718D0" w:rsidP="00BA3E8B">
      <w:pPr>
        <w:pStyle w:val="opplisting"/>
      </w:pPr>
      <w:r>
        <w:t>Advokatforeningen</w:t>
      </w:r>
    </w:p>
    <w:p w:rsidR="00000000" w:rsidRDefault="00D718D0" w:rsidP="00BA3E8B">
      <w:pPr>
        <w:pStyle w:val="opplisting"/>
      </w:pPr>
      <w:r>
        <w:t>Akademikerne</w:t>
      </w:r>
    </w:p>
    <w:p w:rsidR="00000000" w:rsidRDefault="00D718D0" w:rsidP="00BA3E8B">
      <w:pPr>
        <w:pStyle w:val="opplisting"/>
      </w:pPr>
      <w:r>
        <w:t>Antirasistisk Senter</w:t>
      </w:r>
    </w:p>
    <w:p w:rsidR="00000000" w:rsidRDefault="00D718D0" w:rsidP="00BA3E8B">
      <w:pPr>
        <w:pStyle w:val="opplisting"/>
      </w:pPr>
      <w:r>
        <w:t>Arbeidsgiverforeningen Spekter</w:t>
      </w:r>
    </w:p>
    <w:p w:rsidR="00000000" w:rsidRDefault="00D718D0" w:rsidP="00BA3E8B">
      <w:pPr>
        <w:pStyle w:val="opplisting"/>
      </w:pPr>
      <w:r>
        <w:t>Askøy kommune</w:t>
      </w:r>
    </w:p>
    <w:p w:rsidR="00000000" w:rsidRDefault="00D718D0" w:rsidP="00BA3E8B">
      <w:pPr>
        <w:pStyle w:val="opplisting"/>
      </w:pPr>
      <w:r>
        <w:t>Aust-Agder fylkeskommune</w:t>
      </w:r>
    </w:p>
    <w:p w:rsidR="00000000" w:rsidRDefault="00D718D0" w:rsidP="00BA3E8B">
      <w:pPr>
        <w:pStyle w:val="opplisting"/>
      </w:pPr>
      <w:r>
        <w:t>Bamble kommune, virksomhet for HR</w:t>
      </w:r>
    </w:p>
    <w:p w:rsidR="00000000" w:rsidRDefault="00D718D0" w:rsidP="00BA3E8B">
      <w:pPr>
        <w:pStyle w:val="opplisting"/>
      </w:pPr>
      <w:r>
        <w:t>Barne-, ungdoms- og familiedirektoratet</w:t>
      </w:r>
    </w:p>
    <w:p w:rsidR="00000000" w:rsidRDefault="00D718D0" w:rsidP="00BA3E8B">
      <w:pPr>
        <w:pStyle w:val="opplisting"/>
      </w:pPr>
      <w:r>
        <w:t>Barnesakkyndig kommisjon</w:t>
      </w:r>
    </w:p>
    <w:p w:rsidR="00000000" w:rsidRDefault="00D718D0" w:rsidP="00BA3E8B">
      <w:pPr>
        <w:pStyle w:val="opplisting"/>
      </w:pPr>
      <w:r>
        <w:t>Bergen kommune</w:t>
      </w:r>
    </w:p>
    <w:p w:rsidR="00000000" w:rsidRDefault="00D718D0" w:rsidP="00BA3E8B">
      <w:pPr>
        <w:pStyle w:val="opplisting"/>
      </w:pPr>
      <w:r>
        <w:t>Borgerrettsstiftelsen Stopp Diskrimineringen</w:t>
      </w:r>
    </w:p>
    <w:p w:rsidR="00000000" w:rsidRDefault="00D718D0" w:rsidP="00BA3E8B">
      <w:pPr>
        <w:pStyle w:val="opplisting"/>
      </w:pPr>
      <w:r>
        <w:t>Buskerud fylkeskommune</w:t>
      </w:r>
    </w:p>
    <w:p w:rsidR="00000000" w:rsidRDefault="00D718D0" w:rsidP="00BA3E8B">
      <w:pPr>
        <w:pStyle w:val="opplisting"/>
      </w:pPr>
      <w:r>
        <w:t>Den norske Revisorforening</w:t>
      </w:r>
    </w:p>
    <w:p w:rsidR="00000000" w:rsidRDefault="00D718D0" w:rsidP="00BA3E8B">
      <w:pPr>
        <w:pStyle w:val="opplisting"/>
      </w:pPr>
      <w:r>
        <w:t>Diskrimineringsnemnda</w:t>
      </w:r>
    </w:p>
    <w:p w:rsidR="00000000" w:rsidRDefault="00D718D0" w:rsidP="00BA3E8B">
      <w:pPr>
        <w:pStyle w:val="opplisting"/>
      </w:pPr>
      <w:r>
        <w:t>Drammen kommune</w:t>
      </w:r>
    </w:p>
    <w:p w:rsidR="00000000" w:rsidRDefault="00D718D0" w:rsidP="00BA3E8B">
      <w:pPr>
        <w:pStyle w:val="opplisting"/>
      </w:pPr>
      <w:r>
        <w:t>Fagforbundet</w:t>
      </w:r>
    </w:p>
    <w:p w:rsidR="00000000" w:rsidRDefault="00D718D0" w:rsidP="00BA3E8B">
      <w:pPr>
        <w:pStyle w:val="opplisting"/>
      </w:pPr>
      <w:r>
        <w:t>Finans Norge</w:t>
      </w:r>
    </w:p>
    <w:p w:rsidR="00000000" w:rsidRDefault="00D718D0" w:rsidP="00BA3E8B">
      <w:pPr>
        <w:pStyle w:val="opplisting"/>
      </w:pPr>
      <w:r>
        <w:t>Finansforbundet</w:t>
      </w:r>
    </w:p>
    <w:p w:rsidR="00000000" w:rsidRDefault="00D718D0" w:rsidP="00BA3E8B">
      <w:pPr>
        <w:pStyle w:val="opplisting"/>
      </w:pPr>
      <w:r>
        <w:t>F</w:t>
      </w:r>
      <w:r>
        <w:t>orsvarsdepartementet</w:t>
      </w:r>
    </w:p>
    <w:p w:rsidR="00000000" w:rsidRDefault="00D718D0" w:rsidP="00BA3E8B">
      <w:pPr>
        <w:pStyle w:val="opplisting"/>
      </w:pPr>
      <w:r>
        <w:t>Fredrikstad kommune</w:t>
      </w:r>
    </w:p>
    <w:p w:rsidR="00000000" w:rsidRDefault="00D718D0" w:rsidP="00BA3E8B">
      <w:pPr>
        <w:pStyle w:val="opplisting"/>
      </w:pPr>
      <w:r>
        <w:t>FRI – Foreningen for kjønns- og seksualitetsmangfold</w:t>
      </w:r>
    </w:p>
    <w:p w:rsidR="00000000" w:rsidRDefault="00D718D0" w:rsidP="00BA3E8B">
      <w:pPr>
        <w:pStyle w:val="opplisting"/>
      </w:pPr>
      <w:r>
        <w:t>Funksjonshemmedes Fellesorganisasjon</w:t>
      </w:r>
    </w:p>
    <w:p w:rsidR="00000000" w:rsidRDefault="00D718D0" w:rsidP="00BA3E8B">
      <w:pPr>
        <w:pStyle w:val="opplisting"/>
      </w:pPr>
      <w:r>
        <w:t>Fylkesmannen i Aust- og Vest-Agder</w:t>
      </w:r>
    </w:p>
    <w:p w:rsidR="00000000" w:rsidRDefault="00D718D0" w:rsidP="00BA3E8B">
      <w:pPr>
        <w:pStyle w:val="opplisting"/>
      </w:pPr>
      <w:r>
        <w:t>Fylkesmannen i Hedmark</w:t>
      </w:r>
    </w:p>
    <w:p w:rsidR="00000000" w:rsidRDefault="00D718D0" w:rsidP="00BA3E8B">
      <w:pPr>
        <w:pStyle w:val="opplisting"/>
      </w:pPr>
      <w:r>
        <w:t>Hammerfest kommune</w:t>
      </w:r>
    </w:p>
    <w:p w:rsidR="00000000" w:rsidRDefault="00D718D0" w:rsidP="00BA3E8B">
      <w:pPr>
        <w:pStyle w:val="opplisting"/>
      </w:pPr>
      <w:r>
        <w:t>Harstad kommune</w:t>
      </w:r>
    </w:p>
    <w:p w:rsidR="00000000" w:rsidRDefault="00D718D0" w:rsidP="00BA3E8B">
      <w:pPr>
        <w:pStyle w:val="opplisting"/>
      </w:pPr>
      <w:r>
        <w:t>Hedmark fylkes flerkulturelle rå</w:t>
      </w:r>
      <w:r>
        <w:t>d</w:t>
      </w:r>
    </w:p>
    <w:p w:rsidR="00000000" w:rsidRDefault="00D718D0" w:rsidP="00BA3E8B">
      <w:pPr>
        <w:pStyle w:val="opplisting"/>
      </w:pPr>
      <w:r>
        <w:t>Helse- og omsorgsdepartementet</w:t>
      </w:r>
    </w:p>
    <w:p w:rsidR="00000000" w:rsidRDefault="00D718D0" w:rsidP="00BA3E8B">
      <w:pPr>
        <w:pStyle w:val="opplisting"/>
      </w:pPr>
      <w:r>
        <w:t>HLF Hørselshemmedes Landsforbund</w:t>
      </w:r>
    </w:p>
    <w:p w:rsidR="00000000" w:rsidRDefault="00D718D0" w:rsidP="00BA3E8B">
      <w:pPr>
        <w:pStyle w:val="opplisting"/>
      </w:pPr>
      <w:r>
        <w:t>Hovedorganisasjonen Virke</w:t>
      </w:r>
    </w:p>
    <w:p w:rsidR="00000000" w:rsidRDefault="00D718D0" w:rsidP="00BA3E8B">
      <w:pPr>
        <w:pStyle w:val="opplisting"/>
      </w:pPr>
      <w:r>
        <w:t>Juridisk rådgivning for kvinner (JURK)</w:t>
      </w:r>
    </w:p>
    <w:p w:rsidR="00000000" w:rsidRDefault="00D718D0" w:rsidP="00BA3E8B">
      <w:pPr>
        <w:pStyle w:val="opplisting"/>
      </w:pPr>
      <w:r>
        <w:t>Justis- og beredskapsdepartementet</w:t>
      </w:r>
    </w:p>
    <w:p w:rsidR="00000000" w:rsidRDefault="00D718D0" w:rsidP="00BA3E8B">
      <w:pPr>
        <w:pStyle w:val="opplisting"/>
      </w:pPr>
      <w:r>
        <w:t>KA Arbeidsgiverorganisasjon for kirkelige virksomheter</w:t>
      </w:r>
    </w:p>
    <w:p w:rsidR="00000000" w:rsidRDefault="00D718D0" w:rsidP="00BA3E8B">
      <w:pPr>
        <w:pStyle w:val="opplisting"/>
      </w:pPr>
      <w:r>
        <w:t>Kirkerådet</w:t>
      </w:r>
    </w:p>
    <w:p w:rsidR="00000000" w:rsidRDefault="00D718D0" w:rsidP="00BA3E8B">
      <w:pPr>
        <w:pStyle w:val="opplisting"/>
      </w:pPr>
      <w:r>
        <w:t>Klima- og miljødeparteme</w:t>
      </w:r>
      <w:r>
        <w:t>ntet</w:t>
      </w:r>
    </w:p>
    <w:p w:rsidR="00000000" w:rsidRDefault="00D718D0" w:rsidP="00BA3E8B">
      <w:pPr>
        <w:pStyle w:val="opplisting"/>
      </w:pPr>
      <w:r>
        <w:t>Komite for kjønnsbalanse og mangfold i forskning</w:t>
      </w:r>
    </w:p>
    <w:p w:rsidR="00000000" w:rsidRDefault="00D718D0" w:rsidP="00BA3E8B">
      <w:pPr>
        <w:pStyle w:val="opplisting"/>
      </w:pPr>
      <w:r>
        <w:t>Kristiansand kommune</w:t>
      </w:r>
    </w:p>
    <w:p w:rsidR="00000000" w:rsidRDefault="00D718D0" w:rsidP="00BA3E8B">
      <w:pPr>
        <w:pStyle w:val="opplisting"/>
      </w:pPr>
      <w:r>
        <w:t>KS</w:t>
      </w:r>
    </w:p>
    <w:p w:rsidR="00000000" w:rsidRDefault="00D718D0" w:rsidP="00BA3E8B">
      <w:pPr>
        <w:pStyle w:val="opplisting"/>
      </w:pPr>
      <w:r>
        <w:t>KUN</w:t>
      </w:r>
    </w:p>
    <w:p w:rsidR="00000000" w:rsidRDefault="00D718D0" w:rsidP="00BA3E8B">
      <w:pPr>
        <w:pStyle w:val="opplisting"/>
      </w:pPr>
      <w:r>
        <w:lastRenderedPageBreak/>
        <w:t>Kunnskapsdepartementet</w:t>
      </w:r>
    </w:p>
    <w:p w:rsidR="00000000" w:rsidRDefault="00D718D0" w:rsidP="00BA3E8B">
      <w:pPr>
        <w:pStyle w:val="opplisting"/>
      </w:pPr>
      <w:r>
        <w:t>KVIBALD, Det juridiske fakultet, Universitetet i Oslo</w:t>
      </w:r>
    </w:p>
    <w:p w:rsidR="00000000" w:rsidRDefault="00D718D0" w:rsidP="00BA3E8B">
      <w:pPr>
        <w:pStyle w:val="opplisting"/>
      </w:pPr>
      <w:r>
        <w:t>Kvinnefronten i Norge</w:t>
      </w:r>
    </w:p>
    <w:p w:rsidR="00000000" w:rsidRDefault="00D718D0" w:rsidP="00BA3E8B">
      <w:pPr>
        <w:pStyle w:val="opplisting"/>
      </w:pPr>
      <w:r>
        <w:t>Landbruks- og matdepartementet</w:t>
      </w:r>
    </w:p>
    <w:p w:rsidR="00000000" w:rsidRDefault="00D718D0" w:rsidP="00BA3E8B">
      <w:pPr>
        <w:pStyle w:val="opplisting"/>
      </w:pPr>
      <w:r>
        <w:t>Landsorganisasjonen i Norge</w:t>
      </w:r>
    </w:p>
    <w:p w:rsidR="00000000" w:rsidRDefault="00D718D0" w:rsidP="00BA3E8B">
      <w:pPr>
        <w:pStyle w:val="opplisting"/>
      </w:pPr>
      <w:r>
        <w:t>Likestillings- og diskrimineringsombudet</w:t>
      </w:r>
    </w:p>
    <w:p w:rsidR="00000000" w:rsidRDefault="00D718D0" w:rsidP="00BA3E8B">
      <w:pPr>
        <w:pStyle w:val="opplisting"/>
      </w:pPr>
      <w:r>
        <w:t>Likestillingssenteret</w:t>
      </w:r>
    </w:p>
    <w:p w:rsidR="00000000" w:rsidRDefault="00D718D0" w:rsidP="00BA3E8B">
      <w:pPr>
        <w:pStyle w:val="opplisting"/>
      </w:pPr>
      <w:r>
        <w:t>MiRA Ressurssenter for kvinner med minioritetsbakgrunn</w:t>
      </w:r>
    </w:p>
    <w:p w:rsidR="00000000" w:rsidRDefault="00D718D0" w:rsidP="00BA3E8B">
      <w:pPr>
        <w:pStyle w:val="opplisting"/>
      </w:pPr>
      <w:r>
        <w:t>NITO</w:t>
      </w:r>
    </w:p>
    <w:p w:rsidR="00000000" w:rsidRDefault="00D718D0" w:rsidP="00BA3E8B">
      <w:pPr>
        <w:pStyle w:val="opplisting"/>
      </w:pPr>
      <w:r>
        <w:t>Norges Bank</w:t>
      </w:r>
    </w:p>
    <w:p w:rsidR="00000000" w:rsidRDefault="00D718D0" w:rsidP="00BA3E8B">
      <w:pPr>
        <w:pStyle w:val="opplisting"/>
      </w:pPr>
      <w:r>
        <w:t>Norges Handikapforbund</w:t>
      </w:r>
    </w:p>
    <w:p w:rsidR="00000000" w:rsidRDefault="00D718D0" w:rsidP="00BA3E8B">
      <w:pPr>
        <w:pStyle w:val="opplisting"/>
      </w:pPr>
      <w:r>
        <w:t>Norges Høyesterett</w:t>
      </w:r>
    </w:p>
    <w:p w:rsidR="00000000" w:rsidRDefault="00D718D0" w:rsidP="00BA3E8B">
      <w:pPr>
        <w:pStyle w:val="opplisting"/>
      </w:pPr>
      <w:r>
        <w:t>Norges Kvinne- og familieforbund</w:t>
      </w:r>
    </w:p>
    <w:p w:rsidR="00000000" w:rsidRDefault="00D718D0" w:rsidP="00BA3E8B">
      <w:pPr>
        <w:pStyle w:val="opplisting"/>
      </w:pPr>
      <w:r>
        <w:t>Norges Kvinnelobby</w:t>
      </w:r>
    </w:p>
    <w:p w:rsidR="00000000" w:rsidRDefault="00D718D0" w:rsidP="00BA3E8B">
      <w:pPr>
        <w:pStyle w:val="opplisting"/>
      </w:pPr>
      <w:r>
        <w:t>Norges miljø- og biovitensk</w:t>
      </w:r>
      <w:r>
        <w:t>apelige universitet</w:t>
      </w:r>
    </w:p>
    <w:p w:rsidR="00000000" w:rsidRDefault="00D718D0" w:rsidP="00BA3E8B">
      <w:pPr>
        <w:pStyle w:val="opplisting"/>
      </w:pPr>
      <w:r>
        <w:t>Norges nasjonale institusjon for menneskerettigheter</w:t>
      </w:r>
    </w:p>
    <w:p w:rsidR="00000000" w:rsidRDefault="00D718D0" w:rsidP="00BA3E8B">
      <w:pPr>
        <w:pStyle w:val="opplisting"/>
      </w:pPr>
      <w:r>
        <w:t>Norges Rederiforbund</w:t>
      </w:r>
    </w:p>
    <w:p w:rsidR="00000000" w:rsidRDefault="00D718D0" w:rsidP="00BA3E8B">
      <w:pPr>
        <w:pStyle w:val="opplisting"/>
      </w:pPr>
      <w:r>
        <w:t>Norges teknisk-naturvitenskapelige universitet</w:t>
      </w:r>
    </w:p>
    <w:p w:rsidR="00000000" w:rsidRDefault="00D718D0" w:rsidP="00BA3E8B">
      <w:pPr>
        <w:pStyle w:val="opplisting"/>
      </w:pPr>
      <w:r>
        <w:t>Norgesunionen av soroptimistklubber i Norge</w:t>
      </w:r>
    </w:p>
    <w:p w:rsidR="00000000" w:rsidRDefault="00D718D0" w:rsidP="00BA3E8B">
      <w:pPr>
        <w:pStyle w:val="opplisting"/>
      </w:pPr>
      <w:r>
        <w:t>Norsk Folkehjelp</w:t>
      </w:r>
    </w:p>
    <w:p w:rsidR="00000000" w:rsidRDefault="00D718D0" w:rsidP="00BA3E8B">
      <w:pPr>
        <w:pStyle w:val="opplisting"/>
      </w:pPr>
      <w:r>
        <w:t>Norsk Kvinnesaksforening</w:t>
      </w:r>
    </w:p>
    <w:p w:rsidR="00000000" w:rsidRDefault="00D718D0" w:rsidP="00BA3E8B">
      <w:pPr>
        <w:pStyle w:val="opplisting"/>
      </w:pPr>
      <w:r>
        <w:t>Norsk Studentorganisasjon</w:t>
      </w:r>
    </w:p>
    <w:p w:rsidR="00000000" w:rsidRDefault="00D718D0" w:rsidP="00BA3E8B">
      <w:pPr>
        <w:pStyle w:val="opplisting"/>
      </w:pPr>
      <w:r>
        <w:t>Nor</w:t>
      </w:r>
      <w:r>
        <w:t>sk Sykepleierforbund</w:t>
      </w:r>
    </w:p>
    <w:p w:rsidR="00000000" w:rsidRDefault="00D718D0" w:rsidP="00BA3E8B">
      <w:pPr>
        <w:pStyle w:val="opplisting"/>
      </w:pPr>
      <w:r>
        <w:t>Norske Kveners Forbund</w:t>
      </w:r>
    </w:p>
    <w:p w:rsidR="00000000" w:rsidRDefault="00D718D0" w:rsidP="00BA3E8B">
      <w:pPr>
        <w:pStyle w:val="opplisting"/>
      </w:pPr>
      <w:r>
        <w:t>Norske Kvinners Sanitetsforening</w:t>
      </w:r>
    </w:p>
    <w:p w:rsidR="00000000" w:rsidRDefault="00D718D0" w:rsidP="00BA3E8B">
      <w:pPr>
        <w:pStyle w:val="opplisting"/>
      </w:pPr>
      <w:r>
        <w:t>Næringslivets Hovedorganisasjon</w:t>
      </w:r>
    </w:p>
    <w:p w:rsidR="00000000" w:rsidRDefault="00D718D0" w:rsidP="00BA3E8B">
      <w:pPr>
        <w:pStyle w:val="opplisting"/>
      </w:pPr>
      <w:r>
        <w:t>Oslo bispedømmeråd</w:t>
      </w:r>
    </w:p>
    <w:p w:rsidR="00000000" w:rsidRDefault="00D718D0" w:rsidP="00BA3E8B">
      <w:pPr>
        <w:pStyle w:val="opplisting"/>
      </w:pPr>
      <w:r>
        <w:t>Oslo kommune, Byrådsavdeling for eldre, helse og arbeid</w:t>
      </w:r>
    </w:p>
    <w:p w:rsidR="00000000" w:rsidRDefault="00D718D0" w:rsidP="00BA3E8B">
      <w:pPr>
        <w:pStyle w:val="opplisting"/>
      </w:pPr>
      <w:r>
        <w:t>OsloMet</w:t>
      </w:r>
    </w:p>
    <w:p w:rsidR="00000000" w:rsidRDefault="00D718D0" w:rsidP="00BA3E8B">
      <w:pPr>
        <w:pStyle w:val="opplisting"/>
      </w:pPr>
      <w:r>
        <w:t>Politidirektoratet</w:t>
      </w:r>
    </w:p>
    <w:p w:rsidR="00000000" w:rsidRDefault="00D718D0" w:rsidP="00BA3E8B">
      <w:pPr>
        <w:pStyle w:val="opplisting"/>
      </w:pPr>
      <w:r>
        <w:t>Reform – ressurssenter for menn</w:t>
      </w:r>
    </w:p>
    <w:p w:rsidR="00000000" w:rsidRDefault="00D718D0" w:rsidP="00BA3E8B">
      <w:pPr>
        <w:pStyle w:val="opplisting"/>
      </w:pPr>
      <w:r>
        <w:t>Regelrådet</w:t>
      </w:r>
    </w:p>
    <w:p w:rsidR="00000000" w:rsidRDefault="00D718D0" w:rsidP="00BA3E8B">
      <w:pPr>
        <w:pStyle w:val="opplisting"/>
      </w:pPr>
      <w:r>
        <w:t>Regionalt ressurssenter om vold, traumatisk stress og selvmordsforebygging – Nord</w:t>
      </w:r>
    </w:p>
    <w:p w:rsidR="00000000" w:rsidRDefault="00D718D0" w:rsidP="00BA3E8B">
      <w:pPr>
        <w:pStyle w:val="opplisting"/>
      </w:pPr>
      <w:r>
        <w:t>Riksadvokaten</w:t>
      </w:r>
    </w:p>
    <w:p w:rsidR="00000000" w:rsidRDefault="00D718D0" w:rsidP="00BA3E8B">
      <w:pPr>
        <w:pStyle w:val="opplisting"/>
      </w:pPr>
      <w:r>
        <w:t>Rogaland fylkeskommune</w:t>
      </w:r>
    </w:p>
    <w:p w:rsidR="00000000" w:rsidRDefault="00D718D0" w:rsidP="00BA3E8B">
      <w:pPr>
        <w:pStyle w:val="opplisting"/>
      </w:pPr>
      <w:r>
        <w:t>Samferdselsdepartementet</w:t>
      </w:r>
    </w:p>
    <w:p w:rsidR="00000000" w:rsidRDefault="00D718D0" w:rsidP="00BA3E8B">
      <w:pPr>
        <w:pStyle w:val="opplisting"/>
      </w:pPr>
      <w:r>
        <w:t>Sámi allaskuvla</w:t>
      </w:r>
    </w:p>
    <w:p w:rsidR="00000000" w:rsidRDefault="00D718D0" w:rsidP="00BA3E8B">
      <w:pPr>
        <w:pStyle w:val="opplisting"/>
      </w:pPr>
      <w:r>
        <w:t>Sandnes Kommune</w:t>
      </w:r>
    </w:p>
    <w:p w:rsidR="00000000" w:rsidRDefault="00D718D0" w:rsidP="00BA3E8B">
      <w:pPr>
        <w:pStyle w:val="opplisting"/>
      </w:pPr>
      <w:r>
        <w:t>Senter for likestilling</w:t>
      </w:r>
    </w:p>
    <w:p w:rsidR="00000000" w:rsidRDefault="00D718D0" w:rsidP="00BA3E8B">
      <w:pPr>
        <w:pStyle w:val="opplisting"/>
      </w:pPr>
      <w:r>
        <w:t>Senter for utvikling og miljø (SUM), Universitetet i Osl</w:t>
      </w:r>
      <w:r>
        <w:t>o</w:t>
      </w:r>
    </w:p>
    <w:p w:rsidR="00000000" w:rsidRDefault="00D718D0" w:rsidP="00BA3E8B">
      <w:pPr>
        <w:pStyle w:val="opplisting"/>
      </w:pPr>
      <w:r>
        <w:t>Skattedirektoratet</w:t>
      </w:r>
    </w:p>
    <w:p w:rsidR="00000000" w:rsidRDefault="00D718D0" w:rsidP="00BA3E8B">
      <w:pPr>
        <w:pStyle w:val="opplisting"/>
      </w:pPr>
      <w:r>
        <w:t>Skeiv Verden</w:t>
      </w:r>
    </w:p>
    <w:p w:rsidR="00000000" w:rsidRDefault="00D718D0" w:rsidP="00BA3E8B">
      <w:pPr>
        <w:pStyle w:val="opplisting"/>
      </w:pPr>
      <w:r>
        <w:t>Statistisk sentralbyrå</w:t>
      </w:r>
    </w:p>
    <w:p w:rsidR="00000000" w:rsidRDefault="00D718D0" w:rsidP="00BA3E8B">
      <w:pPr>
        <w:pStyle w:val="opplisting"/>
      </w:pPr>
      <w:r>
        <w:t>Stine Sofies Stiftelse</w:t>
      </w:r>
    </w:p>
    <w:p w:rsidR="00000000" w:rsidRDefault="00D718D0" w:rsidP="00BA3E8B">
      <w:pPr>
        <w:pStyle w:val="opplisting"/>
      </w:pPr>
      <w:r>
        <w:t>Synshemmede Akademikere SAF</w:t>
      </w:r>
    </w:p>
    <w:p w:rsidR="00000000" w:rsidRDefault="00D718D0" w:rsidP="00BA3E8B">
      <w:pPr>
        <w:pStyle w:val="opplisting"/>
      </w:pPr>
      <w:r>
        <w:lastRenderedPageBreak/>
        <w:t>Telemark fylkeskommune</w:t>
      </w:r>
    </w:p>
    <w:p w:rsidR="00000000" w:rsidRDefault="00D718D0" w:rsidP="00BA3E8B">
      <w:pPr>
        <w:pStyle w:val="opplisting"/>
      </w:pPr>
      <w:r>
        <w:t>Uloba – Independent Living Norge SA</w:t>
      </w:r>
    </w:p>
    <w:p w:rsidR="00000000" w:rsidRDefault="00D718D0" w:rsidP="00BA3E8B">
      <w:pPr>
        <w:pStyle w:val="opplisting"/>
      </w:pPr>
      <w:r>
        <w:t>Unge funksjonshemmede</w:t>
      </w:r>
    </w:p>
    <w:p w:rsidR="00000000" w:rsidRDefault="00D718D0" w:rsidP="00BA3E8B">
      <w:pPr>
        <w:pStyle w:val="opplisting"/>
      </w:pPr>
      <w:r>
        <w:t>Unio</w:t>
      </w:r>
    </w:p>
    <w:p w:rsidR="00000000" w:rsidRDefault="00D718D0" w:rsidP="00BA3E8B">
      <w:pPr>
        <w:pStyle w:val="opplisting"/>
      </w:pPr>
      <w:r>
        <w:t>Universitetet i Oslo</w:t>
      </w:r>
    </w:p>
    <w:p w:rsidR="00000000" w:rsidRDefault="00D718D0" w:rsidP="00BA3E8B">
      <w:pPr>
        <w:pStyle w:val="opplisting"/>
      </w:pPr>
      <w:r>
        <w:t>Universitetet i Sørøst-Norge</w:t>
      </w:r>
    </w:p>
    <w:p w:rsidR="00000000" w:rsidRDefault="00D718D0" w:rsidP="00BA3E8B">
      <w:pPr>
        <w:pStyle w:val="opplisting"/>
      </w:pPr>
      <w:r>
        <w:t>Universitets</w:t>
      </w:r>
      <w:r>
        <w:t>- og høgskolerådet</w:t>
      </w:r>
    </w:p>
    <w:p w:rsidR="00000000" w:rsidRDefault="00D718D0" w:rsidP="00BA3E8B">
      <w:pPr>
        <w:pStyle w:val="opplisting"/>
      </w:pPr>
      <w:r>
        <w:t>Utenriksdepartementet</w:t>
      </w:r>
    </w:p>
    <w:p w:rsidR="00000000" w:rsidRDefault="00D718D0" w:rsidP="00BA3E8B">
      <w:pPr>
        <w:pStyle w:val="opplisting"/>
      </w:pPr>
      <w:r>
        <w:t>Vest-Agder fylkeskommune</w:t>
      </w:r>
    </w:p>
    <w:p w:rsidR="00000000" w:rsidRDefault="00D718D0" w:rsidP="00BA3E8B">
      <w:pPr>
        <w:pStyle w:val="opplisting"/>
      </w:pPr>
      <w:r>
        <w:t>Volda kommune</w:t>
      </w:r>
    </w:p>
    <w:p w:rsidR="00000000" w:rsidRDefault="00D718D0" w:rsidP="00BA3E8B">
      <w:pPr>
        <w:pStyle w:val="opplisting"/>
      </w:pPr>
      <w:r>
        <w:t>Yrkesorganisasjonenes Sentralforbund – YS</w:t>
      </w:r>
    </w:p>
    <w:p w:rsidR="00000000" w:rsidRDefault="00D718D0" w:rsidP="00BA3E8B">
      <w:pPr>
        <w:pStyle w:val="opplisting"/>
      </w:pPr>
      <w:r>
        <w:t>Økonomiforbundet</w:t>
      </w:r>
    </w:p>
    <w:p w:rsidR="00000000" w:rsidRDefault="00D718D0" w:rsidP="00BA3E8B">
      <w:pPr>
        <w:pStyle w:val="opplisting"/>
      </w:pPr>
      <w:r>
        <w:t>Øvre Eiker kommune</w:t>
      </w:r>
    </w:p>
    <w:p w:rsidR="00000000" w:rsidRDefault="00D718D0" w:rsidP="00BA3E8B">
      <w:pPr>
        <w:pStyle w:val="opplisting"/>
      </w:pPr>
      <w:r>
        <w:t>Øygarden kommune</w:t>
      </w:r>
    </w:p>
    <w:p w:rsidR="00000000" w:rsidRDefault="00D718D0" w:rsidP="00BA3E8B">
      <w:pPr>
        <w:pStyle w:val="avsnitt-undertittel"/>
      </w:pPr>
      <w:r>
        <w:t>Følgende høringsinstanser har svart at de ikke har merknader:</w:t>
      </w:r>
    </w:p>
    <w:p w:rsidR="00000000" w:rsidRDefault="00D718D0" w:rsidP="00BA3E8B">
      <w:r>
        <w:t>Utenriksdepartementet, Universitetet i Sørøst-Norge, Skattedirektoratet, Samferdselsdepart</w:t>
      </w:r>
      <w:r>
        <w:t>e</w:t>
      </w:r>
      <w:r>
        <w:t>mentet, Sámi allaskuvla, Sandnes Kommune, Riksadvokaten, Oslo bispedømmeråd, Norges Høyesterett, Norges Bank, Landbruks- og matdepartementet, Kunnskapsdepartementet,</w:t>
      </w:r>
      <w:r>
        <w:t xml:space="preserve"> Klima- og miljødepartementet, Helse- og omsorgsdepartementet, Fylkesmannen i Hedmark, Fredrikstad kommune, Drammen kommune og Ba</w:t>
      </w:r>
      <w:r>
        <w:t>r</w:t>
      </w:r>
      <w:r>
        <w:t>nesakkyndig kommisjon.</w:t>
      </w:r>
    </w:p>
    <w:p w:rsidR="00000000" w:rsidRDefault="00D718D0" w:rsidP="00BA3E8B">
      <w:pPr>
        <w:pStyle w:val="Overskrift2"/>
      </w:pPr>
      <w:r>
        <w:t>Aktivt likestillingsarbeid i andre nordiske land</w:t>
      </w:r>
    </w:p>
    <w:p w:rsidR="00000000" w:rsidRDefault="00D718D0" w:rsidP="00BA3E8B">
      <w:pPr>
        <w:pStyle w:val="Overskrift3"/>
      </w:pPr>
      <w:r>
        <w:t>Sverige</w:t>
      </w:r>
    </w:p>
    <w:p w:rsidR="00000000" w:rsidRDefault="00D718D0" w:rsidP="00BA3E8B">
      <w:r>
        <w:t>I Sverige er aktivt likest</w:t>
      </w:r>
      <w:r>
        <w:t>illingsarbeid regulert i diskrimineringslagen (2008:567). Diskrimin</w:t>
      </w:r>
      <w:r>
        <w:t>e</w:t>
      </w:r>
      <w:r>
        <w:t>ringslagen gir vern mot diskriminering på grunn av kjønn, kjønnsoverskridende identitet eller uttrykk, etnisk tilh</w:t>
      </w:r>
      <w:r>
        <w:t>ø</w:t>
      </w:r>
      <w:r>
        <w:t>righet, religion eller annen trosoppfatning, funksjonsnedsettelse, seksue</w:t>
      </w:r>
      <w:r>
        <w:t>ll orientering og alder. Diskrim</w:t>
      </w:r>
      <w:r>
        <w:t>i</w:t>
      </w:r>
      <w:r>
        <w:t>nering</w:t>
      </w:r>
      <w:r>
        <w:t>s</w:t>
      </w:r>
      <w:r>
        <w:t>lagene pålegger arbeidsgivere og utdanningsinstitusjoner en plikt til å arbeide aktivt med likesti</w:t>
      </w:r>
      <w:r>
        <w:t>l</w:t>
      </w:r>
      <w:r>
        <w:t>lingstiltak. Det legges til grunn at arbeidet med aktive tiltak skal omfatte alle lovens diskriminering</w:t>
      </w:r>
      <w:r>
        <w:t>s</w:t>
      </w:r>
      <w:r>
        <w:t>grunnlag.</w:t>
      </w:r>
    </w:p>
    <w:p w:rsidR="00000000" w:rsidRDefault="00D718D0" w:rsidP="00BA3E8B">
      <w:r>
        <w:t>Dis</w:t>
      </w:r>
      <w:r>
        <w:t>krimineringslagen 3 kapittel 1 § gir en definisjon av begrepet «aktive tiltak». Med aktive tiltak menes forebyggende og likestillingsfremmende arbeid i en virksomhet for å motvirke diskriminering og fremme like rettigheter og muligheter uavhengig av diskri</w:t>
      </w:r>
      <w:r>
        <w:t>mineringsgrunnl</w:t>
      </w:r>
      <w:r>
        <w:t>a</w:t>
      </w:r>
      <w:r>
        <w:t>gene vernet i loven.</w:t>
      </w:r>
    </w:p>
    <w:p w:rsidR="00000000" w:rsidRDefault="00D718D0" w:rsidP="00BA3E8B">
      <w:r>
        <w:t>Arbeidsgivere og utdanningsinstitusjoner har etter diskrimineringslagen en plikt til jobbe sy</w:t>
      </w:r>
      <w:r>
        <w:t>s</w:t>
      </w:r>
      <w:r>
        <w:t>tematisk og fortløpende med likestilling og iverksette aktive tiltak. Dette innebærer at arbeid</w:t>
      </w:r>
      <w:r>
        <w:t>s</w:t>
      </w:r>
      <w:r>
        <w:t>givere og utda</w:t>
      </w:r>
      <w:r>
        <w:t>n</w:t>
      </w:r>
      <w:r>
        <w:t>ningsinst</w:t>
      </w:r>
      <w:r>
        <w:t>i</w:t>
      </w:r>
      <w:r>
        <w:t>tusj</w:t>
      </w:r>
      <w:r>
        <w:t>oner har en plikt til å forebygge diskriminering og fremme lik</w:t>
      </w:r>
      <w:r>
        <w:t>e</w:t>
      </w:r>
      <w:r>
        <w:t>stilling gjennom å undersøke om det finnes risiko for diskriminering eller andre hindrer for like rettigheter og muligheter, analysere årsakene til risikoer og hindrer, vedta forebyggende og li</w:t>
      </w:r>
      <w:r>
        <w:t>kestillingsfremmende tiltak, og følge opp og evaluere arbeidet, jf. 3 kapittel 2 § i diskrimin</w:t>
      </w:r>
      <w:r>
        <w:t>e</w:t>
      </w:r>
      <w:r>
        <w:t>ringslagen. Det systematiske arbeidet for likestilling skal skje i samarbeid med a</w:t>
      </w:r>
      <w:r>
        <w:t>r</w:t>
      </w:r>
      <w:r>
        <w:t xml:space="preserve">beidsgivere og </w:t>
      </w:r>
      <w:r>
        <w:lastRenderedPageBreak/>
        <w:t>arbeidstakere/den som organiserer utdanningen, studenter og ans</w:t>
      </w:r>
      <w:r>
        <w:t>atte i utdanningsinstitusjoner. De temaene aktivitetsplikten omfatter, er definert i loven.</w:t>
      </w:r>
    </w:p>
    <w:p w:rsidR="00000000" w:rsidRDefault="00D718D0" w:rsidP="00BA3E8B">
      <w:r>
        <w:t>Det fremgår av diskrimineringslagen at alle arbeidsgivere skal gjennomføre en lønnskartlegging hvert år. Arbeidsgiver skal analysere bestemmelser og arbeidsgivers p</w:t>
      </w:r>
      <w:r>
        <w:t>raksis med hensyn til avlønning og andre a</w:t>
      </w:r>
      <w:r>
        <w:t>r</w:t>
      </w:r>
      <w:r>
        <w:t>beidsvilkår, og lønnsforskjeller mellom kvinner og menn som utfører likt eller likeverdig arbeid, jf. 3 kapittel 8 §. Loven gir også nærmere bestemmelser om hvordan lønnsforskjeller som er oppdaget, skal analysere</w:t>
      </w:r>
      <w:r>
        <w:t>s, jf. 3 kapittel 9 §. Formålet er å avdekke og forhindre usaklige lønnsforskjeller mellom kvinner og menn, som utfører likt arbeid eller arbeid av lik verdi. Loven gir også en definisjon om arbeidet som er å betrakte som likeverdig med et annet arbeid, jf</w:t>
      </w:r>
      <w:r>
        <w:t>. 3 kapittel 10 §.</w:t>
      </w:r>
    </w:p>
    <w:p w:rsidR="00000000" w:rsidRDefault="00D718D0" w:rsidP="00BA3E8B">
      <w:r>
        <w:t>Fra og med 1. januar 2017 er det ikke lenger et krav om å utarbeide en likestillingsplan. Lik</w:t>
      </w:r>
      <w:r>
        <w:t>e</w:t>
      </w:r>
      <w:r>
        <w:t>stilling</w:t>
      </w:r>
      <w:r>
        <w:t>s</w:t>
      </w:r>
      <w:r>
        <w:t>planen er erstattet med et krav om at alle deler av det systematiske arbeidet hvert år skal dokumenteres skriftlig. Dette gjelder arbe</w:t>
      </w:r>
      <w:r>
        <w:t>idsgivere i virksomheter som har minst 25 ansatte, samt utdanningsinstitusj</w:t>
      </w:r>
      <w:r>
        <w:t>o</w:t>
      </w:r>
      <w:r>
        <w:t>ner. Dokument</w:t>
      </w:r>
      <w:r>
        <w:t>a</w:t>
      </w:r>
      <w:r>
        <w:t>sjonskravet knyttet til lønnskartleggingen omfatter flere arbeidsgivere, og gjelder også for arbeidsgivere som ved inngangen av kalenderåret sysselsatte minst 10 ansa</w:t>
      </w:r>
      <w:r>
        <w:t>tte.</w:t>
      </w:r>
    </w:p>
    <w:p w:rsidR="00000000" w:rsidRDefault="00D718D0" w:rsidP="00BA3E8B">
      <w:r>
        <w:t>Dokumentasjonen skal inneholde en redegjørelse av resultatet av lønnskartleggingen og anal</w:t>
      </w:r>
      <w:r>
        <w:t>y</w:t>
      </w:r>
      <w:r>
        <w:t>sen. Videre skal den inneholde en redegjørelse for hvilke lønnsjusteringer og andre tiltak som skal gjenno</w:t>
      </w:r>
      <w:r>
        <w:t>m</w:t>
      </w:r>
      <w:r>
        <w:t>føres for å rette lønnsforskjeller som har direkte el</w:t>
      </w:r>
      <w:r>
        <w:t>ler indirekte sammenheng med kjønn. Redegjørelsen skal også inneholde en kostnadsberegning og en tidsplan ut fra målse</w:t>
      </w:r>
      <w:r>
        <w:t>t</w:t>
      </w:r>
      <w:r>
        <w:t>tingen at lønnsjusteringene skal gjennomføres så snart som mulig og senest innen tre år. Ti</w:t>
      </w:r>
      <w:r>
        <w:t>l</w:t>
      </w:r>
      <w:r>
        <w:t>synsmyndigheten er tillagt Diskriminering</w:t>
      </w:r>
      <w:r>
        <w:t>s</w:t>
      </w:r>
      <w:r>
        <w:t>omb</w:t>
      </w:r>
      <w:r>
        <w:t>udsmannen og Nämnden mot diskriminering. Diskrimineringsombudsmannen gir råd og veiledning, og fører kontrollerende tilsyn med at pliktene til aktivt likestillingsarbeid etter diskrimineringslagen fø</w:t>
      </w:r>
      <w:r>
        <w:t>l</w:t>
      </w:r>
      <w:r>
        <w:t>ges. Det er gitt en definisjon av begrepet «tilsyn» i di</w:t>
      </w:r>
      <w:r>
        <w:t>skrimineringslagen. Hvis arbeidsgivere eller utda</w:t>
      </w:r>
      <w:r>
        <w:t>n</w:t>
      </w:r>
      <w:r>
        <w:t>ning</w:t>
      </w:r>
      <w:r>
        <w:t>s</w:t>
      </w:r>
      <w:r>
        <w:t>institusjoner ikke oppfyller aktivitet</w:t>
      </w:r>
      <w:r>
        <w:t>s</w:t>
      </w:r>
      <w:r>
        <w:t>pliktene, kan det gis et pålegg, og ilegges et tvangsmulkt for at plik</w:t>
      </w:r>
      <w:r>
        <w:t>t</w:t>
      </w:r>
      <w:r>
        <w:t>subjektet fullfører sine forpliktelser. Diskrimineringsombudsmannen gir en innstilling om t</w:t>
      </w:r>
      <w:r>
        <w:t>vang</w:t>
      </w:r>
      <w:r>
        <w:t>s</w:t>
      </w:r>
      <w:r>
        <w:t>mulkt, og Nämnden kan vedta at arbeidsgiveren eller utdanningsinstitusjonen skal betale denne dersom pliktsu</w:t>
      </w:r>
      <w:r>
        <w:t>b</w:t>
      </w:r>
      <w:r>
        <w:t>jektet ikke oppfyller sine forpliktelser.</w:t>
      </w:r>
    </w:p>
    <w:p w:rsidR="00000000" w:rsidRDefault="00D718D0" w:rsidP="00BA3E8B">
      <w:pPr>
        <w:pStyle w:val="Overskrift3"/>
      </w:pPr>
      <w:r>
        <w:t>Finland</w:t>
      </w:r>
    </w:p>
    <w:p w:rsidR="00000000" w:rsidRDefault="00D718D0" w:rsidP="00BA3E8B">
      <w:r>
        <w:t>Finlands grunnlov (Suomen perustuslaki) forbyr usaklig forskjellsbehandling på</w:t>
      </w:r>
      <w:r>
        <w:t xml:space="preserve"> grunn av en rekke fo</w:t>
      </w:r>
      <w:r>
        <w:t>r</w:t>
      </w:r>
      <w:r>
        <w:t>hold ved en person (diskrimineringsgrunnlag). Grunnlovens 6 § fjerde ledd stadfester prinsippet om at lik</w:t>
      </w:r>
      <w:r>
        <w:t>e</w:t>
      </w:r>
      <w:r>
        <w:t>stilling mellom menn og kvinner skal fremmes i samfunnsmessig virksomhet og i arbeidslivet, særlig når det gjelder lønnsfastsett</w:t>
      </w:r>
      <w:r>
        <w:t>ing og andre ansettelsesvilkår:</w:t>
      </w:r>
    </w:p>
    <w:p w:rsidR="00000000" w:rsidRDefault="00D718D0" w:rsidP="00BA3E8B">
      <w:pPr>
        <w:pStyle w:val="blokksit"/>
      </w:pPr>
      <w:r>
        <w:t>«Jämställdhet mellan könen i samhällelig verksamhet och i arbetslivet främjas enligt vad som närmare bestäms genom lag, särskilt vad gäller lönesättning och andra anställningsvillkor.»</w:t>
      </w:r>
    </w:p>
    <w:p w:rsidR="00000000" w:rsidRDefault="00D718D0" w:rsidP="00BA3E8B">
      <w:r>
        <w:t>Jämställdhetslagens (Laki naisten ja mi</w:t>
      </w:r>
      <w:r>
        <w:t>esten välisestä tasa-arvosta, L 609/1986) formål er å forhindre di</w:t>
      </w:r>
      <w:r>
        <w:t>s</w:t>
      </w:r>
      <w:r>
        <w:t>kriminering på grunn av kjønn og særlig forbedre kvinners stilling i arbeidslivet. Loven gir et vern mot diskriminering på grunn av kjønn, kjønnsidentitet og kjønnsuttrykk. Jämställdhetslag</w:t>
      </w:r>
      <w:r>
        <w:t>ens vern mot di</w:t>
      </w:r>
      <w:r>
        <w:t>s</w:t>
      </w:r>
      <w:r>
        <w:t xml:space="preserve">kriminering på grunn av kjønnsidentitet og/eller kjønnsuttrykk omfatter diskriminering på grunn av at en person, ut fra sine biologiske kjønnskarakteristika, ikke </w:t>
      </w:r>
      <w:r>
        <w:lastRenderedPageBreak/>
        <w:t>entydig kan defineres ved fødsel som en je</w:t>
      </w:r>
      <w:r>
        <w:t>n</w:t>
      </w:r>
      <w:r>
        <w:t>te/kvinne eller en gutt/mann. Mao.</w:t>
      </w:r>
      <w:r>
        <w:t xml:space="preserve"> omfatter begr</w:t>
      </w:r>
      <w:r>
        <w:t>e</w:t>
      </w:r>
      <w:r>
        <w:t>pene kjønnsuttrykk og kjønnsidentitet også interkjø</w:t>
      </w:r>
      <w:r>
        <w:t>n</w:t>
      </w:r>
      <w:r>
        <w:t>nede personer, jf. 3 § sjette ledd og lo</w:t>
      </w:r>
      <w:r>
        <w:t>v</w:t>
      </w:r>
      <w:r>
        <w:t>proposisjonen HE 19/2014 kapittel 1.5.</w:t>
      </w:r>
    </w:p>
    <w:p w:rsidR="00000000" w:rsidRDefault="00D718D0" w:rsidP="00BA3E8B">
      <w:r>
        <w:t>Loven har bestemmelser om aktivt likestillingsarbeid. Myndighetene har en generell plikt å fremme likesti</w:t>
      </w:r>
      <w:r>
        <w:t>l</w:t>
      </w:r>
      <w:r>
        <w:t>lin</w:t>
      </w:r>
      <w:r>
        <w:t>g, jf. 4 §. Myndighetene og utdanningsinstitusjonene har en plikt til å sørge for at gutter og je</w:t>
      </w:r>
      <w:r>
        <w:t>n</w:t>
      </w:r>
      <w:r>
        <w:t>ter, og kvinner og menn, har samme muligheter til utdanning og yrkesmessig utvikling og at undervi</w:t>
      </w:r>
      <w:r>
        <w:t>s</w:t>
      </w:r>
      <w:r>
        <w:t>ning, unde</w:t>
      </w:r>
      <w:r>
        <w:t>r</w:t>
      </w:r>
      <w:r>
        <w:t>visningsmateriell og forskning fremmer lovens fo</w:t>
      </w:r>
      <w:r>
        <w:t>rmål, jf. 5 §. Utdanningsinstitusjonene har en plikt til å utarbeide en likestillingsplan hvert år, jf. 5 a §, i samarbeid med de ansatte og studenter/elever. Lik</w:t>
      </w:r>
      <w:r>
        <w:t>e</w:t>
      </w:r>
      <w:r>
        <w:t>sti</w:t>
      </w:r>
      <w:r>
        <w:t>l</w:t>
      </w:r>
      <w:r>
        <w:t>lingsplanen skal omfatte en redegjørelse om tilstand for kjønnslikestilling og om likesti</w:t>
      </w:r>
      <w:r>
        <w:t>llingstiltak. R</w:t>
      </w:r>
      <w:r>
        <w:t>e</w:t>
      </w:r>
      <w:r>
        <w:t>sultater av iverksette tiltak skal evalueres. Utdanningsinstitusjonene skal ha særlig oppmerksomhet på bl.a. opptak av el</w:t>
      </w:r>
      <w:r>
        <w:t>e</w:t>
      </w:r>
      <w:r>
        <w:t>ver/studenter, måten undervisningen organiseres på og forebygging og forhindring av seksuell- og kjønnsbasert trakasse</w:t>
      </w:r>
      <w:r>
        <w:t>ring.</w:t>
      </w:r>
    </w:p>
    <w:p w:rsidR="00000000" w:rsidRDefault="00D718D0" w:rsidP="00BA3E8B">
      <w:r>
        <w:t>Jämställdhetslagen har bestemmelser om arbeidsgivers aktivitetsplikt. Alle arbeidsgivere skal fremme lik</w:t>
      </w:r>
      <w:r>
        <w:t>e</w:t>
      </w:r>
      <w:r>
        <w:t>stilling. Dette arbeidet skal være målrettet og planmessig. De temaene arbeidsgivere skal jobbe med er pr</w:t>
      </w:r>
      <w:r>
        <w:t>e</w:t>
      </w:r>
      <w:r>
        <w:t xml:space="preserve">sisert i lovens 6 §. Arbeidsgivere som </w:t>
      </w:r>
      <w:r>
        <w:t>jevnlig sysselsetter minst 30 ansatte, skal hvert annet år uta</w:t>
      </w:r>
      <w:r>
        <w:t>r</w:t>
      </w:r>
      <w:r>
        <w:t>beide en likestillingsplan, som særlig omfatter avlønning og andre a</w:t>
      </w:r>
      <w:r>
        <w:t>r</w:t>
      </w:r>
      <w:r>
        <w:t>beidsvilkår. Likestillingsplanen skal uta</w:t>
      </w:r>
      <w:r>
        <w:t>r</w:t>
      </w:r>
      <w:r>
        <w:t>beides i samarbeid med de ansattes representanter – tillitsvalgte, verneombudet el</w:t>
      </w:r>
      <w:r>
        <w:t>ler andre repr</w:t>
      </w:r>
      <w:r>
        <w:t>e</w:t>
      </w:r>
      <w:r>
        <w:t>senta</w:t>
      </w:r>
      <w:r>
        <w:t>n</w:t>
      </w:r>
      <w:r>
        <w:t>ter, jf. 6 a §. Likestillingsplanen skal redegjøre for tilstanden for kjønnslikestilling på arbeidspla</w:t>
      </w:r>
      <w:r>
        <w:t>s</w:t>
      </w:r>
      <w:r>
        <w:t>sen. Lik</w:t>
      </w:r>
      <w:r>
        <w:t>e</w:t>
      </w:r>
      <w:r>
        <w:t>stillingsplanen skal også omfatte en kjønnsfordelt lønnskartlegging som omfatter alle stilling</w:t>
      </w:r>
      <w:r>
        <w:t>s</w:t>
      </w:r>
      <w:r>
        <w:t>kategorier, lønn, og lønnsfo</w:t>
      </w:r>
      <w:r>
        <w:t>r</w:t>
      </w:r>
      <w:r>
        <w:t>skjeller. Likestillingsplanen skal også omfatte tiltak for å fremme likestilling og en eval</w:t>
      </w:r>
      <w:r>
        <w:t>u</w:t>
      </w:r>
      <w:r>
        <w:t>ering av tidligere iverksatte tiltak. Det er gitt nærmere bestemmelser om formålet og gje</w:t>
      </w:r>
      <w:r>
        <w:t>n</w:t>
      </w:r>
      <w:r>
        <w:t>nomføring av lønn</w:t>
      </w:r>
      <w:r>
        <w:t>s</w:t>
      </w:r>
      <w:r>
        <w:t>kartleggingen, jf. 6 b §.</w:t>
      </w:r>
    </w:p>
    <w:p w:rsidR="00000000" w:rsidRDefault="00D718D0" w:rsidP="00BA3E8B">
      <w:r>
        <w:t>Jämställdhetslagen pålegger o</w:t>
      </w:r>
      <w:r>
        <w:t>ffentlige myndigheter, utdanningsinstitusjoner og arbeidsgivere en plikt til å forebygge diskriminering på grunn av kjønnsidentitet og kjønnsuttrykk, jf. 6 c §.</w:t>
      </w:r>
    </w:p>
    <w:p w:rsidR="00000000" w:rsidRDefault="00D718D0" w:rsidP="00BA3E8B">
      <w:r>
        <w:t>Jämställdhetsombudsmannen (tasa-arvovaltuutettu) og diskriminerings- och jämställdhet</w:t>
      </w:r>
      <w:r>
        <w:t>s</w:t>
      </w:r>
      <w:r>
        <w:t>nämnden (</w:t>
      </w:r>
      <w:r>
        <w:t>yhde</w:t>
      </w:r>
      <w:r>
        <w:t>n</w:t>
      </w:r>
      <w:r>
        <w:t>vertaisuus- ja tasa-arvolautakunta) håndhever Jämställdhetslagen. Jämställdhetsombudsmannen gir råd og veiledning i saker som angår Jämställdhetslagens a</w:t>
      </w:r>
      <w:r>
        <w:t>n</w:t>
      </w:r>
      <w:r>
        <w:t>vendelsesområde, herunder i saker om lik</w:t>
      </w:r>
      <w:r>
        <w:t>e</w:t>
      </w:r>
      <w:r>
        <w:t>stillingsplaner. Jämställdhetsombudsmannen kan også gjen</w:t>
      </w:r>
      <w:r>
        <w:t>nomføre kontroll på arbeidsplassen de</w:t>
      </w:r>
      <w:r>
        <w:t>r</w:t>
      </w:r>
      <w:r>
        <w:t>som det er grunn til å tro at lovens forpliktelser ikke har blitt oppfylt. Jämställdhetsombudsmannen kan bringe en sak om oppfyllelse av aktivitet</w:t>
      </w:r>
      <w:r>
        <w:t>s</w:t>
      </w:r>
      <w:r>
        <w:t>plikten til Diskriminerings- och jämställdhetsnämnden. Diskr</w:t>
      </w:r>
      <w:r>
        <w:t>i</w:t>
      </w:r>
      <w:r>
        <w:t>minerings-</w:t>
      </w:r>
      <w:r>
        <w:t xml:space="preserve"> och jämställdhet</w:t>
      </w:r>
      <w:r>
        <w:t>s</w:t>
      </w:r>
      <w:r>
        <w:t>nämnden kan pålegge en utdanningsinstitusjon eller en arbeidsgiver å uta</w:t>
      </w:r>
      <w:r>
        <w:t>r</w:t>
      </w:r>
      <w:r>
        <w:t>beide likesti</w:t>
      </w:r>
      <w:r>
        <w:t>l</w:t>
      </w:r>
      <w:r>
        <w:t>lingsplan og det kan settes en tidsfrist for dette.</w:t>
      </w:r>
    </w:p>
    <w:p w:rsidR="00000000" w:rsidRDefault="00D718D0" w:rsidP="00BA3E8B">
      <w:r>
        <w:t>Diskrimineringslagen (Yhdenvertaisuuslaki L 1325/2014) gir vern mot diskriminering på grunn av alde</w:t>
      </w:r>
      <w:r>
        <w:t>r, opprinnelse, nasjonalitet, språk, religion, overbevisning, opinion, politisk aktivitet eller aktivitet i en fagf</w:t>
      </w:r>
      <w:r>
        <w:t>o</w:t>
      </w:r>
      <w:r>
        <w:t>rening, familiære forhold, helse, nedsatt funksjonsevne, seksuell orientering og andre forhold knyttet til en person.</w:t>
      </w:r>
    </w:p>
    <w:p w:rsidR="00000000" w:rsidRDefault="00D718D0" w:rsidP="00BA3E8B">
      <w:r>
        <w:t>Diskrimineringslagen h</w:t>
      </w:r>
      <w:r>
        <w:t>ar bestemmelser om myndigheters, utdanningsinstitusjoners og arbeid</w:t>
      </w:r>
      <w:r>
        <w:t>s</w:t>
      </w:r>
      <w:r>
        <w:t>giv</w:t>
      </w:r>
      <w:r>
        <w:t>e</w:t>
      </w:r>
      <w:r>
        <w:t xml:space="preserve">res plikt til å fremme likebehandling. Tiltakene skal være effektive, formålstjenlige og forholdsmessige med hensyn til betrakting av virksomhetens forhold, ressurser og de øvrige </w:t>
      </w:r>
      <w:r>
        <w:lastRenderedPageBreak/>
        <w:t>omst</w:t>
      </w:r>
      <w:r>
        <w:t>endighetene. Aktørene skal vurdere hvordan likebehandling oppnås i deres virksomhet og iverksette tiltak for å fremme likeb</w:t>
      </w:r>
      <w:r>
        <w:t>e</w:t>
      </w:r>
      <w:r>
        <w:t>han</w:t>
      </w:r>
      <w:r>
        <w:t>d</w:t>
      </w:r>
      <w:r>
        <w:t>ling, jf. 5–7 §. Utda</w:t>
      </w:r>
      <w:r>
        <w:t>n</w:t>
      </w:r>
      <w:r>
        <w:t>ningsinstitusjonene skal gi elever og deres foresatte/studenter og deres repr</w:t>
      </w:r>
      <w:r>
        <w:t>e</w:t>
      </w:r>
      <w:r>
        <w:t>sentanter anledning til å ut</w:t>
      </w:r>
      <w:r>
        <w:t>tale seg om tiltak for å fremme likebehandling. Når det gjelder arbeidslivet, skal likesti</w:t>
      </w:r>
      <w:r>
        <w:t>l</w:t>
      </w:r>
      <w:r>
        <w:t>lingsfremmende tiltak b</w:t>
      </w:r>
      <w:r>
        <w:t>e</w:t>
      </w:r>
      <w:r>
        <w:t>handles i samarbeid med de ansatte eller deres representanter på arbeidsplassen.</w:t>
      </w:r>
    </w:p>
    <w:p w:rsidR="00000000" w:rsidRDefault="00D718D0" w:rsidP="00BA3E8B">
      <w:r>
        <w:t>Offentlige myndigheter skal utarbeide en likebehandlingsplan</w:t>
      </w:r>
      <w:r>
        <w:t>. Det samme gjelder arbeidsgivere som jevnlig sysselsetter minst 30 ansatte, og utdanningsinstitusjoner. Likebehandlingsplanen kan enten uta</w:t>
      </w:r>
      <w:r>
        <w:t>r</w:t>
      </w:r>
      <w:r>
        <w:t>beides separat eller kombineres med andre planer, som likestillingsplanen for kjønn.</w:t>
      </w:r>
    </w:p>
    <w:p w:rsidR="00000000" w:rsidRDefault="00D718D0" w:rsidP="00BA3E8B">
      <w:r>
        <w:t>Diskrimineringsombudsmannen gi</w:t>
      </w:r>
      <w:r>
        <w:t>r råd og veiledning ved planlegging av tiltak for å forebygge di</w:t>
      </w:r>
      <w:r>
        <w:t>s</w:t>
      </w:r>
      <w:r>
        <w:t>krimin</w:t>
      </w:r>
      <w:r>
        <w:t>e</w:t>
      </w:r>
      <w:r>
        <w:t>ring. Diskrimineringsombudsmannen kan fremme en sak om forsømmelser av pla</w:t>
      </w:r>
      <w:r>
        <w:t>n</w:t>
      </w:r>
      <w:r>
        <w:t>leggingspli</w:t>
      </w:r>
      <w:r>
        <w:t>k</w:t>
      </w:r>
      <w:r>
        <w:t>ten til di</w:t>
      </w:r>
      <w:r>
        <w:t>s</w:t>
      </w:r>
      <w:r>
        <w:t>kriminerings- och jämställdhetsnämnden for behandling. Nämnden kan pålegge pliktsubjek</w:t>
      </w:r>
      <w:r>
        <w:t>tet å iverksette tiltak for å oppfylle sine forpliktelser etter loven. </w:t>
      </w:r>
    </w:p>
    <w:p w:rsidR="00000000" w:rsidRDefault="00D718D0" w:rsidP="00BA3E8B">
      <w:pPr>
        <w:pStyle w:val="Overskrift3"/>
      </w:pPr>
      <w:r>
        <w:t>Island</w:t>
      </w:r>
    </w:p>
    <w:p w:rsidR="00000000" w:rsidRDefault="00D718D0" w:rsidP="00BA3E8B">
      <w:r>
        <w:t>Den islandske loven om likestilling og like rettigheter for kvinner og menn (lov nr. 10/2008) har b</w:t>
      </w:r>
      <w:r>
        <w:t>e</w:t>
      </w:r>
      <w:r>
        <w:t>stemmelser om aktivt arbeid for likestilling. Disse bestemmelsene</w:t>
      </w:r>
      <w:r>
        <w:t xml:space="preserve"> omhandler likebehandling ved avlø</w:t>
      </w:r>
      <w:r>
        <w:t>n</w:t>
      </w:r>
      <w:r>
        <w:t>ning, rekruttering, yrkesrettet utdanning, omskolering og kompetanseheving, muli</w:t>
      </w:r>
      <w:r>
        <w:t>g</w:t>
      </w:r>
      <w:r>
        <w:t>heter til å kombinere arbeid og familieliv, kjønnsbasert vold, og kjønnsbasert- og seksuell tr</w:t>
      </w:r>
      <w:r>
        <w:t>a</w:t>
      </w:r>
      <w:r>
        <w:t>kassering, jf. §§ 19–22.</w:t>
      </w:r>
    </w:p>
    <w:p w:rsidR="00000000" w:rsidRDefault="00D718D0" w:rsidP="00BA3E8B">
      <w:r>
        <w:t>Arbeidsgivere og arb</w:t>
      </w:r>
      <w:r>
        <w:t>eidslivets organisasjoner har en plikt til å jobbe aktivt med kjønnslikesti</w:t>
      </w:r>
      <w:r>
        <w:t>l</w:t>
      </w:r>
      <w:r>
        <w:t>ling i a</w:t>
      </w:r>
      <w:r>
        <w:t>r</w:t>
      </w:r>
      <w:r>
        <w:t>beid</w:t>
      </w:r>
      <w:r>
        <w:t>s</w:t>
      </w:r>
      <w:r>
        <w:t>livet. Virksomheter og institusjoner som årlig sysselsetter mer enn 25 ansatte, skal utarbeide en likesti</w:t>
      </w:r>
      <w:r>
        <w:t>l</w:t>
      </w:r>
      <w:r>
        <w:t>lingsplan eller integrere kjønnslikestillingsperspektivene i</w:t>
      </w:r>
      <w:r>
        <w:t xml:space="preserve"> sin personalpol</w:t>
      </w:r>
      <w:r>
        <w:t>i</w:t>
      </w:r>
      <w:r>
        <w:t>tikk. Formålet med lik</w:t>
      </w:r>
      <w:r>
        <w:t>e</w:t>
      </w:r>
      <w:r>
        <w:t>stilling</w:t>
      </w:r>
      <w:r>
        <w:t>s</w:t>
      </w:r>
      <w:r>
        <w:t>arbeidet skal defineres. Det skal også utarbeides en plan for å oppnå formålet med å sikre a</w:t>
      </w:r>
      <w:r>
        <w:t>r</w:t>
      </w:r>
      <w:r>
        <w:t>beidstakeres rettigheter. Likestillingsplanen og eventuelt likesti</w:t>
      </w:r>
      <w:r>
        <w:t>l</w:t>
      </w:r>
      <w:r>
        <w:t xml:space="preserve">lingsperspektivene skal revideres hvert tredje </w:t>
      </w:r>
      <w:r>
        <w:t>år.</w:t>
      </w:r>
    </w:p>
    <w:p w:rsidR="00000000" w:rsidRDefault="00D718D0" w:rsidP="00BA3E8B">
      <w:r>
        <w:t>Fra og med 1. januar 2018 pålegges alle arbeidsgivere med minst 25 ansatte å dokumentere at de tilbyr lik lønn for likt arbeid eller arbeid av lik verdi. Arbeidsgivere skal skaffe en likelønn</w:t>
      </w:r>
      <w:r>
        <w:t>s</w:t>
      </w:r>
      <w:r>
        <w:t>sertifisering for sitt lønnssystem, basert på likelønnsstand</w:t>
      </w:r>
      <w:r>
        <w:t>arden.</w:t>
      </w:r>
    </w:p>
    <w:p w:rsidR="00000000" w:rsidRDefault="00D718D0" w:rsidP="00BA3E8B">
      <w:r>
        <w:t>Dette innebærer at dokumentasjonen om lønnssystemet skal gjennomgås av statlige inspektører. Se</w:t>
      </w:r>
      <w:r>
        <w:t>r</w:t>
      </w:r>
      <w:r>
        <w:t>tifiserte arbeidsplasser vil få et eget likelønnsmerke som er gyldig i tre år.</w:t>
      </w:r>
    </w:p>
    <w:p w:rsidR="00000000" w:rsidRDefault="00D718D0" w:rsidP="00BA3E8B">
      <w:r>
        <w:t>Kravet om sertifiseringen skal implementeres trinnvis og gjennomfør</w:t>
      </w:r>
      <w:r>
        <w:t>ingsfristen vil være a</w:t>
      </w:r>
      <w:r>
        <w:t>v</w:t>
      </w:r>
      <w:r>
        <w:t>hengig av vir</w:t>
      </w:r>
      <w:r>
        <w:t>k</w:t>
      </w:r>
      <w:r>
        <w:t>somhetens størrelse.</w:t>
      </w:r>
    </w:p>
    <w:p w:rsidR="00000000" w:rsidRDefault="00D718D0" w:rsidP="00BA3E8B">
      <w:r>
        <w:t>Et statlig organ, Likestillingssenteret, kontrollerer likestillingsplanene, personalpolitikkene og tiltak</w:t>
      </w:r>
      <w:r>
        <w:t>s</w:t>
      </w:r>
      <w:r>
        <w:t>planene. Disse skal fremlegges for Likestillingssenteret når Likestillingssenteret krever de</w:t>
      </w:r>
      <w:r>
        <w:t>t. Dersom virksomheten eller institusjonen ikke har en likestillingsplan eller integrerte lik</w:t>
      </w:r>
      <w:r>
        <w:t>e</w:t>
      </w:r>
      <w:r>
        <w:t>stillingsperspektiver i personalpolitikken, skal Likestillingssenteret pålegge virksomheten å rette opp forholdet. Det samme gjelder i tilfeller der likesti</w:t>
      </w:r>
      <w:r>
        <w:t>l</w:t>
      </w:r>
      <w:r>
        <w:t>lings</w:t>
      </w:r>
      <w:r>
        <w:t>planen er mangelfull eller dersom integreringen av likestillingsperspekt</w:t>
      </w:r>
      <w:r>
        <w:t>i</w:t>
      </w:r>
      <w:r>
        <w:t>vene i personalpolitikken er ikke tydelig nok. Dersom pålegget ikke oppfylles innen fastsatt frist, kan L</w:t>
      </w:r>
      <w:r>
        <w:t>i</w:t>
      </w:r>
      <w:r>
        <w:t>kestillingssenteret pålegge virkso</w:t>
      </w:r>
      <w:r>
        <w:t>m</w:t>
      </w:r>
      <w:r>
        <w:t>heten å betale dagbøter. Likestillingssent</w:t>
      </w:r>
      <w:r>
        <w:t>erets beslutning kan påkl</w:t>
      </w:r>
      <w:r>
        <w:t>a</w:t>
      </w:r>
      <w:r>
        <w:t xml:space="preserve">ges. Saken kan enten klages inn for </w:t>
      </w:r>
      <w:r>
        <w:lastRenderedPageBreak/>
        <w:t>d</w:t>
      </w:r>
      <w:r>
        <w:t>e</w:t>
      </w:r>
      <w:r>
        <w:t>partementet, eller bringes inn for domstolen. En klage på Likesti</w:t>
      </w:r>
      <w:r>
        <w:t>l</w:t>
      </w:r>
      <w:r>
        <w:t>lingssenterets beslutning har oppsettende virkning, slik at iverksettelsen av dagbøter utsettes.</w:t>
      </w:r>
    </w:p>
    <w:p w:rsidR="00000000" w:rsidRDefault="00D718D0" w:rsidP="00BA3E8B">
      <w:r>
        <w:t>I 2018 trådte to nye lover om</w:t>
      </w:r>
      <w:r>
        <w:t xml:space="preserve"> likestilling og ikke-diskriminering i kraft. Den ene loven gjelder likeb</w:t>
      </w:r>
      <w:r>
        <w:t>e</w:t>
      </w:r>
      <w:r>
        <w:t>handling i arbeidsforhold. Den andre loven omhandler likebehandling på alle samfunn</w:t>
      </w:r>
      <w:r>
        <w:t>s</w:t>
      </w:r>
      <w:r>
        <w:t>områder, med unntak av a</w:t>
      </w:r>
      <w:r>
        <w:t>r</w:t>
      </w:r>
      <w:r>
        <w:t>beidslivet.</w:t>
      </w:r>
    </w:p>
    <w:p w:rsidR="00000000" w:rsidRDefault="00D718D0" w:rsidP="00BA3E8B">
      <w:pPr>
        <w:pStyle w:val="Overskrift2"/>
      </w:pPr>
      <w:r>
        <w:t>Internasjonale forpliktelser</w:t>
      </w:r>
    </w:p>
    <w:p w:rsidR="00000000" w:rsidRDefault="00D718D0" w:rsidP="00BA3E8B">
      <w:pPr>
        <w:pStyle w:val="Overskrift3"/>
      </w:pPr>
      <w:r>
        <w:t>EU/EØS rett</w:t>
      </w:r>
    </w:p>
    <w:p w:rsidR="00000000" w:rsidRDefault="00D718D0" w:rsidP="00BA3E8B">
      <w:pPr>
        <w:pStyle w:val="Overskrift4"/>
      </w:pPr>
      <w:r>
        <w:t>Innledning</w:t>
      </w:r>
    </w:p>
    <w:p w:rsidR="00000000" w:rsidRDefault="00D718D0" w:rsidP="00BA3E8B">
      <w:r>
        <w:t>EU-samarbeidet bygger på traktaten om Den europeiske union (TEU) og traktaten om Den e</w:t>
      </w:r>
      <w:r>
        <w:t>u</w:t>
      </w:r>
      <w:r>
        <w:t>ropeiske unions virkemåte (TEUV), som er inngått mellom medlemsstatene. I tillegg er det vedtatt en rekke EU-direktiver og forordninger som an</w:t>
      </w:r>
      <w:r>
        <w:t>gir bestemmelser om likestilling og i</w:t>
      </w:r>
      <w:r>
        <w:t>k</w:t>
      </w:r>
      <w:r>
        <w:t>ke-diskriminering. Det fre</w:t>
      </w:r>
      <w:r>
        <w:t>m</w:t>
      </w:r>
      <w:r>
        <w:t>går av TEUV artikkel 8 at Unionen i all sin virksomhet skal bestrebe seg på å fjerne forskjellsbehandling og fremme likebehandling av kvinner og menn. Traktatens artikkel 19 gir EU-organene m</w:t>
      </w:r>
      <w:r>
        <w:t>yndighet til å vedta egnede tiltak for å bekjempe forskjellsb</w:t>
      </w:r>
      <w:r>
        <w:t>e</w:t>
      </w:r>
      <w:r>
        <w:t>handling på grunnlag av kjønn, rase eller etnisk opprinne</w:t>
      </w:r>
      <w:r>
        <w:t>l</w:t>
      </w:r>
      <w:r>
        <w:t xml:space="preserve">se, religion, tro, uførhet, alder eller seksuell orientering. Det kan også vedtas grunnleggende prinsipper for stimuleringstiltak for å </w:t>
      </w:r>
      <w:r>
        <w:t>støtte tiltak som medlemsstatene har vedtatt for å oppnå likebehandling. Uni</w:t>
      </w:r>
      <w:r>
        <w:t>o</w:t>
      </w:r>
      <w:r>
        <w:t>nen skal støtte tiltak vedtatt av medlemsland for likebehandling i arbeidet og like muligheter for kvinner og menn på arbeidsmarkedet, jf. artikkel 153.</w:t>
      </w:r>
    </w:p>
    <w:p w:rsidR="00000000" w:rsidRDefault="00D718D0" w:rsidP="00BA3E8B">
      <w:r>
        <w:t>Den europeiske unions pakt</w:t>
      </w:r>
      <w:r>
        <w:t xml:space="preserve"> om grunnleggende rettigheter inneholder en rekke bestemmelser om l</w:t>
      </w:r>
      <w:r>
        <w:t>i</w:t>
      </w:r>
      <w:r>
        <w:t>kestilling. Avdeling III i grunnrettighetspakten stadfester at det skal sikres likestilling mellom menn og kvinner på alle områder, jf. artikkel 23. Barnets behov skal være bestemmende ved</w:t>
      </w:r>
      <w:r>
        <w:t xml:space="preserve"> alle handlinger som vedrører barn, jf. artikkel 24. Unionen anerkjenner og respekterer eldre me</w:t>
      </w:r>
      <w:r>
        <w:t>n</w:t>
      </w:r>
      <w:r>
        <w:t>neskers rettigheter, jf. arti</w:t>
      </w:r>
      <w:r>
        <w:t>k</w:t>
      </w:r>
      <w:r>
        <w:t>kel 25 samt retten for mennesker med funksjonsnedsettelse til å nyte godt av tiltak, som skal sikre deres a</w:t>
      </w:r>
      <w:r>
        <w:t>u</w:t>
      </w:r>
      <w:r>
        <w:t>tonomi, sosiale og e</w:t>
      </w:r>
      <w:r>
        <w:t>r</w:t>
      </w:r>
      <w:r>
        <w:t>vervsmessige integrasjon og deres deltakelse i samfunnslivet, jf. artikkel 26.</w:t>
      </w:r>
    </w:p>
    <w:p w:rsidR="00000000" w:rsidRDefault="00D718D0" w:rsidP="00BA3E8B">
      <w:r>
        <w:t>Grunnrettighetspakten er ikke gjort til en del av EØS-avtalen og den er derfor ikke gjennomført i norsk rett. Det EØS-rettslige homogenitetsprinsippet innebærer imidlertid at EØ</w:t>
      </w:r>
      <w:r>
        <w:t>S-rettslige b</w:t>
      </w:r>
      <w:r>
        <w:t>e</w:t>
      </w:r>
      <w:r>
        <w:t>stemmelser skal i u</w:t>
      </w:r>
      <w:r>
        <w:t>t</w:t>
      </w:r>
      <w:r>
        <w:t>gangspunktet ha samme innhold som de parallelle bestemmelsene i felle</w:t>
      </w:r>
      <w:r>
        <w:t>s</w:t>
      </w:r>
      <w:r>
        <w:t>skapsretten. EØS-relevante regler inneholder også ofte henvisninger til grunnleggende retti</w:t>
      </w:r>
      <w:r>
        <w:t>g</w:t>
      </w:r>
      <w:r>
        <w:t>heter, friheter og pri</w:t>
      </w:r>
      <w:r>
        <w:t>n</w:t>
      </w:r>
      <w:r>
        <w:t>sipper som er a</w:t>
      </w:r>
      <w:r>
        <w:t>n</w:t>
      </w:r>
      <w:r>
        <w:t>erkjent i fellesskaps</w:t>
      </w:r>
      <w:r>
        <w:t>retten og EMK, noe som tyder på at grunnrettighetspaktens b</w:t>
      </w:r>
      <w:r>
        <w:t>e</w:t>
      </w:r>
      <w:r>
        <w:t>stemmelser vil kunne ha indirekte relevans for lovtolkning i Norge. Med hjemmel i TEU og TEUV er det vedtatt direktiver og forordninger som har bestemmelser om likestilling og ikke-diskriminering.</w:t>
      </w:r>
    </w:p>
    <w:p w:rsidR="00000000" w:rsidRDefault="00D718D0" w:rsidP="00BA3E8B">
      <w:r>
        <w:t>Store deler av EUs rettsakter er bindende for Norge ved at de er innlemmet i EØS-avtalen. EØS-avtalen er gjennomført i norsk rett gjennom lov om gjennomføring i norsk rett av hove</w:t>
      </w:r>
      <w:r>
        <w:t>d</w:t>
      </w:r>
      <w:r>
        <w:t>delen i avtale om Det e</w:t>
      </w:r>
      <w:r>
        <w:t>u</w:t>
      </w:r>
      <w:r>
        <w:t>ropeiske økonomiske samarbeidsområde m.v. (EØS-love</w:t>
      </w:r>
      <w:r>
        <w:t>n).</w:t>
      </w:r>
    </w:p>
    <w:p w:rsidR="00000000" w:rsidRDefault="00D718D0" w:rsidP="00BA3E8B">
      <w:r>
        <w:t>EØS-avtalen tilsier at enhver forskjellsbehandling på grunn av nasjonalitet er forbudt innenfor avtalens vi</w:t>
      </w:r>
      <w:r>
        <w:t>r</w:t>
      </w:r>
      <w:r>
        <w:t>keområde, med de forbehold som følger av avtalen selv, jf. EØ</w:t>
      </w:r>
      <w:r>
        <w:t xml:space="preserve">S-avtalens artikkel 4. </w:t>
      </w:r>
      <w:r>
        <w:lastRenderedPageBreak/>
        <w:t>Forbudet mot di</w:t>
      </w:r>
      <w:r>
        <w:t>s</w:t>
      </w:r>
      <w:r>
        <w:t>kr</w:t>
      </w:r>
      <w:r>
        <w:t>i</w:t>
      </w:r>
      <w:r>
        <w:t>minering skal sikre fri bevegelighet av borgere og foretak innen EUs indre marked.</w:t>
      </w:r>
    </w:p>
    <w:p w:rsidR="00000000" w:rsidRDefault="00D718D0" w:rsidP="00BA3E8B">
      <w:r>
        <w:t>Likebehandling mellom menn og kvinner er en vesentlig del av samarbeidet mellom medle</w:t>
      </w:r>
      <w:r>
        <w:t>m</w:t>
      </w:r>
      <w:r>
        <w:t>statene, som EØS-avtalens fortale gir uttrykk</w:t>
      </w:r>
      <w:r>
        <w:t xml:space="preserve"> for. Artikkel 69 stadfester prinsippet om lik lønn:</w:t>
      </w:r>
    </w:p>
    <w:p w:rsidR="00000000" w:rsidRDefault="00D718D0" w:rsidP="00BA3E8B">
      <w:pPr>
        <w:pStyle w:val="blokksit"/>
      </w:pPr>
      <w:r>
        <w:t>«Hver avtalepart skal gjennomføre prinsippet om lik lønn til kvinnelige og mannlige arbeidst</w:t>
      </w:r>
      <w:r>
        <w:t>a</w:t>
      </w:r>
      <w:r>
        <w:t>gere for samme arbeid og sørge for at dette prinsipp opprettholdes.»</w:t>
      </w:r>
    </w:p>
    <w:p w:rsidR="00000000" w:rsidRDefault="00D718D0" w:rsidP="00BA3E8B">
      <w:r>
        <w:t>EØS-avtalens artikkel 70 stadfester at:</w:t>
      </w:r>
    </w:p>
    <w:p w:rsidR="00000000" w:rsidRDefault="00D718D0" w:rsidP="00BA3E8B">
      <w:pPr>
        <w:pStyle w:val="blokksit"/>
      </w:pPr>
      <w:r>
        <w:t>«</w:t>
      </w:r>
      <w:r>
        <w:t>Avtalepartene skal fremme prinsippet om lik behandling for kvinner og menn ved å gjenno</w:t>
      </w:r>
      <w:r>
        <w:t>m</w:t>
      </w:r>
      <w:r>
        <w:t>føre de bestemmelser som er angitt i vedlegg XVIII.»</w:t>
      </w:r>
    </w:p>
    <w:p w:rsidR="00000000" w:rsidRDefault="00D718D0" w:rsidP="00BA3E8B">
      <w:r>
        <w:t>Vedlegg XVIII gjelder bestemmelser om arbeidsrett, likebehandling av menn og kvinner, samt beste</w:t>
      </w:r>
      <w:r>
        <w:t>m</w:t>
      </w:r>
      <w:r>
        <w:t>melser om helse og</w:t>
      </w:r>
      <w:r>
        <w:t xml:space="preserve"> sikkerhet på arbeidsplassen.</w:t>
      </w:r>
    </w:p>
    <w:p w:rsidR="00000000" w:rsidRDefault="00D718D0" w:rsidP="00BA3E8B">
      <w:r>
        <w:t>Det er vedtatt flere EU-direktiver om likestilling og ikke-diskriminering. Nedenfor gis det en redegj</w:t>
      </w:r>
      <w:r>
        <w:t>ø</w:t>
      </w:r>
      <w:r>
        <w:t>relse for direktivenes relevante bestemmelser.</w:t>
      </w:r>
    </w:p>
    <w:p w:rsidR="00000000" w:rsidRDefault="00D718D0" w:rsidP="00BA3E8B">
      <w:pPr>
        <w:pStyle w:val="Overskrift4"/>
      </w:pPr>
      <w:r>
        <w:t>Rammedirektivet (2000/78/EF)</w:t>
      </w:r>
    </w:p>
    <w:p w:rsidR="00000000" w:rsidRDefault="00D718D0" w:rsidP="00BA3E8B">
      <w:r>
        <w:t>Direktiv 2000/78/EF om generelle</w:t>
      </w:r>
      <w:r>
        <w:t xml:space="preserve"> rammebestemmelser om likebehandling i arbeidslivet (EUs ramm</w:t>
      </w:r>
      <w:r>
        <w:t>e</w:t>
      </w:r>
      <w:r>
        <w:t>direktiv) fastslår et generelt rammeverk for likebehandling i arbeidslivet. Det pålegger medlemstatene å innføre vern mot diskriminering på grunn av religion, tro, funksjonsnedsettelse, alder og</w:t>
      </w:r>
      <w:r>
        <w:t xml:space="preserve"> seksuell orient</w:t>
      </w:r>
      <w:r>
        <w:t>e</w:t>
      </w:r>
      <w:r>
        <w:t>ring.</w:t>
      </w:r>
    </w:p>
    <w:p w:rsidR="00000000" w:rsidRDefault="00D718D0" w:rsidP="00BA3E8B">
      <w:r>
        <w:t>Direktivet fastsetter en aktivitetsplikt for arbeidsgivere når det gjelder tilrettelegging for pe</w:t>
      </w:r>
      <w:r>
        <w:t>r</w:t>
      </w:r>
      <w:r>
        <w:t>soner med fun</w:t>
      </w:r>
      <w:r>
        <w:t>k</w:t>
      </w:r>
      <w:r>
        <w:t>sjonsnedsettelse, jf. artikkel 5. Artikkel 13 stadfester at medlemstatene skal vedta tiltak for å op</w:t>
      </w:r>
      <w:r>
        <w:t>p</w:t>
      </w:r>
      <w:r>
        <w:t>muntre til dialog me</w:t>
      </w:r>
      <w:r>
        <w:t>llom arbeidslivets parter med henblikk på å fremme likeb</w:t>
      </w:r>
      <w:r>
        <w:t>e</w:t>
      </w:r>
      <w:r>
        <w:t>handling innen direktivets anvende</w:t>
      </w:r>
      <w:r>
        <w:t>l</w:t>
      </w:r>
      <w:r>
        <w:t>sesområde. Direktivet er ikke en del av EØS-avtalen. Norge har likevel valgt å gjennomføre r</w:t>
      </w:r>
      <w:r>
        <w:t>e</w:t>
      </w:r>
      <w:r>
        <w:t>gelverket i norsk rett gjennom bestemmelser i diskrimin</w:t>
      </w:r>
      <w:r>
        <w:t>e</w:t>
      </w:r>
      <w:r>
        <w:t>ringslovgivning</w:t>
      </w:r>
      <w:r>
        <w:t>en.</w:t>
      </w:r>
    </w:p>
    <w:p w:rsidR="00000000" w:rsidRDefault="00D718D0" w:rsidP="00BA3E8B">
      <w:pPr>
        <w:pStyle w:val="Overskrift4"/>
      </w:pPr>
      <w:r>
        <w:t>Likebehandlingsdirektivet (2006/54/EF)</w:t>
      </w:r>
    </w:p>
    <w:p w:rsidR="00000000" w:rsidRDefault="00D718D0" w:rsidP="00BA3E8B">
      <w:r>
        <w:t>Direktiv 2006/54/EF om gjennomføring av prinsippet om like muligheter for og likebehandling av menn og kvinner i forbindelse med arbeid og yrkesdeltakelse (EUs likebehandlingsdirektiv) pålegger me</w:t>
      </w:r>
      <w:r>
        <w:t>d</w:t>
      </w:r>
      <w:r>
        <w:t>lemsstatene å oppmuntre arbeidsgivere til å iverksette effektive tiltak for å fo</w:t>
      </w:r>
      <w:r>
        <w:t>r</w:t>
      </w:r>
      <w:r>
        <w:t>hindre diskriminering og trakassering i arbeidslivet. Lønnssystemet skal utarbeides slik at fo</w:t>
      </w:r>
      <w:r>
        <w:t>r</w:t>
      </w:r>
      <w:r>
        <w:t xml:space="preserve">skjellsbehandling på grunn av kjønn er utelukket, jf. artikkel 4. Medlemstatene </w:t>
      </w:r>
      <w:r>
        <w:t>skal peke ut et organ som skal fremme, analysere, overvåke og støtte kjønnslikestilling og legge til rette for dette, jf. artikkel 20.</w:t>
      </w:r>
    </w:p>
    <w:p w:rsidR="00000000" w:rsidRDefault="00D718D0" w:rsidP="00BA3E8B">
      <w:r>
        <w:t>Direktivet oppmuntrer til dialog mellom arbeidslivets parter for å fremme likestilling mellom kvinner og menn på arbeidsp</w:t>
      </w:r>
      <w:r>
        <w:t>lassen, på en planlagt og systematisk måte, jf. artikkel 21. A</w:t>
      </w:r>
      <w:r>
        <w:t>r</w:t>
      </w:r>
      <w:r>
        <w:t>beidsgivere bør gi a</w:t>
      </w:r>
      <w:r>
        <w:t>r</w:t>
      </w:r>
      <w:r>
        <w:t>beidstakeres representanter formålstjenlige opplysninger om likebehandling av menn og kvinner i vir</w:t>
      </w:r>
      <w:r>
        <w:t>k</w:t>
      </w:r>
      <w:r>
        <w:t>somheten. Slike opplysninger kan etter direktivets bestemmelser o</w:t>
      </w:r>
      <w:r>
        <w:t>m</w:t>
      </w:r>
      <w:r>
        <w:t xml:space="preserve">fatte </w:t>
      </w:r>
      <w:r>
        <w:t>en oversikt over kjønnsford</w:t>
      </w:r>
      <w:r>
        <w:t>e</w:t>
      </w:r>
      <w:r>
        <w:t>ling mellom menn og kvinner på ulike nivå i organisasjonen, over deres lønn og lønnsforskjeller og over mulige tiltak for å bedre situasjonen i samarbeid med arbeidstakers representanter, jf. artikkel 21 punkt 4.</w:t>
      </w:r>
    </w:p>
    <w:p w:rsidR="00000000" w:rsidRDefault="00D718D0" w:rsidP="00BA3E8B">
      <w:r>
        <w:t>Medlemstatene s</w:t>
      </w:r>
      <w:r>
        <w:t>kal også oppmuntre arbeidsgivere og de som har ansvaret for tilgang til yrke</w:t>
      </w:r>
      <w:r>
        <w:t>s</w:t>
      </w:r>
      <w:r>
        <w:t xml:space="preserve">rettet opplæring, til å iverksette tiltak for å forebygge alle former for forskjellsbehandling på </w:t>
      </w:r>
      <w:r>
        <w:lastRenderedPageBreak/>
        <w:t>grunn av kjønn, særlig trakassering og seksuell trakassering på arbeidsplassen, n</w:t>
      </w:r>
      <w:r>
        <w:t>år det gjelder tilgang til tilsetting, y</w:t>
      </w:r>
      <w:r>
        <w:t>r</w:t>
      </w:r>
      <w:r>
        <w:t>kesrettet opplæring og fo</w:t>
      </w:r>
      <w:r>
        <w:t>r</w:t>
      </w:r>
      <w:r>
        <w:t>fremmelse, jf. artikkel 26. Direktivet er en del av EØS-avtalen og er gjennomført i norsk rett gjennom lik</w:t>
      </w:r>
      <w:r>
        <w:t>e</w:t>
      </w:r>
      <w:r>
        <w:t>stillings- og diskrimineringsloven.</w:t>
      </w:r>
    </w:p>
    <w:p w:rsidR="00000000" w:rsidRDefault="00D718D0" w:rsidP="00BA3E8B">
      <w:pPr>
        <w:pStyle w:val="Overskrift4"/>
      </w:pPr>
      <w:r>
        <w:t xml:space="preserve">Rasediskrimineringsdirektivet </w:t>
      </w:r>
      <w:r>
        <w:t>(2000/43/EF)</w:t>
      </w:r>
    </w:p>
    <w:p w:rsidR="00000000" w:rsidRDefault="00D718D0" w:rsidP="00BA3E8B">
      <w:r>
        <w:t>Direktiv 2000/43/EF om gjennomføring av prinsippet om likebehandling av alle uavhengig av rase eller etnisk opprinnelse (EUs rasediskrimineringsdirektiv) pålegger medlemstatene en plikt til å innføre vern mot diskriminering på</w:t>
      </w:r>
      <w:r>
        <w:t xml:space="preserve"> grunn av rase og etnisk opprinnelse.</w:t>
      </w:r>
    </w:p>
    <w:p w:rsidR="00000000" w:rsidRDefault="00D718D0" w:rsidP="00BA3E8B">
      <w:r>
        <w:t>Medlemsstatene skal vedta ulike tiltak. Det skal bl.a. vedtas tiltak for å oppmuntre til dialog mellom a</w:t>
      </w:r>
      <w:r>
        <w:t>r</w:t>
      </w:r>
      <w:r>
        <w:t>beidslivets parter med hensyn til å fremme likebehandling innen direktivets virk</w:t>
      </w:r>
      <w:r>
        <w:t>e</w:t>
      </w:r>
      <w:r>
        <w:t>område, gjennom tilsyn med praks</w:t>
      </w:r>
      <w:r>
        <w:t>is på arbeidsplassene, kollektive avtaler, regler for god op</w:t>
      </w:r>
      <w:r>
        <w:t>p</w:t>
      </w:r>
      <w:r>
        <w:t>førsel, forskning eller utvek</w:t>
      </w:r>
      <w:r>
        <w:t>s</w:t>
      </w:r>
      <w:r>
        <w:t>ling av erfaringer og god praksis, jf. artikkel 11. Direktivet er ikke innlemmet i EØS-avtalen, men er gje</w:t>
      </w:r>
      <w:r>
        <w:t>n</w:t>
      </w:r>
      <w:r>
        <w:t>nomført i norsk rett gjennom likestillings- og diskrim</w:t>
      </w:r>
      <w:r>
        <w:t>i</w:t>
      </w:r>
      <w:r>
        <w:t>ner</w:t>
      </w:r>
      <w:r>
        <w:t>ingsloven.</w:t>
      </w:r>
    </w:p>
    <w:p w:rsidR="00000000" w:rsidRDefault="00D718D0" w:rsidP="00BA3E8B">
      <w:pPr>
        <w:pStyle w:val="Overskrift4"/>
      </w:pPr>
      <w:r>
        <w:t>Direktivet om likebehandling av menn og kvinner i forbindelse med adgang til og levering av varer og tjenester (2004/113/EF)</w:t>
      </w:r>
    </w:p>
    <w:p w:rsidR="00000000" w:rsidRDefault="00D718D0" w:rsidP="00BA3E8B">
      <w:r>
        <w:t>Direktiv 2004/113/EF om gjennomføring av prinsippet om likebehandling av menn og kvinner i forbi</w:t>
      </w:r>
      <w:r>
        <w:t>n</w:t>
      </w:r>
      <w:r>
        <w:t>delse m</w:t>
      </w:r>
      <w:r>
        <w:t>ed adgang til og levering av varer og tjenester forbyr direkte og indirekte fo</w:t>
      </w:r>
      <w:r>
        <w:t>r</w:t>
      </w:r>
      <w:r>
        <w:t>skjellsbehandling på grunn av kjønn, jf. artikkel 2.</w:t>
      </w:r>
    </w:p>
    <w:p w:rsidR="00000000" w:rsidRDefault="00D718D0" w:rsidP="00BA3E8B">
      <w:r>
        <w:t xml:space="preserve">Medlemsstatene skal vedta nødvendige tiltak for å sikre at prinsippet om likebehandling blir etterlevd innenfor direktivets </w:t>
      </w:r>
      <w:r>
        <w:t>virkeområde, jf. artikkel 13. Direktivet er en del av EØS-avtalen og er implementert i norsk rett gjennom likestillings- og diskrimineringsloven.</w:t>
      </w:r>
    </w:p>
    <w:p w:rsidR="00000000" w:rsidRDefault="00D718D0" w:rsidP="00BA3E8B">
      <w:pPr>
        <w:pStyle w:val="Overskrift4"/>
      </w:pPr>
      <w:r>
        <w:t>Direktivet om vikararbeid (2008/104/EF)</w:t>
      </w:r>
    </w:p>
    <w:p w:rsidR="00000000" w:rsidRDefault="00D718D0" w:rsidP="00BA3E8B">
      <w:r>
        <w:t>Formålet med direktiv 2008/104/EF om vikararbeid er bl</w:t>
      </w:r>
      <w:r>
        <w:t>.a. å beskytte vikaransatte og forbedre kvaliteten av vikararbeid. Prinsippet om likebehandling skal gjelde for vikaransatte, jf. artikkel 2 og 5. Artikkel 5 innebærer et krav om at de grunnleggende arbeids- og ansettelsesvilkårene for vikarer minst skal t</w:t>
      </w:r>
      <w:r>
        <w:t>ilsvare de vilkårene som ville gjelde dersom de hadde blitt ansatt direkte i vedkommende foretak for å utføre samme arbeid. Dette omfatter foretakets regler om likeb</w:t>
      </w:r>
      <w:r>
        <w:t>e</w:t>
      </w:r>
      <w:r>
        <w:t>handling av menn og kvinner og tiltak for å b</w:t>
      </w:r>
      <w:r>
        <w:t>e</w:t>
      </w:r>
      <w:r>
        <w:t>kjempe forskjellsbehandling på grunn av kjøn</w:t>
      </w:r>
      <w:r>
        <w:t>n, rase, eller etnisk opprinnelse, religion, tro, funksjonsne</w:t>
      </w:r>
      <w:r>
        <w:t>d</w:t>
      </w:r>
      <w:r>
        <w:t>settelse, alder, eller seksuell orientering. Direktivets fortale gir uttrykk for at direktivet er forenlig med de grunnleggende rettigheter og de prinsipper som anerkjennes i den Europeiske unio</w:t>
      </w:r>
      <w:r>
        <w:t>ns grunnrettighet</w:t>
      </w:r>
      <w:r>
        <w:t>s</w:t>
      </w:r>
      <w:r>
        <w:t>pakt. Direktivet er en del av EØS-avtalen og er implementert i norsk rett gjennom arbeidsmiljøloven, statsansatteloven og ferieloven.</w:t>
      </w:r>
    </w:p>
    <w:p w:rsidR="00000000" w:rsidRDefault="00D718D0" w:rsidP="00BA3E8B">
      <w:pPr>
        <w:pStyle w:val="Overskrift4"/>
      </w:pPr>
      <w:r>
        <w:t>Direktivet om universell utforming av offentlige organers nettsider og mobila</w:t>
      </w:r>
      <w:r>
        <w:t>p</w:t>
      </w:r>
      <w:r>
        <w:t>plikasjone</w:t>
      </w:r>
      <w:r>
        <w:t>r (2016/2102/EU)</w:t>
      </w:r>
    </w:p>
    <w:p w:rsidR="00000000" w:rsidRDefault="00D718D0" w:rsidP="00BA3E8B">
      <w:r>
        <w:t>Direktivet skal bidra til å bygge ned hindringer mot et felles digitalt marked i EU og til at medlemsland</w:t>
      </w:r>
      <w:r>
        <w:t>e</w:t>
      </w:r>
      <w:r>
        <w:t>ne oppfyller sine forpliktelser etter FNs konvensjon om rettighetene til mennesker med nedsatt fun</w:t>
      </w:r>
      <w:r>
        <w:t>k</w:t>
      </w:r>
      <w:r>
        <w:t>sjon</w:t>
      </w:r>
      <w:r>
        <w:t>s</w:t>
      </w:r>
      <w:r>
        <w:t>evne artikkel 9. Direktivet p</w:t>
      </w:r>
      <w:r>
        <w:t>ålegger offentlige myndigheter en plikt til å gjøre offentlige organers nettsider og mobilapplikasjoner tilgjengelige for brukerne gjennom å følge internasjonale standarder for universell utforming. Medlemslandene skal gjennomføre tilsyn med at direktivets</w:t>
      </w:r>
      <w:r>
        <w:t xml:space="preserve"> krav følges.</w:t>
      </w:r>
    </w:p>
    <w:p w:rsidR="00000000" w:rsidRDefault="00D718D0" w:rsidP="00BA3E8B">
      <w:r>
        <w:lastRenderedPageBreak/>
        <w:t>Direktivet er EØS-relevant og vil bli gjennomført i norsk rett. Kommunal- og modernisering</w:t>
      </w:r>
      <w:r>
        <w:t>s</w:t>
      </w:r>
      <w:r>
        <w:t>depart</w:t>
      </w:r>
      <w:r>
        <w:t>e</w:t>
      </w:r>
      <w:r>
        <w:t>mentet og Barne- og likestillingsdepartementet skal sende ut et felles høringsnotat i løpet av 2019. Fo</w:t>
      </w:r>
      <w:r>
        <w:t>r</w:t>
      </w:r>
      <w:r>
        <w:t>slaget innebærer lovendringer i likestil</w:t>
      </w:r>
      <w:r>
        <w:t>lings- og diskrimineringsloven, diskrimin</w:t>
      </w:r>
      <w:r>
        <w:t>e</w:t>
      </w:r>
      <w:r>
        <w:t>ringsombudsloven og forskrift om universell utforming av informasjons- og kommunikasjon</w:t>
      </w:r>
      <w:r>
        <w:t>s</w:t>
      </w:r>
      <w:r>
        <w:t>teknologiske løsninger (IKT), jf. FOR-2013–06–21–732.</w:t>
      </w:r>
    </w:p>
    <w:p w:rsidR="00000000" w:rsidRDefault="00D718D0" w:rsidP="00BA3E8B">
      <w:pPr>
        <w:pStyle w:val="Overskrift4"/>
      </w:pPr>
      <w:r>
        <w:t>Forslag til direktiv om tilgjengelighetskrav for produkt</w:t>
      </w:r>
      <w:r>
        <w:t>er og tjenester</w:t>
      </w:r>
    </w:p>
    <w:p w:rsidR="00000000" w:rsidRDefault="00D718D0" w:rsidP="00BA3E8B">
      <w:r>
        <w:t>Kommisjonen foreslo desember 2015 et tilgjengelighetsdirektiv («The European Accessibility Act») som stiller krav om bedre tilgjengelighet for bestemte produkter og tjenester og som stiller krav til tilgjeng</w:t>
      </w:r>
      <w:r>
        <w:t>e</w:t>
      </w:r>
      <w:r>
        <w:t>lighet ved offentlige innkjøp</w:t>
      </w:r>
      <w:r>
        <w:t>. Direktivet skal bidra til at personer med nedsatt funksjonsevne får bedre tilgang til produkter og tjenester.</w:t>
      </w:r>
    </w:p>
    <w:p w:rsidR="00000000" w:rsidRDefault="00D718D0" w:rsidP="00BA3E8B">
      <w:r>
        <w:t>Direktivforslaget omfatter bl.a. billettsystemer og innsjekkingsautomater, datamaskiner og operati</w:t>
      </w:r>
      <w:r>
        <w:t>v</w:t>
      </w:r>
      <w:r>
        <w:t>system, smarttelefoner, digital tv-utstyr, ba</w:t>
      </w:r>
      <w:r>
        <w:t>nktjenester, e-bøker og e-handel og tran</w:t>
      </w:r>
      <w:r>
        <w:t>s</w:t>
      </w:r>
      <w:r>
        <w:t>porttjenester. Forsl</w:t>
      </w:r>
      <w:r>
        <w:t>a</w:t>
      </w:r>
      <w:r>
        <w:t>get stiller overordnede, funksjonelle krav til hvordan statene skal sikre ti</w:t>
      </w:r>
      <w:r>
        <w:t>l</w:t>
      </w:r>
      <w:r>
        <w:t>strekkelig tilgjengelighet av varene og tj</w:t>
      </w:r>
      <w:r>
        <w:t>e</w:t>
      </w:r>
      <w:r>
        <w:t xml:space="preserve">nestene. Direktivet antas å være EØS-relevant, slik at den trolig vil bli </w:t>
      </w:r>
      <w:r>
        <w:t>innlemmet i EØS-avtalen etter at direktivet er vedtatt.</w:t>
      </w:r>
    </w:p>
    <w:p w:rsidR="00000000" w:rsidRDefault="00D718D0" w:rsidP="00BA3E8B">
      <w:pPr>
        <w:pStyle w:val="Overskrift3"/>
      </w:pPr>
      <w:r>
        <w:t>FN</w:t>
      </w:r>
    </w:p>
    <w:p w:rsidR="00000000" w:rsidRDefault="00D718D0" w:rsidP="00BA3E8B">
      <w:r>
        <w:t>Internasjonale menneskerettighetskonvensjoner utgjør det rettslige fundamentet for likestillings- og i</w:t>
      </w:r>
      <w:r>
        <w:t>k</w:t>
      </w:r>
      <w:r>
        <w:t>ke-diskrimineringsarbeid. Verdenserklæringen om menneskerettighetene stadfester at</w:t>
      </w:r>
      <w:r>
        <w:t xml:space="preserve"> samfunnet skal fremme vernet mot diskriminering. Menneskerettighetskonvensjonene, sammen med EU/EØS-retten, setter rammer for den nasjonale likestillingslovgivningen.</w:t>
      </w:r>
    </w:p>
    <w:p w:rsidR="00000000" w:rsidRDefault="00D718D0" w:rsidP="00BA3E8B">
      <w:r>
        <w:t xml:space="preserve">FNs konvensjon om sivile og politiske rettigheter (SP) og FNs konvensjon om økonomiske, </w:t>
      </w:r>
      <w:r>
        <w:t>sosiale og ku</w:t>
      </w:r>
      <w:r>
        <w:t>l</w:t>
      </w:r>
      <w:r>
        <w:t>turelle rettigheter (ØSK) pålegger medlemstatene en plikt til å fremme menne</w:t>
      </w:r>
      <w:r>
        <w:t>s</w:t>
      </w:r>
      <w:r>
        <w:t>kerettigheter og frih</w:t>
      </w:r>
      <w:r>
        <w:t>e</w:t>
      </w:r>
      <w:r>
        <w:t>ter uten diskriminering av noen art. I FNs konvensjon mot kvinnediskr</w:t>
      </w:r>
      <w:r>
        <w:t>i</w:t>
      </w:r>
      <w:r>
        <w:t>minering (CEDAW), FNs konve</w:t>
      </w:r>
      <w:r>
        <w:t>n</w:t>
      </w:r>
      <w:r>
        <w:t>sjon mot rasediskriminering (CERD), FNs konve</w:t>
      </w:r>
      <w:r>
        <w:t>nsjon om rettighetene til personer med nedsatt fun</w:t>
      </w:r>
      <w:r>
        <w:t>k</w:t>
      </w:r>
      <w:r>
        <w:t>sjonsevne (CRPD) og FNs barnekonvensjon (BK) er aktivitetspliktene for de grunnleggende mennesk</w:t>
      </w:r>
      <w:r>
        <w:t>e</w:t>
      </w:r>
      <w:r>
        <w:t>rettighetene konkretisert ytterligere. ØSK, SP, CEDAW og BK er inkorporert i norsk rett gjennom me</w:t>
      </w:r>
      <w:r>
        <w:t>n</w:t>
      </w:r>
      <w:r>
        <w:t>neskeretts</w:t>
      </w:r>
      <w:r>
        <w:t>loven. Bestemmelsene i disse konvensjonene skal ved motstrid gå foran bestemmelser i annen lovgivning, jf. menneskerett</w:t>
      </w:r>
      <w:r>
        <w:t>s</w:t>
      </w:r>
      <w:r>
        <w:t>loven § 3.</w:t>
      </w:r>
    </w:p>
    <w:p w:rsidR="00000000" w:rsidRDefault="00D718D0" w:rsidP="00BA3E8B">
      <w:r>
        <w:t>Det eksisterer ikke en egen FN-konvensjon mot diskriminering på grunn av seksuell orientering. I SP er imidlertid seksuell or</w:t>
      </w:r>
      <w:r>
        <w:t>ientering innfortolket under diskrimineringsgrunnlaget kjønn, jf. Human Rights Committee Communication No. 488/1992, Australia.</w:t>
      </w:r>
    </w:p>
    <w:p w:rsidR="00000000" w:rsidRDefault="00D718D0" w:rsidP="00BA3E8B">
      <w:pPr>
        <w:pStyle w:val="Overskrift4"/>
      </w:pPr>
      <w:r>
        <w:t>Konvensjon om avskaffelse av alle former for diskriminering av kvinner –(CEDAW)</w:t>
      </w:r>
    </w:p>
    <w:p w:rsidR="00000000" w:rsidRDefault="00D718D0" w:rsidP="00BA3E8B">
      <w:r>
        <w:t>CEDAW oppstiller en rekke aktivitetsplikter for konvensjonspartene. Konvensjonen angir nærmere b</w:t>
      </w:r>
      <w:r>
        <w:t>e</w:t>
      </w:r>
      <w:r>
        <w:t>stemmelser om hvilke tiltak som bør iverksettes for å oppnå målsettingen om faktisk likestilling mellom kvinner og menn. Konvensjonens artikkel 2 e) fastslår a</w:t>
      </w:r>
      <w:r>
        <w:t>t konvensjonspartene skal «treffe alle tiltak som er nødvendige for å hindre at personer, organisasjoner eller foretak diskriminerer kvinner». Artikkel 2 bo</w:t>
      </w:r>
      <w:r>
        <w:t>k</w:t>
      </w:r>
      <w:r>
        <w:t xml:space="preserve">stav f) stadfester at medlemslandene skal «treffe alle tiltak som er nødvendige, også i lovs form, </w:t>
      </w:r>
      <w:r>
        <w:t>for å endre eller oppheve eksisterende lover, forskrifter, sedvane og praksis som innebærer diskriminering av kvi</w:t>
      </w:r>
      <w:r>
        <w:t>n</w:t>
      </w:r>
      <w:r>
        <w:t>ner».</w:t>
      </w:r>
    </w:p>
    <w:p w:rsidR="00000000" w:rsidRDefault="00D718D0" w:rsidP="00BA3E8B">
      <w:r>
        <w:lastRenderedPageBreak/>
        <w:t>CEDAWs artikkel 5 bokstav a) stadfester at konvensjonspartene skal treffe alle tiltak som er nødve</w:t>
      </w:r>
      <w:r>
        <w:t>n</w:t>
      </w:r>
      <w:r>
        <w:t>dige</w:t>
      </w:r>
    </w:p>
    <w:p w:rsidR="00000000" w:rsidRDefault="00D718D0" w:rsidP="00BA3E8B">
      <w:pPr>
        <w:pStyle w:val="blokksit"/>
      </w:pPr>
      <w:r>
        <w:t>«for å endre menns og kvinners s</w:t>
      </w:r>
      <w:r>
        <w:t>osiale og kulturelle atferdsmønstre, med sikte på å avskaffe fordo</w:t>
      </w:r>
      <w:r>
        <w:t>m</w:t>
      </w:r>
      <w:r>
        <w:t>mer og hevdvunnen og all annen praksis som bygger på stereotype manns- og kvinnero</w:t>
      </w:r>
      <w:r>
        <w:t>l</w:t>
      </w:r>
      <w:r>
        <w:t>ler, eller på forestillingen om at et av kjønnene er det andre underlegent eller overlegent.»</w:t>
      </w:r>
    </w:p>
    <w:p w:rsidR="00000000" w:rsidRDefault="00D718D0" w:rsidP="00BA3E8B">
      <w:r>
        <w:t>CEDAWs artik</w:t>
      </w:r>
      <w:r>
        <w:t>kel 11 stiller et krav om at staten skal treffe alle nødvendige tiltak for å avskaffe diskrimin</w:t>
      </w:r>
      <w:r>
        <w:t>e</w:t>
      </w:r>
      <w:r>
        <w:t>ring av kvinner i arbeidslivet. Staten skal bl.a. sikre kvinner</w:t>
      </w:r>
    </w:p>
    <w:p w:rsidR="00000000" w:rsidRDefault="00D718D0" w:rsidP="00BA3E8B">
      <w:pPr>
        <w:pStyle w:val="blokksit"/>
      </w:pPr>
      <w:r>
        <w:t>«retten til lik lønn, ytelser inkludert, og til lik behandling for arbeid av lik verdi, så vel s</w:t>
      </w:r>
      <w:r>
        <w:t>om lik behan</w:t>
      </w:r>
      <w:r>
        <w:t>d</w:t>
      </w:r>
      <w:r>
        <w:t>ling når kvaliteten på arbeidet skal vurderes.»</w:t>
      </w:r>
    </w:p>
    <w:p w:rsidR="00000000" w:rsidRDefault="00D718D0" w:rsidP="00BA3E8B">
      <w:r>
        <w:t>Statene har en omfattende plikt til å avskaffe vold mot kvinner på alle områder i samfunnet. Kjønnsbasert vold («gender-based violence») er diskriminering etter CEDAW, jf. Kvinnedi</w:t>
      </w:r>
      <w:r>
        <w:t>s</w:t>
      </w:r>
      <w:r>
        <w:t>krimineringsko</w:t>
      </w:r>
      <w:r>
        <w:t>miteens generelle anbefaling nr. 19. Følgende fremgår av punkt 6:</w:t>
      </w:r>
    </w:p>
    <w:p w:rsidR="00000000" w:rsidRDefault="00D718D0" w:rsidP="00BA3E8B">
      <w:pPr>
        <w:pStyle w:val="blokksit"/>
      </w:pPr>
      <w:r>
        <w:t>«The Convention in article 1 defines discrimination against women. The definition of discrim</w:t>
      </w:r>
      <w:r>
        <w:t>i</w:t>
      </w:r>
      <w:r>
        <w:t>nation includes gender-based violence, that is, violence that is directed against a woman because</w:t>
      </w:r>
      <w:r>
        <w:t xml:space="preserve"> she is a woman or that affects women disproportionately. It includes acts that inflict physical, mental or sexual harm or suffering, threats of such acts, coercion and other deprivations of libe</w:t>
      </w:r>
      <w:r>
        <w:t>r</w:t>
      </w:r>
      <w:r>
        <w:t>ty. Gender-based vi</w:t>
      </w:r>
      <w:r>
        <w:t>o</w:t>
      </w:r>
      <w:r>
        <w:t xml:space="preserve">lence may breach specific provisions of </w:t>
      </w:r>
      <w:r>
        <w:t>the Convention, regardless of whether those provisions e</w:t>
      </w:r>
      <w:r>
        <w:t>x</w:t>
      </w:r>
      <w:r>
        <w:t>pressly mention violence.»</w:t>
      </w:r>
    </w:p>
    <w:p w:rsidR="00000000" w:rsidRDefault="00D718D0" w:rsidP="00BA3E8B">
      <w:r>
        <w:t>Seksuell trakassering faller innenfor CEDAWs definisjon av vold mot kvinner, jf. Kvinnedi</w:t>
      </w:r>
      <w:r>
        <w:t>s</w:t>
      </w:r>
      <w:r>
        <w:t>kriminering</w:t>
      </w:r>
      <w:r>
        <w:t>s</w:t>
      </w:r>
      <w:r>
        <w:t>komiteens generelle anbefalinger nr. 19.</w:t>
      </w:r>
    </w:p>
    <w:p w:rsidR="00000000" w:rsidRDefault="00D718D0" w:rsidP="00BA3E8B">
      <w:r>
        <w:t>Den generelle anbefalingen nr</w:t>
      </w:r>
      <w:r>
        <w:t>. 19 punkt 9 understreker at konvensjonsstaten kan bli ansvarlig for private aktørers handlinger dersom staten unnlater å iverksette («with due diligence») foreby</w:t>
      </w:r>
      <w:r>
        <w:t>g</w:t>
      </w:r>
      <w:r>
        <w:t>gende ti</w:t>
      </w:r>
      <w:r>
        <w:t>l</w:t>
      </w:r>
      <w:r>
        <w:t xml:space="preserve">tak for unngå brudd på konvensjonsrettigheter, straffe voldshandlinger og tilkjenne </w:t>
      </w:r>
      <w:r>
        <w:t>kompensasjon.</w:t>
      </w:r>
    </w:p>
    <w:p w:rsidR="00000000" w:rsidRDefault="00D718D0" w:rsidP="00BA3E8B">
      <w:r>
        <w:t>Kjønnsbasert vold, som gjør det umulig for kvinner å nyte av sine menneskerettigheter og grunnle</w:t>
      </w:r>
      <w:r>
        <w:t>g</w:t>
      </w:r>
      <w:r>
        <w:t>gende friheter bl.a. i arbeidslivet, er diskriminering etter CEDAW artikkel 1. Dette er presisert i den g</w:t>
      </w:r>
      <w:r>
        <w:t>e</w:t>
      </w:r>
      <w:r>
        <w:t>nerelle a</w:t>
      </w:r>
      <w:r>
        <w:t>n</w:t>
      </w:r>
      <w:r>
        <w:t>befalingen nr. 19 punkt 7. CE</w:t>
      </w:r>
      <w:r>
        <w:t>DAW-komiteen har gjort oppmerksom på at kjønnsbasert vold, herunder seksuell trakassering, alvorlig kan hindre kvinners likeb</w:t>
      </w:r>
      <w:r>
        <w:t>e</w:t>
      </w:r>
      <w:r>
        <w:t>handling i arbeidslivet, jf. den gen</w:t>
      </w:r>
      <w:r>
        <w:t>e</w:t>
      </w:r>
      <w:r>
        <w:t>relle anbefalingen nr. 19. Komiteen anbefaler at statene skal iverksette alle nødvendige tilt</w:t>
      </w:r>
      <w:r>
        <w:t>ak for å b</w:t>
      </w:r>
      <w:r>
        <w:t>e</w:t>
      </w:r>
      <w:r>
        <w:t>skytte kvinner mot all kjønnsbasert vold, inkludert e</w:t>
      </w:r>
      <w:r>
        <w:t>f</w:t>
      </w:r>
      <w:r>
        <w:t>fektive rettslige tiltak for å beskytte kvinner mot seksuelle overgrep og seksuell trakassering på arbeidsplassene, jf. punkt 24.</w:t>
      </w:r>
    </w:p>
    <w:p w:rsidR="00000000" w:rsidRDefault="00D718D0" w:rsidP="00BA3E8B">
      <w:r>
        <w:t>Kvinnediskrimineringskomiteens generelle anbefaling nr. 35 om</w:t>
      </w:r>
      <w:r>
        <w:t>handler kjønnsbasert vold mot kvi</w:t>
      </w:r>
      <w:r>
        <w:t>n</w:t>
      </w:r>
      <w:r>
        <w:t>ner. Komiteen anbefaler i punkt 30 bokstav f) at statene implementerer forebyggende tiltak mot kjønn</w:t>
      </w:r>
      <w:r>
        <w:t>s</w:t>
      </w:r>
      <w:r>
        <w:t>basert vold, herunder gjennom bruk av insentiver, «corporate responsibility models» og andre mekani</w:t>
      </w:r>
      <w:r>
        <w:t>s</w:t>
      </w:r>
      <w:r>
        <w:t>mer, og som også enga</w:t>
      </w:r>
      <w:r>
        <w:t>sjerer aktører i privat sektor i dette arbeidet. Tiltakene skal omfatte bl.a. prosed</w:t>
      </w:r>
      <w:r>
        <w:t>y</w:t>
      </w:r>
      <w:r>
        <w:t>rer for håndtering av kjønnsbasert vold som foregår på arbeidsplassene, eller som rammer kvinnelige a</w:t>
      </w:r>
      <w:r>
        <w:t>r</w:t>
      </w:r>
      <w:r>
        <w:t>beidstakere.</w:t>
      </w:r>
    </w:p>
    <w:p w:rsidR="00000000" w:rsidRDefault="00D718D0" w:rsidP="00BA3E8B">
      <w:r>
        <w:t xml:space="preserve">Kvinnediskrimineringskomiteens generelle anbefaling nr. </w:t>
      </w:r>
      <w:r>
        <w:t>27 omhandler eldre kvinner. I anb</w:t>
      </w:r>
      <w:r>
        <w:t>e</w:t>
      </w:r>
      <w:r>
        <w:t>falingen vises det til at eldre kvinner opplever sammensatt diskriminering basert på etnisk op</w:t>
      </w:r>
      <w:r>
        <w:t>p</w:t>
      </w:r>
      <w:r>
        <w:t>rinnelse, seksuell orientering, nedsatt funksjonsevne mv. Komiteen uttaler følgende i punkt 11:</w:t>
      </w:r>
    </w:p>
    <w:p w:rsidR="00000000" w:rsidRDefault="00D718D0" w:rsidP="00BA3E8B">
      <w:pPr>
        <w:pStyle w:val="blokksit"/>
      </w:pPr>
      <w:r>
        <w:lastRenderedPageBreak/>
        <w:t>«while both men and women exper</w:t>
      </w:r>
      <w:r>
        <w:t>ience discrimination as they become older, older women e</w:t>
      </w:r>
      <w:r>
        <w:t>x</w:t>
      </w:r>
      <w:r>
        <w:t>p</w:t>
      </w:r>
      <w:r>
        <w:t>e</w:t>
      </w:r>
      <w:r>
        <w:t>rience ageing differently. The impact of gender inequality throughout their lifespan is exace</w:t>
      </w:r>
      <w:r>
        <w:t>r</w:t>
      </w:r>
      <w:r>
        <w:t>bated in old age and is often based on deep-rooted cultural and social norms.»</w:t>
      </w:r>
    </w:p>
    <w:p w:rsidR="00000000" w:rsidRDefault="00D718D0" w:rsidP="00BA3E8B">
      <w:r>
        <w:t>Eldre kvinner skal anses</w:t>
      </w:r>
      <w:r>
        <w:t xml:space="preserve"> som viktige ressurser i samfunnet. Statene skal sikre at eldre kvinner kan delta fullt og effektivt på alle samfunnsområder og er, ifølge punkt 29, forpliktet:</w:t>
      </w:r>
    </w:p>
    <w:p w:rsidR="00000000" w:rsidRDefault="00D718D0" w:rsidP="00BA3E8B">
      <w:pPr>
        <w:pStyle w:val="blokksit"/>
      </w:pPr>
      <w:r>
        <w:t>«to take all appropriate measures, including legislation, in order to eliminate their discrimin</w:t>
      </w:r>
      <w:r>
        <w:t>a</w:t>
      </w:r>
      <w:r>
        <w:t>tion.»</w:t>
      </w:r>
    </w:p>
    <w:p w:rsidR="00000000" w:rsidRDefault="00D718D0" w:rsidP="00BA3E8B">
      <w:r>
        <w:t>Anbefalingen tilsier også i punkt 41 at statene skal:</w:t>
      </w:r>
    </w:p>
    <w:p w:rsidR="00000000" w:rsidRDefault="00D718D0" w:rsidP="00BA3E8B">
      <w:pPr>
        <w:pStyle w:val="blokksit"/>
      </w:pPr>
      <w:r>
        <w:t>«facilitate the participation of older women in paid work without discrimination based on their age and gender.»</w:t>
      </w:r>
    </w:p>
    <w:p w:rsidR="00000000" w:rsidRDefault="00D718D0" w:rsidP="00BA3E8B">
      <w:r>
        <w:t>Statene er også forpliktet til å sikre at det gis særlig oppmerksomhet til proble</w:t>
      </w:r>
      <w:r>
        <w:t>mer eldre kvinner kan møte i arbeidslivet.</w:t>
      </w:r>
    </w:p>
    <w:p w:rsidR="00000000" w:rsidRDefault="00D718D0" w:rsidP="00BA3E8B">
      <w:pPr>
        <w:pStyle w:val="Overskrift4"/>
      </w:pPr>
      <w:r>
        <w:t>Konvensjon om rettighetene til mennesker med nedsatt funksjonsevne (CRPD)</w:t>
      </w:r>
    </w:p>
    <w:p w:rsidR="00000000" w:rsidRDefault="00D718D0" w:rsidP="00BA3E8B">
      <w:r>
        <w:t>CRPD-konvensjonen artikkel 4 stadfester at konvensjonspartene forplikter seg til å treffe alle hensikt</w:t>
      </w:r>
      <w:r>
        <w:t>s</w:t>
      </w:r>
      <w:r>
        <w:t>messige tiltak for å</w:t>
      </w:r>
      <w:r>
        <w:t xml:space="preserve"> endre eller oppheve eksisterende lover og annet regelverk som i</w:t>
      </w:r>
      <w:r>
        <w:t>n</w:t>
      </w:r>
      <w:r>
        <w:t>nebærer diskrim</w:t>
      </w:r>
      <w:r>
        <w:t>i</w:t>
      </w:r>
      <w:r>
        <w:t>nering av mennesker med nedsatt funksjonsevne. Statene skal også treffe alle hensiktsmessige tiltak for å sikre at ingen personer, organisasjoner eller private foretak diskr</w:t>
      </w:r>
      <w:r>
        <w:t>i</w:t>
      </w:r>
      <w:r>
        <w:t>m</w:t>
      </w:r>
      <w:r>
        <w:t>inerer mennesker på grunn av nedsatt funksjonsevne.</w:t>
      </w:r>
    </w:p>
    <w:p w:rsidR="00000000" w:rsidRDefault="00D718D0" w:rsidP="00BA3E8B">
      <w:pPr>
        <w:pStyle w:val="Overskrift4"/>
      </w:pPr>
      <w:r>
        <w:t>Internasjonal konvensjon om avskaffelse av alle former for rasediskriminering (CERD)</w:t>
      </w:r>
    </w:p>
    <w:p w:rsidR="00000000" w:rsidRDefault="00D718D0" w:rsidP="00BA3E8B">
      <w:r>
        <w:t>Det fremgår av CERD-konvensjonens artikkel 2 at konvensjonspartene med alle egnede midler skal forby og</w:t>
      </w:r>
      <w:r>
        <w:t xml:space="preserve"> bringe til opphør rasediskriminering fra enhver persons, gruppes eller organisasjons side. Konve</w:t>
      </w:r>
      <w:r>
        <w:t>n</w:t>
      </w:r>
      <w:r>
        <w:t>sjonspartene skal treffe konkrete tiltak på de sosiale, økonomiske, kulturelle og andre områder for å sikre at grupper eller enkeltpersoner med en bestemt ras</w:t>
      </w:r>
      <w:r>
        <w:t>emessig tilhørighet får tilfredsstillende utvikling og beskyttelse, slik at de kan nyte sine menneskerettigheter og grunnleggende friheter fullt ut og på like vilkår.</w:t>
      </w:r>
    </w:p>
    <w:p w:rsidR="00000000" w:rsidRDefault="00D718D0" w:rsidP="00BA3E8B">
      <w:pPr>
        <w:pStyle w:val="Overskrift3"/>
      </w:pPr>
      <w:r>
        <w:t>Europarådet</w:t>
      </w:r>
    </w:p>
    <w:p w:rsidR="00000000" w:rsidRDefault="00D718D0" w:rsidP="00BA3E8B">
      <w:pPr>
        <w:pStyle w:val="Overskrift4"/>
      </w:pPr>
      <w:r>
        <w:t>Den europeiske menneskerettskonvensjon</w:t>
      </w:r>
    </w:p>
    <w:p w:rsidR="00000000" w:rsidRDefault="00D718D0" w:rsidP="00BA3E8B">
      <w:r>
        <w:t>Den europeiske menneskerettskonvensjon (EMK) artikkel 1 stadfester at medlemslandene har en plikt til å sikre konvensjonsrettighetene, herunder retten til ikke å bli diskriminert, jf. artikkel 14. EMK er inko</w:t>
      </w:r>
      <w:r>
        <w:t>r</w:t>
      </w:r>
      <w:r>
        <w:t>porert i norsk rett gjennom menneskerettsloven.</w:t>
      </w:r>
      <w:r>
        <w:t xml:space="preserve"> Bestemmelsene i EMK skal ved motstrid gå foran b</w:t>
      </w:r>
      <w:r>
        <w:t>e</w:t>
      </w:r>
      <w:r>
        <w:t>stemmelser i annen lovgivning, jf. menneskerettsloven § 3. EMK omfatter ikke alle diskriminering</w:t>
      </w:r>
      <w:r>
        <w:t>s</w:t>
      </w:r>
      <w:r>
        <w:t>grunnlag som er vernet etter likestillings- og diskrimineringsloven. EMK gjelder ikke uttrykkelig hverken «se</w:t>
      </w:r>
      <w:r>
        <w:t>ksuell orientering» eller «alder», disse diskrimin</w:t>
      </w:r>
      <w:r>
        <w:t>e</w:t>
      </w:r>
      <w:r>
        <w:t>ringsgrunnlagene er imidlertid innfortolket under kategorien «annen status» i EMK artikkel 14.</w:t>
      </w:r>
    </w:p>
    <w:p w:rsidR="00000000" w:rsidRDefault="00D718D0" w:rsidP="00BA3E8B">
      <w:pPr>
        <w:pStyle w:val="Overskrift4"/>
      </w:pPr>
      <w:r>
        <w:t>Istanbul-konvensjonen</w:t>
      </w:r>
    </w:p>
    <w:p w:rsidR="00000000" w:rsidRDefault="00D718D0" w:rsidP="00BA3E8B">
      <w:r>
        <w:t>Europarådets konvensjon om forebygging og bekjempelse av vold mot kvinne</w:t>
      </w:r>
      <w:r>
        <w:t>r og vold i nære relasjoner CETS 210 (Istanbulkonvensjonen), som trådte i kraft i november 2017 i Norge, bygger på at vold mot kvinner utgjør alvorlig diskriminering av kvinner. Konvensjonen erkjenner at reell likestilling mellom menn og kvinner er en nøkk</w:t>
      </w:r>
      <w:r>
        <w:t>elfaktor i arbeidet med å forebygge vold mot kvinner.</w:t>
      </w:r>
    </w:p>
    <w:p w:rsidR="00000000" w:rsidRDefault="00D718D0" w:rsidP="00BA3E8B">
      <w:r>
        <w:lastRenderedPageBreak/>
        <w:t>Konvensjonen erkjenner videre at vold mot kvinner er strukturelt sett kjønnsavhengig og at vold er en av de viktigste sosiale mekanismene for å tvinge kvinner i en underordnet stilling sa</w:t>
      </w:r>
      <w:r>
        <w:t>m</w:t>
      </w:r>
      <w:r>
        <w:t xml:space="preserve">menlignet med </w:t>
      </w:r>
      <w:r>
        <w:t>menn, jf. konvensjonens fortale. Konvensjonen har som formål å verne kvinner mot alle former for vold, medvirke til avskaffing av diskriminering av kvinner og fremme reell kjønnslikestilling, jf. artikkel 1.</w:t>
      </w:r>
    </w:p>
    <w:p w:rsidR="00000000" w:rsidRDefault="00D718D0" w:rsidP="00BA3E8B">
      <w:r>
        <w:t>Konvensjonen pålegger omfattende generelle aktiv</w:t>
      </w:r>
      <w:r>
        <w:t>itetsplikter til konvensjonspartene til å iverksette tiltak for å oppnå konvensjonens formål, jf. artikkel 12. Konvensjonen pålegger også konvensjonspartene konkretiserte plikter knyttet til bl.a. kriminalisering av psykisk og fysisk vold, voldtekt og anne</w:t>
      </w:r>
      <w:r>
        <w:t>n seksuell vold, tvang</w:t>
      </w:r>
      <w:r>
        <w:t>s</w:t>
      </w:r>
      <w:r>
        <w:t>ekteskap, kjønnslemlestelse og tvangsabort, jf. artiklene 33–39.</w:t>
      </w:r>
    </w:p>
    <w:p w:rsidR="00000000" w:rsidRDefault="00D718D0" w:rsidP="00BA3E8B">
      <w:pPr>
        <w:pStyle w:val="Overskrift4"/>
      </w:pPr>
      <w:r>
        <w:t>Europarådets anbefaling om diskriminering på grunn av seksuell orientering og kjønnsidentitet</w:t>
      </w:r>
    </w:p>
    <w:p w:rsidR="00000000" w:rsidRDefault="00D718D0" w:rsidP="00BA3E8B">
      <w:r>
        <w:t>Europarådet vedtok i 2010 en anbefaling om å sikre effekti</w:t>
      </w:r>
      <w:r>
        <w:t>v lovgivning for å bekjempe diskr</w:t>
      </w:r>
      <w:r>
        <w:t>i</w:t>
      </w:r>
      <w:r>
        <w:t>minering på grunn av seksuell orientering og kjønnsidentitet (CM/Rec (2010)5). Anbefalingen erkjenner at lesbiske, homofile, bifile og transpersoner opplever homofobi, intoleranse og di</w:t>
      </w:r>
      <w:r>
        <w:t>s</w:t>
      </w:r>
      <w:r>
        <w:t>kriminering på grunn av seksuell ori</w:t>
      </w:r>
      <w:r>
        <w:t>entering eller kjønnsidentitet og at det derfor er behov for særskilte tiltak for å sikre deres mennesk</w:t>
      </w:r>
      <w:r>
        <w:t>e</w:t>
      </w:r>
      <w:r>
        <w:t>rettigheter. Medlemslandene skal arbeide aktivt for å bekjempe diskriminering på grunn av seksuell or</w:t>
      </w:r>
      <w:r>
        <w:t>i</w:t>
      </w:r>
      <w:r>
        <w:t>entering på alle aktuelle områder.</w:t>
      </w:r>
    </w:p>
    <w:p w:rsidR="00000000" w:rsidRDefault="00D718D0" w:rsidP="00BA3E8B">
      <w:pPr>
        <w:pStyle w:val="Overskrift3"/>
      </w:pPr>
      <w:r>
        <w:t>ILO</w:t>
      </w:r>
      <w:r>
        <w:t>-konvensjoner</w:t>
      </w:r>
    </w:p>
    <w:p w:rsidR="00000000" w:rsidRDefault="00D718D0" w:rsidP="00BA3E8B">
      <w:r>
        <w:t>Den internasjonale arbeidsorganisasjonen ILO vedtok i 1951 en konvensjon om lik lønn for kvinner og menn for arbeid av lik verdi. ILO-konvensjonen nr. 100 ble ratifisert av Norge i 1960. Den har i stor grad dannet norm og vær</w:t>
      </w:r>
      <w:r>
        <w:t>t retningsgivende for nasjonal og EU-rettslig lovgivning om likelønn. Konvensjonen pålegger staten å gjennomføre prinsippet om lik lønn for arbeid av lik verdi. Dette innebærer at lønn skal være fastsatt uten hensyn til kjønn.</w:t>
      </w:r>
    </w:p>
    <w:p w:rsidR="00000000" w:rsidRDefault="00D718D0" w:rsidP="00BA3E8B">
      <w:r>
        <w:t>ILO vedtok i 1959 en konvensj</w:t>
      </w:r>
      <w:r>
        <w:t>on om diskriminering i sysselsetting og yrke på grunn av rase, farge, kjønn, religion, politisk oppfatning, nasjonal opprinnelse eller sosial herkomst, jf. ILO-konvensjon nr. 111. Ko</w:t>
      </w:r>
      <w:r>
        <w:t>n</w:t>
      </w:r>
      <w:r>
        <w:t>vensjonen tar sikte på å fremme likebehandling og fjerne diskr</w:t>
      </w:r>
      <w:r>
        <w:t>i</w:t>
      </w:r>
      <w:r>
        <w:t>minering i</w:t>
      </w:r>
      <w:r>
        <w:t xml:space="preserve"> arbeidslivet.</w:t>
      </w:r>
    </w:p>
    <w:p w:rsidR="00000000" w:rsidRDefault="00D718D0" w:rsidP="00BA3E8B">
      <w:r>
        <w:t>ILO har satt i gang arbeidet for å utarbeide forslag om en ny konvensjon og en rekommandasjon mot vold og trakassering i arbeidslivet. Dette arbeidet skal i hovedsak adressere vold i arbeid</w:t>
      </w:r>
      <w:r>
        <w:t>s</w:t>
      </w:r>
      <w:r>
        <w:t>livet motarbe</w:t>
      </w:r>
      <w:r>
        <w:t>i</w:t>
      </w:r>
      <w:r>
        <w:t>des, herunder kjønnsbasert vold.</w:t>
      </w:r>
    </w:p>
    <w:p w:rsidR="00000000" w:rsidRDefault="00D718D0" w:rsidP="00BA3E8B">
      <w:pPr>
        <w:pStyle w:val="Overskrift2"/>
      </w:pPr>
      <w:r>
        <w:t>Styrket aktivitets- og redegjørelsesplikt</w:t>
      </w:r>
    </w:p>
    <w:p w:rsidR="00000000" w:rsidRDefault="00D718D0" w:rsidP="00BA3E8B">
      <w:pPr>
        <w:pStyle w:val="Overskrift3"/>
      </w:pPr>
      <w:r>
        <w:t>Innledning</w:t>
      </w:r>
    </w:p>
    <w:p w:rsidR="00000000" w:rsidRDefault="00D718D0" w:rsidP="00BA3E8B">
      <w:r>
        <w:t>Aktivt likestillingsarbeid har fått stadig økt oppmerksomhet. Likestillings- og diskriminering</w:t>
      </w:r>
      <w:r>
        <w:t>s</w:t>
      </w:r>
      <w:r>
        <w:t>lovgivnin</w:t>
      </w:r>
      <w:r>
        <w:t>g</w:t>
      </w:r>
      <w:r>
        <w:t>ens regler om aktivt likestillingsarbeid har også blitt styrket og utvidet. Likest</w:t>
      </w:r>
      <w:r>
        <w:t>i</w:t>
      </w:r>
      <w:r>
        <w:t>l</w:t>
      </w:r>
      <w:r>
        <w:t>lingsloven av 1978 hadde en bestemmelse om at offentlige myndigheter skulle legge til rette for likestilling. Det ble i 2002 vedtatt b</w:t>
      </w:r>
      <w:r>
        <w:t>e</w:t>
      </w:r>
      <w:r>
        <w:t>stemmelser i likestillingsloven om plikten til aktivt kjønnslikestillingsarbeid for arbeidsgivere og for a</w:t>
      </w:r>
      <w:r>
        <w:t>r</w:t>
      </w:r>
      <w:r>
        <w:t xml:space="preserve">beidslivets </w:t>
      </w:r>
      <w:r>
        <w:t xml:space="preserve">organisasjoner. Ved lovendringer </w:t>
      </w:r>
      <w:r>
        <w:lastRenderedPageBreak/>
        <w:t>i 2008 ble aktivitetsplikten utvidet til å omfatte nye diskr</w:t>
      </w:r>
      <w:r>
        <w:t>i</w:t>
      </w:r>
      <w:r>
        <w:t>m</w:t>
      </w:r>
      <w:r>
        <w:t>i</w:t>
      </w:r>
      <w:r>
        <w:t>neringsgrunnlag, dvs. etnisitet, religion og nedsatt funksjonsevne. De nye pliktene gjaldt for både o</w:t>
      </w:r>
      <w:r>
        <w:t>f</w:t>
      </w:r>
      <w:r>
        <w:t>fen</w:t>
      </w:r>
      <w:r>
        <w:t>t</w:t>
      </w:r>
      <w:r>
        <w:t>lige og private vir</w:t>
      </w:r>
      <w:r>
        <w:t>k</w:t>
      </w:r>
      <w:r>
        <w:t>somheter. I forbindelse med lovend</w:t>
      </w:r>
      <w:r>
        <w:t>ringer i 2013 ble aktivitets- og redegjørelse</w:t>
      </w:r>
      <w:r>
        <w:t>s</w:t>
      </w:r>
      <w:r>
        <w:t>plikten i lik</w:t>
      </w:r>
      <w:r>
        <w:t>e</w:t>
      </w:r>
      <w:r>
        <w:t>stillingsloven, diskrimineringsloven om etnisitet og diskriminerings- og tilgjengelighetsloven vider</w:t>
      </w:r>
      <w:r>
        <w:t>e</w:t>
      </w:r>
      <w:r>
        <w:t>ført. I diskrimineringsloven om seksuell orientering av 2013 ble det tatt inn en tilsvarende ak</w:t>
      </w:r>
      <w:r>
        <w:t>tivitets- og redegjørelsesplikt. Nedenfor gis det en redegjørelse for aktivitets- og redegjøre</w:t>
      </w:r>
      <w:r>
        <w:t>l</w:t>
      </w:r>
      <w:r>
        <w:t>sesplikten etter gje</w:t>
      </w:r>
      <w:r>
        <w:t>l</w:t>
      </w:r>
      <w:r>
        <w:t>dende lov.</w:t>
      </w:r>
    </w:p>
    <w:p w:rsidR="00000000" w:rsidRDefault="00D718D0" w:rsidP="00BA3E8B">
      <w:pPr>
        <w:pStyle w:val="Overskrift3"/>
      </w:pPr>
      <w:r>
        <w:t>Tre mulige modeller i høringsnotatet</w:t>
      </w:r>
    </w:p>
    <w:p w:rsidR="00000000" w:rsidRDefault="00D718D0" w:rsidP="00BA3E8B">
      <w:r>
        <w:t>Departementet vurderte i høringsnotatet alternative måter å føl</w:t>
      </w:r>
      <w:r>
        <w:t>ge opp Stortingets anmodning</w:t>
      </w:r>
      <w:r>
        <w:t>s</w:t>
      </w:r>
      <w:r>
        <w:t>vedtak om å bevare og styrke aktivitets- og redegjørelsesplikten, jf. anmodningsvedtaket nr. 1119 (2016–2017). D</w:t>
      </w:r>
      <w:r>
        <w:t>e</w:t>
      </w:r>
      <w:r>
        <w:t>pa</w:t>
      </w:r>
      <w:r>
        <w:t>r</w:t>
      </w:r>
      <w:r>
        <w:t>tementet tok utgangspunkt i tre modeller for ny regulering av aktivitets- og redegjørelsesplikten: 1) Sa</w:t>
      </w:r>
      <w:r>
        <w:t>m</w:t>
      </w:r>
      <w:r>
        <w:t>funnsa</w:t>
      </w:r>
      <w:r>
        <w:t>nsvarsmodellen, 2) Likestilling som en del av HMS-arbeid og 3) Likestillingsutvalg i virkso</w:t>
      </w:r>
      <w:r>
        <w:t>m</w:t>
      </w:r>
      <w:r>
        <w:t>heter.</w:t>
      </w:r>
    </w:p>
    <w:p w:rsidR="00000000" w:rsidRDefault="00D718D0" w:rsidP="00BA3E8B">
      <w:pPr>
        <w:pStyle w:val="Overskrift4"/>
      </w:pPr>
      <w:r>
        <w:t>Modell 1 – Samfunnsansvarsmodellen</w:t>
      </w:r>
    </w:p>
    <w:p w:rsidR="00000000" w:rsidRDefault="00D718D0" w:rsidP="00BA3E8B">
      <w:r>
        <w:t>Utgangspunktet for denne modellen er Skjeie-utvalgets anbefalinger om hvordan aktivitets- og redegj</w:t>
      </w:r>
      <w:r>
        <w:t>ø</w:t>
      </w:r>
      <w:r>
        <w:t>relses</w:t>
      </w:r>
      <w:r>
        <w:t>plikten skal reguleres. Skjeie-utvalget viste i sin utredning til at likestillingsarbeid er i ulike sto</w:t>
      </w:r>
      <w:r>
        <w:t>r</w:t>
      </w:r>
      <w:r>
        <w:t>tingsmeldinger ansett som et element i virksomheters samfunnsansvar, jf. NOU 2011: 18 kapittel 2.1 og 3.5.1.3.</w:t>
      </w:r>
    </w:p>
    <w:p w:rsidR="00000000" w:rsidRDefault="00D718D0" w:rsidP="00BA3E8B">
      <w:r>
        <w:t xml:space="preserve">Samfunnsansvarsmodellen bygger på tanken </w:t>
      </w:r>
      <w:r>
        <w:t>om at likestilling inngår i virksomhetenes sa</w:t>
      </w:r>
      <w:r>
        <w:t>m</w:t>
      </w:r>
      <w:r>
        <w:t>funnsa</w:t>
      </w:r>
      <w:r>
        <w:t>n</w:t>
      </w:r>
      <w:r>
        <w:t>svar. Samfunnsansvarsmodellen innebærer at aktivitets- og redegjørelsesplikten skal forstås som en del av ulike samfunnsaktørers bidrag til et bærekraftig samfunn. De særskilte kjennetegnene ved denne mo</w:t>
      </w:r>
      <w:r>
        <w:t>de</w:t>
      </w:r>
      <w:r>
        <w:t>l</w:t>
      </w:r>
      <w:r>
        <w:t>len er at:</w:t>
      </w:r>
    </w:p>
    <w:p w:rsidR="00000000" w:rsidRDefault="00D718D0" w:rsidP="00BA3E8B">
      <w:pPr>
        <w:pStyle w:val="Liste"/>
      </w:pPr>
      <w:r>
        <w:t>arbeidsgivere som skal følge den lovbestemte arbeidsmetoden beskrevet i likestillings- og diskrimin</w:t>
      </w:r>
      <w:r>
        <w:t>e</w:t>
      </w:r>
      <w:r>
        <w:t>ringsloven § 26 andre ledd, får en redegjørelsesplikt</w:t>
      </w:r>
    </w:p>
    <w:p w:rsidR="00000000" w:rsidRDefault="00D718D0" w:rsidP="00BA3E8B">
      <w:pPr>
        <w:pStyle w:val="Liste"/>
      </w:pPr>
      <w:r>
        <w:t>små foretak får en redegjørelsesplikt etter reglene om samfunnsansvarsrapporteri</w:t>
      </w:r>
      <w:r>
        <w:t>ng, jf. regnskapsl</w:t>
      </w:r>
      <w:r>
        <w:t>o</w:t>
      </w:r>
      <w:r>
        <w:t>ven § 3–3 c, i tillegg til store foretak</w:t>
      </w:r>
    </w:p>
    <w:p w:rsidR="00000000" w:rsidRDefault="00D718D0" w:rsidP="00BA3E8B">
      <w:pPr>
        <w:pStyle w:val="Liste"/>
      </w:pPr>
      <w:r>
        <w:t>offentlige myndigheter, som myndigheter og tjenesteytere, får en redegjørelsesplikt</w:t>
      </w:r>
    </w:p>
    <w:p w:rsidR="00000000" w:rsidRDefault="00D718D0" w:rsidP="00BA3E8B">
      <w:pPr>
        <w:pStyle w:val="Liste"/>
      </w:pPr>
      <w:r>
        <w:t>veiledning og kontroll av aktivitets- og redegjørelsesplikten utføres av Likestillings- og diskrimin</w:t>
      </w:r>
      <w:r>
        <w:t>e</w:t>
      </w:r>
      <w:r>
        <w:t>rin</w:t>
      </w:r>
      <w:r>
        <w:t>gsombudet.</w:t>
      </w:r>
    </w:p>
    <w:p w:rsidR="00000000" w:rsidRDefault="00D718D0" w:rsidP="00BA3E8B">
      <w:pPr>
        <w:pStyle w:val="Overskrift4"/>
      </w:pPr>
      <w:r>
        <w:t>Modell 2 – Likestilling som del av HMS-arbeidet</w:t>
      </w:r>
    </w:p>
    <w:p w:rsidR="00000000" w:rsidRDefault="00D718D0" w:rsidP="00BA3E8B">
      <w:r>
        <w:t>Departementet vurderte Graver-utvalgets anbefalinger til regulering av aktivt likestillingsarbeid som en mulig måte å bevare og styrke aktivitetspliktene og skisserte i hør</w:t>
      </w:r>
      <w:r>
        <w:t>ingsnotatet en mod</w:t>
      </w:r>
      <w:r>
        <w:t>i</w:t>
      </w:r>
      <w:r>
        <w:t>fisert versjon av Graver-modellen, jf. NOU 2009: 14.</w:t>
      </w:r>
    </w:p>
    <w:p w:rsidR="00000000" w:rsidRDefault="00D718D0" w:rsidP="00BA3E8B">
      <w:r>
        <w:t>Modellen innebærer at likestillingsarbeidet implementeres i virksomhetens eksisterende stru</w:t>
      </w:r>
      <w:r>
        <w:t>k</w:t>
      </w:r>
      <w:r>
        <w:t>turer for helse-, miljø- og sikkerhetsarbeid (HMS-arbeidet). I denne modellen reguleres a</w:t>
      </w:r>
      <w:r>
        <w:t>r</w:t>
      </w:r>
      <w:r>
        <w:t>be</w:t>
      </w:r>
      <w:r>
        <w:t>idsgivers aktiv</w:t>
      </w:r>
      <w:r>
        <w:t>i</w:t>
      </w:r>
      <w:r>
        <w:t>tets- og dok</w:t>
      </w:r>
      <w:r>
        <w:t>u</w:t>
      </w:r>
      <w:r>
        <w:t>mentasjonsplikt i arbeidsmiljøloven som del av krav som stilles for HMS-arbeid. Virksomh</w:t>
      </w:r>
      <w:r>
        <w:t>e</w:t>
      </w:r>
      <w:r>
        <w:t>ter, som har arbeidsmiljøutvalg, skal følge den lovbestemte a</w:t>
      </w:r>
      <w:r>
        <w:t>r</w:t>
      </w:r>
      <w:r>
        <w:t>beidsmetoden, med tilhørende konkretise</w:t>
      </w:r>
      <w:r>
        <w:t>r</w:t>
      </w:r>
      <w:r>
        <w:t>te aktiv</w:t>
      </w:r>
      <w:r>
        <w:t>i</w:t>
      </w:r>
      <w:r>
        <w:t>tetsplikter, jf. punkt 3.4.</w:t>
      </w:r>
      <w:r>
        <w:t>2.4 Fellestrekk ved de tre modellene.</w:t>
      </w:r>
    </w:p>
    <w:p w:rsidR="00000000" w:rsidRDefault="00D718D0" w:rsidP="00BA3E8B">
      <w:r>
        <w:lastRenderedPageBreak/>
        <w:t>I denne modellen gir Likestillings- og diskrimineringsombudet veiledning om aktivitets- og dokume</w:t>
      </w:r>
      <w:r>
        <w:t>n</w:t>
      </w:r>
      <w:r>
        <w:t>t</w:t>
      </w:r>
      <w:r>
        <w:t>a</w:t>
      </w:r>
      <w:r>
        <w:t>sjonsplikten, og Arbeidstilsynet fører tilsyn med og håndhever arbeidsgivers aktiv</w:t>
      </w:r>
      <w:r>
        <w:t>i</w:t>
      </w:r>
      <w:r>
        <w:t>tetsplikt som ledd i det ordinære t</w:t>
      </w:r>
      <w:r>
        <w:t>ilsynet med HMS-arbeid.</w:t>
      </w:r>
    </w:p>
    <w:p w:rsidR="00000000" w:rsidRDefault="00D718D0" w:rsidP="00BA3E8B">
      <w:pPr>
        <w:pStyle w:val="Overskrift4"/>
      </w:pPr>
      <w:r>
        <w:t>Modell 3 – Likestillingsutvalg i virksomhetene</w:t>
      </w:r>
    </w:p>
    <w:p w:rsidR="00000000" w:rsidRDefault="00D718D0" w:rsidP="00BA3E8B">
      <w:r>
        <w:t>Denne modellen innebærer at likestillingsarbeidet forankres i et eget likestillingsutvalg i vir</w:t>
      </w:r>
      <w:r>
        <w:t>k</w:t>
      </w:r>
      <w:r>
        <w:t>somhetene. Alle arbeidsgivere har en generell aktivitetsplikt og en plikt</w:t>
      </w:r>
      <w:r>
        <w:t xml:space="preserve"> å dokumentere likesti</w:t>
      </w:r>
      <w:r>
        <w:t>l</w:t>
      </w:r>
      <w:r>
        <w:t>lingsarbeidet.</w:t>
      </w:r>
    </w:p>
    <w:p w:rsidR="00000000" w:rsidRDefault="00D718D0" w:rsidP="00BA3E8B">
      <w:r>
        <w:t>Det særskilte kjennetegnet ved modell 3 er at virksomheter med hhv. minst 50 eller 20 ansatte skal opprette et likestillingsutvalg, som skal følge den lovbestemte arbeidsmetoden. Likesti</w:t>
      </w:r>
      <w:r>
        <w:t>l</w:t>
      </w:r>
      <w:r>
        <w:t>lings- og diskr</w:t>
      </w:r>
      <w:r>
        <w:t>i</w:t>
      </w:r>
      <w:r>
        <w:t>mineringsombude</w:t>
      </w:r>
      <w:r>
        <w:t>t veileder og kontrollerer oppfyllelsen av pliktene.</w:t>
      </w:r>
    </w:p>
    <w:p w:rsidR="00000000" w:rsidRDefault="00D718D0" w:rsidP="00BA3E8B">
      <w:pPr>
        <w:pStyle w:val="Overskrift4"/>
      </w:pPr>
      <w:r>
        <w:t>Fellestrekk ved de tre modellene</w:t>
      </w:r>
    </w:p>
    <w:p w:rsidR="00000000" w:rsidRDefault="00D718D0" w:rsidP="00BA3E8B">
      <w:r>
        <w:t>De tre modellene har følgende fellestrekk:</w:t>
      </w:r>
    </w:p>
    <w:p w:rsidR="00000000" w:rsidRDefault="00D718D0" w:rsidP="00BA3E8B">
      <w:pPr>
        <w:pStyle w:val="Liste"/>
      </w:pPr>
      <w:r>
        <w:t>alle arbeidsgivere får en plikt å rette oppmerksomhet mot sammensatt diskriminering i sitt likesti</w:t>
      </w:r>
      <w:r>
        <w:t>l</w:t>
      </w:r>
      <w:r>
        <w:t>ling</w:t>
      </w:r>
      <w:r>
        <w:t>s</w:t>
      </w:r>
      <w:r>
        <w:t>arb</w:t>
      </w:r>
      <w:r>
        <w:t>eid og forebygge seksuell trakassering</w:t>
      </w:r>
    </w:p>
    <w:p w:rsidR="00000000" w:rsidRDefault="00D718D0" w:rsidP="00BA3E8B">
      <w:pPr>
        <w:pStyle w:val="Liste"/>
      </w:pPr>
      <w:r>
        <w:t>arbeidsgivere som skal følge den lovbestemte arbeidsmetoden, skal også gjennomføre lønnskartle</w:t>
      </w:r>
      <w:r>
        <w:t>g</w:t>
      </w:r>
      <w:r>
        <w:t>ging fordelt etter kjønn, kartlegge bruken av ufrivillig deltidsarbeid og for</w:t>
      </w:r>
      <w:r>
        <w:t>e</w:t>
      </w:r>
      <w:r>
        <w:t>bygge kjønnsrelatert vold</w:t>
      </w:r>
    </w:p>
    <w:p w:rsidR="00000000" w:rsidRDefault="00D718D0" w:rsidP="00BA3E8B">
      <w:pPr>
        <w:pStyle w:val="Liste"/>
      </w:pPr>
      <w:r>
        <w:t>of</w:t>
      </w:r>
      <w:r>
        <w:t>fentlige myndigheter får en konkretisert aktivitetsplikt</w:t>
      </w:r>
    </w:p>
    <w:p w:rsidR="00000000" w:rsidRDefault="00D718D0" w:rsidP="00BA3E8B">
      <w:pPr>
        <w:pStyle w:val="Liste"/>
      </w:pPr>
      <w:r>
        <w:t>ansvaret for aktivitets- og redegjørelsesplikten forankres i selskapers styre gjennom egen bestemme</w:t>
      </w:r>
      <w:r>
        <w:t>l</w:t>
      </w:r>
      <w:r>
        <w:t>se i aksjelovgivningen.</w:t>
      </w:r>
    </w:p>
    <w:p w:rsidR="00000000" w:rsidRDefault="00D718D0" w:rsidP="00BA3E8B">
      <w:pPr>
        <w:pStyle w:val="Overskrift3"/>
      </w:pPr>
      <w:r>
        <w:t>Forslag i høringsnotatet</w:t>
      </w:r>
    </w:p>
    <w:p w:rsidR="00000000" w:rsidRDefault="00D718D0" w:rsidP="00BA3E8B">
      <w:r>
        <w:t>Departementet anbefalte i høringsn</w:t>
      </w:r>
      <w:r>
        <w:t>otatet at aktivitets- og redegjørelsesplikten utformes etter samfunn</w:t>
      </w:r>
      <w:r>
        <w:t>s</w:t>
      </w:r>
      <w:r>
        <w:t>ansvarsmodellen (modell 1).</w:t>
      </w:r>
    </w:p>
    <w:p w:rsidR="00000000" w:rsidRDefault="00D718D0" w:rsidP="00BA3E8B">
      <w:pPr>
        <w:pStyle w:val="Overskrift3"/>
      </w:pPr>
      <w:r>
        <w:t>Høringsinstansenes syn</w:t>
      </w:r>
    </w:p>
    <w:p w:rsidR="00000000" w:rsidRDefault="00D718D0" w:rsidP="00BA3E8B">
      <w:r>
        <w:t>Et stort flertall av høringsinstansene støtter i hovedsak forslag om at aktivt likestillingsarbeid anses som del av virksomh</w:t>
      </w:r>
      <w:r>
        <w:t xml:space="preserve">eters samfunnsansvar. I følge </w:t>
      </w:r>
      <w:r>
        <w:rPr>
          <w:rStyle w:val="kursiv"/>
          <w:sz w:val="21"/>
          <w:szCs w:val="21"/>
        </w:rPr>
        <w:t>Bufdir</w:t>
      </w:r>
      <w:r>
        <w:t xml:space="preserve"> sender dette:</w:t>
      </w:r>
    </w:p>
    <w:p w:rsidR="00000000" w:rsidRDefault="00D718D0" w:rsidP="00BA3E8B">
      <w:pPr>
        <w:pStyle w:val="blokksit"/>
      </w:pPr>
      <w:r>
        <w:t>«et signal om at likestilling er viktig for utviklingen av et bærekraftig samfunn.»</w:t>
      </w:r>
    </w:p>
    <w:p w:rsidR="00000000" w:rsidRPr="009445FD" w:rsidRDefault="00D718D0" w:rsidP="00BA3E8B">
      <w:pPr>
        <w:rPr>
          <w:rStyle w:val="kursiv"/>
        </w:rPr>
      </w:pPr>
      <w:r>
        <w:rPr>
          <w:rStyle w:val="kursiv"/>
          <w:sz w:val="21"/>
          <w:szCs w:val="21"/>
        </w:rPr>
        <w:t xml:space="preserve">Likestillingssenteret </w:t>
      </w:r>
      <w:r>
        <w:t>fremhever i sitt høringssvar at:</w:t>
      </w:r>
    </w:p>
    <w:p w:rsidR="00000000" w:rsidRDefault="00D718D0" w:rsidP="00BA3E8B">
      <w:pPr>
        <w:pStyle w:val="blokksit"/>
        <w:rPr>
          <w:rFonts w:ascii="Times New Roman" w:hAnsi="Times New Roman" w:cs="Times New Roman"/>
          <w:szCs w:val="24"/>
          <w:lang w:val="en-US"/>
        </w:rPr>
      </w:pPr>
      <w:r>
        <w:t>«likestillingsutfordringene i Norge handler om mangler i strukture</w:t>
      </w:r>
      <w:r>
        <w:t>n for likestillingsarbeidet, man</w:t>
      </w:r>
      <w:r>
        <w:t>g</w:t>
      </w:r>
      <w:r>
        <w:t>lende oppfølging av aktivitetspliktene og en manglende problemforståelse. Likestilling</w:t>
      </w:r>
      <w:r>
        <w:t>s</w:t>
      </w:r>
      <w:r>
        <w:t>senteret møter ofte i sitt daglige virke en forestilling om at vi i Norge allerede er likestilt, og opplever denne antake</w:t>
      </w:r>
      <w:r>
        <w:t>l</w:t>
      </w:r>
      <w:r>
        <w:t>sen som et hin</w:t>
      </w:r>
      <w:r>
        <w:t>der i vårt arbeid for likestilling og mot diskriminering på alle grunnlag.»</w:t>
      </w:r>
    </w:p>
    <w:p w:rsidR="00000000" w:rsidRDefault="00D718D0" w:rsidP="00BA3E8B">
      <w:r>
        <w:t>Likestillingssenteret stiller seg positivt til departementets forslag om konkretisering og styrking av akt</w:t>
      </w:r>
      <w:r>
        <w:t>i</w:t>
      </w:r>
      <w:r>
        <w:t xml:space="preserve">vitets- og redegjørelsesplikten og mener det </w:t>
      </w:r>
    </w:p>
    <w:p w:rsidR="00000000" w:rsidRDefault="00D718D0" w:rsidP="00BA3E8B">
      <w:pPr>
        <w:pStyle w:val="blokksit"/>
      </w:pPr>
      <w:r>
        <w:t>«</w:t>
      </w:r>
      <w:r>
        <w:t>er et viktig insitament for norske virksomheter til å gjøre likestilling i praksis».</w:t>
      </w:r>
    </w:p>
    <w:p w:rsidR="00000000" w:rsidRDefault="00D718D0" w:rsidP="00BA3E8B">
      <w:r>
        <w:t>Likestillingssenteret uttaler videre:</w:t>
      </w:r>
    </w:p>
    <w:p w:rsidR="00000000" w:rsidRDefault="00D718D0" w:rsidP="00BA3E8B">
      <w:pPr>
        <w:pStyle w:val="blokksit"/>
      </w:pPr>
      <w:r>
        <w:t>«Vi vet at likestilling ikke kommer av seg selv, og at virksomhetene trenger en helt konkret e</w:t>
      </w:r>
      <w:r>
        <w:t>t</w:t>
      </w:r>
      <w:r>
        <w:t>te</w:t>
      </w:r>
      <w:r>
        <w:t>r</w:t>
      </w:r>
      <w:r>
        <w:t>spørsel om hvordan de fremmer likes</w:t>
      </w:r>
      <w:r>
        <w:t>tilling og hindrer diskriminering for at likestillingsarbe</w:t>
      </w:r>
      <w:r>
        <w:t>i</w:t>
      </w:r>
      <w:r>
        <w:lastRenderedPageBreak/>
        <w:t>det skal bli pri</w:t>
      </w:r>
      <w:r>
        <w:t>o</w:t>
      </w:r>
      <w:r>
        <w:t>ritert. I internasjonale sammenhenger liker Norge å vise til hvor gode vi er, spes</w:t>
      </w:r>
      <w:r>
        <w:t>i</w:t>
      </w:r>
      <w:r>
        <w:t>elt på kjønn</w:t>
      </w:r>
      <w:r>
        <w:t>s</w:t>
      </w:r>
      <w:r>
        <w:t>likesti</w:t>
      </w:r>
      <w:r>
        <w:t>l</w:t>
      </w:r>
      <w:r>
        <w:t>ling. For å kunne fortsette å vise til konkrete resultater på likestillingso</w:t>
      </w:r>
      <w:r>
        <w:t>mråde må vi som sa</w:t>
      </w:r>
      <w:r>
        <w:t>m</w:t>
      </w:r>
      <w:r>
        <w:t>funn være mer bevisste på å bygge ned barrierer og hindre utenforskap, for å bli bedre på likestilling.»</w:t>
      </w:r>
    </w:p>
    <w:p w:rsidR="00000000" w:rsidRDefault="00D718D0" w:rsidP="00BA3E8B">
      <w:r>
        <w:t xml:space="preserve">Flere høringsinstanser – herunder </w:t>
      </w:r>
      <w:r>
        <w:rPr>
          <w:rStyle w:val="kursiv"/>
          <w:sz w:val="21"/>
          <w:szCs w:val="21"/>
        </w:rPr>
        <w:t>Likestillingssenteret</w:t>
      </w:r>
      <w:r>
        <w:t xml:space="preserve">, </w:t>
      </w:r>
      <w:r>
        <w:rPr>
          <w:rStyle w:val="kursiv"/>
          <w:sz w:val="21"/>
          <w:szCs w:val="21"/>
        </w:rPr>
        <w:t>Reform</w:t>
      </w:r>
      <w:r>
        <w:t xml:space="preserve"> </w:t>
      </w:r>
      <w:r>
        <w:rPr>
          <w:rStyle w:val="kursiv"/>
          <w:sz w:val="21"/>
          <w:szCs w:val="21"/>
        </w:rPr>
        <w:t>– ressurssenter for menn</w:t>
      </w:r>
      <w:r>
        <w:t xml:space="preserve">, </w:t>
      </w:r>
      <w:r>
        <w:rPr>
          <w:rStyle w:val="kursiv"/>
          <w:sz w:val="21"/>
          <w:szCs w:val="21"/>
        </w:rPr>
        <w:t>Kompetans</w:t>
      </w:r>
      <w:r>
        <w:rPr>
          <w:rStyle w:val="kursiv"/>
          <w:sz w:val="21"/>
          <w:szCs w:val="21"/>
        </w:rPr>
        <w:t>e</w:t>
      </w:r>
      <w:r>
        <w:rPr>
          <w:rStyle w:val="kursiv"/>
          <w:sz w:val="21"/>
          <w:szCs w:val="21"/>
        </w:rPr>
        <w:t>senter for likestilling (KUN)</w:t>
      </w:r>
      <w:r>
        <w:t xml:space="preserve">, </w:t>
      </w:r>
      <w:r>
        <w:rPr>
          <w:rStyle w:val="kursiv"/>
          <w:sz w:val="21"/>
          <w:szCs w:val="21"/>
        </w:rPr>
        <w:t>S</w:t>
      </w:r>
      <w:r>
        <w:rPr>
          <w:rStyle w:val="kursiv"/>
          <w:sz w:val="21"/>
          <w:szCs w:val="21"/>
        </w:rPr>
        <w:t>enter for likestilling</w:t>
      </w:r>
      <w:r>
        <w:t xml:space="preserve">, </w:t>
      </w:r>
      <w:r>
        <w:rPr>
          <w:rStyle w:val="kursiv"/>
          <w:sz w:val="21"/>
          <w:szCs w:val="21"/>
        </w:rPr>
        <w:t>Yrkesorganisasjonenes sentralforbund (YS)</w:t>
      </w:r>
      <w:r>
        <w:t xml:space="preserve"> og </w:t>
      </w:r>
      <w:r>
        <w:rPr>
          <w:rStyle w:val="kursiv"/>
          <w:sz w:val="21"/>
          <w:szCs w:val="21"/>
        </w:rPr>
        <w:t>Senter for utvi</w:t>
      </w:r>
      <w:r>
        <w:rPr>
          <w:rStyle w:val="kursiv"/>
          <w:sz w:val="21"/>
          <w:szCs w:val="21"/>
        </w:rPr>
        <w:t>k</w:t>
      </w:r>
      <w:r>
        <w:rPr>
          <w:rStyle w:val="kursiv"/>
          <w:sz w:val="21"/>
          <w:szCs w:val="21"/>
        </w:rPr>
        <w:t>ling og miljø (SUM)</w:t>
      </w:r>
      <w:r>
        <w:t xml:space="preserve"> – støtter hovedsakelig samfunnsansvarsmodellen, men mener at likesti</w:t>
      </w:r>
      <w:r>
        <w:t>l</w:t>
      </w:r>
      <w:r>
        <w:t>lingsarbeid i tillegg skal integreres i virksomhetenes HMS-arbeid. Enkelte av diss</w:t>
      </w:r>
      <w:r>
        <w:t>e høringsi</w:t>
      </w:r>
      <w:r>
        <w:t>n</w:t>
      </w:r>
      <w:r>
        <w:t xml:space="preserve">stansene, blant annet </w:t>
      </w:r>
      <w:r>
        <w:rPr>
          <w:rStyle w:val="kursiv"/>
          <w:sz w:val="21"/>
          <w:szCs w:val="21"/>
        </w:rPr>
        <w:t>Bufdir</w:t>
      </w:r>
      <w:r>
        <w:t xml:space="preserve"> og </w:t>
      </w:r>
      <w:r>
        <w:rPr>
          <w:rStyle w:val="kursiv"/>
          <w:sz w:val="21"/>
          <w:szCs w:val="21"/>
        </w:rPr>
        <w:t>Antirasistisk senter,</w:t>
      </w:r>
      <w:r>
        <w:t xml:space="preserve"> mener at Arbeidstilsynet skal føre tilsyn med likestillingsarbeidet (f.eks. SUM), eller at samfunnsansvarsmodellen skal kombineres med et likestillingsutvalg i virksomhetene. </w:t>
      </w:r>
      <w:r>
        <w:rPr>
          <w:rStyle w:val="kursiv"/>
          <w:sz w:val="21"/>
          <w:szCs w:val="21"/>
        </w:rPr>
        <w:t>Diskrimineringsn</w:t>
      </w:r>
      <w:r>
        <w:rPr>
          <w:rStyle w:val="kursiv"/>
          <w:sz w:val="21"/>
          <w:szCs w:val="21"/>
        </w:rPr>
        <w:t>emnda</w:t>
      </w:r>
      <w:r>
        <w:t xml:space="preserve"> mener at modell 2, er bedre enn de andre modellene. </w:t>
      </w:r>
      <w:r>
        <w:rPr>
          <w:rStyle w:val="kursiv"/>
          <w:sz w:val="21"/>
          <w:szCs w:val="21"/>
        </w:rPr>
        <w:t>Spekter</w:t>
      </w:r>
      <w:r>
        <w:t xml:space="preserve"> og </w:t>
      </w:r>
      <w:r>
        <w:rPr>
          <w:rStyle w:val="kursiv"/>
          <w:sz w:val="21"/>
          <w:szCs w:val="21"/>
        </w:rPr>
        <w:t>Juridisk rådgi</w:t>
      </w:r>
      <w:r>
        <w:rPr>
          <w:rStyle w:val="kursiv"/>
          <w:sz w:val="21"/>
          <w:szCs w:val="21"/>
        </w:rPr>
        <w:t>v</w:t>
      </w:r>
      <w:r>
        <w:rPr>
          <w:rStyle w:val="kursiv"/>
          <w:sz w:val="21"/>
          <w:szCs w:val="21"/>
        </w:rPr>
        <w:t>ning for kvinner (JURK)</w:t>
      </w:r>
      <w:r>
        <w:t xml:space="preserve"> støtter ingen av modellene.</w:t>
      </w:r>
    </w:p>
    <w:p w:rsidR="00000000" w:rsidRPr="009445FD" w:rsidRDefault="00D718D0" w:rsidP="00BA3E8B">
      <w:pPr>
        <w:rPr>
          <w:rStyle w:val="halvfet"/>
        </w:rPr>
      </w:pPr>
      <w:r>
        <w:rPr>
          <w:rStyle w:val="kursiv"/>
          <w:sz w:val="21"/>
          <w:szCs w:val="21"/>
        </w:rPr>
        <w:t>Næringslivets hovedorganisasjon (NHO)</w:t>
      </w:r>
      <w:r>
        <w:t xml:space="preserve">, </w:t>
      </w:r>
      <w:r>
        <w:rPr>
          <w:rStyle w:val="kursiv"/>
          <w:sz w:val="21"/>
          <w:szCs w:val="21"/>
        </w:rPr>
        <w:t>Regelrådet</w:t>
      </w:r>
      <w:r>
        <w:t xml:space="preserve"> og </w:t>
      </w:r>
      <w:r>
        <w:rPr>
          <w:rStyle w:val="kursiv"/>
          <w:sz w:val="21"/>
          <w:szCs w:val="21"/>
        </w:rPr>
        <w:t>Den norske Revisorforeningen</w:t>
      </w:r>
      <w:r>
        <w:t xml:space="preserve"> mener at alle m</w:t>
      </w:r>
      <w:r>
        <w:t>o</w:t>
      </w:r>
      <w:r>
        <w:t>dellene er for krevend</w:t>
      </w:r>
      <w:r>
        <w:t xml:space="preserve">e, og ikke i tråd med målsettingene om forenkling og avbyråkratisering. Dersom noen av disse likevel iverksettes mener </w:t>
      </w:r>
      <w:r>
        <w:rPr>
          <w:rStyle w:val="kursiv"/>
          <w:sz w:val="21"/>
          <w:szCs w:val="21"/>
        </w:rPr>
        <w:t>NHO</w:t>
      </w:r>
      <w:r>
        <w:t xml:space="preserve"> at elementene i samfunnsansvarsmodellen skal kombineres med dok</w:t>
      </w:r>
      <w:r>
        <w:t>u</w:t>
      </w:r>
      <w:r>
        <w:t xml:space="preserve">mentasjonsplikten etter modell 3. </w:t>
      </w:r>
      <w:r>
        <w:rPr>
          <w:rStyle w:val="kursiv"/>
          <w:sz w:val="21"/>
          <w:szCs w:val="21"/>
        </w:rPr>
        <w:t>Regelrådet</w:t>
      </w:r>
      <w:r>
        <w:t xml:space="preserve"> og </w:t>
      </w:r>
      <w:r>
        <w:rPr>
          <w:rStyle w:val="kursiv"/>
          <w:sz w:val="21"/>
          <w:szCs w:val="21"/>
        </w:rPr>
        <w:t>Revisorforeningen</w:t>
      </w:r>
      <w:r>
        <w:t xml:space="preserve"> er </w:t>
      </w:r>
      <w:r>
        <w:t>kritiske og de mener at forslagene ikke er tilstrekkelig utredet.</w:t>
      </w:r>
    </w:p>
    <w:p w:rsidR="00000000" w:rsidRDefault="00D718D0" w:rsidP="00BA3E8B">
      <w:pPr>
        <w:pStyle w:val="Overskrift3"/>
      </w:pPr>
      <w:r>
        <w:t>Departementets vurderinger</w:t>
      </w:r>
    </w:p>
    <w:p w:rsidR="00000000" w:rsidRDefault="00D718D0" w:rsidP="00BA3E8B">
      <w:r>
        <w:t>Lovforslaget er en oppfølging av anmodningsvedtak nr. 1119 (2016–2017) som sier at aktivitets- og red</w:t>
      </w:r>
      <w:r>
        <w:t>e</w:t>
      </w:r>
      <w:r>
        <w:t>gjørelsesplikten skal styrkes ved å følge opp Skj</w:t>
      </w:r>
      <w:r>
        <w:t>eie-utvalgets anbefalinger. Skjeie-utvalget foreslår en r</w:t>
      </w:r>
      <w:r>
        <w:t>e</w:t>
      </w:r>
      <w:r>
        <w:t>degjørelsesplikt for virksomheter som er pålagt å utarbeide årsb</w:t>
      </w:r>
      <w:r>
        <w:t>e</w:t>
      </w:r>
      <w:r>
        <w:t>retning, og små foretak hadde på dav</w:t>
      </w:r>
      <w:r>
        <w:t>æ</w:t>
      </w:r>
      <w:r>
        <w:t>rende tidspunkt en plikt å levere årsberetningen. Sa</w:t>
      </w:r>
      <w:r>
        <w:t>m</w:t>
      </w:r>
      <w:r>
        <w:t>funnsansvarsmodellen er den eneste av de tr</w:t>
      </w:r>
      <w:r>
        <w:t>e ski</w:t>
      </w:r>
      <w:r>
        <w:t>s</w:t>
      </w:r>
      <w:r>
        <w:t>serte modellene som pålegger en redegjøre</w:t>
      </w:r>
      <w:r>
        <w:t>l</w:t>
      </w:r>
      <w:r>
        <w:t>sesplikt for arbeidsgivere/private virksomheter.</w:t>
      </w:r>
    </w:p>
    <w:p w:rsidR="00000000" w:rsidRDefault="00D718D0" w:rsidP="00BA3E8B">
      <w:r>
        <w:t>Etter departementets vurdering innebærer alle de tre skisserte modellene en betydelig styrking av det stru</w:t>
      </w:r>
      <w:r>
        <w:t>k</w:t>
      </w:r>
      <w:r>
        <w:t>turelle arbeidet med likestilling og ikke-diskrimine</w:t>
      </w:r>
      <w:r>
        <w:t>ring. Samfunnsansvarsmodellen legger til grunn at vir</w:t>
      </w:r>
      <w:r>
        <w:t>k</w:t>
      </w:r>
      <w:r>
        <w:t>somhetene bør bidra til en positiv samfunnsutvikling, ikke bare gjennom verdiskaping, men også gjennom bl.a. anstendig praksis i egen virksomhet, ivaretakelse av a</w:t>
      </w:r>
      <w:r>
        <w:t>r</w:t>
      </w:r>
      <w:r>
        <w:t>beidstakerrettigheter og likestilling.</w:t>
      </w:r>
      <w:r>
        <w:t xml:space="preserve"> I samfunn</w:t>
      </w:r>
      <w:r>
        <w:t>s</w:t>
      </w:r>
      <w:r>
        <w:t>ansvarsmodellen kombineres styrket aktivitets- og redegjørelsesplikt med et lovforslag om at aktivitets- og redegjørelsesplikten skal styreb</w:t>
      </w:r>
      <w:r>
        <w:t>e</w:t>
      </w:r>
      <w:r>
        <w:t>handles. Formålet er at lovendring vil bidra til økt innsats for likestilling i næringslivet. At a</w:t>
      </w:r>
      <w:r>
        <w:t>r</w:t>
      </w:r>
      <w:r>
        <w:t>beids</w:t>
      </w:r>
      <w:r>
        <w:t>givere skal redegjøre for de viktige strategiske beslutningene om likestilling som selskapets styre har vært involvert i, fremmer likestilling i næringslivet, jf. arbeidsgru</w:t>
      </w:r>
      <w:r>
        <w:t>p</w:t>
      </w:r>
      <w:r>
        <w:t>pens rapport til F</w:t>
      </w:r>
      <w:r>
        <w:t>i</w:t>
      </w:r>
      <w:r>
        <w:t>nansdepartementet «Krav til rapportering om samfunnsansvar» (20</w:t>
      </w:r>
      <w:r>
        <w:t>10). Hovedtrekkene i samfunnsansvar</w:t>
      </w:r>
      <w:r>
        <w:t>s</w:t>
      </w:r>
      <w:r>
        <w:t>modellen fikk bred støtte i høringen.</w:t>
      </w:r>
    </w:p>
    <w:p w:rsidR="00000000" w:rsidRDefault="00D718D0" w:rsidP="00BA3E8B">
      <w:r>
        <w:t>I modell 2 betraktes likestillingsarbeidet som en del av virksomheters HMS-arbeid. En tydelig og ve</w:t>
      </w:r>
      <w:r>
        <w:t>l</w:t>
      </w:r>
      <w:r>
        <w:t>etablert organisatorisk ramme for likestillingsarbeid vil være en fordel og enkelt</w:t>
      </w:r>
      <w:r>
        <w:t xml:space="preserve"> å impl</w:t>
      </w:r>
      <w:r>
        <w:t>e</w:t>
      </w:r>
      <w:r>
        <w:t>mentere. Gr</w:t>
      </w:r>
      <w:r>
        <w:t>a</w:t>
      </w:r>
      <w:r>
        <w:t>ver-utvalget mente at denne strukturen kan bringe med seg effektiviseringsgevinster knyttet til vekse</w:t>
      </w:r>
      <w:r>
        <w:t>l</w:t>
      </w:r>
      <w:r>
        <w:t>virkning av ulike tiltak. Noen høringsinstanser mente at samfunnsansvarsm</w:t>
      </w:r>
      <w:r>
        <w:t>o</w:t>
      </w:r>
      <w:r>
        <w:t>dellen skal integreres i vir</w:t>
      </w:r>
      <w:r>
        <w:t>k</w:t>
      </w:r>
      <w:r>
        <w:t>somhetenes HMS-arbeid.</w:t>
      </w:r>
    </w:p>
    <w:p w:rsidR="00000000" w:rsidRDefault="00D718D0" w:rsidP="00BA3E8B">
      <w:r>
        <w:lastRenderedPageBreak/>
        <w:t>Modell 3</w:t>
      </w:r>
      <w:r>
        <w:t xml:space="preserve"> innebærer at virksomheter av en viss størrelse skal etablere et likestillingsutvalg. Denne modellen har en struktur som, etter departementets vurdering, vil kunne innebære en betydelig kval</w:t>
      </w:r>
      <w:r>
        <w:t>i</w:t>
      </w:r>
      <w:r>
        <w:t>tetsmessig styrking av virksomhetenes likestillingsarbeid. Ulempe</w:t>
      </w:r>
      <w:r>
        <w:t>n med denne modellen er at organis</w:t>
      </w:r>
      <w:r>
        <w:t>e</w:t>
      </w:r>
      <w:r>
        <w:t>ringen og arbeidsformen kan oppleves som byråkratisk og byrdefull.</w:t>
      </w:r>
    </w:p>
    <w:p w:rsidR="00000000" w:rsidRDefault="00D718D0" w:rsidP="00BA3E8B">
      <w:r>
        <w:t>Når det gjelder redegjørelsesplikten, er departementet opptatt av at dette ikke blir en ren papi</w:t>
      </w:r>
      <w:r>
        <w:t>r</w:t>
      </w:r>
      <w:r>
        <w:t>øvelse, men at dokumentasjonen i størst mulig grad skal k</w:t>
      </w:r>
      <w:r>
        <w:t>unne bidra til kvalitetsutvikling. D</w:t>
      </w:r>
      <w:r>
        <w:t>e</w:t>
      </w:r>
      <w:r>
        <w:t>partementets fo</w:t>
      </w:r>
      <w:r>
        <w:t>r</w:t>
      </w:r>
      <w:r>
        <w:t>slag for sa</w:t>
      </w:r>
      <w:r>
        <w:t>m</w:t>
      </w:r>
      <w:r>
        <w:t>funnsansvarsmodellen innebærer at oppfølgingen av aktivitets- og redegjørelsesplikten først og fremst bør bygge på et samarbeid mellom Likestillings- og di</w:t>
      </w:r>
      <w:r>
        <w:t>s</w:t>
      </w:r>
      <w:r>
        <w:t>krimineringsombudet og virksomheten</w:t>
      </w:r>
      <w:r>
        <w:t>.</w:t>
      </w:r>
    </w:p>
    <w:p w:rsidR="00000000" w:rsidRDefault="00D718D0" w:rsidP="00BA3E8B">
      <w:r>
        <w:t>Stortinget har i anmodningsvedtaket bedt regjeringen om å bevare og styrke aktivitets- red</w:t>
      </w:r>
      <w:r>
        <w:t>e</w:t>
      </w:r>
      <w:r>
        <w:t>gjørelse</w:t>
      </w:r>
      <w:r>
        <w:t>s</w:t>
      </w:r>
      <w:r>
        <w:t>plikten ved å følge opp Skjeie-utvalgets anbefalinger. Samfunnsansvarsmodellen i</w:t>
      </w:r>
      <w:r>
        <w:t>n</w:t>
      </w:r>
      <w:r>
        <w:t>nebærer at de organ</w:t>
      </w:r>
      <w:r>
        <w:t>i</w:t>
      </w:r>
      <w:r>
        <w:t>satoriske rammene for likestillingsarbeidet gir mer r</w:t>
      </w:r>
      <w:r>
        <w:t>om for lokale løsninger og tilpasninger etter vir</w:t>
      </w:r>
      <w:r>
        <w:t>k</w:t>
      </w:r>
      <w:r>
        <w:t>somhetens behov, enn de to andre modellene. Etter departementets vurdering vil samfunnsansvarsm</w:t>
      </w:r>
      <w:r>
        <w:t>o</w:t>
      </w:r>
      <w:r>
        <w:t>dellen imøtekomme Sto</w:t>
      </w:r>
      <w:r>
        <w:t>r</w:t>
      </w:r>
      <w:r>
        <w:t>tingets anmodning på en egnet måte.</w:t>
      </w:r>
    </w:p>
    <w:p w:rsidR="00000000" w:rsidRDefault="00D718D0" w:rsidP="00BA3E8B">
      <w:r>
        <w:t>I likhet med næringslivets representanter, er depart</w:t>
      </w:r>
      <w:r>
        <w:t>ementet opptatt av at små foretak ikke påføres ufo</w:t>
      </w:r>
      <w:r>
        <w:t>r</w:t>
      </w:r>
      <w:r>
        <w:t>holdsmessige administrative eller økonomiske byrder. Departementet har derfor valgt å fremme et lovforslag, der hovedelementene i samfunnsansvarsmodellen (modell 1) kombineres med forslag om en dokument</w:t>
      </w:r>
      <w:r>
        <w:t>a</w:t>
      </w:r>
      <w:r>
        <w:t>sj</w:t>
      </w:r>
      <w:r>
        <w:t>onsplikt for arbeidsgivere i de minste virksomhetene (modell 3).</w:t>
      </w:r>
    </w:p>
    <w:p w:rsidR="00000000" w:rsidRDefault="00D718D0" w:rsidP="00BA3E8B">
      <w:pPr>
        <w:pStyle w:val="Overskrift2"/>
      </w:pPr>
      <w:r>
        <w:t>Styrket aktivitetsplikt for alle arbeidsgivere</w:t>
      </w:r>
    </w:p>
    <w:p w:rsidR="00000000" w:rsidRDefault="00D718D0" w:rsidP="00BA3E8B">
      <w:pPr>
        <w:pStyle w:val="Overskrift3"/>
      </w:pPr>
      <w:r>
        <w:t>Innledning</w:t>
      </w:r>
    </w:p>
    <w:p w:rsidR="00000000" w:rsidRDefault="00D718D0" w:rsidP="00BA3E8B">
      <w:r>
        <w:t>Likestilling og mangfold i arbeidslivet er sentralt for å</w:t>
      </w:r>
      <w:r>
        <w:t xml:space="preserve"> ivareta de ansatte og deres arbeidst</w:t>
      </w:r>
      <w:r>
        <w:t>a</w:t>
      </w:r>
      <w:r>
        <w:t>kerrettigheter. Likestilling bidrar til verdiskapning og innovasjon i arbeidslivet, og til et bær</w:t>
      </w:r>
      <w:r>
        <w:t>e</w:t>
      </w:r>
      <w:r>
        <w:t>kraftig samfunnsutvikling mer generelt. Aktivitets- og redegjørelsesplikten er et viktig virk</w:t>
      </w:r>
      <w:r>
        <w:t>e</w:t>
      </w:r>
      <w:r>
        <w:t>middel for å fremme system</w:t>
      </w:r>
      <w:r>
        <w:t>atisk og planmessig arbeid for likestilling.</w:t>
      </w:r>
    </w:p>
    <w:p w:rsidR="00000000" w:rsidRDefault="00D718D0" w:rsidP="00BA3E8B">
      <w:r>
        <w:t>Departementet fremmer i denne lovproposisjonen også et forslag om et lavterskeltilbud for b</w:t>
      </w:r>
      <w:r>
        <w:t>e</w:t>
      </w:r>
      <w:r>
        <w:t>han</w:t>
      </w:r>
      <w:r>
        <w:t>d</w:t>
      </w:r>
      <w:r>
        <w:t>ling av saker om seksuell trakassering. Forslagene vil samlet sett styrke arbeidet for økt likestilling.</w:t>
      </w:r>
    </w:p>
    <w:p w:rsidR="00000000" w:rsidRDefault="00D718D0" w:rsidP="00BA3E8B">
      <w:r>
        <w:t>Departemen</w:t>
      </w:r>
      <w:r>
        <w:t>tet har vurdert at følgende innsatsområder er særlig viktige for alle arbeidsgivere, ua</w:t>
      </w:r>
      <w:r>
        <w:t>v</w:t>
      </w:r>
      <w:r>
        <w:t>hengig av virksomhetens størrelse: sammensatt diskriminering, seksuell trakassering og kjønnsbasert vold. Lovforsl</w:t>
      </w:r>
      <w:r>
        <w:t>a</w:t>
      </w:r>
      <w:r>
        <w:t>gene knyttet til sammensatt diskriminering og seksuel</w:t>
      </w:r>
      <w:r>
        <w:t>l trakassering omtales nedenfor.</w:t>
      </w:r>
    </w:p>
    <w:p w:rsidR="00000000" w:rsidRDefault="00D718D0" w:rsidP="00BA3E8B">
      <w:r>
        <w:t>Forslaget om styrket innsats mot kjønnsbasert vold omtales nedenfor i kapittel 3.7.4.</w:t>
      </w:r>
    </w:p>
    <w:p w:rsidR="00000000" w:rsidRDefault="00D718D0" w:rsidP="00BA3E8B">
      <w:pPr>
        <w:pStyle w:val="Overskrift3"/>
      </w:pPr>
      <w:r>
        <w:t>Sammensatt diskriminering</w:t>
      </w:r>
    </w:p>
    <w:p w:rsidR="00000000" w:rsidRDefault="00D718D0" w:rsidP="00BA3E8B">
      <w:pPr>
        <w:pStyle w:val="Overskrift4"/>
      </w:pPr>
      <w:r>
        <w:t>Gjeldende rett</w:t>
      </w:r>
    </w:p>
    <w:p w:rsidR="00000000" w:rsidRDefault="00D718D0" w:rsidP="00BA3E8B">
      <w:r>
        <w:t>Sammensatt diskriminering er forbudt etter likestillings- og diskrim</w:t>
      </w:r>
      <w:r>
        <w:t>ineringsloven § 6.</w:t>
      </w:r>
    </w:p>
    <w:p w:rsidR="00000000" w:rsidRDefault="00D718D0" w:rsidP="00BA3E8B">
      <w:r>
        <w:t xml:space="preserve">Det fremgår av denne bestemmelsen at diskriminering på grunn av kjønn, graviditet, permisjon ved fødsel eller adopsjon, omsorgsoppgaver, etnisitet, religion, livssyn, funksjonsnedsettelse, </w:t>
      </w:r>
      <w:r>
        <w:lastRenderedPageBreak/>
        <w:t>seksuell orient</w:t>
      </w:r>
      <w:r>
        <w:t>e</w:t>
      </w:r>
      <w:r>
        <w:t>ring, kjønns</w:t>
      </w:r>
      <w:r>
        <w:t>i</w:t>
      </w:r>
      <w:r>
        <w:t>dentitet, kjønnsutt</w:t>
      </w:r>
      <w:r>
        <w:t>rykk, alder eller kombinasjoner av disse grun</w:t>
      </w:r>
      <w:r>
        <w:t>n</w:t>
      </w:r>
      <w:r>
        <w:t>lagene er forbudt.</w:t>
      </w:r>
    </w:p>
    <w:p w:rsidR="00000000" w:rsidRDefault="00D718D0" w:rsidP="00BA3E8B">
      <w:r>
        <w:t>Begrepet «sammensatt diskriminering» bygger på teorien om «interseksjonalitet.» Interseksj</w:t>
      </w:r>
      <w:r>
        <w:t>o</w:t>
      </w:r>
      <w:r>
        <w:t>nalitet viser til at individer tilhører flere identitetskategorier og viser til at individer kan opp</w:t>
      </w:r>
      <w:r>
        <w:t>leve diskriminering som skyldes et samvirke av flere diskrimineringsgrunnlag. Dette betyr at det ikke alltid kan konstateres at diskriminering skjer (bare) på grunn av kjønn, eller på grunn av etnisitet. Diskriminering kan også være utfallet av at kjønn og</w:t>
      </w:r>
      <w:r>
        <w:t xml:space="preserve"> etnisitet påvirker situasjonen samtidig. En og samme handling kan ha forskje</w:t>
      </w:r>
      <w:r>
        <w:t>l</w:t>
      </w:r>
      <w:r>
        <w:t>lige konsekvenser f.eks. for kvinner, menn, interseksuelle, eller transseksuelle personer avhengig av d</w:t>
      </w:r>
      <w:r>
        <w:t>e</w:t>
      </w:r>
      <w:r>
        <w:t>res etnisitet, funksjonsnivå, se</w:t>
      </w:r>
      <w:r>
        <w:t>k</w:t>
      </w:r>
      <w:r>
        <w:t>suelle orientering, eller andre forhold k</w:t>
      </w:r>
      <w:r>
        <w:t>nyttet til denne personen.</w:t>
      </w:r>
    </w:p>
    <w:p w:rsidR="00000000" w:rsidRDefault="00D718D0" w:rsidP="00BA3E8B">
      <w:r>
        <w:t>Sammensatt diskriminering vil ofte innebære en ekstra belastning for den det gjelder, og det kan til dels være vanskelig å identifisere sammensatt diskriminering i rettslig sammenheng. Denne type han</w:t>
      </w:r>
      <w:r>
        <w:t>d</w:t>
      </w:r>
      <w:r>
        <w:t>linger innebærer ofte indirek</w:t>
      </w:r>
      <w:r>
        <w:t>te diskriminering eller gjenspeiler strukturelle barrierer for likestilling.</w:t>
      </w:r>
    </w:p>
    <w:p w:rsidR="00000000" w:rsidRDefault="00D718D0" w:rsidP="00BA3E8B">
      <w:r>
        <w:t>Arbeidsgivere skal arbeide aktivt for å fremme likestilling og hindre diskriminering på alle l</w:t>
      </w:r>
      <w:r>
        <w:t>o</w:t>
      </w:r>
      <w:r>
        <w:t>vens di</w:t>
      </w:r>
      <w:r>
        <w:t>s</w:t>
      </w:r>
      <w:r>
        <w:t>krim</w:t>
      </w:r>
      <w:r>
        <w:t>i</w:t>
      </w:r>
      <w:r>
        <w:t>neringsgrunnlag, med unntak av alder, jf. § </w:t>
      </w:r>
      <w:r>
        <w:t>26 i likestillings- og diskriminering</w:t>
      </w:r>
      <w:r>
        <w:t>s</w:t>
      </w:r>
      <w:r>
        <w:t>loven. Arbeidsgivere har ikke en lovpålagt plikt å arbeide mot sammensatt diskriminering etter gjeldende rett.</w:t>
      </w:r>
    </w:p>
    <w:p w:rsidR="00000000" w:rsidRDefault="00D718D0" w:rsidP="00BA3E8B">
      <w:pPr>
        <w:pStyle w:val="Overskrift4"/>
      </w:pPr>
      <w:r>
        <w:t>Forslag i høringsnotatet</w:t>
      </w:r>
    </w:p>
    <w:p w:rsidR="00000000" w:rsidRDefault="00D718D0" w:rsidP="00BA3E8B">
      <w:r>
        <w:t>Departementet foreslo i høringsnotatet at den generelle aktivitets</w:t>
      </w:r>
      <w:r>
        <w:t>plikten for alle arbeidsgivere styrkes ved at arbeidsgiver får en plikt å jobbe aktivt med å fremme likestilling og hindre di</w:t>
      </w:r>
      <w:r>
        <w:t>s</w:t>
      </w:r>
      <w:r>
        <w:t>kriminering på grunn av en kombinasjon av flere diskrimineringsgrunnlag.</w:t>
      </w:r>
    </w:p>
    <w:p w:rsidR="00000000" w:rsidRDefault="00D718D0" w:rsidP="00BA3E8B">
      <w:pPr>
        <w:pStyle w:val="Overskrift4"/>
      </w:pPr>
      <w:r>
        <w:t>Høringsinstansenes syn</w:t>
      </w:r>
    </w:p>
    <w:p w:rsidR="00000000" w:rsidRDefault="00D718D0" w:rsidP="00BA3E8B">
      <w:r>
        <w:t xml:space="preserve">Et stort flertall </w:t>
      </w:r>
      <w:r>
        <w:t xml:space="preserve">av de høringsinstansene som har uttalt seg om dette, er enige med departementet om at den generelle aktivitetsplikten for arbeidsgivere skal tydeliggjøres. Flere høringsinstanser – herunder </w:t>
      </w:r>
      <w:r>
        <w:rPr>
          <w:rStyle w:val="kursiv"/>
          <w:sz w:val="21"/>
          <w:szCs w:val="21"/>
        </w:rPr>
        <w:t>Kvi</w:t>
      </w:r>
      <w:r>
        <w:rPr>
          <w:rStyle w:val="kursiv"/>
          <w:sz w:val="21"/>
          <w:szCs w:val="21"/>
        </w:rPr>
        <w:t>n</w:t>
      </w:r>
      <w:r>
        <w:rPr>
          <w:rStyle w:val="kursiv"/>
          <w:sz w:val="21"/>
          <w:szCs w:val="21"/>
        </w:rPr>
        <w:t>nefronten Norge</w:t>
      </w:r>
      <w:r>
        <w:t xml:space="preserve">, </w:t>
      </w:r>
      <w:r>
        <w:rPr>
          <w:rStyle w:val="kursiv"/>
          <w:sz w:val="21"/>
          <w:szCs w:val="21"/>
        </w:rPr>
        <w:t xml:space="preserve">Oslo kommune byrådsavdeling for eldre, helse </w:t>
      </w:r>
      <w:r>
        <w:rPr>
          <w:rStyle w:val="kursiv"/>
          <w:sz w:val="21"/>
          <w:szCs w:val="21"/>
        </w:rPr>
        <w:t>og arbeid</w:t>
      </w:r>
      <w:r>
        <w:t xml:space="preserve">, </w:t>
      </w:r>
      <w:r>
        <w:rPr>
          <w:rStyle w:val="kursiv"/>
          <w:sz w:val="21"/>
          <w:szCs w:val="21"/>
        </w:rPr>
        <w:t>Bufdir</w:t>
      </w:r>
      <w:r>
        <w:t xml:space="preserve">, </w:t>
      </w:r>
      <w:r>
        <w:rPr>
          <w:rStyle w:val="kursiv"/>
          <w:sz w:val="21"/>
          <w:szCs w:val="21"/>
        </w:rPr>
        <w:t>Lik</w:t>
      </w:r>
      <w:r>
        <w:rPr>
          <w:rStyle w:val="kursiv"/>
          <w:sz w:val="21"/>
          <w:szCs w:val="21"/>
        </w:rPr>
        <w:t>e</w:t>
      </w:r>
      <w:r>
        <w:rPr>
          <w:rStyle w:val="kursiv"/>
          <w:sz w:val="21"/>
          <w:szCs w:val="21"/>
        </w:rPr>
        <w:t>stillingssenteret</w:t>
      </w:r>
      <w:r>
        <w:t xml:space="preserve"> og </w:t>
      </w:r>
      <w:r>
        <w:rPr>
          <w:rStyle w:val="kursiv"/>
          <w:sz w:val="21"/>
          <w:szCs w:val="21"/>
        </w:rPr>
        <w:t>KS</w:t>
      </w:r>
      <w:r>
        <w:t xml:space="preserve"> – støtter alle departementets forslag. </w:t>
      </w:r>
      <w:r>
        <w:rPr>
          <w:rStyle w:val="kursiv"/>
          <w:sz w:val="21"/>
          <w:szCs w:val="21"/>
        </w:rPr>
        <w:t>Avdeling for kvinnerett, barnerett, diskr</w:t>
      </w:r>
      <w:r>
        <w:rPr>
          <w:rStyle w:val="kursiv"/>
          <w:sz w:val="21"/>
          <w:szCs w:val="21"/>
        </w:rPr>
        <w:t>i</w:t>
      </w:r>
      <w:r>
        <w:rPr>
          <w:rStyle w:val="kursiv"/>
          <w:sz w:val="21"/>
          <w:szCs w:val="21"/>
        </w:rPr>
        <w:t>minerings- og likestilling</w:t>
      </w:r>
      <w:r>
        <w:rPr>
          <w:rStyle w:val="kursiv"/>
          <w:sz w:val="21"/>
          <w:szCs w:val="21"/>
        </w:rPr>
        <w:t>s</w:t>
      </w:r>
      <w:r>
        <w:rPr>
          <w:rStyle w:val="kursiv"/>
          <w:sz w:val="21"/>
          <w:szCs w:val="21"/>
        </w:rPr>
        <w:t>rett ved Det juridiske fakultet, Universitetet i Oslo (KVIBALD)</w:t>
      </w:r>
      <w:r>
        <w:t xml:space="preserve"> støtter også fo</w:t>
      </w:r>
      <w:r>
        <w:t>r</w:t>
      </w:r>
      <w:r>
        <w:t xml:space="preserve">slaget, og viser for </w:t>
      </w:r>
      <w:r>
        <w:t>øvrig til at st</w:t>
      </w:r>
      <w:r>
        <w:t>e</w:t>
      </w:r>
      <w:r>
        <w:t>reotypisering, som ofte henger sammen med diskriminering, også bør fremheves. Enkelte høringsi</w:t>
      </w:r>
      <w:r>
        <w:t>n</w:t>
      </w:r>
      <w:r>
        <w:t xml:space="preserve">stanser, som </w:t>
      </w:r>
      <w:r>
        <w:rPr>
          <w:rStyle w:val="kursiv"/>
          <w:sz w:val="21"/>
          <w:szCs w:val="21"/>
        </w:rPr>
        <w:t>Spekter</w:t>
      </w:r>
      <w:r>
        <w:t xml:space="preserve"> og </w:t>
      </w:r>
      <w:r>
        <w:rPr>
          <w:rStyle w:val="kursiv"/>
          <w:sz w:val="21"/>
          <w:szCs w:val="21"/>
        </w:rPr>
        <w:t>Virke</w:t>
      </w:r>
      <w:r>
        <w:t>, går imidlertid imot forslaget. Ifølge Spekter går forslaget om aktivitetspli</w:t>
      </w:r>
      <w:r>
        <w:t>k</w:t>
      </w:r>
      <w:r>
        <w:t>ten:</w:t>
      </w:r>
    </w:p>
    <w:p w:rsidR="00000000" w:rsidRDefault="00D718D0" w:rsidP="00BA3E8B">
      <w:pPr>
        <w:pStyle w:val="blokksit"/>
      </w:pPr>
      <w:r>
        <w:t>«for spesifikt til verks med å u</w:t>
      </w:r>
      <w:r>
        <w:t>tpensle innholdet i plikten.»</w:t>
      </w:r>
    </w:p>
    <w:p w:rsidR="00000000" w:rsidRDefault="00D718D0" w:rsidP="00BA3E8B">
      <w:r>
        <w:t xml:space="preserve">En rekke høringsinstanser, herunder </w:t>
      </w:r>
      <w:r>
        <w:rPr>
          <w:rStyle w:val="kursiv"/>
          <w:sz w:val="21"/>
          <w:szCs w:val="21"/>
        </w:rPr>
        <w:t>Likestillings- og diskrimineringsombudet</w:t>
      </w:r>
      <w:r>
        <w:t xml:space="preserve">, </w:t>
      </w:r>
      <w:r>
        <w:rPr>
          <w:rStyle w:val="kursiv"/>
          <w:sz w:val="21"/>
          <w:szCs w:val="21"/>
        </w:rPr>
        <w:t>KVIBALD</w:t>
      </w:r>
      <w:r>
        <w:t xml:space="preserve">, </w:t>
      </w:r>
      <w:r>
        <w:rPr>
          <w:rStyle w:val="kursiv"/>
          <w:sz w:val="21"/>
          <w:szCs w:val="21"/>
        </w:rPr>
        <w:t>Finansfo</w:t>
      </w:r>
      <w:r>
        <w:rPr>
          <w:rStyle w:val="kursiv"/>
          <w:sz w:val="21"/>
          <w:szCs w:val="21"/>
        </w:rPr>
        <w:t>r</w:t>
      </w:r>
      <w:r>
        <w:rPr>
          <w:rStyle w:val="kursiv"/>
          <w:sz w:val="21"/>
          <w:szCs w:val="21"/>
        </w:rPr>
        <w:t>bundet</w:t>
      </w:r>
      <w:r>
        <w:t xml:space="preserve">, </w:t>
      </w:r>
      <w:r>
        <w:rPr>
          <w:rStyle w:val="kursiv"/>
          <w:sz w:val="21"/>
          <w:szCs w:val="21"/>
        </w:rPr>
        <w:t>JURK</w:t>
      </w:r>
      <w:r>
        <w:t xml:space="preserve">, </w:t>
      </w:r>
      <w:r>
        <w:rPr>
          <w:rStyle w:val="kursiv"/>
          <w:sz w:val="21"/>
          <w:szCs w:val="21"/>
        </w:rPr>
        <w:t>Bufdir</w:t>
      </w:r>
      <w:r>
        <w:t xml:space="preserve">, </w:t>
      </w:r>
      <w:r>
        <w:rPr>
          <w:rStyle w:val="kursiv"/>
          <w:sz w:val="21"/>
          <w:szCs w:val="21"/>
        </w:rPr>
        <w:t>YS</w:t>
      </w:r>
      <w:r>
        <w:t xml:space="preserve">, </w:t>
      </w:r>
      <w:r>
        <w:rPr>
          <w:rStyle w:val="kursiv"/>
          <w:sz w:val="21"/>
          <w:szCs w:val="21"/>
        </w:rPr>
        <w:t>Universitetet i Oslo senter for utvikling og miljø (SUM),</w:t>
      </w:r>
      <w:r>
        <w:t xml:space="preserve"> </w:t>
      </w:r>
      <w:r>
        <w:rPr>
          <w:rStyle w:val="kursiv"/>
          <w:sz w:val="21"/>
          <w:szCs w:val="21"/>
        </w:rPr>
        <w:t>LO</w:t>
      </w:r>
      <w:r>
        <w:t xml:space="preserve"> og </w:t>
      </w:r>
      <w:r>
        <w:rPr>
          <w:rStyle w:val="kursiv"/>
          <w:sz w:val="21"/>
          <w:szCs w:val="21"/>
        </w:rPr>
        <w:t>Hørselshemmedes land</w:t>
      </w:r>
      <w:r>
        <w:rPr>
          <w:rStyle w:val="kursiv"/>
          <w:sz w:val="21"/>
          <w:szCs w:val="21"/>
        </w:rPr>
        <w:t>s</w:t>
      </w:r>
      <w:r>
        <w:rPr>
          <w:rStyle w:val="kursiv"/>
          <w:sz w:val="21"/>
          <w:szCs w:val="21"/>
        </w:rPr>
        <w:t xml:space="preserve">forbund </w:t>
      </w:r>
      <w:r>
        <w:t xml:space="preserve">ga uttrykk </w:t>
      </w:r>
      <w:r>
        <w:t>for at det også skal være en aktivitetsplikt for arbeidsgivere knyttet til diskrimin</w:t>
      </w:r>
      <w:r>
        <w:t>e</w:t>
      </w:r>
      <w:r>
        <w:t>ringsgrunnlaget alder. Flere høringsinstanser savner en begrunnelse for hvorfor alder, som det eneste av likestillings- og diskrimineringslovens diskrimineringsgrunnlag, i</w:t>
      </w:r>
      <w:r>
        <w:t>kke er o</w:t>
      </w:r>
      <w:r>
        <w:t>m</w:t>
      </w:r>
      <w:r>
        <w:t xml:space="preserve">fattet av aktivitetsplikten. </w:t>
      </w:r>
      <w:r>
        <w:rPr>
          <w:rStyle w:val="kursiv"/>
          <w:sz w:val="21"/>
          <w:szCs w:val="21"/>
        </w:rPr>
        <w:t>Norges nasjonale institusjon for menneskerettigheter (NIM)</w:t>
      </w:r>
      <w:r>
        <w:t xml:space="preserve"> mener at:</w:t>
      </w:r>
    </w:p>
    <w:p w:rsidR="00000000" w:rsidRDefault="00D718D0" w:rsidP="00BA3E8B">
      <w:pPr>
        <w:pStyle w:val="blokksit"/>
      </w:pPr>
      <w:r>
        <w:t>«det er uheldig å utelate diskrimineringsgrunnlaget alder fra § 26 om arbeidsgivers aktivitet</w:t>
      </w:r>
      <w:r>
        <w:t>s</w:t>
      </w:r>
      <w:r>
        <w:t xml:space="preserve">plikt. Det er åpenbart at det er forskjell på de ulike </w:t>
      </w:r>
      <w:r>
        <w:t>diskrimineringsgrunnlagene når det gjelder hva som kan anses som saklig diskriminering. Hudfarge vil svært sjelden kunne være et saklig diskriminering</w:t>
      </w:r>
      <w:r>
        <w:t>s</w:t>
      </w:r>
      <w:r>
        <w:t xml:space="preserve">grunnlag, mens alder i mange tilfeller vil kunne være det. Å inkludere alder i § 26 </w:t>
      </w:r>
      <w:r>
        <w:lastRenderedPageBreak/>
        <w:t>vil ikke endre a</w:t>
      </w:r>
      <w:r>
        <w:t>r</w:t>
      </w:r>
      <w:r>
        <w:t>beid</w:t>
      </w:r>
      <w:r>
        <w:t>sgivers rettsstilling med hensyn til adgang til å forskjellsbehandle på grunn av alder.»</w:t>
      </w:r>
    </w:p>
    <w:p w:rsidR="00000000" w:rsidRPr="009445FD" w:rsidRDefault="00D718D0" w:rsidP="00BA3E8B">
      <w:pPr>
        <w:rPr>
          <w:rStyle w:val="kursiv"/>
        </w:rPr>
      </w:pPr>
      <w:r>
        <w:rPr>
          <w:rStyle w:val="kursiv"/>
          <w:sz w:val="21"/>
          <w:szCs w:val="21"/>
        </w:rPr>
        <w:t xml:space="preserve">Likestillings- og diskrimineringsombudet </w:t>
      </w:r>
      <w:r>
        <w:t>mener at det at diskrimineringsvernet på grunn av alder er b</w:t>
      </w:r>
      <w:r>
        <w:t>e</w:t>
      </w:r>
      <w:r>
        <w:t>holdt i arbeidsmiljøloven, ikke er en god grunn til å utelate ald</w:t>
      </w:r>
      <w:r>
        <w:t>er fra arbeidsgivers aktivitet</w:t>
      </w:r>
      <w:r>
        <w:t>s</w:t>
      </w:r>
      <w:r>
        <w:t>plikt. Omb</w:t>
      </w:r>
      <w:r>
        <w:t>u</w:t>
      </w:r>
      <w:r>
        <w:t>det sier blant annet at:</w:t>
      </w:r>
    </w:p>
    <w:p w:rsidR="00000000" w:rsidRDefault="00D718D0" w:rsidP="00BA3E8B">
      <w:pPr>
        <w:pStyle w:val="blokksit"/>
      </w:pPr>
      <w:r>
        <w:t>«tvert imot er arbeidslivet et av de områdene vi vet at det skjer utstrakt aldersdiskriminering, og o</w:t>
      </w:r>
      <w:r>
        <w:t>m</w:t>
      </w:r>
      <w:r>
        <w:t>budet mener derfor at en aktivitetsplikt på dette området vil være viktig for å forebyg</w:t>
      </w:r>
      <w:r>
        <w:t>ge og ta tak i a</w:t>
      </w:r>
      <w:r>
        <w:t>l</w:t>
      </w:r>
      <w:r>
        <w:t>dersdiskriminering.»</w:t>
      </w:r>
    </w:p>
    <w:p w:rsidR="00000000" w:rsidRPr="009445FD" w:rsidRDefault="00D718D0" w:rsidP="00BA3E8B">
      <w:pPr>
        <w:rPr>
          <w:rStyle w:val="kursiv"/>
        </w:rPr>
      </w:pPr>
      <w:r>
        <w:rPr>
          <w:rStyle w:val="kursiv"/>
          <w:sz w:val="21"/>
          <w:szCs w:val="21"/>
        </w:rPr>
        <w:t>Ombudet</w:t>
      </w:r>
      <w:r>
        <w:t xml:space="preserve"> viser i tillegg til at bl.a. Sverige har en aktivitetsplikt for alder også i arbeidslivet.</w:t>
      </w:r>
    </w:p>
    <w:p w:rsidR="00000000" w:rsidRDefault="00D718D0" w:rsidP="00BA3E8B">
      <w:pPr>
        <w:pStyle w:val="Overskrift4"/>
      </w:pPr>
      <w:r>
        <w:t>Departementets vurderinger</w:t>
      </w:r>
    </w:p>
    <w:p w:rsidR="00000000" w:rsidRDefault="00D718D0" w:rsidP="00BA3E8B">
      <w:r>
        <w:t>Departementet opprettholder forslaget om at aktivitetsplikten for alle arbeidsgivere skal utvides til å o</w:t>
      </w:r>
      <w:r>
        <w:t>m</w:t>
      </w:r>
      <w:r>
        <w:t>fatte sammensatt diskriminering.</w:t>
      </w:r>
    </w:p>
    <w:p w:rsidR="00000000" w:rsidRDefault="00D718D0" w:rsidP="00BA3E8B">
      <w:r>
        <w:t>Denne generelle aktivitetsplikten gjelder arbeidsgivere i offentlige virksomheter og i myndi</w:t>
      </w:r>
      <w:r>
        <w:t>g</w:t>
      </w:r>
      <w:r>
        <w:t>hetso</w:t>
      </w:r>
      <w:r>
        <w:t>r</w:t>
      </w:r>
      <w:r>
        <w:t>ganer, samt arbeid</w:t>
      </w:r>
      <w:r>
        <w:t>sgivere i private virksomheter og i foretak. Den konkretiserte aktiv</w:t>
      </w:r>
      <w:r>
        <w:t>i</w:t>
      </w:r>
      <w:r>
        <w:t>tetsplikten, og d</w:t>
      </w:r>
      <w:r>
        <w:t>o</w:t>
      </w:r>
      <w:r>
        <w:t>kumentasjons- og redegjørelsesplikten, jf. forslag til likestillings- og diskr</w:t>
      </w:r>
      <w:r>
        <w:t>i</w:t>
      </w:r>
      <w:r>
        <w:t>mineringsloven §§ 26 annet ledd, 26a og 26b, gjør imidlertid en forskjell mellom arbeidsgi</w:t>
      </w:r>
      <w:r>
        <w:t>vere i offentlige virksomheter, og arbeid</w:t>
      </w:r>
      <w:r>
        <w:t>s</w:t>
      </w:r>
      <w:r>
        <w:t>givere i private virkso</w:t>
      </w:r>
      <w:r>
        <w:t>m</w:t>
      </w:r>
      <w:r>
        <w:t>heter. Med arbeidsgivere i offentlige virksomheter menes arbeidsgivere i statlige, fylkeskommunale og kommunale virksomheter, inkludert arbeidsgivere i andre «offentligrettslige org</w:t>
      </w:r>
      <w:r>
        <w:t>a</w:t>
      </w:r>
      <w:r>
        <w:t>ner».</w:t>
      </w:r>
    </w:p>
    <w:p w:rsidR="00000000" w:rsidRDefault="00D718D0" w:rsidP="00BA3E8B">
      <w:r>
        <w:t>Nå</w:t>
      </w:r>
      <w:r>
        <w:t>r det gjelder begrepet «offentligrettslige organer» vises det til Europaparlamentets og Råd</w:t>
      </w:r>
      <w:r>
        <w:t>s</w:t>
      </w:r>
      <w:r>
        <w:t>direktiv (EU) 2016/2102 av 26. oktober 2016 om tilgjengelighet av offentlige organers nettsteder og mobilapplik</w:t>
      </w:r>
      <w:r>
        <w:t>a</w:t>
      </w:r>
      <w:r>
        <w:t>sjoner (Web Accessibility Directive (WAD)). Direktiv</w:t>
      </w:r>
      <w:r>
        <w:t>et er EØS-relevant og vil bli innlemmet i EØS-avtalen. WAD-direktivet gir en legaldefinisjon om «offentlig organ» i artikkel 3 (1) nr. (1), som o</w:t>
      </w:r>
      <w:r>
        <w:t>m</w:t>
      </w:r>
      <w:r>
        <w:t>fatter «offen</w:t>
      </w:r>
      <w:r>
        <w:t>t</w:t>
      </w:r>
      <w:r>
        <w:t>li</w:t>
      </w:r>
      <w:r>
        <w:t>g</w:t>
      </w:r>
      <w:r>
        <w:t>rettslige organer», i tillegg til statlige, regionale og lokale myndigheter. WAD-direktivet v</w:t>
      </w:r>
      <w:r>
        <w:t>iser til defin</w:t>
      </w:r>
      <w:r>
        <w:t>i</w:t>
      </w:r>
      <w:r>
        <w:t>sjonen av «offentligrettslige organer» i d</w:t>
      </w:r>
      <w:r>
        <w:t>i</w:t>
      </w:r>
      <w:r>
        <w:t>rektivet om offentlige anskaffelser 2014/24/EU i artikkel 2(1) punkt 4 , som lyder:</w:t>
      </w:r>
    </w:p>
    <w:p w:rsidR="00000000" w:rsidRDefault="00D718D0" w:rsidP="00BA3E8B">
      <w:pPr>
        <w:pStyle w:val="blokksit"/>
      </w:pPr>
      <w:r>
        <w:t>«Med «offentligrettslige organer» menes organer som har alle følgende egenskaper:</w:t>
      </w:r>
    </w:p>
    <w:p w:rsidR="00000000" w:rsidRDefault="00D718D0" w:rsidP="00BA3E8B">
      <w:pPr>
        <w:pStyle w:val="blokksit"/>
      </w:pPr>
      <w:r>
        <w:t>a)  de er opprettet for det best</w:t>
      </w:r>
      <w:r>
        <w:t>emte formål å imøtekomme allmennhetens behov, men ikke behov av industriell eller forretningsmessig art,</w:t>
      </w:r>
    </w:p>
    <w:p w:rsidR="00000000" w:rsidRDefault="00D718D0" w:rsidP="00BA3E8B">
      <w:pPr>
        <w:pStyle w:val="blokksit"/>
      </w:pPr>
      <w:r>
        <w:t>b)  de er et rettssubjekt, og</w:t>
      </w:r>
    </w:p>
    <w:p w:rsidR="00000000" w:rsidRDefault="00D718D0" w:rsidP="00BA3E8B">
      <w:pPr>
        <w:pStyle w:val="blokksit"/>
      </w:pPr>
      <w:r>
        <w:t>c)  de er i hovedsak finansiert av staten, regionale eller lokale myndigheter eller andre offentli</w:t>
      </w:r>
      <w:r>
        <w:t>g</w:t>
      </w:r>
      <w:r>
        <w:t>rettslige organer; ell</w:t>
      </w:r>
      <w:r>
        <w:t>er deres forvaltning er underlagt en av disse myndighetenes eller et av disse o</w:t>
      </w:r>
      <w:r>
        <w:t>r</w:t>
      </w:r>
      <w:r>
        <w:t>ganenes tilsyn; eller de har et administrasjons-, ledelses- eller kontrollorgan der over halvpa</w:t>
      </w:r>
      <w:r>
        <w:t>r</w:t>
      </w:r>
      <w:r>
        <w:t xml:space="preserve">ten av medlemmene er utpekt av staten, regionale eller lokale myndigheter eller </w:t>
      </w:r>
      <w:r>
        <w:t>andre offentli</w:t>
      </w:r>
      <w:r>
        <w:t>g</w:t>
      </w:r>
      <w:r>
        <w:t>rettslige o</w:t>
      </w:r>
      <w:r>
        <w:t>r</w:t>
      </w:r>
      <w:r>
        <w:t>ganer.»</w:t>
      </w:r>
    </w:p>
    <w:p w:rsidR="00000000" w:rsidRDefault="00D718D0" w:rsidP="00BA3E8B">
      <w:r>
        <w:t>Med arbeidsgivere i private virksomheter menes arbeidsgivere som juridisk person i private virksomheter og selskaper og foretak uavhengig av ansvarsform, samt private organisasjoner, jf. også omtalen av a</w:t>
      </w:r>
      <w:r>
        <w:t>n</w:t>
      </w:r>
      <w:r>
        <w:t>svarssubjekter i</w:t>
      </w:r>
      <w:r>
        <w:t xml:space="preserve"> forarbeidene til den tidligere diskriminerings- og tilgjeng</w:t>
      </w:r>
      <w:r>
        <w:t>e</w:t>
      </w:r>
      <w:r>
        <w:t>lighetsloven, Ot. Prp. nr. 44 (2007–2008) kapittel 9.3.7.3.</w:t>
      </w:r>
    </w:p>
    <w:p w:rsidR="00000000" w:rsidRDefault="00D718D0" w:rsidP="00BA3E8B">
      <w:r>
        <w:t>Innenfor Den norske kirke vil de kirkelige fellesrådene komme i en noe uklar mellomposisjon når det gjelder hvilke regler om aktivitets</w:t>
      </w:r>
      <w:r>
        <w:t xml:space="preserve">- og redegjørelsesplikten som gjelder. Det er et kirkelig fellesråd i hver kommune. Disse organene er ikke omfattet av regnskapslovens regler, og det er i </w:t>
      </w:r>
      <w:r>
        <w:lastRenderedPageBreak/>
        <w:t>forskrift om økonom</w:t>
      </w:r>
      <w:r>
        <w:t>i</w:t>
      </w:r>
      <w:r>
        <w:t>forvaltningen for kirkelige fellesråd og menighetsråd i Den norske kirke (FOR-200</w:t>
      </w:r>
      <w:r>
        <w:t>3–09–25–1215) gitt særskilte regler om regnskapsføringen for disse. Selv om de ki</w:t>
      </w:r>
      <w:r>
        <w:t>r</w:t>
      </w:r>
      <w:r>
        <w:t>kelige fellesrådene ikke kan karakteris</w:t>
      </w:r>
      <w:r>
        <w:t>e</w:t>
      </w:r>
      <w:r>
        <w:t>res som offentlige vir</w:t>
      </w:r>
      <w:r>
        <w:t>k</w:t>
      </w:r>
      <w:r>
        <w:t>somheter legges det til grunn at reglene som gjelder for arbeidsgivere i offentlige virksomheter for de kirkeli</w:t>
      </w:r>
      <w:r>
        <w:t>ge fellesrådene.</w:t>
      </w:r>
    </w:p>
    <w:p w:rsidR="00000000" w:rsidRDefault="00D718D0" w:rsidP="00BA3E8B">
      <w:r>
        <w:t>Likestillings- og diskrimineringsloven trådte i kraft 1. januar 2018. Likestillings- og diskrim</w:t>
      </w:r>
      <w:r>
        <w:t>i</w:t>
      </w:r>
      <w:r>
        <w:t>neringsl</w:t>
      </w:r>
      <w:r>
        <w:t>o</w:t>
      </w:r>
      <w:r>
        <w:t>ven § 6 stadfester at sammensatt diskriminering, dvs. diskriminering som følge av at flere diskrimin</w:t>
      </w:r>
      <w:r>
        <w:t>e</w:t>
      </w:r>
      <w:r>
        <w:t>ringsgrunnlag påvirker situasjone</w:t>
      </w:r>
      <w:r>
        <w:t>n samtidig, er forbudt. Departementet mener derfor at det er naturlig at arbeidsgivers aktivitetsplikt omfatter også sammensatt diskriminering. En aktivitetsplikt knyttet til sa</w:t>
      </w:r>
      <w:r>
        <w:t>m</w:t>
      </w:r>
      <w:r>
        <w:t>mensatt diskrim</w:t>
      </w:r>
      <w:r>
        <w:t>i</w:t>
      </w:r>
      <w:r>
        <w:t>nering vil bidra til å styrke arbeidet for mer likestilling, s</w:t>
      </w:r>
      <w:r>
        <w:t>lik anmodningsvedtaket og FNs menneskerett</w:t>
      </w:r>
      <w:r>
        <w:t>s</w:t>
      </w:r>
      <w:r>
        <w:t>konvensjoner forutsetter.</w:t>
      </w:r>
    </w:p>
    <w:p w:rsidR="00000000" w:rsidRDefault="00D718D0" w:rsidP="00BA3E8B">
      <w:r>
        <w:t>Skjeie-utvalget understreket dessuten viktigheten av å utvikle et juridisk begrepsapparat for aktivt l</w:t>
      </w:r>
      <w:r>
        <w:t>i</w:t>
      </w:r>
      <w:r>
        <w:t>kesti</w:t>
      </w:r>
      <w:r>
        <w:t>l</w:t>
      </w:r>
      <w:r>
        <w:t>lingsarbeid som tar hensyn til sammensatte former for diskriminering. Som Skje</w:t>
      </w:r>
      <w:r>
        <w:t>ie-utvalget påpekte, skjer diskriminering ofte i krysningspunkter av ulikheter (kjønn, alder, etnisitet, funksjonsevne mv), slik at sa</w:t>
      </w:r>
      <w:r>
        <w:t>m</w:t>
      </w:r>
      <w:r>
        <w:t>menhenger mellom ulikheter og ulemper ikke alltid kan tilbakeføres til ett enkeltstående diskrim</w:t>
      </w:r>
      <w:r>
        <w:t>i</w:t>
      </w:r>
      <w:r>
        <w:t>n</w:t>
      </w:r>
      <w:r>
        <w:t>e</w:t>
      </w:r>
      <w:r>
        <w:t>ring</w:t>
      </w:r>
      <w:r>
        <w:t>s</w:t>
      </w:r>
      <w:r>
        <w:t>grunnlag, jf. NOU</w:t>
      </w:r>
      <w:r>
        <w:t xml:space="preserve"> 2011: 18 kapittel 3.4.1.</w:t>
      </w:r>
    </w:p>
    <w:p w:rsidR="00000000" w:rsidRDefault="00D718D0" w:rsidP="00BA3E8B">
      <w:r>
        <w:t>Aktivitetsplikten innebærer at arbeidsgivere må være oppmerksomme på at en persons sårbar pos</w:t>
      </w:r>
      <w:r>
        <w:t>i</w:t>
      </w:r>
      <w:r>
        <w:t>sjon i a</w:t>
      </w:r>
      <w:r>
        <w:t>r</w:t>
      </w:r>
      <w:r>
        <w:t>beidsmarkedet ofte er et resultat av flere forhold, som f. eks. kjønn, alder, nedsatt funksjonsevne, etn</w:t>
      </w:r>
      <w:r>
        <w:t>i</w:t>
      </w:r>
      <w:r>
        <w:t>sitet, seksuell orient</w:t>
      </w:r>
      <w:r>
        <w:t>ering mv.). Et samlet resultat av disse forholdene kan, i arbeidslivet, føre til at personer i slike krysningspunkter av ulikheter oftere blir rammet av a</w:t>
      </w:r>
      <w:r>
        <w:t>r</w:t>
      </w:r>
      <w:r>
        <w:t>beidsledighet, ustabil arbeidsma</w:t>
      </w:r>
      <w:r>
        <w:t>r</w:t>
      </w:r>
      <w:r>
        <w:t>kedsti</w:t>
      </w:r>
      <w:r>
        <w:t>l</w:t>
      </w:r>
      <w:r>
        <w:t>knytning, og overkvalifisering, enn andre arbeidssøkere og an</w:t>
      </w:r>
      <w:r>
        <w:t>satte.</w:t>
      </w:r>
    </w:p>
    <w:p w:rsidR="00000000" w:rsidRDefault="00D718D0" w:rsidP="00BA3E8B">
      <w:r>
        <w:t>Etter departementets vurdering vil aktivitetsplikten ikke innebære betydelig merarbeid for a</w:t>
      </w:r>
      <w:r>
        <w:t>r</w:t>
      </w:r>
      <w:r>
        <w:t>beidsg</w:t>
      </w:r>
      <w:r>
        <w:t>i</w:t>
      </w:r>
      <w:r>
        <w:t>vere, da arbeidsgivere allerede i dag har en aktivitetsplikt på alle lovens diskrimin</w:t>
      </w:r>
      <w:r>
        <w:t>e</w:t>
      </w:r>
      <w:r>
        <w:t>ringsgrunnlag, med unntak av alder. Sammensatt diskriminering k</w:t>
      </w:r>
      <w:r>
        <w:t>an skje i alle ledd i et a</w:t>
      </w:r>
      <w:r>
        <w:t>r</w:t>
      </w:r>
      <w:r>
        <w:t>beidsforhold, og også i forbindelse med prosessen rundt rekruttering og ansettelse. Det fremgår av forarbeidene til likestillings- og diskr</w:t>
      </w:r>
      <w:r>
        <w:t>i</w:t>
      </w:r>
      <w:r>
        <w:t>mineringsloven», jf. Prop. 81 L (2016–2017), mer</w:t>
      </w:r>
      <w:r>
        <w:t>k</w:t>
      </w:r>
      <w:r>
        <w:t>nader til § 26, at aktivitetsplikten:</w:t>
      </w:r>
    </w:p>
    <w:p w:rsidR="00000000" w:rsidRDefault="00D718D0" w:rsidP="00BA3E8B">
      <w:pPr>
        <w:pStyle w:val="blokksit"/>
      </w:pPr>
      <w:r>
        <w:t>«e</w:t>
      </w:r>
      <w:r>
        <w:t>r generell og pålegger ikke den enkelte arbeidsgiver å gjennomføre bestemte tiltak. Den enke</w:t>
      </w:r>
      <w:r>
        <w:t>l</w:t>
      </w:r>
      <w:r>
        <w:t>te virksomhet må selv vurdere hvilke tiltak det er behov for etter en analyse av situasjonen. Pli</w:t>
      </w:r>
      <w:r>
        <w:t>k</w:t>
      </w:r>
      <w:r>
        <w:t>tens o</w:t>
      </w:r>
      <w:r>
        <w:t>m</w:t>
      </w:r>
      <w:r>
        <w:t>fang må dessuten tilpasses virksomhetens størrelse. Aktivi</w:t>
      </w:r>
      <w:r>
        <w:t>tetsplikten vil derfor ikke være byrdefull for små virksomheter. Plikten må også ses i sammenheng med virksomhetens type og geografiske beli</w:t>
      </w:r>
      <w:r>
        <w:t>g</w:t>
      </w:r>
      <w:r>
        <w:t>genhet.»</w:t>
      </w:r>
    </w:p>
    <w:p w:rsidR="00000000" w:rsidRDefault="00D718D0" w:rsidP="00BA3E8B">
      <w:r>
        <w:t>Disse hensynene gjelder også for virksomhetenes arbeid imot sammensatt diskriminering.</w:t>
      </w:r>
    </w:p>
    <w:p w:rsidR="00000000" w:rsidRDefault="00D718D0" w:rsidP="00BA3E8B">
      <w:r>
        <w:t>Departementet har i</w:t>
      </w:r>
      <w:r>
        <w:t xml:space="preserve"> forbindelse med utarbeidelsen av lovforslagene vurdert om det skal foreslås en aktiv</w:t>
      </w:r>
      <w:r>
        <w:t>i</w:t>
      </w:r>
      <w:r>
        <w:t>tetsplikt for arbeidsgivere knyttet til diskrimineringsgrunnlaget alder. I høringsnotatet ble det lik</w:t>
      </w:r>
      <w:r>
        <w:t>e</w:t>
      </w:r>
      <w:r>
        <w:t xml:space="preserve">vel ikke foreslått en aktivitetsplikt for arbeidsgivere knyttet til </w:t>
      </w:r>
      <w:r>
        <w:t>alder. Diskrimin</w:t>
      </w:r>
      <w:r>
        <w:t>e</w:t>
      </w:r>
      <w:r>
        <w:t>ringsgrunnlagene som er regulert i likestillings- og diskrimineringsloven, foruten alder, er i dag omfattet av arbeidsgivers aktiv</w:t>
      </w:r>
      <w:r>
        <w:t>i</w:t>
      </w:r>
      <w:r>
        <w:t>tetsplikt. A</w:t>
      </w:r>
      <w:r>
        <w:t>r</w:t>
      </w:r>
      <w:r>
        <w:t>beidsmiljølovens diskrimineringsgrunnlagene, dvs. alder, politisk syn og medlemskap i a</w:t>
      </w:r>
      <w:r>
        <w:t>r</w:t>
      </w:r>
      <w:r>
        <w:t>beidsta</w:t>
      </w:r>
      <w:r>
        <w:t>kerorgan</w:t>
      </w:r>
      <w:r>
        <w:t>i</w:t>
      </w:r>
      <w:r>
        <w:t>sasjon, er holdt utenfor. Det vises til arbeidsmiljøloven § 13–1 første ledd. Som Likesti</w:t>
      </w:r>
      <w:r>
        <w:t>l</w:t>
      </w:r>
      <w:r>
        <w:t>lings- og diskrim</w:t>
      </w:r>
      <w:r>
        <w:t>i</w:t>
      </w:r>
      <w:r>
        <w:t>neringsombudet påpeker, er arbeidslivet ett område der aldersdiskriminering for</w:t>
      </w:r>
      <w:r>
        <w:t>e</w:t>
      </w:r>
      <w:r>
        <w:t>kommer. Departementet har forståelse for høringsinstansenes</w:t>
      </w:r>
      <w:r>
        <w:t xml:space="preserve"> syn på at det også bør vurderes en aktiv</w:t>
      </w:r>
      <w:r>
        <w:t>i</w:t>
      </w:r>
      <w:r>
        <w:t>tetsplikt knyttet til alder i arbeid</w:t>
      </w:r>
      <w:r>
        <w:t>s</w:t>
      </w:r>
      <w:r>
        <w:lastRenderedPageBreak/>
        <w:t>livet, og vil vurdere om det eventuelt bør settes i gang et utredningsa</w:t>
      </w:r>
      <w:r>
        <w:t>r</w:t>
      </w:r>
      <w:r>
        <w:t>beid på dette spørsmålet på et senere tidspunkt.</w:t>
      </w:r>
    </w:p>
    <w:p w:rsidR="00000000" w:rsidRDefault="00D718D0" w:rsidP="00BA3E8B">
      <w:r>
        <w:t xml:space="preserve">Departementet har ikke fremmet et forslag om å fremheve </w:t>
      </w:r>
      <w:r>
        <w:t>stereotypisering særskilt i beste</w:t>
      </w:r>
      <w:r>
        <w:t>m</w:t>
      </w:r>
      <w:r>
        <w:t>melsen om a</w:t>
      </w:r>
      <w:r>
        <w:t>r</w:t>
      </w:r>
      <w:r>
        <w:t>beidsgivers aktivitetsplikt, i høringsnotatet. Rekkevidden av offentlige myndi</w:t>
      </w:r>
      <w:r>
        <w:t>g</w:t>
      </w:r>
      <w:r>
        <w:t>heters aktivitetsplikt favner vidt, og myndighetene skal etter gjeldende rett jobbe aktivt «for å oppfylle lovens formål». Depa</w:t>
      </w:r>
      <w:r>
        <w:t>r</w:t>
      </w:r>
      <w:r>
        <w:t>tem</w:t>
      </w:r>
      <w:r>
        <w:t>entet fremmer derfor et forslag om at stereotypisering fre</w:t>
      </w:r>
      <w:r>
        <w:t>m</w:t>
      </w:r>
      <w:r>
        <w:t>heves i bestemmelsen om myndighetenes aktivitetsplikt, jf. kapittel 3.10.1.</w:t>
      </w:r>
    </w:p>
    <w:p w:rsidR="00000000" w:rsidRDefault="00D718D0" w:rsidP="00BA3E8B">
      <w:r>
        <w:t>Det nevnes likevel at i forarbeidene til likestillings- og diskrimineringsloven vises det til st</w:t>
      </w:r>
      <w:r>
        <w:t>e</w:t>
      </w:r>
      <w:r>
        <w:t>reotypis</w:t>
      </w:r>
      <w:r>
        <w:t>e</w:t>
      </w:r>
      <w:r>
        <w:t>ring som en hol</w:t>
      </w:r>
      <w:r>
        <w:t>dning/atferd som også i arbeidslivet kan føre til diskriminering. Dette gjelder f.eks. saker om trakass</w:t>
      </w:r>
      <w:r>
        <w:t>e</w:t>
      </w:r>
      <w:r>
        <w:t>ring, jf. Prop. 81 L (2016–2017) kapittel 18.2.1. Arbeidsgivers aktivitetsplikt omfatter mota</w:t>
      </w:r>
      <w:r>
        <w:t>r</w:t>
      </w:r>
      <w:r>
        <w:t xml:space="preserve">beidelse av trakassering, herunder seksuell trakassering, </w:t>
      </w:r>
      <w:r>
        <w:t>og hol</w:t>
      </w:r>
      <w:r>
        <w:t>d</w:t>
      </w:r>
      <w:r>
        <w:t>ningsskapende arbeid mot negative st</w:t>
      </w:r>
      <w:r>
        <w:t>e</w:t>
      </w:r>
      <w:r>
        <w:t>reotypier er en vesentlig del av dette arbeidet.</w:t>
      </w:r>
    </w:p>
    <w:p w:rsidR="00000000" w:rsidRDefault="00D718D0" w:rsidP="00BA3E8B">
      <w:pPr>
        <w:pStyle w:val="Overskrift3"/>
      </w:pPr>
      <w:r>
        <w:t>Seksuell trakassering</w:t>
      </w:r>
    </w:p>
    <w:p w:rsidR="00000000" w:rsidRDefault="00D718D0" w:rsidP="00BA3E8B">
      <w:pPr>
        <w:pStyle w:val="Overskrift4"/>
      </w:pPr>
      <w:r>
        <w:t>Gjeldende rett</w:t>
      </w:r>
    </w:p>
    <w:p w:rsidR="00000000" w:rsidRDefault="00D718D0" w:rsidP="00BA3E8B">
      <w:r>
        <w:t>Likestillings- og diskrimineringsloven § 13 stadfester et forbud mot å</w:t>
      </w:r>
      <w:r>
        <w:t xml:space="preserve"> trakassere. I bestemme</w:t>
      </w:r>
      <w:r>
        <w:t>l</w:t>
      </w:r>
      <w:r>
        <w:t>sens første ledd nevnes det eksplisitt at seksuell trakassering er forbudt. Med seksuell trakass</w:t>
      </w:r>
      <w:r>
        <w:t>e</w:t>
      </w:r>
      <w:r>
        <w:t>ring menes etter denne bestemmelsen «enhver form for uønsket seksuell oppmerksomhet som har som formål eller vir</w:t>
      </w:r>
      <w:r>
        <w:t>k</w:t>
      </w:r>
      <w:r>
        <w:t>ning å være krenkende,</w:t>
      </w:r>
      <w:r>
        <w:t xml:space="preserve"> skremmende, fiendtlig, nedverdigende, ydmykende eller plagsom.» Forbudet omfatter også trakassering på grunn av eksisterende, antatte, tidligere eller fremtidige forhold som er vernet som diskrimineringsgrunnlag i § 6 første ledd.</w:t>
      </w:r>
    </w:p>
    <w:p w:rsidR="00000000" w:rsidRDefault="00D718D0" w:rsidP="00BA3E8B">
      <w:r>
        <w:t>Det er i § 13 sjette led</w:t>
      </w:r>
      <w:r>
        <w:t>d gitt en vernebestemmelse om trakassering og seksuell trakassering. B</w:t>
      </w:r>
      <w:r>
        <w:t>e</w:t>
      </w:r>
      <w:r>
        <w:t>stemmelsen retter seg mot arbeidsgivere og ledelsen i organisasjoner og utdanningsinstit</w:t>
      </w:r>
      <w:r>
        <w:t>u</w:t>
      </w:r>
      <w:r>
        <w:t>sjoner. Disse pliktsubjektene skal, innenfor sitt ansvarsområde, forebygge trakassering og se</w:t>
      </w:r>
      <w:r>
        <w:t>k</w:t>
      </w:r>
      <w:r>
        <w:t>su</w:t>
      </w:r>
      <w:r>
        <w:t>ell trakassering, og søke å hindre at tr</w:t>
      </w:r>
      <w:r>
        <w:t>a</w:t>
      </w:r>
      <w:r>
        <w:t>kasseringen fortsetter dersom den ansvarlige etter denne bestemmelsen får kjennskap til at trakassering f</w:t>
      </w:r>
      <w:r>
        <w:t>o</w:t>
      </w:r>
      <w:r>
        <w:t>rekommer, jf. forarbeidene til likestillings- og diskrimineringsloven, Prop. 81 L (2016–2017) merknader til §</w:t>
      </w:r>
      <w:r>
        <w:t> 13. I forarbeidene er plikten til å forebygge og forhindre trakassering b</w:t>
      </w:r>
      <w:r>
        <w:t>e</w:t>
      </w:r>
      <w:r>
        <w:t>skrevet slik:</w:t>
      </w:r>
    </w:p>
    <w:p w:rsidR="00000000" w:rsidRDefault="00D718D0" w:rsidP="00BA3E8B">
      <w:pPr>
        <w:pStyle w:val="blokksit"/>
      </w:pPr>
      <w:r>
        <w:t>«Med plikt til å forebygge menes tiltak av preventiv karakter, så som iverksettelse av og utfo</w:t>
      </w:r>
      <w:r>
        <w:t>r</w:t>
      </w:r>
      <w:r>
        <w:t>ming av retningslinjer for varsling av trakassering. Plikten til å forhi</w:t>
      </w:r>
      <w:r>
        <w:t>ndre innebærer å gripe fatt i aktuelle situ</w:t>
      </w:r>
      <w:r>
        <w:t>a</w:t>
      </w:r>
      <w:r>
        <w:t>sjoner med påstått trakassering og utrede hva som har skjedd og komme med fo</w:t>
      </w:r>
      <w:r>
        <w:t>r</w:t>
      </w:r>
      <w:r>
        <w:t>slag til løsning. Det kreves ikke at den ansvarlige faktisk har forhindret trakasseringen. Det er ti</w:t>
      </w:r>
      <w:r>
        <w:t>l</w:t>
      </w:r>
      <w:r>
        <w:t>strekkelig at den ansva</w:t>
      </w:r>
      <w:r>
        <w:t>r</w:t>
      </w:r>
      <w:r>
        <w:t>lige har f</w:t>
      </w:r>
      <w:r>
        <w:t>orsøkt å hindre den.»</w:t>
      </w:r>
    </w:p>
    <w:p w:rsidR="00000000" w:rsidRDefault="00D718D0" w:rsidP="00BA3E8B">
      <w:r>
        <w:t>Likestillings- og diskrimineringsloven § 26 første ledd pålegger arbeidsgivere en generell plikt til å a</w:t>
      </w:r>
      <w:r>
        <w:t>r</w:t>
      </w:r>
      <w:r>
        <w:t>beide aktivt, målrettet og planmessig for likestilling på alle lovens diskriminering</w:t>
      </w:r>
      <w:r>
        <w:t>s</w:t>
      </w:r>
      <w:r>
        <w:t>grunnlag, med unntak av alder. Aktivitetspli</w:t>
      </w:r>
      <w:r>
        <w:t>kten omfatter diskrimineringsgrunnlagene kjønn, graviditet, permisjon ved fødsel og adopsjon, omsorgsoppgaver, etnisitet, religion, livssyn, funksjonsnedsettelse, seksuell orientering, kjøn</w:t>
      </w:r>
      <w:r>
        <w:t>n</w:t>
      </w:r>
      <w:r>
        <w:t>sidentitet og kjønnsuttrykk. Det fremgår av bestemmelsens første l</w:t>
      </w:r>
      <w:r>
        <w:t>edd at arbeidet med likestilling skal omfatte temaer tilknyttet arbeid</w:t>
      </w:r>
      <w:r>
        <w:t>s</w:t>
      </w:r>
      <w:r>
        <w:t>forhold og personalpolitikk, herunder forebygging av trakassering. D</w:t>
      </w:r>
      <w:r>
        <w:t>e</w:t>
      </w:r>
      <w:r>
        <w:t>partementet viser til fo</w:t>
      </w:r>
      <w:r>
        <w:t>r</w:t>
      </w:r>
      <w:r>
        <w:t>arbeidene til likestillings- og diskrimineringsloven, hvor det er presisert at aktiv</w:t>
      </w:r>
      <w:r>
        <w:t>i</w:t>
      </w:r>
      <w:r>
        <w:t>tetspl</w:t>
      </w:r>
      <w:r>
        <w:t>ikten er fle</w:t>
      </w:r>
      <w:r>
        <w:t>k</w:t>
      </w:r>
      <w:r>
        <w:t xml:space="preserve">sibel i det at virksomheter selv, «etter en analyse av situasjonen», må vurdere hvilke tiltak </w:t>
      </w:r>
      <w:r>
        <w:lastRenderedPageBreak/>
        <w:t>som skal iverksettes, jf. Prop. L 81 (2016–2017) merknader til § 26. Omfanget må tilpasses vir</w:t>
      </w:r>
      <w:r>
        <w:t>k</w:t>
      </w:r>
      <w:r>
        <w:t>somhetens type, størrelse og geografiske beliggenhet.</w:t>
      </w:r>
    </w:p>
    <w:p w:rsidR="00000000" w:rsidRDefault="00D718D0" w:rsidP="00BA3E8B">
      <w:pPr>
        <w:pStyle w:val="Overskrift4"/>
      </w:pPr>
      <w:r>
        <w:t>Forslag i høringsnotatet</w:t>
      </w:r>
    </w:p>
    <w:p w:rsidR="00000000" w:rsidRDefault="00D718D0" w:rsidP="00BA3E8B">
      <w:r>
        <w:t>Departementet foreslo i høringsnotatet at den generelle aktivitetsplikten for alle arbeidsgivere styrkes, slik at plikten til å forebygge seksuell trakassering eksplisitt nevnes som et forhold som er omfattet av akt</w:t>
      </w:r>
      <w:r>
        <w:t>iv</w:t>
      </w:r>
      <w:r>
        <w:t>i</w:t>
      </w:r>
      <w:r>
        <w:t>tetsplikten i likestillings- og diskrimineringsloven § 26.</w:t>
      </w:r>
    </w:p>
    <w:p w:rsidR="00000000" w:rsidRDefault="00D718D0" w:rsidP="00BA3E8B">
      <w:pPr>
        <w:pStyle w:val="Overskrift4"/>
      </w:pPr>
      <w:r>
        <w:t>Høringsinstansenes syn</w:t>
      </w:r>
    </w:p>
    <w:p w:rsidR="00000000" w:rsidRDefault="00D718D0" w:rsidP="00BA3E8B">
      <w:r>
        <w:t>De høringsinstansene som har uttalt seg om dette, har noe ulikt syn på hvorvidt plikten å arbeide aktivt for å</w:t>
      </w:r>
      <w:r>
        <w:t xml:space="preserve"> forebygge seksuell trakassering skal tydeliggjøres i loven. Noen høringsinstanser, herunder </w:t>
      </w:r>
      <w:r>
        <w:rPr>
          <w:rStyle w:val="kursiv"/>
          <w:sz w:val="21"/>
          <w:szCs w:val="21"/>
        </w:rPr>
        <w:t xml:space="preserve">Norges Kvinnelobby </w:t>
      </w:r>
      <w:r>
        <w:t xml:space="preserve">og </w:t>
      </w:r>
      <w:r>
        <w:rPr>
          <w:rStyle w:val="kursiv"/>
          <w:sz w:val="21"/>
          <w:szCs w:val="21"/>
        </w:rPr>
        <w:t>LO</w:t>
      </w:r>
      <w:r>
        <w:t xml:space="preserve"> støtter forslaget, mens enkelte andre er kritiske til forslaget. </w:t>
      </w:r>
      <w:r>
        <w:rPr>
          <w:rStyle w:val="kursiv"/>
          <w:sz w:val="21"/>
          <w:szCs w:val="21"/>
        </w:rPr>
        <w:t>Likestillingssenteret</w:t>
      </w:r>
      <w:r>
        <w:t xml:space="preserve"> gir for eksempel uttrykk for en bekymring for at annen trakassering vil få mindre oppmerksomhet dersom se</w:t>
      </w:r>
      <w:r>
        <w:t>k</w:t>
      </w:r>
      <w:r>
        <w:t>suell trakassering fremheves i loven og viser til at det vil:</w:t>
      </w:r>
    </w:p>
    <w:p w:rsidR="00000000" w:rsidRDefault="00D718D0" w:rsidP="00BA3E8B">
      <w:pPr>
        <w:pStyle w:val="blokksit"/>
      </w:pPr>
      <w:r>
        <w:t>«…variere over tid og i forskjellige virksomheter, hvilke trakasseringer det bør priori</w:t>
      </w:r>
      <w:r>
        <w:t>teres å a</w:t>
      </w:r>
      <w:r>
        <w:t>r</w:t>
      </w:r>
      <w:r>
        <w:t>beide med.»</w:t>
      </w:r>
    </w:p>
    <w:p w:rsidR="00000000" w:rsidRDefault="00D718D0" w:rsidP="00BA3E8B">
      <w:pPr>
        <w:pStyle w:val="Overskrift4"/>
      </w:pPr>
      <w:r>
        <w:t>Departementets vurderinger</w:t>
      </w:r>
    </w:p>
    <w:p w:rsidR="00000000" w:rsidRDefault="00D718D0" w:rsidP="00BA3E8B">
      <w:r>
        <w:t>Departementet opprettholder forslaget om å tydeliggjøre aktivitetsplikten knyttet til seksuell trakassering.</w:t>
      </w:r>
    </w:p>
    <w:p w:rsidR="00000000" w:rsidRDefault="00D718D0" w:rsidP="00BA3E8B">
      <w:r>
        <w:t>Departementet er enig med Likestillingssenteret i at prioriteringer om arbeidet mo</w:t>
      </w:r>
      <w:r>
        <w:t>t trakassering vil variere fra tid til annen, og at det vil være avhengig av forholdene i enkelte virksomheter. Regjeringen vil imidlertid prioritere arbeidet mot seksuell trakassering høyt, og mener at et aktivt, målrettet og planme</w:t>
      </w:r>
      <w:r>
        <w:t>s</w:t>
      </w:r>
      <w:r>
        <w:t>sig arbeid mot seksuel</w:t>
      </w:r>
      <w:r>
        <w:t>l trakassering skal intensiveres i arbeidslivet. Undersøkelser, herunder SSB’s lev</w:t>
      </w:r>
      <w:r>
        <w:t>e</w:t>
      </w:r>
      <w:r>
        <w:t>kå</w:t>
      </w:r>
      <w:r>
        <w:t>r</w:t>
      </w:r>
      <w:r>
        <w:t>sundersøkelser om arbeidsmiljø, viser at seksuell tr</w:t>
      </w:r>
      <w:r>
        <w:t>a</w:t>
      </w:r>
      <w:r>
        <w:t>kassering er et problem i arbeidslivet, særlig i</w:t>
      </w:r>
      <w:r>
        <w:t>n</w:t>
      </w:r>
      <w:r>
        <w:t>nenfor helse- og sosia</w:t>
      </w:r>
      <w:r>
        <w:t>l</w:t>
      </w:r>
      <w:r>
        <w:t>sektoren og overnattings- og serveringsbransj</w:t>
      </w:r>
      <w:r>
        <w:t>en. Etter departementets syn vil de</w:t>
      </w:r>
      <w:r>
        <w:t>r</w:t>
      </w:r>
      <w:r>
        <w:t>for det å fremheve seksuell trakassering som et spesifikk tema aktivitetsplikten etter likestillings- og di</w:t>
      </w:r>
      <w:r>
        <w:t>s</w:t>
      </w:r>
      <w:r>
        <w:t>krimin</w:t>
      </w:r>
      <w:r>
        <w:t>e</w:t>
      </w:r>
      <w:r>
        <w:t>ringsloven § 26 første ledd, gi et viktig signaleffekt.</w:t>
      </w:r>
    </w:p>
    <w:p w:rsidR="00000000" w:rsidRDefault="00D718D0" w:rsidP="00BA3E8B">
      <w:pPr>
        <w:pStyle w:val="Overskrift2"/>
      </w:pPr>
      <w:r>
        <w:t>Styrket aktivitetsplikt for arbeidsgivere</w:t>
      </w:r>
      <w:r>
        <w:t xml:space="preserve"> – mindre private arbeid</w:t>
      </w:r>
      <w:r>
        <w:t>s</w:t>
      </w:r>
      <w:r>
        <w:t>givere omfattes av arbeidsmetoden</w:t>
      </w:r>
    </w:p>
    <w:p w:rsidR="00000000" w:rsidRDefault="00D718D0" w:rsidP="00BA3E8B">
      <w:pPr>
        <w:pStyle w:val="Overskrift3"/>
      </w:pPr>
      <w:r>
        <w:t>Gjeldende rett</w:t>
      </w:r>
    </w:p>
    <w:p w:rsidR="00000000" w:rsidRDefault="00D718D0" w:rsidP="00BA3E8B">
      <w:r>
        <w:t>Likestillings- og diskrimineringslovens § 26 annet ledd pålegger alle arbeidsgivere i offentlige virkso</w:t>
      </w:r>
      <w:r>
        <w:t>m</w:t>
      </w:r>
      <w:r>
        <w:t>heter, og arbeidsgivere i private virksomhe</w:t>
      </w:r>
      <w:r>
        <w:t>ter som jevnlig har mer enn 50 ansatte en ytterligere aktiv</w:t>
      </w:r>
      <w:r>
        <w:t>i</w:t>
      </w:r>
      <w:r>
        <w:t>tetsplikt. Bestemmelsen beskriver et obligatorisk arbeidsverktøy i fire trinn for de nevnte arbeidsgiverne og gir en beskrivelse av hvordan arbeidsgiverne skal jobbe for å fo</w:t>
      </w:r>
      <w:r>
        <w:t>r</w:t>
      </w:r>
      <w:r>
        <w:t>bedre likestillingssi</w:t>
      </w:r>
      <w:r>
        <w:t>tuasjonen.</w:t>
      </w:r>
    </w:p>
    <w:p w:rsidR="00000000" w:rsidRDefault="00D718D0" w:rsidP="00BA3E8B">
      <w:r>
        <w:t>Det følger av § 26 annet ledd at arbeidsgivere i alle offentlige virksomheter, og arbeidsgivere i private vir</w:t>
      </w:r>
      <w:r>
        <w:t>k</w:t>
      </w:r>
      <w:r>
        <w:t>somheter som jevnlig sysselsetter mer enn 50 ansatte, skal undersøke a) om det finnes risiko for di</w:t>
      </w:r>
      <w:r>
        <w:t>s</w:t>
      </w:r>
      <w:r>
        <w:t xml:space="preserve">kriminering eller andre hindre for </w:t>
      </w:r>
      <w:r>
        <w:t>likestilling i egen virksomhet. Med «hindre» menes det konkrete og mer usynlige hindre, så som f.eks. holdninger, fordommer og strukturer. Ifølge forarbeidene til likesti</w:t>
      </w:r>
      <w:r>
        <w:t>l</w:t>
      </w:r>
      <w:r>
        <w:t>lings- og diskriminering</w:t>
      </w:r>
      <w:r>
        <w:t>s</w:t>
      </w:r>
      <w:r>
        <w:t xml:space="preserve">loven bør undersøkelsen skje f.eks. i form </w:t>
      </w:r>
      <w:r>
        <w:lastRenderedPageBreak/>
        <w:t>av en gjennomgang</w:t>
      </w:r>
      <w:r>
        <w:t xml:space="preserve"> av rutiner, samt</w:t>
      </w:r>
      <w:r>
        <w:t>a</w:t>
      </w:r>
      <w:r>
        <w:t>ler med de ansatte, eller ved gjennomføring av medarbe</w:t>
      </w:r>
      <w:r>
        <w:t>i</w:t>
      </w:r>
      <w:r>
        <w:t>derundersøkelser, jf. Prop 81 L (2016–2017) k</w:t>
      </w:r>
      <w:r>
        <w:t>a</w:t>
      </w:r>
      <w:r>
        <w:t>pittel 24.4.10.4.</w:t>
      </w:r>
    </w:p>
    <w:p w:rsidR="00000000" w:rsidRDefault="00D718D0" w:rsidP="00BA3E8B">
      <w:r>
        <w:t>Arbeidsgivere skal deretter b) analysere årsakene til identifiserte risikoer for diskriminering eller hindre for likest</w:t>
      </w:r>
      <w:r>
        <w:t>illing. Som et eksempel på dette nevnes det i lovproposisjonen lønnsforskjeller i virkso</w:t>
      </w:r>
      <w:r>
        <w:t>m</w:t>
      </w:r>
      <w:r>
        <w:t>heten som kan knyttes til et diskrimineringsgrunnlag. Et eksempel kan også være ba</w:t>
      </w:r>
      <w:r>
        <w:t>r</w:t>
      </w:r>
      <w:r>
        <w:t>rierer som forhin</w:t>
      </w:r>
      <w:r>
        <w:t>d</w:t>
      </w:r>
      <w:r>
        <w:t>rer at personer med funksjonsnedsettelser ikke kan arbeide i virks</w:t>
      </w:r>
      <w:r>
        <w:t>omheten, jf. Prop 81 L (2016–2017) kapittel 24.4.10.4.</w:t>
      </w:r>
    </w:p>
    <w:p w:rsidR="00000000" w:rsidRDefault="00D718D0" w:rsidP="00BA3E8B">
      <w:r>
        <w:t>Videre skal arbeidsgivere c) iverksette relevante tiltak som er egnet til å motvirke diskriminering og bidra til økt likestilling og mangfold i egen virksomhet. Tiltakene er relevante når de er egnet t</w:t>
      </w:r>
      <w:r>
        <w:t>il å avhje</w:t>
      </w:r>
      <w:r>
        <w:t>l</w:t>
      </w:r>
      <w:r>
        <w:t>pe de lik</w:t>
      </w:r>
      <w:r>
        <w:t>e</w:t>
      </w:r>
      <w:r>
        <w:t>stillingsutfordringer som er avdekket. Et tiltak kan også være at det uta</w:t>
      </w:r>
      <w:r>
        <w:t>r</w:t>
      </w:r>
      <w:r>
        <w:t>beides interne retning</w:t>
      </w:r>
      <w:r>
        <w:t>s</w:t>
      </w:r>
      <w:r>
        <w:t>linjer for varsling om trakassering. Som et eksempel nevnes i lovprop</w:t>
      </w:r>
      <w:r>
        <w:t>o</w:t>
      </w:r>
      <w:r>
        <w:t>sisjonen 81 L (2016–2017) gje</w:t>
      </w:r>
      <w:r>
        <w:t>n</w:t>
      </w:r>
      <w:r>
        <w:t>nomføring av medarbeidersamtale når en</w:t>
      </w:r>
      <w:r>
        <w:t xml:space="preserve"> ansatt kommer tilbake til arbeid etter endt foreldrepermisjon for å kartlegge vedkommendes arbeidssituasjon, herunder arbeidsoppgaver. Uforholdsmessig kostbare tiltak kreves ikke gjennomført, jf. Prop 81 L (2016–2017) kapittel 24.4.10.4. Til slutt er arbe</w:t>
      </w:r>
      <w:r>
        <w:t>idsgivere pålagt d) å vurdere r</w:t>
      </w:r>
      <w:r>
        <w:t>e</w:t>
      </w:r>
      <w:r>
        <w:t>sultatet av arbeidet som er utført og effekten av tiltakene som er gjennomført. Det fremgår av lovens § 26 tredje ledd at arbeidet skal skje fortløpende og i samarbeid med de ansattes representanter.</w:t>
      </w:r>
    </w:p>
    <w:p w:rsidR="00000000" w:rsidRDefault="00D718D0" w:rsidP="00BA3E8B">
      <w:r>
        <w:t>En nærmere omtale av hva</w:t>
      </w:r>
      <w:r>
        <w:t xml:space="preserve"> arbeidsmetoden i fire trinn innebærer, hvordan metoden skal brukes, samt av mulige tiltak som arbeidsgiver kan iverksette, fremgår av forarbeidene til likestillings- og diskrimin</w:t>
      </w:r>
      <w:r>
        <w:t>e</w:t>
      </w:r>
      <w:r>
        <w:t>ring</w:t>
      </w:r>
      <w:r>
        <w:t>s</w:t>
      </w:r>
      <w:r>
        <w:t>loven, jf. Prop. 81 L (2016–2017) kapittel 24.4.10.4.</w:t>
      </w:r>
    </w:p>
    <w:p w:rsidR="00000000" w:rsidRDefault="00D718D0" w:rsidP="00BA3E8B">
      <w:pPr>
        <w:pStyle w:val="Overskrift3"/>
      </w:pPr>
      <w:r>
        <w:t>Forsl</w:t>
      </w:r>
      <w:r>
        <w:t>ag i høringsnotatet</w:t>
      </w:r>
    </w:p>
    <w:p w:rsidR="00000000" w:rsidRDefault="00D718D0" w:rsidP="00BA3E8B">
      <w:r>
        <w:t>Departementet foreslo i høringsnotatet at den lovbestemte arbeidsmetoden i likestillings- og diskrimin</w:t>
      </w:r>
      <w:r>
        <w:t>e</w:t>
      </w:r>
      <w:r>
        <w:t>ringsloven § 26 annet ledd utvides til å omfatte arbeidsgivere i private virksomheter som jevnlig sysse</w:t>
      </w:r>
      <w:r>
        <w:t>l</w:t>
      </w:r>
      <w:r>
        <w:t>setter mellom 20 og 50 ansatt</w:t>
      </w:r>
      <w:r>
        <w:t>e, når en av arbeidslivets parter i virksomheten krever det.</w:t>
      </w:r>
    </w:p>
    <w:p w:rsidR="00000000" w:rsidRDefault="00D718D0" w:rsidP="00BA3E8B">
      <w:pPr>
        <w:pStyle w:val="Overskrift3"/>
      </w:pPr>
      <w:r>
        <w:t>Høringsinstansenes syn</w:t>
      </w:r>
    </w:p>
    <w:p w:rsidR="00000000" w:rsidRDefault="00D718D0" w:rsidP="00BA3E8B">
      <w:r>
        <w:t>Et stort flertall av de høringsinstansene som har uttalt seg om dette, støtter forslaget om å utvide a</w:t>
      </w:r>
      <w:r>
        <w:t>r</w:t>
      </w:r>
      <w:r>
        <w:t>beidsmetoden til å gjelde arbeidsplasser med mellom 20 og</w:t>
      </w:r>
      <w:r>
        <w:t xml:space="preserve"> 50 ansatte når en av arbeidslivets parter i virksomheten krever det. Blant de som støtter forslaget er </w:t>
      </w:r>
      <w:r>
        <w:rPr>
          <w:rStyle w:val="kursiv"/>
          <w:sz w:val="21"/>
          <w:szCs w:val="21"/>
        </w:rPr>
        <w:t>Likestillings- og diskrimin</w:t>
      </w:r>
      <w:r>
        <w:rPr>
          <w:rStyle w:val="kursiv"/>
          <w:sz w:val="21"/>
          <w:szCs w:val="21"/>
        </w:rPr>
        <w:t>e</w:t>
      </w:r>
      <w:r>
        <w:rPr>
          <w:rStyle w:val="kursiv"/>
          <w:sz w:val="21"/>
          <w:szCs w:val="21"/>
        </w:rPr>
        <w:t>ringsombudet</w:t>
      </w:r>
      <w:r>
        <w:t xml:space="preserve">, </w:t>
      </w:r>
      <w:r>
        <w:rPr>
          <w:rStyle w:val="kursiv"/>
          <w:sz w:val="21"/>
          <w:szCs w:val="21"/>
        </w:rPr>
        <w:t>Bufdir</w:t>
      </w:r>
      <w:r>
        <w:t xml:space="preserve"> og </w:t>
      </w:r>
      <w:r>
        <w:rPr>
          <w:rStyle w:val="kursiv"/>
          <w:sz w:val="21"/>
          <w:szCs w:val="21"/>
        </w:rPr>
        <w:t>Likestillingssenteret</w:t>
      </w:r>
      <w:r>
        <w:t xml:space="preserve">. </w:t>
      </w:r>
      <w:r>
        <w:rPr>
          <w:rStyle w:val="kursiv"/>
          <w:sz w:val="21"/>
          <w:szCs w:val="21"/>
        </w:rPr>
        <w:t>Økonomiforbundet</w:t>
      </w:r>
      <w:r>
        <w:t xml:space="preserve"> viser til at utvidelsen bidrar til økt grad av medbestemmels</w:t>
      </w:r>
      <w:r>
        <w:t>e i arbeidslivet.</w:t>
      </w:r>
    </w:p>
    <w:p w:rsidR="00000000" w:rsidRDefault="00D718D0" w:rsidP="00BA3E8B">
      <w:r>
        <w:t xml:space="preserve">Noen høringsinstanser, herunder </w:t>
      </w:r>
      <w:r>
        <w:rPr>
          <w:rStyle w:val="kursiv"/>
          <w:sz w:val="21"/>
          <w:szCs w:val="21"/>
        </w:rPr>
        <w:t>Arbeidsgiverorganisasjon for kirkelige virksomheter</w:t>
      </w:r>
      <w:r>
        <w:t>, etterlyser en pr</w:t>
      </w:r>
      <w:r>
        <w:t>e</w:t>
      </w:r>
      <w:r>
        <w:t>sis</w:t>
      </w:r>
      <w:r>
        <w:t>e</w:t>
      </w:r>
      <w:r>
        <w:t>ring av begrepet «arbeidslivets parter».</w:t>
      </w:r>
    </w:p>
    <w:p w:rsidR="00000000" w:rsidRPr="009445FD" w:rsidRDefault="00D718D0" w:rsidP="00BA3E8B">
      <w:pPr>
        <w:rPr>
          <w:rStyle w:val="kursiv"/>
        </w:rPr>
      </w:pPr>
      <w:r>
        <w:rPr>
          <w:rStyle w:val="kursiv"/>
          <w:sz w:val="21"/>
          <w:szCs w:val="21"/>
        </w:rPr>
        <w:t>Likestillings- og diskrimineringsombudet</w:t>
      </w:r>
      <w:r>
        <w:t xml:space="preserve"> uttaler:</w:t>
      </w:r>
    </w:p>
    <w:p w:rsidR="00000000" w:rsidRDefault="00D718D0" w:rsidP="00BA3E8B">
      <w:pPr>
        <w:pStyle w:val="blokksit"/>
      </w:pPr>
      <w:r>
        <w:t>«O</w:t>
      </w:r>
      <w:r>
        <w:t>mbudet mener det er bra at alle offentlige arbeidsgivere og alle private arbeidsgivere med mer enn 50 ansatte, og mer enn 20 ansatte der en av partene ber om det, skal følge konkretisert a</w:t>
      </w:r>
      <w:r>
        <w:t>r</w:t>
      </w:r>
      <w:r>
        <w:t xml:space="preserve">beidsmetode etter § 26. Ombudet er bekymret for det store antallet </w:t>
      </w:r>
      <w:r>
        <w:t>private arbeidsgivere som i</w:t>
      </w:r>
      <w:r>
        <w:t>k</w:t>
      </w:r>
      <w:r>
        <w:t>ke er omfattet av konkretisert plikt, men mener likevel at ombudets anledning til å kontrollere aktivitets- og redegjøre</w:t>
      </w:r>
      <w:r>
        <w:t>l</w:t>
      </w:r>
      <w:r>
        <w:t>sesplikt hos alle arbeidsgivere i stor grad veier opp for dette.»</w:t>
      </w:r>
    </w:p>
    <w:p w:rsidR="00000000" w:rsidRDefault="00D718D0" w:rsidP="00BA3E8B">
      <w:r>
        <w:lastRenderedPageBreak/>
        <w:t xml:space="preserve">Flere høringsinstanser, herunder </w:t>
      </w:r>
      <w:r>
        <w:rPr>
          <w:rStyle w:val="kursiv"/>
          <w:sz w:val="21"/>
          <w:szCs w:val="21"/>
        </w:rPr>
        <w:t>Fagforbu</w:t>
      </w:r>
      <w:r>
        <w:rPr>
          <w:rStyle w:val="kursiv"/>
          <w:sz w:val="21"/>
          <w:szCs w:val="21"/>
        </w:rPr>
        <w:t>ndet</w:t>
      </w:r>
      <w:r>
        <w:t xml:space="preserve">, </w:t>
      </w:r>
      <w:r>
        <w:rPr>
          <w:rStyle w:val="kursiv"/>
          <w:sz w:val="21"/>
          <w:szCs w:val="21"/>
        </w:rPr>
        <w:t>Likestillingssenteret</w:t>
      </w:r>
      <w:r>
        <w:t xml:space="preserve"> og </w:t>
      </w:r>
      <w:r>
        <w:rPr>
          <w:rStyle w:val="kursiv"/>
          <w:sz w:val="21"/>
          <w:szCs w:val="21"/>
        </w:rPr>
        <w:t>NITO</w:t>
      </w:r>
      <w:r>
        <w:t xml:space="preserve"> mener at departementet kunne gått lenger med å utvide plikten til å følge metoden til å gjelde også små virksomheter. Flere av disse høringsinstansene, bl.a. </w:t>
      </w:r>
      <w:r>
        <w:rPr>
          <w:rStyle w:val="kursiv"/>
          <w:sz w:val="21"/>
          <w:szCs w:val="21"/>
        </w:rPr>
        <w:t>LO</w:t>
      </w:r>
      <w:r>
        <w:t xml:space="preserve">, </w:t>
      </w:r>
      <w:r>
        <w:rPr>
          <w:rStyle w:val="kursiv"/>
          <w:sz w:val="21"/>
          <w:szCs w:val="21"/>
        </w:rPr>
        <w:t>YS</w:t>
      </w:r>
      <w:r>
        <w:t xml:space="preserve">, </w:t>
      </w:r>
      <w:r>
        <w:rPr>
          <w:rStyle w:val="kursiv"/>
          <w:sz w:val="21"/>
          <w:szCs w:val="21"/>
        </w:rPr>
        <w:t>Akademikerne</w:t>
      </w:r>
      <w:r>
        <w:t xml:space="preserve"> og noen interesseorganisasjoner, som f. e</w:t>
      </w:r>
      <w:r>
        <w:t xml:space="preserve">ks. </w:t>
      </w:r>
      <w:r>
        <w:rPr>
          <w:rStyle w:val="kursiv"/>
          <w:sz w:val="21"/>
          <w:szCs w:val="21"/>
        </w:rPr>
        <w:t>FFO</w:t>
      </w:r>
      <w:r>
        <w:t xml:space="preserve">, </w:t>
      </w:r>
      <w:r>
        <w:rPr>
          <w:rStyle w:val="kursiv"/>
          <w:sz w:val="21"/>
          <w:szCs w:val="21"/>
        </w:rPr>
        <w:t>JURK</w:t>
      </w:r>
      <w:r>
        <w:t xml:space="preserve"> og </w:t>
      </w:r>
      <w:r>
        <w:rPr>
          <w:rStyle w:val="kursiv"/>
          <w:sz w:val="21"/>
          <w:szCs w:val="21"/>
        </w:rPr>
        <w:t>Antirasistisk Senter</w:t>
      </w:r>
      <w:r>
        <w:t xml:space="preserve"> mener også at metoden skal være obligatorisk for alle arbeidsgivere i vir</w:t>
      </w:r>
      <w:r>
        <w:t>k</w:t>
      </w:r>
      <w:r>
        <w:t>somheter med mer enn 20 ansatte. Dette uavhengig av om en av arbeidslivets parter i virksomheten kr</w:t>
      </w:r>
      <w:r>
        <w:t>e</w:t>
      </w:r>
      <w:r>
        <w:t xml:space="preserve">ver det, eller ikke. </w:t>
      </w:r>
      <w:r>
        <w:rPr>
          <w:rStyle w:val="kursiv"/>
          <w:sz w:val="21"/>
          <w:szCs w:val="21"/>
        </w:rPr>
        <w:t>YS</w:t>
      </w:r>
      <w:r>
        <w:t xml:space="preserve"> uttaler blant annet:</w:t>
      </w:r>
    </w:p>
    <w:p w:rsidR="00000000" w:rsidRDefault="00D718D0" w:rsidP="00BA3E8B">
      <w:pPr>
        <w:pStyle w:val="blokksit"/>
      </w:pPr>
      <w:r>
        <w:t>«Etter gjeldende lov er alle arbeidsgivere i offentlig sektor samt private virksomheter med over 50 a</w:t>
      </w:r>
      <w:r>
        <w:t>n</w:t>
      </w:r>
      <w:r>
        <w:t>satte omfattet av en konkretisert aktivitetsplikt. Departementet foreslår nå at denne konkr</w:t>
      </w:r>
      <w:r>
        <w:t>e</w:t>
      </w:r>
      <w:r>
        <w:t>tiserte a</w:t>
      </w:r>
      <w:r>
        <w:t>k</w:t>
      </w:r>
      <w:r>
        <w:t>tivitetsplikten også skal gjelde i private bedrifte</w:t>
      </w:r>
      <w:r>
        <w:t>r med mellom 20 og 50 ansatte dersom en av arbeid</w:t>
      </w:r>
      <w:r>
        <w:t>s</w:t>
      </w:r>
      <w:r>
        <w:t>livets parter krever det. Dette er en forbedring, men endringen går ikke langt nok. Det private n</w:t>
      </w:r>
      <w:r>
        <w:t>æ</w:t>
      </w:r>
      <w:r>
        <w:t>ringslivet i Norge domineres av små og mellomstore bedrifter, hvorav mange er uorganiserte. Hele 98,2 % av l</w:t>
      </w:r>
      <w:r>
        <w:t>andets bedrifter har færre enn 50 ansatte. Den konkretiserte aktiv</w:t>
      </w:r>
      <w:r>
        <w:t>i</w:t>
      </w:r>
      <w:r>
        <w:t>tetsplikten bør derfor være obligatorisk for alle private virksomheter med mellom 20 og 50 a</w:t>
      </w:r>
      <w:r>
        <w:t>n</w:t>
      </w:r>
      <w:r>
        <w:t>satte.»</w:t>
      </w:r>
    </w:p>
    <w:p w:rsidR="00000000" w:rsidRPr="009445FD" w:rsidRDefault="00D718D0" w:rsidP="00BA3E8B">
      <w:pPr>
        <w:rPr>
          <w:rStyle w:val="kursiv"/>
        </w:rPr>
      </w:pPr>
      <w:r>
        <w:rPr>
          <w:rStyle w:val="kursiv"/>
          <w:sz w:val="21"/>
          <w:szCs w:val="21"/>
        </w:rPr>
        <w:t>Fagforbundet</w:t>
      </w:r>
      <w:r>
        <w:t xml:space="preserve"> viser til at aktivitetsplikten også bør gjelde små virksomheter med mindre </w:t>
      </w:r>
      <w:r>
        <w:t>enn 50 ansatte. Fagforbundet mener at grensen, som et minimum, bør settes ved virksomheter som sysselsetter mer enn 20 ansatte, og uttaler at det ikke bare er positivt at:</w:t>
      </w:r>
    </w:p>
    <w:p w:rsidR="00000000" w:rsidRDefault="00D718D0" w:rsidP="00BA3E8B">
      <w:pPr>
        <w:pStyle w:val="blokksit"/>
      </w:pPr>
      <w:r>
        <w:t>«…den ene part i det en må forstå som organiserte virksomheter skal kunne kreve at u</w:t>
      </w:r>
      <w:r>
        <w:t>tvidelsen av a</w:t>
      </w:r>
      <w:r>
        <w:t>k</w:t>
      </w:r>
      <w:r>
        <w:t>tivitetsplikten også skal gjelde i virksomheter som har mellom 20 og 50 ansatte. Det kan l</w:t>
      </w:r>
      <w:r>
        <w:t>i</w:t>
      </w:r>
      <w:r>
        <w:t>ke gjerne være et insitament for å være uorganisert.»</w:t>
      </w:r>
    </w:p>
    <w:p w:rsidR="00000000" w:rsidRPr="009445FD" w:rsidRDefault="00D718D0" w:rsidP="00BA3E8B">
      <w:pPr>
        <w:rPr>
          <w:rStyle w:val="kursiv"/>
        </w:rPr>
      </w:pPr>
      <w:r>
        <w:rPr>
          <w:rStyle w:val="kursiv"/>
          <w:sz w:val="21"/>
          <w:szCs w:val="21"/>
        </w:rPr>
        <w:t xml:space="preserve">Mira-Ressurssenter </w:t>
      </w:r>
      <w:r>
        <w:t>for minoritetskvinner uttaler:</w:t>
      </w:r>
    </w:p>
    <w:p w:rsidR="00000000" w:rsidRDefault="00D718D0" w:rsidP="00BA3E8B">
      <w:pPr>
        <w:pStyle w:val="blokksit"/>
      </w:pPr>
      <w:r>
        <w:t>«Når det gjelder de minste arbeidsgiverne og h</w:t>
      </w:r>
      <w:r>
        <w:t>vorvidt de skal følge den spesifiserte arbeidsm</w:t>
      </w:r>
      <w:r>
        <w:t>e</w:t>
      </w:r>
      <w:r>
        <w:t>toden, mener MiRA-Senteret også det er grunn til å være betenkt til vilkåret om at en av arbeid</w:t>
      </w:r>
      <w:r>
        <w:t>s</w:t>
      </w:r>
      <w:r>
        <w:t>livets parter i virksomheten aktivt må stille krav om dette. Basert på vårt arbeid med minoritet</w:t>
      </w:r>
      <w:r>
        <w:t>s</w:t>
      </w:r>
      <w:r>
        <w:t>kvinner og dere</w:t>
      </w:r>
      <w:r>
        <w:t>s ti</w:t>
      </w:r>
      <w:r>
        <w:t>l</w:t>
      </w:r>
      <w:r>
        <w:t>knytning til arbeidslivet ser vi det som lite trolig at denne formuleringen er tilstrekkelig for å sikre det praktiske likestillingsarbeidet i hver enkelt bedrift og ovenfor ulike minoritetsgrupper. I forslaget tar en utgangspunkt i at alle arbeidstak</w:t>
      </w:r>
      <w:r>
        <w:t>ere har kompetanse, ressu</w:t>
      </w:r>
      <w:r>
        <w:t>r</w:t>
      </w:r>
      <w:r>
        <w:t>ser og mulighet til å formulere krav ove</w:t>
      </w:r>
      <w:r>
        <w:t>n</w:t>
      </w:r>
      <w:r>
        <w:t>for sin arbeidsgiver, enten gjennom å være fagorganisert eller på annen måte påvirke sin a</w:t>
      </w:r>
      <w:r>
        <w:t>r</w:t>
      </w:r>
      <w:r>
        <w:t>beid</w:t>
      </w:r>
      <w:r>
        <w:t>s</w:t>
      </w:r>
      <w:r>
        <w:t>hverdag. Lovverket skal sikre likestilling, men skal også hindre diskriminering, og vi skulle</w:t>
      </w:r>
      <w:r>
        <w:t xml:space="preserve"> gjerne sett at en hadde drøftet om det i virkeligheten er slik at alle deltakere i arbeidslivet har en reell mulighet til å stille krav ovenfor i sin arbeidsgiver.»</w:t>
      </w:r>
    </w:p>
    <w:p w:rsidR="00000000" w:rsidRPr="009445FD" w:rsidRDefault="00D718D0" w:rsidP="00BA3E8B">
      <w:pPr>
        <w:rPr>
          <w:rStyle w:val="kursiv"/>
        </w:rPr>
      </w:pPr>
      <w:r>
        <w:rPr>
          <w:rStyle w:val="kursiv"/>
          <w:sz w:val="21"/>
          <w:szCs w:val="21"/>
        </w:rPr>
        <w:t>Fagforbundet</w:t>
      </w:r>
      <w:r>
        <w:t xml:space="preserve"> mener at ombudets mulighet til å kontrollere aktivitets- og redegjørelsesplik</w:t>
      </w:r>
      <w:r>
        <w:t>ten hos alle arbeidsgivere ikke kan veie opp for en høy terskel i forhold til antall ansatte.</w:t>
      </w:r>
    </w:p>
    <w:p w:rsidR="00000000" w:rsidRPr="009445FD" w:rsidRDefault="00D718D0" w:rsidP="00BA3E8B">
      <w:pPr>
        <w:rPr>
          <w:rStyle w:val="kursiv"/>
        </w:rPr>
      </w:pPr>
      <w:r>
        <w:rPr>
          <w:rStyle w:val="kursiv"/>
          <w:sz w:val="21"/>
          <w:szCs w:val="21"/>
        </w:rPr>
        <w:t xml:space="preserve">Funksjonshemmedes Fellesorganisasjon (FFO) </w:t>
      </w:r>
      <w:r>
        <w:t>stiller seg positivt til at departementet foreslår å utvide akt</w:t>
      </w:r>
      <w:r>
        <w:t>i</w:t>
      </w:r>
      <w:r>
        <w:t>vitetsplikten til virksomheter helt ned til 20 ansatte.</w:t>
      </w:r>
      <w:r>
        <w:t xml:space="preserve"> </w:t>
      </w:r>
      <w:r>
        <w:rPr>
          <w:rStyle w:val="kursiv"/>
          <w:sz w:val="21"/>
          <w:szCs w:val="21"/>
        </w:rPr>
        <w:t>FFO</w:t>
      </w:r>
      <w:r>
        <w:t xml:space="preserve"> stiller imidlertid også spørsmål om aktiv</w:t>
      </w:r>
      <w:r>
        <w:t>i</w:t>
      </w:r>
      <w:r>
        <w:t xml:space="preserve">tetsplikten blir sterk nok for virksomheter med færre enn 50 ansatte om det kreves at en av arbeidslivets parter krever det. </w:t>
      </w:r>
      <w:r>
        <w:rPr>
          <w:rStyle w:val="kursiv"/>
          <w:sz w:val="21"/>
          <w:szCs w:val="21"/>
        </w:rPr>
        <w:t>FFO</w:t>
      </w:r>
      <w:r>
        <w:t xml:space="preserve"> mener at det ikke er hensiktsmessig å lage en «mellomor</w:t>
      </w:r>
      <w:r>
        <w:t>d</w:t>
      </w:r>
      <w:r>
        <w:t xml:space="preserve">ning», som foreslått. </w:t>
      </w:r>
      <w:r>
        <w:rPr>
          <w:rStyle w:val="kursiv"/>
          <w:sz w:val="21"/>
          <w:szCs w:val="21"/>
        </w:rPr>
        <w:t>FF</w:t>
      </w:r>
      <w:r>
        <w:rPr>
          <w:rStyle w:val="kursiv"/>
          <w:sz w:val="21"/>
          <w:szCs w:val="21"/>
        </w:rPr>
        <w:t>O</w:t>
      </w:r>
      <w:r>
        <w:t xml:space="preserve"> mener videre at det kan oppleves både mer effektivt fra et arbeidsgivers perspektiv, og mer forutb</w:t>
      </w:r>
      <w:r>
        <w:t>e</w:t>
      </w:r>
      <w:r>
        <w:t>regnelig for de ansatte, at plikten gjøres til et obligatorisk arbeid</w:t>
      </w:r>
      <w:r>
        <w:t>s</w:t>
      </w:r>
      <w:r>
        <w:t>verktøy også for disse virksomhetene.</w:t>
      </w:r>
    </w:p>
    <w:p w:rsidR="00000000" w:rsidRDefault="00D718D0" w:rsidP="00BA3E8B">
      <w:r>
        <w:t xml:space="preserve">Enkelte høringsinstanser, som f.eks. </w:t>
      </w:r>
      <w:r>
        <w:rPr>
          <w:rStyle w:val="kursiv"/>
          <w:sz w:val="21"/>
          <w:szCs w:val="21"/>
        </w:rPr>
        <w:t xml:space="preserve">Bufdir og </w:t>
      </w:r>
      <w:r>
        <w:rPr>
          <w:rStyle w:val="kursiv"/>
          <w:sz w:val="21"/>
          <w:szCs w:val="21"/>
        </w:rPr>
        <w:t>Finansforbundet</w:t>
      </w:r>
      <w:r>
        <w:t>, mener at partssamarbeidet ikke skal invo</w:t>
      </w:r>
      <w:r>
        <w:t>l</w:t>
      </w:r>
      <w:r>
        <w:t>veres i aktivitetsplikten. Bufdir mener at en slik ordning sender et signal om at likesti</w:t>
      </w:r>
      <w:r>
        <w:t>l</w:t>
      </w:r>
      <w:r>
        <w:t>lingsarbeid er en fo</w:t>
      </w:r>
      <w:r>
        <w:t>r</w:t>
      </w:r>
      <w:r>
        <w:t xml:space="preserve">handlingssak, noe som er uheldig. </w:t>
      </w:r>
      <w:r>
        <w:rPr>
          <w:rStyle w:val="kursiv"/>
          <w:sz w:val="21"/>
          <w:szCs w:val="21"/>
        </w:rPr>
        <w:t>Norsk folkehjelp</w:t>
      </w:r>
      <w:r>
        <w:t xml:space="preserve"> og </w:t>
      </w:r>
      <w:r>
        <w:rPr>
          <w:rStyle w:val="kursiv"/>
          <w:sz w:val="21"/>
          <w:szCs w:val="21"/>
        </w:rPr>
        <w:t>Reform</w:t>
      </w:r>
      <w:r>
        <w:t xml:space="preserve"> </w:t>
      </w:r>
      <w:r>
        <w:rPr>
          <w:rStyle w:val="kursiv"/>
          <w:sz w:val="21"/>
          <w:szCs w:val="21"/>
        </w:rPr>
        <w:t xml:space="preserve">– ressurssenter for </w:t>
      </w:r>
      <w:r>
        <w:rPr>
          <w:rStyle w:val="kursiv"/>
          <w:sz w:val="21"/>
          <w:szCs w:val="21"/>
        </w:rPr>
        <w:lastRenderedPageBreak/>
        <w:t xml:space="preserve">menn </w:t>
      </w:r>
      <w:r>
        <w:t>viser til at det for små arbeidsplasser kan være vanskelig for de ansatte å kreve at arbeid</w:t>
      </w:r>
      <w:r>
        <w:t>s</w:t>
      </w:r>
      <w:r>
        <w:t>giveren skal bruke arbeid</w:t>
      </w:r>
      <w:r>
        <w:t>s</w:t>
      </w:r>
      <w:r>
        <w:t>met</w:t>
      </w:r>
      <w:r>
        <w:t>o</w:t>
      </w:r>
      <w:r>
        <w:t>den.</w:t>
      </w:r>
    </w:p>
    <w:p w:rsidR="00000000" w:rsidRPr="009445FD" w:rsidRDefault="00D718D0" w:rsidP="00BA3E8B">
      <w:pPr>
        <w:rPr>
          <w:rStyle w:val="kursiv"/>
        </w:rPr>
      </w:pPr>
      <w:r>
        <w:rPr>
          <w:rStyle w:val="kursiv"/>
          <w:sz w:val="21"/>
          <w:szCs w:val="21"/>
        </w:rPr>
        <w:t>LO</w:t>
      </w:r>
      <w:r>
        <w:t xml:space="preserve"> mener at grensen for virkeområdet for arbeidsmetoden kan senkes til alle arbeidsgivere med mer enn 20 ansatte og viser til at </w:t>
      </w:r>
      <w:r>
        <w:t>tillitsvalgte, uansett skal bidra til aktivitetsplikten gjennom at dette skal skje i samarbeid med ansattes representanter, jf. lovforslaget.</w:t>
      </w:r>
    </w:p>
    <w:p w:rsidR="00000000" w:rsidRPr="009445FD" w:rsidRDefault="00D718D0" w:rsidP="00BA3E8B">
      <w:pPr>
        <w:rPr>
          <w:rStyle w:val="halvfet"/>
        </w:rPr>
      </w:pPr>
      <w:r>
        <w:rPr>
          <w:rStyle w:val="kursiv"/>
          <w:sz w:val="21"/>
          <w:szCs w:val="21"/>
        </w:rPr>
        <w:t>Virke</w:t>
      </w:r>
      <w:r>
        <w:t xml:space="preserve"> og </w:t>
      </w:r>
      <w:r>
        <w:rPr>
          <w:rStyle w:val="kursiv"/>
          <w:sz w:val="21"/>
          <w:szCs w:val="21"/>
        </w:rPr>
        <w:t>NHO</w:t>
      </w:r>
      <w:r>
        <w:t xml:space="preserve">, støtter ikke utvidelsen. Sammen med </w:t>
      </w:r>
      <w:r>
        <w:rPr>
          <w:rStyle w:val="kursiv"/>
          <w:sz w:val="21"/>
          <w:szCs w:val="21"/>
        </w:rPr>
        <w:t xml:space="preserve">Finans Norge </w:t>
      </w:r>
      <w:r>
        <w:t>anfører disse høringsinstansene at a</w:t>
      </w:r>
      <w:r>
        <w:t>r</w:t>
      </w:r>
      <w:r>
        <w:t>beidsmetoden e</w:t>
      </w:r>
      <w:r>
        <w:t>r for arbeidskrevende og for omfattende, og at den kan innebære en unø</w:t>
      </w:r>
      <w:r>
        <w:t>d</w:t>
      </w:r>
      <w:r>
        <w:t xml:space="preserve">vendig byrde for små bedrifter. Ifølge </w:t>
      </w:r>
      <w:r>
        <w:rPr>
          <w:rStyle w:val="kursiv"/>
          <w:sz w:val="21"/>
          <w:szCs w:val="21"/>
        </w:rPr>
        <w:t>Virke</w:t>
      </w:r>
      <w:r>
        <w:t xml:space="preserve"> og </w:t>
      </w:r>
      <w:r>
        <w:rPr>
          <w:rStyle w:val="kursiv"/>
          <w:sz w:val="21"/>
          <w:szCs w:val="21"/>
        </w:rPr>
        <w:t>NHO</w:t>
      </w:r>
      <w:r>
        <w:t xml:space="preserve"> bør terskelen på 50 ansatte opprettholdes da større virksomheter har mer ressurser for å følge opp pliktene. </w:t>
      </w:r>
      <w:r>
        <w:rPr>
          <w:rStyle w:val="kursiv"/>
          <w:sz w:val="21"/>
          <w:szCs w:val="21"/>
        </w:rPr>
        <w:t>Virke</w:t>
      </w:r>
      <w:r>
        <w:t xml:space="preserve"> stiller spørsmål v</w:t>
      </w:r>
      <w:r>
        <w:t xml:space="preserve">ed om de ansatte bør kunne pålegge arbeidsgivere dette tiltaket, uten en nærmere begrunnelse. </w:t>
      </w:r>
      <w:r>
        <w:rPr>
          <w:rStyle w:val="kursiv"/>
          <w:sz w:val="21"/>
          <w:szCs w:val="21"/>
        </w:rPr>
        <w:t>Virke</w:t>
      </w:r>
      <w:r>
        <w:t xml:space="preserve"> e</w:t>
      </w:r>
      <w:r>
        <w:t>t</w:t>
      </w:r>
      <w:r>
        <w:t xml:space="preserve">terlyser også en klargjøring av hva som ligger i vilkåret «en av partene». </w:t>
      </w:r>
      <w:r>
        <w:rPr>
          <w:rStyle w:val="kursiv"/>
          <w:sz w:val="21"/>
          <w:szCs w:val="21"/>
        </w:rPr>
        <w:t>Finans Norge</w:t>
      </w:r>
      <w:r>
        <w:t xml:space="preserve"> mener at forslaget fort støter mot personvernhensyn.</w:t>
      </w:r>
    </w:p>
    <w:p w:rsidR="00000000" w:rsidRDefault="00D718D0" w:rsidP="00BA3E8B">
      <w:pPr>
        <w:pStyle w:val="Overskrift3"/>
      </w:pPr>
      <w:r>
        <w:t>D</w:t>
      </w:r>
      <w:r>
        <w:t>epartementets vurderinger</w:t>
      </w:r>
    </w:p>
    <w:p w:rsidR="00000000" w:rsidRDefault="00D718D0" w:rsidP="00BA3E8B">
      <w:r>
        <w:t>Departementet opprettholder forslaget om å utvide den obligatoriske arbeidsmetoden til å gjelde arbeid</w:t>
      </w:r>
      <w:r>
        <w:t>s</w:t>
      </w:r>
      <w:r>
        <w:t>givere i private virksomheter som har mellom 20 og 50 ansatte, når en av arbeidslivets parter i virkso</w:t>
      </w:r>
      <w:r>
        <w:t>m</w:t>
      </w:r>
      <w:r>
        <w:t xml:space="preserve">heten krever det. Dette </w:t>
      </w:r>
      <w:r>
        <w:t>måles som et gjennomsnitt av antall ansatte i løpet av regnskapsåret. Denne m</w:t>
      </w:r>
      <w:r>
        <w:t>å</w:t>
      </w:r>
      <w:r>
        <w:t>ten å differensiere etter antall ansatte er inspirert av bestemmelsen om etablering av et arbeidsmiljøutvalg i arbeidsmiljøloven § 7–1. Spørsmålet kan drøftes og a</w:t>
      </w:r>
      <w:r>
        <w:t>v</w:t>
      </w:r>
      <w:r>
        <w:t>gjøres i de ek</w:t>
      </w:r>
      <w:r>
        <w:t>sisterende samarbeidsfora for a</w:t>
      </w:r>
      <w:r>
        <w:t>r</w:t>
      </w:r>
      <w:r>
        <w:t>beidslivets parter i virksomheten. Forslaget vid</w:t>
      </w:r>
      <w:r>
        <w:t>e</w:t>
      </w:r>
      <w:r>
        <w:t>refører gjeldende rett, når det gjelder hva arbeidsmet</w:t>
      </w:r>
      <w:r>
        <w:t>o</w:t>
      </w:r>
      <w:r>
        <w:t>den innebærer, og hvordan den skal brukes, herunder tiltak som skal iverksettes, jf. Prop. 81 L (2016–2017) kapittel 24.</w:t>
      </w:r>
      <w:r>
        <w:t>4.10.4.</w:t>
      </w:r>
    </w:p>
    <w:p w:rsidR="00000000" w:rsidRDefault="00D718D0" w:rsidP="00BA3E8B">
      <w:r>
        <w:t>De fleste virksomheter i Norge er små foretak. Som Den norske Revisorforeningen påpeker, har a</w:t>
      </w:r>
      <w:r>
        <w:t>n</w:t>
      </w:r>
      <w:r>
        <w:t xml:space="preserve">slagsvis mer enn 90 % av regnskapspliktige små foretak 20 ansatte eller mindre. Ca. 40-50 % av foretakene har ingen ansatte. Det er per i dag ca. 50 000 </w:t>
      </w:r>
      <w:r>
        <w:t>virksomheter i Norge som sysselsetter mellom 10 og 49 ansatte, og i overkant av 20 000 virksomheter som sysselsetter mellom 20 og 49 ansatte. Dette innebærer at det fortsatt er mange virksomheter som ikke omfattes av arbeid</w:t>
      </w:r>
      <w:r>
        <w:t>s</w:t>
      </w:r>
      <w:r>
        <w:t>metoden, med tilhørende konkreti</w:t>
      </w:r>
      <w:r>
        <w:t>se</w:t>
      </w:r>
      <w:r>
        <w:t>r</w:t>
      </w:r>
      <w:r>
        <w:t>te forpliktelsene.</w:t>
      </w:r>
    </w:p>
    <w:p w:rsidR="00000000" w:rsidRDefault="00D718D0" w:rsidP="00BA3E8B">
      <w:r>
        <w:t>I departementets forslag omfattes likevel flere private virksomheter av en viss størrelse av mer deta</w:t>
      </w:r>
      <w:r>
        <w:t>l</w:t>
      </w:r>
      <w:r>
        <w:t>jerte regler om aktivitetsplikten, slik at forskjellene i krav om aktivt likestillingsarbeid, mellom offentlige og private virksomhe</w:t>
      </w:r>
      <w:r>
        <w:t>ter, reduseres.</w:t>
      </w:r>
    </w:p>
    <w:p w:rsidR="00000000" w:rsidRDefault="00D718D0" w:rsidP="00BA3E8B">
      <w:r>
        <w:t>Flere arbeidstakerorganisasjoner mener at terskelen for plikt til å bruke arbeidsmetoden skal ligge fast på 20 ansatte, eller at arbeidsplasser med færre ansatte enn 20, skal omfattes. A</w:t>
      </w:r>
      <w:r>
        <w:t>r</w:t>
      </w:r>
      <w:r>
        <w:t>beidsgiverorganis</w:t>
      </w:r>
      <w:r>
        <w:t>a</w:t>
      </w:r>
      <w:r>
        <w:t>sj</w:t>
      </w:r>
      <w:r>
        <w:t>o</w:t>
      </w:r>
      <w:r>
        <w:t>n</w:t>
      </w:r>
      <w:r>
        <w:t>e</w:t>
      </w:r>
      <w:r>
        <w:t>ne/næringslivets representante</w:t>
      </w:r>
      <w:r>
        <w:t>r mener derimot at terskelen ikke skal settes under 50 ansatte. En fle</w:t>
      </w:r>
      <w:r>
        <w:t>k</w:t>
      </w:r>
      <w:r>
        <w:t>sibel terskel for virksomheter med hhv. 50 eller 20 ansatte, som også styrker de ansattes medvirkning i likesti</w:t>
      </w:r>
      <w:r>
        <w:t>l</w:t>
      </w:r>
      <w:r>
        <w:t>lingsarbeid, er, etter departementets vurdering, derfor god løsning. Et e</w:t>
      </w:r>
      <w:r>
        <w:t>ventuelt merarbeid ved å bruke en systematisk tilnærming i fire trinn vil være nokså begrenset og det vil i stor grad avhenge av hvilke tiltak som virksomheten velger å iverksette.</w:t>
      </w:r>
    </w:p>
    <w:p w:rsidR="00000000" w:rsidRDefault="00D718D0" w:rsidP="00BA3E8B">
      <w:r>
        <w:t xml:space="preserve">Det presiseres at det kreves enighet blant flertallet av de ansatte for at </w:t>
      </w:r>
      <w:r>
        <w:t>virksomheten skal omfattes av aktiv</w:t>
      </w:r>
      <w:r>
        <w:t>i</w:t>
      </w:r>
      <w:r>
        <w:t xml:space="preserve">tetsplikten, på samme måte som arbeidsmiljølovens bestemmelse om opprettelse av </w:t>
      </w:r>
      <w:r>
        <w:lastRenderedPageBreak/>
        <w:t>arbeidsmiljøu</w:t>
      </w:r>
      <w:r>
        <w:t>t</w:t>
      </w:r>
      <w:r>
        <w:t>valg forstås i dag. Dette fremgår bl.a. av kommentarutgaven til arbeidsmiljøloven på arbeidsrett.no, note 6 til arbeid</w:t>
      </w:r>
      <w:r>
        <w:t>s</w:t>
      </w:r>
      <w:r>
        <w:t>miljølo</w:t>
      </w:r>
      <w:r>
        <w:t>ven § 7–1:</w:t>
      </w:r>
    </w:p>
    <w:p w:rsidR="00000000" w:rsidRDefault="00D718D0" w:rsidP="00BA3E8B">
      <w:pPr>
        <w:pStyle w:val="blokksit"/>
      </w:pPr>
      <w:r>
        <w:t>«Det er antatt at det på arbeidstakersiden kreves enighet blant flertallet av de ansatte for at det skal opprettes et arbeidsmiljøutvalg etter denne regelen, og at det ikke etableres kun etter et ønske fra e</w:t>
      </w:r>
      <w:r>
        <w:t>n</w:t>
      </w:r>
      <w:r>
        <w:t xml:space="preserve">kelte av de ansatte. En arbeidsgiver </w:t>
      </w:r>
      <w:r>
        <w:t>kan imidlertid ikke motsette seg at det etableres et arbeidsmilj</w:t>
      </w:r>
      <w:r>
        <w:t>ø</w:t>
      </w:r>
      <w:r>
        <w:t>utvalg dersom det er de tillitsvalgte som krever det.»</w:t>
      </w:r>
    </w:p>
    <w:p w:rsidR="00000000" w:rsidRDefault="00D718D0" w:rsidP="00BA3E8B">
      <w:r>
        <w:t>Dersom en arbeidsgiver ønsker å gjennomføre metoden beskrevet i § 26 annet ledd, står a</w:t>
      </w:r>
      <w:r>
        <w:t>r</w:t>
      </w:r>
      <w:r>
        <w:t>beidsgiver fritt til å gjøre dette. I tillegg vi</w:t>
      </w:r>
      <w:r>
        <w:t>l arbeidstakersiden kunne kreve, med hjemmel i den foreslåtte § 26 annet ledd annet punktum, at arbeidsgiver gjennomfører aktivitetsplikten, også for virksomheter som har me</w:t>
      </w:r>
      <w:r>
        <w:t>l</w:t>
      </w:r>
      <w:r>
        <w:t>lom 20 og 50 ansatte.</w:t>
      </w:r>
    </w:p>
    <w:p w:rsidR="00000000" w:rsidRDefault="00D718D0" w:rsidP="00BA3E8B">
      <w:r>
        <w:t>Arbeidsmetoden skal være et konkret hjelpemiddel for arbeids</w:t>
      </w:r>
      <w:r>
        <w:t>givere, slik at de vet hva de skal gjøre for å oppnå mer likestilling. Arbeidsmetoden skal hjelpe arbeidsgivere til å vurdere når en endring inn</w:t>
      </w:r>
      <w:r>
        <w:t>e</w:t>
      </w:r>
      <w:r>
        <w:t>bærer en forbedring og hvilke tiltak som skal iverksettes for å komme frem til målet. At forslagene vil innebær</w:t>
      </w:r>
      <w:r>
        <w:t>e me</w:t>
      </w:r>
      <w:r>
        <w:t>r</w:t>
      </w:r>
      <w:r>
        <w:t>arbeid for virksomheter som pålegges konkrete forpliktelser, er uunngåelig, jf. Stortingets anmo</w:t>
      </w:r>
      <w:r>
        <w:t>d</w:t>
      </w:r>
      <w:r>
        <w:t>ningsvedtak nr. 1119 (2016–2017), som forutsetter at aktiv</w:t>
      </w:r>
      <w:r>
        <w:t>i</w:t>
      </w:r>
      <w:r>
        <w:t>tets- og redegjørelsesplikten skal sty</w:t>
      </w:r>
      <w:r>
        <w:t>r</w:t>
      </w:r>
      <w:r>
        <w:t>kes. De minste private virksomheter (under 20 ansatte) v</w:t>
      </w:r>
      <w:r>
        <w:t>il, etter departementets forslag, imidlertid bare være omfattet av den gen</w:t>
      </w:r>
      <w:r>
        <w:t>e</w:t>
      </w:r>
      <w:r>
        <w:t>relle aktivitetsplikten. Den konkretiserte arbeidsmetoden vil dermed være kun ve</w:t>
      </w:r>
      <w:r>
        <w:t>i</w:t>
      </w:r>
      <w:r>
        <w:t>ledende for små bedrifter.</w:t>
      </w:r>
    </w:p>
    <w:p w:rsidR="00000000" w:rsidRDefault="00D718D0" w:rsidP="00BA3E8B">
      <w:r>
        <w:t>Hensynet bak arbeidsmetoden er at arbeidsgivere skal jobbe med likestilling fortløpende og i sama</w:t>
      </w:r>
      <w:r>
        <w:t>r</w:t>
      </w:r>
      <w:r>
        <w:t>beid med de ansattes representanter. Departementet mener at dette styrker dialogen med arbeidslivets parter og styrker de ansattes muligheter til reell medvir</w:t>
      </w:r>
      <w:r>
        <w:t>kning i spørsmål som angår likebehandling på arbeidsplassen. Forslaget bidrar til å oppmuntre dialog mellom arbeidslivets parter med å fremme likesti</w:t>
      </w:r>
      <w:r>
        <w:t>l</w:t>
      </w:r>
      <w:r>
        <w:t>ling på arbeidsplassen, slik EU/EØS-retten fremhever, jf. ramm</w:t>
      </w:r>
      <w:r>
        <w:t>e</w:t>
      </w:r>
      <w:r>
        <w:t>direktivet 2000/78/EF artikkel 13 og likebe</w:t>
      </w:r>
      <w:r>
        <w:t>handlingsdirektivet 2006/54/EF artikkel 21 og 26.</w:t>
      </w:r>
    </w:p>
    <w:p w:rsidR="00000000" w:rsidRDefault="00D718D0" w:rsidP="00BA3E8B">
      <w:r>
        <w:t>Departementet kan ikke se at denne måten å regulere utvidelsen av virkeområdet for arbeid</w:t>
      </w:r>
      <w:r>
        <w:t>s</w:t>
      </w:r>
      <w:r>
        <w:t>metoden, skal kunne anses som et insitament for å være uorganisert, slik Fagforbundet påpeker. Departementet mener d</w:t>
      </w:r>
      <w:r>
        <w:t>erimot at ombudets mulighet til å følge opp aktivitets- og redegjørelse</w:t>
      </w:r>
      <w:r>
        <w:t>s</w:t>
      </w:r>
      <w:r>
        <w:t>plikten hos alle arbeidsg</w:t>
      </w:r>
      <w:r>
        <w:t>i</w:t>
      </w:r>
      <w:r>
        <w:t>vere veier opp for at de minste virksomhetene ikke er omfattet av den konkretiserte arbeidsmetoden.</w:t>
      </w:r>
    </w:p>
    <w:p w:rsidR="00000000" w:rsidRDefault="00D718D0" w:rsidP="00BA3E8B">
      <w:pPr>
        <w:pStyle w:val="Overskrift2"/>
      </w:pPr>
      <w:r>
        <w:t>Lønnskartlegging, ufrivillig deltid og kjønnsbaser</w:t>
      </w:r>
      <w:r>
        <w:t>t vold</w:t>
      </w:r>
    </w:p>
    <w:p w:rsidR="00000000" w:rsidRDefault="00D718D0" w:rsidP="00BA3E8B">
      <w:pPr>
        <w:pStyle w:val="Overskrift3"/>
      </w:pPr>
      <w:r>
        <w:t>Innledning</w:t>
      </w:r>
    </w:p>
    <w:p w:rsidR="00000000" w:rsidRDefault="00D718D0" w:rsidP="00BA3E8B">
      <w:r>
        <w:t>Departementet foreslo i høringsnotatet at arbeidsgivere som skal følge arbeidsmetoden får flere konkrete plikter knyttet til likestillingsarbeid. Dette innebærer at disse arbeidsgivere skal kar</w:t>
      </w:r>
      <w:r>
        <w:t>t</w:t>
      </w:r>
      <w:r>
        <w:t>legge lønnsforhold fordelt etter</w:t>
      </w:r>
      <w:r>
        <w:t xml:space="preserve"> kjønn og bruken av ufrivillig deltidsarbeid. Dette gjelder ifølge forslaget i høringsnotatet a</w:t>
      </w:r>
      <w:r>
        <w:t>r</w:t>
      </w:r>
      <w:r>
        <w:t>beidsgivere i private virksomheter med mellom 20 og 50 ansatte, når en av arbeidslivets parter i virkso</w:t>
      </w:r>
      <w:r>
        <w:t>m</w:t>
      </w:r>
      <w:r>
        <w:t>heten krever det. Dette i tillegg til arbeidsgivere i of</w:t>
      </w:r>
      <w:r>
        <w:t>fentlige virksomheter og private virksomheter med mer enn 50 ansatte. Det vises til omtalen av utvidelsen av arbeidsmetoden i kapittel 3.6.</w:t>
      </w:r>
    </w:p>
    <w:p w:rsidR="00000000" w:rsidRDefault="00D718D0" w:rsidP="00BA3E8B">
      <w:pPr>
        <w:pStyle w:val="Undertittel"/>
      </w:pPr>
      <w:r>
        <w:lastRenderedPageBreak/>
        <w:t>Lønnskartlegging</w:t>
      </w:r>
    </w:p>
    <w:p w:rsidR="00000000" w:rsidRDefault="00D718D0" w:rsidP="00BA3E8B">
      <w:r>
        <w:t>Utredninger viser at det finnes sammenheng mellom sosiokulturelle prosesser som produserer arbeidsl</w:t>
      </w:r>
      <w:r>
        <w:t>i</w:t>
      </w:r>
      <w:r>
        <w:t>vets kjønnssegregering og som skaper ulikheter når det gjelder deltidsarbeid, lønn</w:t>
      </w:r>
      <w:r>
        <w:t>s</w:t>
      </w:r>
      <w:r>
        <w:t>forskjeller, utvi</w:t>
      </w:r>
      <w:r>
        <w:t>k</w:t>
      </w:r>
      <w:r>
        <w:t>lingsmuligheter og forfremmelse i arbeidslivet, jf. Meld. St. 6 (2010–2011), jf. NOU 2012: 15 kapittel 2.3.2. Et mer likestilt arbeidsliv er et viktig ver</w:t>
      </w:r>
      <w:r>
        <w:t>di og målsetting i sa</w:t>
      </w:r>
      <w:r>
        <w:t>m</w:t>
      </w:r>
      <w:r>
        <w:t>funnet. Kvinner har likevel, fremdeles, u</w:t>
      </w:r>
      <w:r>
        <w:t>t</w:t>
      </w:r>
      <w:r>
        <w:t xml:space="preserve">fordringer i arbeidslivet: kvinner har i gjennomsnitt fortsatt vesentlig lavere inntekt enn menn. Tall fra SSB (2017) viser, og som JURK også påpeker i sitt høringssvar, at kvinner tjener ca. </w:t>
      </w:r>
      <w:r>
        <w:t>87 prosent av menns gjennomsnittlige månedslønn. Skjeie-utvalget konstaterte i NOU 2012: 15 side 35 at også innvandrerba</w:t>
      </w:r>
      <w:r>
        <w:t>k</w:t>
      </w:r>
      <w:r>
        <w:t>grunn påvirker lønn. Særlig kvinner med ikke-vestlig landbakgrunn har lavt inntektsnivå, sammenlignet med både kvinner med vestlig bakg</w:t>
      </w:r>
      <w:r>
        <w:t>runn og menn som har samme landbakgrunn som dem selv.</w:t>
      </w:r>
    </w:p>
    <w:p w:rsidR="00000000" w:rsidRDefault="00D718D0" w:rsidP="00BA3E8B">
      <w:r>
        <w:t>I Meld. St. 6 (2010–2011) vises det til at lønnsforskjellene følger det kjønnssegregerte arbeid</w:t>
      </w:r>
      <w:r>
        <w:t>s</w:t>
      </w:r>
      <w:r>
        <w:t>livet. Un</w:t>
      </w:r>
      <w:r>
        <w:t>g</w:t>
      </w:r>
      <w:r>
        <w:t>dommers yrkesvalg er fortsatt tradisjonelle. Kvinner jobber mye deltid og tar hove</w:t>
      </w:r>
      <w:r>
        <w:t>d</w:t>
      </w:r>
      <w:r>
        <w:t xml:space="preserve">ansvaret for </w:t>
      </w:r>
      <w:r>
        <w:t>o</w:t>
      </w:r>
      <w:r>
        <w:t>m</w:t>
      </w:r>
      <w:r>
        <w:t>sorgs- og husholdsoppgaver i familien. Kvinnedominerte yrker er lavere lønnet enn mannsdominerte y</w:t>
      </w:r>
      <w:r>
        <w:t>r</w:t>
      </w:r>
      <w:r>
        <w:t>ker, jf. NOU 2008: 6. Dette påvirker kvinners posisjon i arbeidslivet, og deres evne til forsørge seg selv.</w:t>
      </w:r>
    </w:p>
    <w:p w:rsidR="00000000" w:rsidRDefault="00D718D0" w:rsidP="00BA3E8B">
      <w:r>
        <w:t>I Sverige, Island og Finland har lønnslikestill</w:t>
      </w:r>
      <w:r>
        <w:t>ing fått forholdsvis mye oppmerksomhet i diskr</w:t>
      </w:r>
      <w:r>
        <w:t>i</w:t>
      </w:r>
      <w:r>
        <w:t>min</w:t>
      </w:r>
      <w:r>
        <w:t>e</w:t>
      </w:r>
      <w:r>
        <w:t>ringslo</w:t>
      </w:r>
      <w:r>
        <w:t>v</w:t>
      </w:r>
      <w:r>
        <w:t>givningen. I Sverige skal arbeidsgivere som sysselsetter minst 10 ansatte dok</w:t>
      </w:r>
      <w:r>
        <w:t>u</w:t>
      </w:r>
      <w:r>
        <w:t>mentere hvert år arbeidet med lønnskartleggingen. Fra 1. januar 2018 har Island innført en l</w:t>
      </w:r>
      <w:r>
        <w:t>i</w:t>
      </w:r>
      <w:r>
        <w:t>kelønnsstandard og en obl</w:t>
      </w:r>
      <w:r>
        <w:t>i</w:t>
      </w:r>
      <w:r>
        <w:t>gatorisk likelønn</w:t>
      </w:r>
      <w:r>
        <w:t>s</w:t>
      </w:r>
      <w:r>
        <w:t>sertifisering for arbeidsgivere i virksomheter med minst 25 ansatte. I Finland har a</w:t>
      </w:r>
      <w:r>
        <w:t>r</w:t>
      </w:r>
      <w:r>
        <w:t>beidsgivere som rege</w:t>
      </w:r>
      <w:r>
        <w:t>l</w:t>
      </w:r>
      <w:r>
        <w:t>messig sysselsetter minst 30 ansatte en plikt til å utarbeide en likestillingsplan, og som en del av dette gje</w:t>
      </w:r>
      <w:r>
        <w:t>n</w:t>
      </w:r>
      <w:r>
        <w:t>nomføre en årlig kart</w:t>
      </w:r>
      <w:r>
        <w:t>legging av lønnsforskjeller mellom kvinner og menn. Det vises til omtalen av aktivt likestillingsarbeid i enkelte andre land i kapittel 3.</w:t>
      </w:r>
    </w:p>
    <w:p w:rsidR="00000000" w:rsidRDefault="00D718D0" w:rsidP="00BA3E8B">
      <w:r>
        <w:t xml:space="preserve">Likelønnskommisjonen foreslo en plikt for arbeidsgivere å utarbeide lønnsstatistikk, jf. NOU 2008: 6 </w:t>
      </w:r>
    </w:p>
    <w:p w:rsidR="00000000" w:rsidRDefault="00D718D0" w:rsidP="00BA3E8B">
      <w:r>
        <w:t xml:space="preserve">Kjønn og lønn. </w:t>
      </w:r>
      <w:r>
        <w:t>Videre varselet den daværende regjeringen i Meld. St. 6 (2010–2011) Likestilling for likelønn at den vil sikre lønnsstatistikker knyttet til kjønn på virksomhetsnivå. Departementet uttalte i likelønnsme</w:t>
      </w:r>
      <w:r>
        <w:t>l</w:t>
      </w:r>
      <w:r>
        <w:t xml:space="preserve">dingen at det var nødvendig at arbeidsgivere med mer </w:t>
      </w:r>
      <w:r>
        <w:t>enn 50 ansatte har oversikt over lønnsforskjeller i virksomheten og hva årsakene til lønnsforskjellene er. Lønn</w:t>
      </w:r>
      <w:r>
        <w:t>s</w:t>
      </w:r>
      <w:r>
        <w:t>statistikker skulle være fordelt etter kjønn og stillingskategorier, og det skulle utvikles sa</w:t>
      </w:r>
      <w:r>
        <w:t>m</w:t>
      </w:r>
      <w:r>
        <w:t>menlignbare lønnskomponenter. Lønnsstatistikken s</w:t>
      </w:r>
      <w:r>
        <w:t>kulle bli tilgjengelig for alle ansatte – ikke bare for tillitsvalgte – og det skulle utarbe</w:t>
      </w:r>
      <w:r>
        <w:t>i</w:t>
      </w:r>
      <w:r>
        <w:t>des nærmere kriterier for st</w:t>
      </w:r>
      <w:r>
        <w:t>a</w:t>
      </w:r>
      <w:r>
        <w:t>tistikken.</w:t>
      </w:r>
    </w:p>
    <w:p w:rsidR="00000000" w:rsidRDefault="00D718D0" w:rsidP="00BA3E8B">
      <w:r>
        <w:t>Departementet sendte i 2012 på høring et lovforslag som innebar en plikt for arbeidsgivere å utarbeide lønnsstatistikk ford</w:t>
      </w:r>
      <w:r>
        <w:t>elt etter kjønn, som en del av aktivitets- og redegjørelsesplikten. Plikten til å utarbeide lønnsstatistikker skulle gjelde for private virksomheter med mer enn 50 ansatte og for statlige, komm</w:t>
      </w:r>
      <w:r>
        <w:t>u</w:t>
      </w:r>
      <w:r>
        <w:t>nale og fylkeskommunale virksomheter uavhengig av størrelse. D</w:t>
      </w:r>
      <w:r>
        <w:t>epartementet konkluderte etter h</w:t>
      </w:r>
      <w:r>
        <w:t>ø</w:t>
      </w:r>
      <w:r>
        <w:t>ringen at det likevel bør utredes nærmere hvilke data som skal legges til grunn for lønnsstatistikker. D</w:t>
      </w:r>
      <w:r>
        <w:t>e</w:t>
      </w:r>
      <w:r>
        <w:t>partementet mente den gang at det måtte undersøkes nærmere hvordan dataopplysninger som samles inn på sentralt nivå sk</w:t>
      </w:r>
      <w:r>
        <w:t>ulle kunne brukes ved utarbeidelse av lønnsstatistikker på virksomhetsnivå, og forsl</w:t>
      </w:r>
      <w:r>
        <w:t>a</w:t>
      </w:r>
      <w:r>
        <w:t>get ble ikke fulgt opp videre.</w:t>
      </w:r>
    </w:p>
    <w:p w:rsidR="00000000" w:rsidRDefault="00D718D0" w:rsidP="00BA3E8B">
      <w:pPr>
        <w:pStyle w:val="Undertittel"/>
      </w:pPr>
      <w:r>
        <w:lastRenderedPageBreak/>
        <w:t>Ufrivillig deltid</w:t>
      </w:r>
    </w:p>
    <w:p w:rsidR="00000000" w:rsidRDefault="00D718D0" w:rsidP="00BA3E8B">
      <w:r>
        <w:t>Mange kvinner jobber deltid hele sitt liv. Andelen som jobber deltid har gått noe ned de siste årene, men fremdeles jobber</w:t>
      </w:r>
      <w:r>
        <w:t xml:space="preserve"> 37 prosent av alle sysselsatte kvinner deltid. De fleste jobber deltid fordi de ønsker det, jf. Egeland og Drange 2014. En del av disse er likevel kvinner som jobber deltid mot sin vilje, og som ønsker og har anledning til å jobbe mer. Tall fra Arbeidskra</w:t>
      </w:r>
      <w:r>
        <w:t>ftsu</w:t>
      </w:r>
      <w:r>
        <w:t>n</w:t>
      </w:r>
      <w:r>
        <w:t>dersøkelsen til SSB viser at det i 2018 samlet var ca. 66 000 undersysselsatte, dvs. personer som ønsker å jobbe mer, har søkt og er tilgjengelig for å jobbe mer. De undersysselsatte utgjør i underkant av 10 prosent av de deltidsansatte. Ser vi bare p</w:t>
      </w:r>
      <w:r>
        <w:t>å kvinner så er det også her rundt 10 prosent av de deltidssysselsatte som ønsker å jobbe mer.</w:t>
      </w:r>
    </w:p>
    <w:p w:rsidR="00000000" w:rsidRDefault="00D718D0" w:rsidP="00BA3E8B">
      <w:pPr>
        <w:pStyle w:val="Undertittel"/>
      </w:pPr>
      <w:r>
        <w:t>Kjønnsbasert vold i arbeidslivet</w:t>
      </w:r>
    </w:p>
    <w:p w:rsidR="00000000" w:rsidRDefault="00D718D0" w:rsidP="00BA3E8B">
      <w:r>
        <w:t>Kjønnsbasert vold forekommer i alle miljøer, men saker om vold og overgrep blir kraftig u</w:t>
      </w:r>
      <w:r>
        <w:t>n</w:t>
      </w:r>
      <w:r>
        <w:t>derrapportert. Kjønnsbasert vold forek</w:t>
      </w:r>
      <w:r>
        <w:t>ommer ofte i enkelte sektorer av arbeidslivet, men rammer ikke alle yrkesgru</w:t>
      </w:r>
      <w:r>
        <w:t>p</w:t>
      </w:r>
      <w:r>
        <w:t>per. Mange utsettes for vold i arbeidslivet som ikke er kjønnsrelatert. Kvi</w:t>
      </w:r>
      <w:r>
        <w:t>n</w:t>
      </w:r>
      <w:r>
        <w:t>nelige arbeidstakere i omsorgs- og serviceyrker er i stor grad utsatt for kjønnsbasert vold. S</w:t>
      </w:r>
      <w:r>
        <w:t>y</w:t>
      </w:r>
      <w:r>
        <w:t>kepleier</w:t>
      </w:r>
      <w:r>
        <w:t>e, ansatte i barnevern og ansatte i o</w:t>
      </w:r>
      <w:r>
        <w:t>m</w:t>
      </w:r>
      <w:r>
        <w:t>sorgstjenester for psykisk utviklingshemmede kan nevnes som yrkesgrupper som er mest utsatt for vold mot kvinner.</w:t>
      </w:r>
    </w:p>
    <w:p w:rsidR="00000000" w:rsidRDefault="00D718D0" w:rsidP="00BA3E8B">
      <w:r>
        <w:t>Forskning viser at langt flere kvinner enn menn er utsatt for vold fra kunder, klienter og pasienter på</w:t>
      </w:r>
      <w:r>
        <w:t xml:space="preserve"> jobben.</w:t>
      </w:r>
    </w:p>
    <w:p w:rsidR="00000000" w:rsidRDefault="00D718D0" w:rsidP="00BA3E8B">
      <w:r>
        <w:t xml:space="preserve">Den nasjonale forekomststudie av vold (NKVTS 2014) slo fast at langt flere kvinner enn menn er utsatt for mindre alvorlig vold fra kunder, klienter og pasienter. Ifølge studien hadde nesten 20 % av kvinner over 18 år vært utsatt for alvorlig vold </w:t>
      </w:r>
      <w:r>
        <w:t>fra kunder, pasienter og klienter. SSBs lev</w:t>
      </w:r>
      <w:r>
        <w:t>e</w:t>
      </w:r>
      <w:r>
        <w:t>kårsundersøkelse fra 2010 viser at kvinnelige arbeidstakere i helse- og sosialsektoren har en høy risiko for å bli utsatt for vold på arbeidsplassen.</w:t>
      </w:r>
    </w:p>
    <w:p w:rsidR="00000000" w:rsidRDefault="00D718D0" w:rsidP="00BA3E8B">
      <w:r>
        <w:t>Metoo-kampanjen høsten 2017 har skapt oppmerksomhet rundt seks</w:t>
      </w:r>
      <w:r>
        <w:t>uell trakassering, og satt probl</w:t>
      </w:r>
      <w:r>
        <w:t>e</w:t>
      </w:r>
      <w:r>
        <w:t>met på den politiske dagsorden. Undersøkelser viser at seks av ti elever i videregående skole hadde op</w:t>
      </w:r>
      <w:r>
        <w:t>p</w:t>
      </w:r>
      <w:r>
        <w:t>levd minst én form for seksuell trakassering i løpet av siste år, jf. Bendixen og Kennair 2009. Seksuell trakassering er</w:t>
      </w:r>
      <w:r>
        <w:t xml:space="preserve"> et utbredt problem også i arbeidslivet. SSBs levekår</w:t>
      </w:r>
      <w:r>
        <w:t>s</w:t>
      </w:r>
      <w:r>
        <w:t>undersøkelse om arbeidsmiljø fra 2016 viser at 7 prosent av kvinner og 2 prosent av menn hadde blitt utsatt for uønsket seksuell oppmer</w:t>
      </w:r>
      <w:r>
        <w:t>k</w:t>
      </w:r>
      <w:r>
        <w:t xml:space="preserve">somhet på arbeidsplassen en gang i måneden eller oftere. Seksuell </w:t>
      </w:r>
      <w:r>
        <w:t>trakassering og annen kjønnsrelatert vold er diskriminering som skal mota</w:t>
      </w:r>
      <w:r>
        <w:t>r</w:t>
      </w:r>
      <w:r>
        <w:t>beides a</w:t>
      </w:r>
      <w:r>
        <w:t>k</w:t>
      </w:r>
      <w:r>
        <w:t>tivt, målrettet og planmessig.</w:t>
      </w:r>
    </w:p>
    <w:p w:rsidR="00000000" w:rsidRDefault="00D718D0" w:rsidP="00BA3E8B">
      <w:pPr>
        <w:pStyle w:val="Overskrift3"/>
      </w:pPr>
      <w:r>
        <w:t>Lønnskartlegging</w:t>
      </w:r>
    </w:p>
    <w:p w:rsidR="00000000" w:rsidRDefault="00D718D0" w:rsidP="00BA3E8B">
      <w:pPr>
        <w:pStyle w:val="Overskrift4"/>
      </w:pPr>
      <w:r>
        <w:t>Gjeldende rett</w:t>
      </w:r>
    </w:p>
    <w:p w:rsidR="00000000" w:rsidRDefault="00D718D0" w:rsidP="00BA3E8B">
      <w:r>
        <w:t xml:space="preserve">Etter gjeldende lov skal kvinner og menn i samme virksomhet ha lik lønn for samme </w:t>
      </w:r>
      <w:r>
        <w:t xml:space="preserve">arbeid eller arbeid av lik verdi, jf. likestillings- og diskrimineringsloven § 34. Lønnen skal fastsettes på samme måte, uten hensyn til kjønn. Med virksomhet menes samme arbeidsgiver, dvs. den som har ansatt arbeidstakeren, jf. Ot. prp.nr. 77 (2000–2001) </w:t>
      </w:r>
      <w:r>
        <w:t>side 53. Lønnsbegrepet omfatter alt arbeidsvederlag, tillegg, fordeler og goder.</w:t>
      </w:r>
    </w:p>
    <w:p w:rsidR="00000000" w:rsidRDefault="00D718D0" w:rsidP="00BA3E8B">
      <w:r>
        <w:lastRenderedPageBreak/>
        <w:t>Likelønnsbestemmelsen skal tolkes i lys av det generelle diskrimineringsforbudet i § 6 i lik</w:t>
      </w:r>
      <w:r>
        <w:t>e</w:t>
      </w:r>
      <w:r>
        <w:t xml:space="preserve">stillings- og diskrimineringsloven. Retten til likelønn etter § 34 innebærer ikke </w:t>
      </w:r>
      <w:r>
        <w:t>nødvendigvis at en kvinne og en mann skal ha samme lønn for samme arbeid eller arbeid av lik verdi, men at lønnen skal fastsettes uten hensyn til kjønn. To ulike arbeid kan være av lik verdi selv om sti</w:t>
      </w:r>
      <w:r>
        <w:t>l</w:t>
      </w:r>
      <w:r>
        <w:t>lingene krever ulik fagbakgrunn eller lønnen regulere</w:t>
      </w:r>
      <w:r>
        <w:t>s i ulike tariffavtaler. Om arbeidene er av lik verdi avgjøres etter en helhetsvurdering der det legges vekt på f.eks. kompetanse, ansvar, anstrengelse og arbeidsforhold. Det fremgår av lovens fo</w:t>
      </w:r>
      <w:r>
        <w:t>r</w:t>
      </w:r>
      <w:r>
        <w:t xml:space="preserve">arbeider at forhold som knytter seg til den enkelte ansatte </w:t>
      </w:r>
      <w:r>
        <w:t>ikke skal inngå i verdivurderingen, selv om slike forhold kan, etter omste</w:t>
      </w:r>
      <w:r>
        <w:t>n</w:t>
      </w:r>
      <w:r>
        <w:t>dighetene, begrunne lønnsforskjeller. Forarbeidene nevner at slike indiv</w:t>
      </w:r>
      <w:r>
        <w:t>i</w:t>
      </w:r>
      <w:r>
        <w:t>duelle forhold kan være f.eks. ansiennitet og arbeidsutførelse. Det kan likevel ikke legges vekt på forhold,</w:t>
      </w:r>
      <w:r>
        <w:t xml:space="preserve"> som i seg selv er diskriminerende, jf. Prop. 81 L (2016–2017), merknader til § 34.</w:t>
      </w:r>
    </w:p>
    <w:p w:rsidR="00000000" w:rsidRDefault="00D718D0" w:rsidP="00BA3E8B">
      <w:r>
        <w:t>Arbeidsgiver har etter likestillings- og diskrimineringsloven § 32 opplysningsplikt om lønn. Arbeid</w:t>
      </w:r>
      <w:r>
        <w:t>s</w:t>
      </w:r>
      <w:r>
        <w:t>takere som har mistanke om diskriminering med hensyn til lønn, kan kreve</w:t>
      </w:r>
      <w:r>
        <w:t xml:space="preserve"> at arbeid</w:t>
      </w:r>
      <w:r>
        <w:t>s</w:t>
      </w:r>
      <w:r>
        <w:t>giveren skriftlig opplyser om lønnsnivå og kriteriene for fastsettelsen av lønn for navngitte kolleger, jf. Prop. 81 L (2016–2017), merknader til § 32. Det fremgår av annet ledd i beste</w:t>
      </w:r>
      <w:r>
        <w:t>m</w:t>
      </w:r>
      <w:r>
        <w:t>melsen at de som mottar lønnsop</w:t>
      </w:r>
      <w:r>
        <w:t>p</w:t>
      </w:r>
      <w:r>
        <w:t>lysninger har taushetsplikt</w:t>
      </w:r>
      <w:r>
        <w:t xml:space="preserve"> og skal underskrive taushetse</w:t>
      </w:r>
      <w:r>
        <w:t>r</w:t>
      </w:r>
      <w:r>
        <w:t>klæring. Slike opplysninger skal ikke utleveres, med mindre de er offentlige etter offentleglova. En arbeidsgiver som utleverer lønnsopplysninger om en a</w:t>
      </w:r>
      <w:r>
        <w:t>r</w:t>
      </w:r>
      <w:r>
        <w:t>beidstaker, skal informere arbeid</w:t>
      </w:r>
      <w:r>
        <w:t>s</w:t>
      </w:r>
      <w:r>
        <w:t>takeren om hvilke opplysninger som er</w:t>
      </w:r>
      <w:r>
        <w:t xml:space="preserve"> utlevert og til hvem, jf. § 32 tredje ledd.</w:t>
      </w:r>
    </w:p>
    <w:p w:rsidR="00000000" w:rsidRDefault="00D718D0" w:rsidP="00BA3E8B">
      <w:r>
        <w:t>Arbeidsgivers aktivitetsplikt etter likestillings- og diskrimineringsloven § 26 første ledd inn</w:t>
      </w:r>
      <w:r>
        <w:t>e</w:t>
      </w:r>
      <w:r>
        <w:t>bærer at a</w:t>
      </w:r>
      <w:r>
        <w:t>r</w:t>
      </w:r>
      <w:r>
        <w:t>beidsgiver innenfor sin virksomhet skal arbeide aktivt, målrettet og planmessig for å fremme likestillin</w:t>
      </w:r>
      <w:r>
        <w:t>g og hindre diskriminering. Arbeidet skal omfatte lønnsvilkår. Utarbeidelse av lønnsstatistikk eller lønn</w:t>
      </w:r>
      <w:r>
        <w:t>s</w:t>
      </w:r>
      <w:r>
        <w:t>kartle</w:t>
      </w:r>
      <w:r>
        <w:t>g</w:t>
      </w:r>
      <w:r>
        <w:t>ging kan være en del av dette arbeidet, men arbeidsgiver har per i dag en ikke en tydelig presisert, lovfestet plikt til dette, jf. likevel lik</w:t>
      </w:r>
      <w:r>
        <w:t>estillings- og diskrimin</w:t>
      </w:r>
      <w:r>
        <w:t>e</w:t>
      </w:r>
      <w:r>
        <w:t>ringsloven § 26 andre ledd som pålegger visse virkso</w:t>
      </w:r>
      <w:r>
        <w:t>m</w:t>
      </w:r>
      <w:r>
        <w:t>heter å kartlegge risiko for kjønnsdi</w:t>
      </w:r>
      <w:r>
        <w:t>s</w:t>
      </w:r>
      <w:r>
        <w:t>kriminering knyttet til bl.a. lønnsvilkår.</w:t>
      </w:r>
    </w:p>
    <w:p w:rsidR="00000000" w:rsidRDefault="00D718D0" w:rsidP="00BA3E8B">
      <w:pPr>
        <w:pStyle w:val="Overskrift4"/>
      </w:pPr>
      <w:r>
        <w:t>Forslag i høringsnotatet</w:t>
      </w:r>
    </w:p>
    <w:p w:rsidR="00000000" w:rsidRDefault="00D718D0" w:rsidP="00BA3E8B">
      <w:r>
        <w:t>Departementet foreslo i hør</w:t>
      </w:r>
      <w:r>
        <w:t>ingsnotatet at arbeidsgivere i alle offentlige virksomheter, og a</w:t>
      </w:r>
      <w:r>
        <w:t>r</w:t>
      </w:r>
      <w:r>
        <w:t>beidsgivere i private virksomheter som jevnlig sysselsetter mer enn 50 ansatte, skal pålegges en plikt til å gjennomføre og dokumentere kjønnsfordelt lønnskartlegging. Forslaget omfatter ogs</w:t>
      </w:r>
      <w:r>
        <w:t>å arbeidsgivere i private vir</w:t>
      </w:r>
      <w:r>
        <w:t>k</w:t>
      </w:r>
      <w:r>
        <w:t>somheter som jevnlig sysselsetter mellom 20 og 50 ansatte, når en av arbeidslivets parter i virksomheten krever det.</w:t>
      </w:r>
    </w:p>
    <w:p w:rsidR="00000000" w:rsidRDefault="00D718D0" w:rsidP="00BA3E8B">
      <w:pPr>
        <w:pStyle w:val="Overskrift4"/>
      </w:pPr>
      <w:r>
        <w:t>Høringsinstansenes syn</w:t>
      </w:r>
    </w:p>
    <w:p w:rsidR="00000000" w:rsidRDefault="00D718D0" w:rsidP="00BA3E8B">
      <w:r>
        <w:t>Et stort flertall av høringsinstansene som har uttalt seg om lønnskart</w:t>
      </w:r>
      <w:r>
        <w:t xml:space="preserve">leggingen, herunder </w:t>
      </w:r>
      <w:r>
        <w:rPr>
          <w:rStyle w:val="kursiv"/>
          <w:sz w:val="21"/>
          <w:szCs w:val="21"/>
        </w:rPr>
        <w:t>Lik</w:t>
      </w:r>
      <w:r>
        <w:rPr>
          <w:rStyle w:val="kursiv"/>
          <w:sz w:val="21"/>
          <w:szCs w:val="21"/>
        </w:rPr>
        <w:t>e</w:t>
      </w:r>
      <w:r>
        <w:rPr>
          <w:rStyle w:val="kursiv"/>
          <w:sz w:val="21"/>
          <w:szCs w:val="21"/>
        </w:rPr>
        <w:t>stillings- og diskrimineringsombudet</w:t>
      </w:r>
      <w:r>
        <w:t xml:space="preserve">, </w:t>
      </w:r>
      <w:r>
        <w:rPr>
          <w:rStyle w:val="kursiv"/>
          <w:sz w:val="21"/>
          <w:szCs w:val="21"/>
        </w:rPr>
        <w:t>Likestillingssenteret</w:t>
      </w:r>
      <w:r>
        <w:t xml:space="preserve">, </w:t>
      </w:r>
      <w:r>
        <w:rPr>
          <w:rStyle w:val="kursiv"/>
          <w:sz w:val="21"/>
          <w:szCs w:val="21"/>
        </w:rPr>
        <w:t>KVIBALD</w:t>
      </w:r>
      <w:r>
        <w:t xml:space="preserve"> og </w:t>
      </w:r>
      <w:r>
        <w:rPr>
          <w:rStyle w:val="kursiv"/>
          <w:sz w:val="21"/>
          <w:szCs w:val="21"/>
        </w:rPr>
        <w:t>Finansforbundet</w:t>
      </w:r>
      <w:r>
        <w:t xml:space="preserve"> støtter forslaget.</w:t>
      </w:r>
    </w:p>
    <w:p w:rsidR="00000000" w:rsidRPr="009445FD" w:rsidRDefault="00D718D0" w:rsidP="00BA3E8B">
      <w:pPr>
        <w:rPr>
          <w:rStyle w:val="kursiv"/>
        </w:rPr>
      </w:pPr>
      <w:r>
        <w:rPr>
          <w:rStyle w:val="kursiv"/>
          <w:sz w:val="21"/>
          <w:szCs w:val="21"/>
        </w:rPr>
        <w:t>JURK</w:t>
      </w:r>
      <w:r>
        <w:t xml:space="preserve"> viser til at:</w:t>
      </w:r>
    </w:p>
    <w:p w:rsidR="00000000" w:rsidRDefault="00D718D0" w:rsidP="00BA3E8B">
      <w:pPr>
        <w:pStyle w:val="blokksit"/>
      </w:pPr>
      <w:r>
        <w:t>«…arbeidsgiver pålegges en plikt til å foreta en lønnskartlegging vil bidra til at arbeidsgiver blir op</w:t>
      </w:r>
      <w:r>
        <w:t>p</w:t>
      </w:r>
      <w:r>
        <w:t>me</w:t>
      </w:r>
      <w:r>
        <w:t>rksom på eventuelle forskjeller i lønn på bakgrunn av kjønn og gir et insentiv til å endre dette. JURK anser dette som et viktig bidrag til å minske lønnsforskjellene mellom kvinner og menn for a</w:t>
      </w:r>
      <w:r>
        <w:t>r</w:t>
      </w:r>
      <w:r>
        <w:t>beid av lik verdi gjennom økt bevisstgjøring.»</w:t>
      </w:r>
    </w:p>
    <w:p w:rsidR="00000000" w:rsidRPr="009445FD" w:rsidRDefault="00D718D0" w:rsidP="00BA3E8B">
      <w:pPr>
        <w:rPr>
          <w:rStyle w:val="kursiv"/>
        </w:rPr>
      </w:pPr>
      <w:r>
        <w:rPr>
          <w:rStyle w:val="kursiv"/>
          <w:sz w:val="21"/>
          <w:szCs w:val="21"/>
        </w:rPr>
        <w:lastRenderedPageBreak/>
        <w:t>Unio</w:t>
      </w:r>
      <w:r>
        <w:t xml:space="preserve"> mener at</w:t>
      </w:r>
      <w:r>
        <w:t xml:space="preserve"> «likelønnsgapet er en av de største samfunnsutfordringer vi har», og er fornøyd med at departementet foreslår at arbeidet for likelønn og mot lønnsdiskriminering intensiveres. </w:t>
      </w:r>
      <w:r>
        <w:rPr>
          <w:rStyle w:val="kursiv"/>
          <w:sz w:val="21"/>
          <w:szCs w:val="21"/>
        </w:rPr>
        <w:t>Unio</w:t>
      </w:r>
      <w:r>
        <w:t xml:space="preserve"> mener v</w:t>
      </w:r>
      <w:r>
        <w:t>i</w:t>
      </w:r>
      <w:r>
        <w:t>dere at departementets forslag om framgangsmåte for dette arbeidet</w:t>
      </w:r>
      <w:r>
        <w:t>, er god.</w:t>
      </w:r>
    </w:p>
    <w:p w:rsidR="00000000" w:rsidRPr="009445FD" w:rsidRDefault="00D718D0" w:rsidP="00BA3E8B">
      <w:pPr>
        <w:rPr>
          <w:rStyle w:val="kursiv"/>
        </w:rPr>
      </w:pPr>
      <w:r>
        <w:rPr>
          <w:rStyle w:val="kursiv"/>
          <w:sz w:val="21"/>
          <w:szCs w:val="21"/>
        </w:rPr>
        <w:t xml:space="preserve">Norsk sykepleierforbund </w:t>
      </w:r>
      <w:r>
        <w:t xml:space="preserve">stiller seg svært positivt til forslaget om å intensivere arbeidet for likelønn, og mener at det i forslaget legges opp til en god framgangsmåte for dette arbeidet. </w:t>
      </w:r>
      <w:r>
        <w:rPr>
          <w:rStyle w:val="kursiv"/>
          <w:sz w:val="21"/>
          <w:szCs w:val="21"/>
        </w:rPr>
        <w:t>NITO</w:t>
      </w:r>
      <w:r>
        <w:t xml:space="preserve"> stiller seg også positivt til departementets forslag</w:t>
      </w:r>
      <w:r>
        <w:t xml:space="preserve"> om lønnskartlegging og viser til høringsnotatet der det fremgår at åpenhet om lønn skal brukes som et virkemiddel for å fremme likestilling. Forslaget går ut på at vurd</w:t>
      </w:r>
      <w:r>
        <w:t>e</w:t>
      </w:r>
      <w:r>
        <w:t>ringstemaet «om det foreligger usaklig forskjellsbehandling ved lønnsfastse</w:t>
      </w:r>
      <w:r>
        <w:t>t</w:t>
      </w:r>
      <w:r>
        <w:t>telsen» sk</w:t>
      </w:r>
      <w:r>
        <w:t xml:space="preserve">al tolkes vidt, og at terskelen for innsynsbegjæring ikke skal settes for høy. </w:t>
      </w:r>
      <w:r>
        <w:rPr>
          <w:rStyle w:val="kursiv"/>
          <w:sz w:val="21"/>
          <w:szCs w:val="21"/>
        </w:rPr>
        <w:t>NITO</w:t>
      </w:r>
      <w:r>
        <w:t xml:space="preserve"> mener at en slik presisering bør fremgå av lovteksten.</w:t>
      </w:r>
    </w:p>
    <w:p w:rsidR="00000000" w:rsidRPr="009445FD" w:rsidRDefault="00D718D0" w:rsidP="00BA3E8B">
      <w:pPr>
        <w:rPr>
          <w:rStyle w:val="kursiv"/>
        </w:rPr>
      </w:pPr>
      <w:r>
        <w:rPr>
          <w:rStyle w:val="kursiv"/>
          <w:sz w:val="21"/>
          <w:szCs w:val="21"/>
        </w:rPr>
        <w:t>Finansforbundet</w:t>
      </w:r>
      <w:r>
        <w:t xml:space="preserve"> uttaler at noen av grunnene til betydelige løn</w:t>
      </w:r>
      <w:r>
        <w:t>nsforskjeller mellom kvinner og menn og en overvekt av menn i ledende posisjoner i finansnæringen skyldes tradisjonelle hol</w:t>
      </w:r>
      <w:r>
        <w:t>d</w:t>
      </w:r>
      <w:r>
        <w:t>ninger, forskjellig ver</w:t>
      </w:r>
      <w:r>
        <w:t>d</w:t>
      </w:r>
      <w:r>
        <w:t xml:space="preserve">setting av ansvarsområder og arbeidsoppgaver, kultur og ubevissthet. </w:t>
      </w:r>
      <w:r>
        <w:rPr>
          <w:rStyle w:val="kursiv"/>
          <w:sz w:val="21"/>
          <w:szCs w:val="21"/>
        </w:rPr>
        <w:t>Finansforbundet</w:t>
      </w:r>
      <w:r>
        <w:t xml:space="preserve"> mener at større åpenhet</w:t>
      </w:r>
      <w:r>
        <w:t xml:space="preserve"> og transparens om lønnsfastsettelse derfor er et viktig premiss for likelønn.</w:t>
      </w:r>
    </w:p>
    <w:p w:rsidR="00000000" w:rsidRDefault="00D718D0" w:rsidP="00BA3E8B">
      <w:r>
        <w:t>Det er kommet forholdsvis mange innspill om hvordan kartleggingen skal reguleres og gje</w:t>
      </w:r>
      <w:r>
        <w:t>n</w:t>
      </w:r>
      <w:r>
        <w:t xml:space="preserve">nomføres. </w:t>
      </w:r>
      <w:r>
        <w:rPr>
          <w:rStyle w:val="kursiv"/>
          <w:sz w:val="21"/>
          <w:szCs w:val="21"/>
        </w:rPr>
        <w:t>F</w:t>
      </w:r>
      <w:r>
        <w:rPr>
          <w:rStyle w:val="kursiv"/>
          <w:sz w:val="21"/>
          <w:szCs w:val="21"/>
        </w:rPr>
        <w:t>i</w:t>
      </w:r>
      <w:r>
        <w:rPr>
          <w:rStyle w:val="kursiv"/>
          <w:sz w:val="21"/>
          <w:szCs w:val="21"/>
        </w:rPr>
        <w:t xml:space="preserve">nansforbundet </w:t>
      </w:r>
      <w:r>
        <w:t>støtter forslaget om at lønnskartleggingen skal utføres gjennom</w:t>
      </w:r>
      <w:r>
        <w:t xml:space="preserve"> sa</w:t>
      </w:r>
      <w:r>
        <w:t>m</w:t>
      </w:r>
      <w:r>
        <w:t>menligning mellom sti</w:t>
      </w:r>
      <w:r>
        <w:t>l</w:t>
      </w:r>
      <w:r>
        <w:t>lingsgrupper og at de ansatte sikres mulighet til å delta i vurderingen av hvilke stillinger som skal inngå i de respektive stillingsgrupper (kategorier). De mener videre at det er:</w:t>
      </w:r>
    </w:p>
    <w:p w:rsidR="00000000" w:rsidRDefault="00D718D0" w:rsidP="00BA3E8B">
      <w:r>
        <w:t>«…av betydning at virksomheter kan sammenligne s</w:t>
      </w:r>
      <w:r>
        <w:t>tillingskategorier som ligger på samme lønnsnivå, utfra kompetansekrav, anstrengelse mv.»</w:t>
      </w:r>
    </w:p>
    <w:p w:rsidR="00000000" w:rsidRDefault="00D718D0" w:rsidP="00BA3E8B">
      <w:r>
        <w:t xml:space="preserve">Ifølge </w:t>
      </w:r>
      <w:r>
        <w:rPr>
          <w:rStyle w:val="kursiv"/>
          <w:sz w:val="21"/>
          <w:szCs w:val="21"/>
        </w:rPr>
        <w:t>Finansforbundet</w:t>
      </w:r>
      <w:r>
        <w:t xml:space="preserve"> må utgangspunktet være at «likeverdig arbeid» inngår i samme kategori og at lønnskartleggingen utarbeides hvert år i samarbeid med de ansattes </w:t>
      </w:r>
      <w:r>
        <w:t>representanter.</w:t>
      </w:r>
    </w:p>
    <w:p w:rsidR="00000000" w:rsidRPr="009445FD" w:rsidRDefault="00D718D0" w:rsidP="00BA3E8B">
      <w:pPr>
        <w:rPr>
          <w:rStyle w:val="kursiv"/>
        </w:rPr>
      </w:pPr>
      <w:r>
        <w:rPr>
          <w:rStyle w:val="kursiv"/>
          <w:sz w:val="21"/>
          <w:szCs w:val="21"/>
        </w:rPr>
        <w:t xml:space="preserve">Finansforbundet </w:t>
      </w:r>
      <w:r>
        <w:t xml:space="preserve">og </w:t>
      </w:r>
      <w:r>
        <w:rPr>
          <w:rStyle w:val="kursiv"/>
          <w:sz w:val="21"/>
          <w:szCs w:val="21"/>
        </w:rPr>
        <w:t xml:space="preserve">YS </w:t>
      </w:r>
      <w:r>
        <w:t xml:space="preserve">støtter forslaget om at kartleggingen omfatter «likt arbeid», i tillegg til «arbeid av lik verdi». </w:t>
      </w:r>
      <w:r>
        <w:rPr>
          <w:rStyle w:val="kursiv"/>
          <w:sz w:val="21"/>
          <w:szCs w:val="21"/>
        </w:rPr>
        <w:t>Virke</w:t>
      </w:r>
      <w:r>
        <w:t xml:space="preserve"> er imidlertid imot at «arbeid av lik verdi» omfattes. </w:t>
      </w:r>
      <w:r>
        <w:rPr>
          <w:rStyle w:val="kursiv"/>
          <w:sz w:val="21"/>
          <w:szCs w:val="21"/>
        </w:rPr>
        <w:t>Finansforbundet</w:t>
      </w:r>
      <w:r>
        <w:t xml:space="preserve"> mener at kartleggingen skal utføres årlig, </w:t>
      </w:r>
      <w:r>
        <w:t xml:space="preserve">mens </w:t>
      </w:r>
      <w:r>
        <w:rPr>
          <w:rStyle w:val="kursiv"/>
          <w:sz w:val="21"/>
          <w:szCs w:val="21"/>
        </w:rPr>
        <w:t>Regelrådet</w:t>
      </w:r>
      <w:r>
        <w:t xml:space="preserve"> mener det bør vurderes om kartle</w:t>
      </w:r>
      <w:r>
        <w:t>g</w:t>
      </w:r>
      <w:r>
        <w:t>gingen skal gjennomføres anne</w:t>
      </w:r>
      <w:r>
        <w:t>t</w:t>
      </w:r>
      <w:r>
        <w:t>hvert år.</w:t>
      </w:r>
    </w:p>
    <w:p w:rsidR="00000000" w:rsidRDefault="00D718D0" w:rsidP="00BA3E8B">
      <w:r>
        <w:t xml:space="preserve">Ifølge </w:t>
      </w:r>
      <w:r>
        <w:rPr>
          <w:rStyle w:val="kursiv"/>
          <w:sz w:val="21"/>
          <w:szCs w:val="21"/>
        </w:rPr>
        <w:t>YS</w:t>
      </w:r>
      <w:r>
        <w:t xml:space="preserve"> viser erfaringen at det kan være vanskelig å få gjennomført lønnskartlegging i vir</w:t>
      </w:r>
      <w:r>
        <w:t>k</w:t>
      </w:r>
      <w:r>
        <w:t xml:space="preserve">somheter hvor ledelsen ikke opererer med stillingskategorier. </w:t>
      </w:r>
      <w:r>
        <w:rPr>
          <w:rStyle w:val="kursiv"/>
          <w:sz w:val="21"/>
          <w:szCs w:val="21"/>
        </w:rPr>
        <w:t>YS</w:t>
      </w:r>
      <w:r>
        <w:t xml:space="preserve"> mener der</w:t>
      </w:r>
      <w:r>
        <w:t>for at det må være en forpliktelse å:</w:t>
      </w:r>
    </w:p>
    <w:p w:rsidR="00000000" w:rsidRDefault="00D718D0" w:rsidP="00BA3E8B">
      <w:pPr>
        <w:pStyle w:val="blokksit"/>
      </w:pPr>
      <w:r>
        <w:t>«…inndele lønnskartleggingen i stillingskategorier eller en annen hensiktsmessig oversikt over a</w:t>
      </w:r>
      <w:r>
        <w:t>n</w:t>
      </w:r>
      <w:r>
        <w:t>sattes stillingsplassering.»</w:t>
      </w:r>
    </w:p>
    <w:p w:rsidR="00000000" w:rsidRPr="009445FD" w:rsidRDefault="00D718D0" w:rsidP="00BA3E8B">
      <w:pPr>
        <w:rPr>
          <w:rStyle w:val="kursiv"/>
        </w:rPr>
      </w:pPr>
      <w:r>
        <w:rPr>
          <w:rStyle w:val="kursiv"/>
          <w:sz w:val="21"/>
          <w:szCs w:val="21"/>
        </w:rPr>
        <w:t>YS</w:t>
      </w:r>
      <w:r>
        <w:t xml:space="preserve"> mener dette er nødvendig for at sammenlignbare stillinger kan identifiseres, og det skal </w:t>
      </w:r>
      <w:r>
        <w:t xml:space="preserve">fremgå av lovteksten at lønnskartleggingen skal være fordelt etter kjønn og stillingskategori. </w:t>
      </w:r>
      <w:r>
        <w:rPr>
          <w:rStyle w:val="kursiv"/>
          <w:sz w:val="21"/>
          <w:szCs w:val="21"/>
        </w:rPr>
        <w:t>YS</w:t>
      </w:r>
      <w:r>
        <w:t xml:space="preserve"> mener videre at:</w:t>
      </w:r>
    </w:p>
    <w:p w:rsidR="00000000" w:rsidRDefault="00D718D0" w:rsidP="00BA3E8B">
      <w:pPr>
        <w:pStyle w:val="blokksit"/>
      </w:pPr>
      <w:r>
        <w:t>«…lønnskartleggingen skal gi de ansatte anledning til å sammenligne sin lønn med gjennomsni</w:t>
      </w:r>
      <w:r>
        <w:t>t</w:t>
      </w:r>
      <w:r>
        <w:t>tet, for egen stillingsgruppe og andre stillingsg</w:t>
      </w:r>
      <w:r>
        <w:t>rupper med arbeid av lik verdi, jfr. § 34, og at de</w:t>
      </w:r>
      <w:r>
        <w:t>t</w:t>
      </w:r>
      <w:r>
        <w:t>te skal fremgå av loven.»</w:t>
      </w:r>
    </w:p>
    <w:p w:rsidR="00000000" w:rsidRDefault="00D718D0" w:rsidP="00BA3E8B">
      <w:r>
        <w:t xml:space="preserve">Noen høringsinstanser ønsker en vurdering av om SSB kan ha en rolle i å bistå virksomheter dersom de ønsker å utarbeide lønnsstatistikk. </w:t>
      </w:r>
      <w:r>
        <w:rPr>
          <w:rStyle w:val="kursiv"/>
          <w:sz w:val="21"/>
          <w:szCs w:val="21"/>
        </w:rPr>
        <w:t>LO</w:t>
      </w:r>
      <w:r>
        <w:t xml:space="preserve"> og </w:t>
      </w:r>
      <w:r>
        <w:rPr>
          <w:rStyle w:val="kursiv"/>
          <w:sz w:val="21"/>
          <w:szCs w:val="21"/>
        </w:rPr>
        <w:t>Fagforbundet</w:t>
      </w:r>
      <w:r>
        <w:t xml:space="preserve"> påp</w:t>
      </w:r>
      <w:r>
        <w:t xml:space="preserve">eker at arbeidsgiver allerede </w:t>
      </w:r>
      <w:r>
        <w:lastRenderedPageBreak/>
        <w:t xml:space="preserve">rapporterer lønns- og yrkesopplysninger for de ansatte til myndighetene. Disse opplysningene er dermed lett tilgjengelige. </w:t>
      </w:r>
      <w:r>
        <w:rPr>
          <w:rStyle w:val="kursiv"/>
          <w:sz w:val="21"/>
          <w:szCs w:val="21"/>
        </w:rPr>
        <w:t>LO</w:t>
      </w:r>
      <w:r>
        <w:t xml:space="preserve"> gir uttrykk for at SSB kan ha en viktig rolle i å bistå virksomheter dersom de ønsker å bruke statis</w:t>
      </w:r>
      <w:r>
        <w:t>tikk, og etterlyser en vurdering av dette.</w:t>
      </w:r>
    </w:p>
    <w:p w:rsidR="00000000" w:rsidRPr="009445FD" w:rsidRDefault="00D718D0" w:rsidP="00BA3E8B">
      <w:pPr>
        <w:rPr>
          <w:rStyle w:val="kursiv"/>
        </w:rPr>
      </w:pPr>
      <w:r>
        <w:rPr>
          <w:rStyle w:val="kursiv"/>
          <w:sz w:val="21"/>
          <w:szCs w:val="21"/>
        </w:rPr>
        <w:t>NHO</w:t>
      </w:r>
      <w:r>
        <w:t xml:space="preserve">, </w:t>
      </w:r>
      <w:r>
        <w:rPr>
          <w:rStyle w:val="kursiv"/>
          <w:sz w:val="21"/>
          <w:szCs w:val="21"/>
        </w:rPr>
        <w:t xml:space="preserve">KS </w:t>
      </w:r>
      <w:r>
        <w:t xml:space="preserve">og </w:t>
      </w:r>
      <w:r>
        <w:rPr>
          <w:rStyle w:val="kursiv"/>
          <w:sz w:val="21"/>
          <w:szCs w:val="21"/>
        </w:rPr>
        <w:t>Virke</w:t>
      </w:r>
      <w:r>
        <w:t xml:space="preserve"> støtter ikke forslaget. De mener at et pålegg om å gjennomføre lønnskartlegging medfører unødvendige administrative byrder for arbeidsgivere.</w:t>
      </w:r>
    </w:p>
    <w:p w:rsidR="00000000" w:rsidRPr="009445FD" w:rsidRDefault="00D718D0" w:rsidP="00BA3E8B">
      <w:pPr>
        <w:rPr>
          <w:rStyle w:val="kursiv"/>
        </w:rPr>
      </w:pPr>
      <w:r>
        <w:rPr>
          <w:rStyle w:val="kursiv"/>
          <w:sz w:val="21"/>
          <w:szCs w:val="21"/>
        </w:rPr>
        <w:t>KS</w:t>
      </w:r>
      <w:r>
        <w:t xml:space="preserve"> mener at lønnsforskjeller mellom kvinner og menn «i</w:t>
      </w:r>
      <w:r>
        <w:t>nnad i stillingsgrupper» ikke er en u</w:t>
      </w:r>
      <w:r>
        <w:t>t</w:t>
      </w:r>
      <w:r>
        <w:t>fordring på grunn av lønnssystemet som brukes i kommunal sektor. De viser til at forskjellen mellom kvinner og menns grunnlønn, justert for stillingskode, utgjorde 1,5 prosent i 2017, og forskjellen mellom menn og kvin</w:t>
      </w:r>
      <w:r>
        <w:t>ners månedsfortjeneste var 2,4 prosent i 2017. En lønnskar</w:t>
      </w:r>
      <w:r>
        <w:t>t</w:t>
      </w:r>
      <w:r>
        <w:t>legging vil derfor medføre unødvendige administrative byrder for arbeidsgivere.</w:t>
      </w:r>
    </w:p>
    <w:p w:rsidR="00000000" w:rsidRPr="009445FD" w:rsidRDefault="00D718D0" w:rsidP="00BA3E8B">
      <w:pPr>
        <w:rPr>
          <w:rStyle w:val="kursiv"/>
        </w:rPr>
      </w:pPr>
      <w:r>
        <w:rPr>
          <w:rStyle w:val="kursiv"/>
          <w:sz w:val="21"/>
          <w:szCs w:val="21"/>
        </w:rPr>
        <w:t>Virke</w:t>
      </w:r>
      <w:r>
        <w:t xml:space="preserve"> viser til at ved mistanke om diskriminering ved avlønning kan den ansatte allerede kreve at a</w:t>
      </w:r>
      <w:r>
        <w:t>r</w:t>
      </w:r>
      <w:r>
        <w:t>beidsgiver opplys</w:t>
      </w:r>
      <w:r>
        <w:t xml:space="preserve">er om lønn, og kriteriene for lønnsfastsettelse, for den/de vedkommende sammenligner seg med. </w:t>
      </w:r>
      <w:r>
        <w:rPr>
          <w:rStyle w:val="kursiv"/>
          <w:sz w:val="21"/>
          <w:szCs w:val="21"/>
        </w:rPr>
        <w:t>Virke</w:t>
      </w:r>
      <w:r>
        <w:t xml:space="preserve"> uttaler: «Selv om lønnsnivået til den enkelte ansatte er relativt lett tilgjengelig for arbeid</w:t>
      </w:r>
      <w:r>
        <w:t>s</w:t>
      </w:r>
      <w:r>
        <w:t>giver undervurderer departementet hvor mye arbeid som må legg</w:t>
      </w:r>
      <w:r>
        <w:t>es i å lage en oversikt som viser hvilke stillinger som utfører arbeid av «lik verdi» basert på helhetsvurd</w:t>
      </w:r>
      <w:r>
        <w:t>e</w:t>
      </w:r>
      <w:r>
        <w:t xml:space="preserve">ringen nevnt over.» </w:t>
      </w:r>
      <w:r>
        <w:rPr>
          <w:rStyle w:val="kursiv"/>
          <w:sz w:val="21"/>
          <w:szCs w:val="21"/>
        </w:rPr>
        <w:t>Virke</w:t>
      </w:r>
      <w:r>
        <w:t xml:space="preserve"> etterlyser en drøfting om dette. </w:t>
      </w:r>
      <w:r>
        <w:rPr>
          <w:rStyle w:val="kursiv"/>
          <w:sz w:val="21"/>
          <w:szCs w:val="21"/>
        </w:rPr>
        <w:t xml:space="preserve">Finans Norge </w:t>
      </w:r>
      <w:r>
        <w:t>viser til at lønnskartlegging fort vil støte mot personvernhensyn og i</w:t>
      </w:r>
      <w:r>
        <w:t>n</w:t>
      </w:r>
      <w:r>
        <w:t>nebær</w:t>
      </w:r>
      <w:r>
        <w:t>er et økt behov for sp</w:t>
      </w:r>
      <w:r>
        <w:t>e</w:t>
      </w:r>
      <w:r>
        <w:t>sialkompetanse i vir</w:t>
      </w:r>
      <w:r>
        <w:t>k</w:t>
      </w:r>
      <w:r>
        <w:t>somheter.</w:t>
      </w:r>
    </w:p>
    <w:p w:rsidR="00000000" w:rsidRDefault="00D718D0" w:rsidP="00BA3E8B">
      <w:r>
        <w:rPr>
          <w:rStyle w:val="kursiv"/>
          <w:sz w:val="21"/>
          <w:szCs w:val="21"/>
        </w:rPr>
        <w:t>SSB</w:t>
      </w:r>
      <w:r>
        <w:t xml:space="preserve"> er kritisk til forslaget, og viser til en: «…manglende utredninger omkring muligheter i e</w:t>
      </w:r>
      <w:r>
        <w:t>k</w:t>
      </w:r>
      <w:r>
        <w:t>sist</w:t>
      </w:r>
      <w:r>
        <w:t>e</w:t>
      </w:r>
      <w:r>
        <w:t>rende kilder, manglende definisjoner og uklare krav til statistikkproduktet som det kreves at arbeidsgi</w:t>
      </w:r>
      <w:r>
        <w:t>vere skal levere.» De etterlyser blant annet en tydeliggjøring/presisering av hvem eller hva det skal lages st</w:t>
      </w:r>
      <w:r>
        <w:t>a</w:t>
      </w:r>
      <w:r>
        <w:t xml:space="preserve">tistikk for, eller hvilke juridiske enheter kravene gjelder. </w:t>
      </w:r>
      <w:r>
        <w:rPr>
          <w:rStyle w:val="kursiv"/>
          <w:sz w:val="21"/>
          <w:szCs w:val="21"/>
        </w:rPr>
        <w:t>SSB</w:t>
      </w:r>
      <w:r>
        <w:t xml:space="preserve"> mener at uklar begrepsbruk påvirker hva det skal lages statistikk om/redegjørels</w:t>
      </w:r>
      <w:r>
        <w:t>e for og gjør det vanskelig å forstå begrensningen av størrelsen i fo</w:t>
      </w:r>
      <w:r>
        <w:t>r</w:t>
      </w:r>
      <w:r>
        <w:t>hold til 50 eller 20 ansatte. De mener videre at A-ordningen kan være et mulig utgangspunkt for å etablere felles kjennemerker om a</w:t>
      </w:r>
      <w:r>
        <w:t>r</w:t>
      </w:r>
      <w:r>
        <w:t>beid</w:t>
      </w:r>
      <w:r>
        <w:t>s</w:t>
      </w:r>
      <w:r>
        <w:t xml:space="preserve">forhold og definisjoner av lønn. </w:t>
      </w:r>
      <w:r>
        <w:rPr>
          <w:rStyle w:val="kursiv"/>
          <w:sz w:val="21"/>
          <w:szCs w:val="21"/>
        </w:rPr>
        <w:t>SSB</w:t>
      </w:r>
      <w:r>
        <w:t xml:space="preserve"> sier videre </w:t>
      </w:r>
      <w:r>
        <w:t xml:space="preserve">at: </w:t>
      </w:r>
    </w:p>
    <w:p w:rsidR="00000000" w:rsidRDefault="00D718D0" w:rsidP="00BA3E8B">
      <w:pPr>
        <w:pStyle w:val="blokksit"/>
      </w:pPr>
      <w:r>
        <w:t>«…en samordnet bruk av eksisterende kilde, som a-ordningen, burde vært drøftet mer inngående for å peke ut muligheten for å redusere oppgavebyrden for den enkelte arbeidsgiver. Uten en slik samor</w:t>
      </w:r>
      <w:r>
        <w:t>d</w:t>
      </w:r>
      <w:r>
        <w:t>ning vil arbeidsgiverne pålegges en betydelig ekstra be</w:t>
      </w:r>
      <w:r>
        <w:t xml:space="preserve">lastning.» </w:t>
      </w:r>
    </w:p>
    <w:p w:rsidR="00000000" w:rsidRDefault="00D718D0" w:rsidP="00BA3E8B">
      <w:r>
        <w:t xml:space="preserve">En potensiell gevinst av en effektiv utnyttelse av eksisterende datakilde som a-ordning burde, ifølge </w:t>
      </w:r>
      <w:r>
        <w:rPr>
          <w:rStyle w:val="kursiv"/>
          <w:sz w:val="21"/>
          <w:szCs w:val="21"/>
        </w:rPr>
        <w:t>SSB</w:t>
      </w:r>
      <w:r>
        <w:t>, også vært drøftet.</w:t>
      </w:r>
    </w:p>
    <w:p w:rsidR="00000000" w:rsidRDefault="00D718D0" w:rsidP="00BA3E8B">
      <w:r>
        <w:rPr>
          <w:rStyle w:val="kursiv"/>
          <w:sz w:val="21"/>
          <w:szCs w:val="21"/>
        </w:rPr>
        <w:t>SSB</w:t>
      </w:r>
      <w:r>
        <w:t xml:space="preserve"> etterlyser også en klargjøring av hvordan en redegjørelse eller statistikk skal presenteres for å synliggjøre «lik</w:t>
      </w:r>
      <w:r>
        <w:t>t arbeid» eller «arbeid av lik verdi». Det er uklart hvilke krav som skal stilles til hvordan statistikken skal presenteres og hva statistikken skal bidra til å forklare. De etterlyser til slutt en tydeli</w:t>
      </w:r>
      <w:r>
        <w:t>g</w:t>
      </w:r>
      <w:r>
        <w:t>gjøring av forskjellen mellom en statistikk og en e</w:t>
      </w:r>
      <w:r>
        <w:t>nklere redegjørelse.</w:t>
      </w:r>
    </w:p>
    <w:p w:rsidR="00000000" w:rsidRDefault="00D718D0" w:rsidP="00BA3E8B">
      <w:r>
        <w:rPr>
          <w:rStyle w:val="kursiv"/>
          <w:sz w:val="21"/>
          <w:szCs w:val="21"/>
        </w:rPr>
        <w:t>Politidirektoratet</w:t>
      </w:r>
      <w:r>
        <w:t xml:space="preserve"> mener at kartlegging av lønnsforskjeller basert på kjønn er komplekst, men at gje</w:t>
      </w:r>
      <w:r>
        <w:t>n</w:t>
      </w:r>
      <w:r>
        <w:t>nomf</w:t>
      </w:r>
      <w:r>
        <w:t>ø</w:t>
      </w:r>
      <w:r>
        <w:t xml:space="preserve">ring av lønnskartleggingen ikke bør reguleres for detaljert. </w:t>
      </w:r>
      <w:r>
        <w:rPr>
          <w:rStyle w:val="kursiv"/>
          <w:sz w:val="21"/>
          <w:szCs w:val="21"/>
        </w:rPr>
        <w:t>Politidirektoratet</w:t>
      </w:r>
      <w:r>
        <w:t xml:space="preserve"> uttaler:</w:t>
      </w:r>
    </w:p>
    <w:p w:rsidR="00000000" w:rsidRDefault="00D718D0" w:rsidP="00BA3E8B">
      <w:pPr>
        <w:pStyle w:val="blokksit"/>
      </w:pPr>
      <w:r>
        <w:t xml:space="preserve">«Politidirektoratets syn på dette er at </w:t>
      </w:r>
      <w:r>
        <w:t>å kartlegge lønnsforskjeller utelukkende basert på kjønn er komplekst, og det er viktig å være oppmerksom på at andre variabler enn kjønn kan spille inn i det enkelte tilfelle samt på virksomhetsnivå – erfaring er et eksempel på et slikt parameter. Vid</w:t>
      </w:r>
      <w:r>
        <w:t>e</w:t>
      </w:r>
      <w:r>
        <w:t xml:space="preserve">re </w:t>
      </w:r>
      <w:r>
        <w:t>er det ikke enkelt å definere likt arbeid eller arbeid av lik verdi. Fordeling etter f.eks. stilling</w:t>
      </w:r>
      <w:r>
        <w:t>s</w:t>
      </w:r>
      <w:r>
        <w:lastRenderedPageBreak/>
        <w:t>koder vil ikke nødvendigvis gi et korrekt bilde da koder brukes ulikt mellom etatene og internt i store etater med mange driftsenheter.</w:t>
      </w:r>
    </w:p>
    <w:p w:rsidR="00000000" w:rsidRDefault="00D718D0" w:rsidP="00BA3E8B">
      <w:pPr>
        <w:pStyle w:val="blokksit"/>
      </w:pPr>
      <w:r>
        <w:t xml:space="preserve">Politidirektoratet </w:t>
      </w:r>
      <w:r>
        <w:t>tar allerede ut mye statistikk basert på kjønn. Dette brukes for å øke bevissth</w:t>
      </w:r>
      <w:r>
        <w:t>e</w:t>
      </w:r>
      <w:r>
        <w:t>ten og eventuelt se nærmere på eventuelle forskjeller som fremkommer. Vi er også av den op</w:t>
      </w:r>
      <w:r>
        <w:t>p</w:t>
      </w:r>
      <w:r>
        <w:t>fatning at det gjøres i de fleste offentlige virksomheter. Vi er derfor usikre på eff</w:t>
      </w:r>
      <w:r>
        <w:t>ekten av et slikt tiltak og det er viktig at eventuelle modeller for å kartlegge lønnsforskjeller basert på kjønn ikke bør være for detaljerte.»</w:t>
      </w:r>
    </w:p>
    <w:p w:rsidR="00000000" w:rsidRDefault="00D718D0" w:rsidP="00BA3E8B">
      <w:pPr>
        <w:pStyle w:val="Overskrift4"/>
      </w:pPr>
      <w:r>
        <w:t>Departementets vurderinger</w:t>
      </w:r>
    </w:p>
    <w:p w:rsidR="00000000" w:rsidRDefault="00D718D0" w:rsidP="000A1950">
      <w:pPr>
        <w:pStyle w:val="Undertittel"/>
      </w:pPr>
      <w:r>
        <w:rPr>
          <w:sz w:val="21"/>
          <w:szCs w:val="21"/>
        </w:rPr>
        <w:t>Innledning</w:t>
      </w:r>
    </w:p>
    <w:p w:rsidR="00000000" w:rsidRDefault="00D718D0" w:rsidP="00BA3E8B">
      <w:r>
        <w:t>Departementet opprettholder forslaget om at arbeidsgivere</w:t>
      </w:r>
      <w:r>
        <w:t xml:space="preserve"> i offentlige virksomheter og a</w:t>
      </w:r>
      <w:r>
        <w:t>r</w:t>
      </w:r>
      <w:r>
        <w:t>beidsgivere i private virksomheter med mer enn 50 ansatte, eller mellom 20 og 50 ansatte når en av arbeidslivets parter i virksomheten krever det, pålegges en plikt til å gjennomføre kjønn</w:t>
      </w:r>
      <w:r>
        <w:t>s</w:t>
      </w:r>
      <w:r>
        <w:t>fordelt lønnskartlegging. Plikten t</w:t>
      </w:r>
      <w:r>
        <w:t>il å gjennomføre en lønnskartlegging omfatter også en plikt til å dokumentere kartleggingen og å offentli</w:t>
      </w:r>
      <w:r>
        <w:t>g</w:t>
      </w:r>
      <w:r>
        <w:t>gjøre denne.</w:t>
      </w:r>
    </w:p>
    <w:p w:rsidR="00000000" w:rsidRDefault="00D718D0" w:rsidP="00BA3E8B">
      <w:r>
        <w:t>Mange virksomheter utarbeider lønnsstatistikk allerede i dag. Skjeie-utvalget anbefalte også at a</w:t>
      </w:r>
      <w:r>
        <w:t>r</w:t>
      </w:r>
      <w:r>
        <w:t>beidsgiver i offentlige virksomheter og</w:t>
      </w:r>
      <w:r>
        <w:t xml:space="preserve"> i private virksomheter med minst 50 ansatte, skal u</w:t>
      </w:r>
      <w:r>
        <w:t>t</w:t>
      </w:r>
      <w:r>
        <w:t>arbeide lønn</w:t>
      </w:r>
      <w:r>
        <w:t>s</w:t>
      </w:r>
      <w:r>
        <w:t>statistikk fordelt etter kjønn, jf. NOU 2011: 18 kapittel 3.5.3. Utvalget viste bl.a. til Likestillings- og diskr</w:t>
      </w:r>
      <w:r>
        <w:t>i</w:t>
      </w:r>
      <w:r>
        <w:t xml:space="preserve">mineringsnemndas sak 17/2009 der nemnda slo fast at lønnsstatistikk fordelt </w:t>
      </w:r>
      <w:r>
        <w:t>etter kjønn skal fremgå av kommuners likesti</w:t>
      </w:r>
      <w:r>
        <w:t>l</w:t>
      </w:r>
      <w:r>
        <w:t>lingsredegjørelser.</w:t>
      </w:r>
    </w:p>
    <w:p w:rsidR="00000000" w:rsidRDefault="00D718D0" w:rsidP="00BA3E8B">
      <w:r>
        <w:t>Etter departementets vurdering vil forslaget om lønnskartlegging innebære en styrking av det for</w:t>
      </w:r>
      <w:r>
        <w:t>e</w:t>
      </w:r>
      <w:r>
        <w:t>byggende arbeidet mot kjønnsdiskriminering ved avlønning. En dansk studie om regul</w:t>
      </w:r>
      <w:r>
        <w:t>e</w:t>
      </w:r>
      <w:r>
        <w:t>ringen av å</w:t>
      </w:r>
      <w:r>
        <w:t>penhet om lønn</w:t>
      </w:r>
      <w:r>
        <w:t>s</w:t>
      </w:r>
      <w:r>
        <w:t>forskjeller viser at plikten til å utarbeide lønnsstatistikk fordelt på kjønn virker. Forskerne fant at reguleringen reduserte lønnsgapet på ca. 2 %, eller 7 % sa</w:t>
      </w:r>
      <w:r>
        <w:t>m</w:t>
      </w:r>
      <w:r>
        <w:t>menlignet med gjennomsnittslønn før ny r</w:t>
      </w:r>
      <w:r>
        <w:t>e</w:t>
      </w:r>
      <w:r>
        <w:t>gulering, mellom kvinner og menn. Års</w:t>
      </w:r>
      <w:r>
        <w:t>aken til dette var først og fremst at lønnsøkningen for menn ble mindre (Bennedsen, Simintzi, Tsoutsoura og Wolfenzon: Do Firms Respond to Gender Pay Gap Transp</w:t>
      </w:r>
      <w:r>
        <w:t>a</w:t>
      </w:r>
      <w:r>
        <w:t>rency? 2018).</w:t>
      </w:r>
    </w:p>
    <w:p w:rsidR="00000000" w:rsidRDefault="00D718D0" w:rsidP="00BA3E8B">
      <w:r>
        <w:t xml:space="preserve">FNs Kvinnediskrimineringskomité har også i sine avsluttende merknader (2017) til </w:t>
      </w:r>
      <w:r>
        <w:t>Norges p</w:t>
      </w:r>
      <w:r>
        <w:t>e</w:t>
      </w:r>
      <w:r>
        <w:t>riodiske rapport oppfordret Norge å fortsette arbeidet for å sikre at kvinner og menn i samme virksomhet skal ha lik lønn for samme arbeid eller arbeid av lik verdi, jf. likestillings- og di</w:t>
      </w:r>
      <w:r>
        <w:t>s</w:t>
      </w:r>
      <w:r>
        <w:t>krimineringsloven § 34. Depart</w:t>
      </w:r>
      <w:r>
        <w:t>e</w:t>
      </w:r>
      <w:r>
        <w:t>mentet mener at konkretis</w:t>
      </w:r>
      <w:r>
        <w:t>ering av pliktene innebærer en sty</w:t>
      </w:r>
      <w:r>
        <w:t>r</w:t>
      </w:r>
      <w:r>
        <w:t>king av det aktive likestillingsarbeidet ved at omfanget og in</w:t>
      </w:r>
      <w:r>
        <w:t>n</w:t>
      </w:r>
      <w:r>
        <w:t>holdet av pliktene blir tydelig definert. Det vil være lettere for pliktsubjektene å innrette seg etter lovens krav når de vet hva de, helt konkret, skal gjør</w:t>
      </w:r>
      <w:r>
        <w:t>e, og hvordan de skal jobbe med likestilling for å oppfylle lovens krav. Samtidig understreker departementet at en oppregning av enkelte spesifikke plikter i loven ikke skal tolkes som uttømmende vilkår for oppfyllelsen av aktivitetsplikten etter likesti</w:t>
      </w:r>
      <w:r>
        <w:t>l</w:t>
      </w:r>
      <w:r>
        <w:t>l</w:t>
      </w:r>
      <w:r>
        <w:t>ings- og diskrimineringsloven § 26 annet ledd. I tillegg til den foreslåtte lønnskartlegging og kartlegging av bruken av ufrivillig deltid skal a</w:t>
      </w:r>
      <w:r>
        <w:t>r</w:t>
      </w:r>
      <w:r>
        <w:t>beidsgiver alltid identifisere egne risikoområder og jobbe med disse.</w:t>
      </w:r>
    </w:p>
    <w:p w:rsidR="00000000" w:rsidRDefault="00D718D0" w:rsidP="00BA3E8B">
      <w:r>
        <w:t>Departementet har vurdert nøye de mottat</w:t>
      </w:r>
      <w:r>
        <w:t>te innspillene fra høringsinstansene og vil i det fø</w:t>
      </w:r>
      <w:r>
        <w:t>l</w:t>
      </w:r>
      <w:r>
        <w:t>gende drøfte spørsmålene høringsinstansene har løftet frem. Departementet gir bl.a. en beskr</w:t>
      </w:r>
      <w:r>
        <w:t>i</w:t>
      </w:r>
      <w:r>
        <w:t>velse om hvordan lønn</w:t>
      </w:r>
      <w:r>
        <w:t>s</w:t>
      </w:r>
      <w:r>
        <w:t>kartleggingen skal gjennomføres.</w:t>
      </w:r>
    </w:p>
    <w:p w:rsidR="00000000" w:rsidRDefault="00D718D0" w:rsidP="00BA3E8B">
      <w:pPr>
        <w:pStyle w:val="Undertittel"/>
      </w:pPr>
      <w:r>
        <w:lastRenderedPageBreak/>
        <w:t>Formålet med lønnskartleggingen</w:t>
      </w:r>
    </w:p>
    <w:p w:rsidR="00000000" w:rsidRDefault="00D718D0" w:rsidP="00BA3E8B">
      <w:r>
        <w:t>Formålet med lønnskartl</w:t>
      </w:r>
      <w:r>
        <w:t>eggingen er å finne ut om det forekommer lønnsforskjeller mellom kvinner og menn i en virksomhet. Dersom en sammenligning mellom stillinger viser at det f</w:t>
      </w:r>
      <w:r>
        <w:t>o</w:t>
      </w:r>
      <w:r>
        <w:t>rekommer lønnsfo</w:t>
      </w:r>
      <w:r>
        <w:t>r</w:t>
      </w:r>
      <w:r>
        <w:t>skjeller fordelt på kvinner og menn, skal arbeidsgiver identifisere årsakene til dis</w:t>
      </w:r>
      <w:r>
        <w:t>se og vurdere om for</w:t>
      </w:r>
      <w:r>
        <w:t>e</w:t>
      </w:r>
      <w:r>
        <w:t>byggende tiltak skal iverksettes, for å unngå lønnsdiskriminering på grunn av kjønn, samt vurdere, i sa</w:t>
      </w:r>
      <w:r>
        <w:t>m</w:t>
      </w:r>
      <w:r>
        <w:t xml:space="preserve">arbeid med de ansatte, resultatene far dette arbeidet. Den foreslåtte lønnskartleggingen vil være et nytt moment i den lovbestemte </w:t>
      </w:r>
      <w:r>
        <w:t>arbeidsmetoden, som følger av likestillings- og diskrimineringsloven § 26 andre ledd. Lønnskartleggingen, og det tilhørende arbeidet som skal gjøres i henhold til arbeidsmetoden i likestillings- og diskrimin</w:t>
      </w:r>
      <w:r>
        <w:t>e</w:t>
      </w:r>
      <w:r>
        <w:t xml:space="preserve">ringsloven § 26 andre ledd, skal på denne måten </w:t>
      </w:r>
      <w:r>
        <w:t>kunne bidra til å forklare om lønnsforskjellene kan ha sammenheng med kjønn og om det dermed kan være risiko for lønnsdiskrim</w:t>
      </w:r>
      <w:r>
        <w:t>i</w:t>
      </w:r>
      <w:r>
        <w:t>nering på grunn av kjønn.</w:t>
      </w:r>
    </w:p>
    <w:p w:rsidR="00000000" w:rsidRDefault="00D718D0" w:rsidP="00BA3E8B">
      <w:r>
        <w:t>Formålet med lønnskartleggingen er også å fremme kjønnslikestilling i arbeidslivet ved å bidra til at vi</w:t>
      </w:r>
      <w:r>
        <w:t>r</w:t>
      </w:r>
      <w:r>
        <w:t>k</w:t>
      </w:r>
      <w:r>
        <w:t>somheters systemer for lønnsfastsettelse er gjennomskuelige. Lønnsforskjellene kan være saklige eller usa</w:t>
      </w:r>
      <w:r>
        <w:t>k</w:t>
      </w:r>
      <w:r>
        <w:t>lige. Dersom lønnsforskjellene er basert på kjønn, er de som oftest diskrim</w:t>
      </w:r>
      <w:r>
        <w:t>i</w:t>
      </w:r>
      <w:r>
        <w:t>nerende. Lønnskartle</w:t>
      </w:r>
      <w:r>
        <w:t>g</w:t>
      </w:r>
      <w:r>
        <w:t>gingen skal utarbeides, først og fremst, til virkso</w:t>
      </w:r>
      <w:r>
        <w:t>mhetens egen bruk i det aktive, forebyggende likesti</w:t>
      </w:r>
      <w:r>
        <w:t>l</w:t>
      </w:r>
      <w:r>
        <w:t>lingsarbeidet. M</w:t>
      </w:r>
      <w:r>
        <w:t>e</w:t>
      </w:r>
      <w:r>
        <w:t>ningen er ikke at det, på bakgrunn av lønnskar</w:t>
      </w:r>
      <w:r>
        <w:t>t</w:t>
      </w:r>
      <w:r>
        <w:t>leggingen alene, skal kunne konstateres at lønnsdiskriminering har funnet sted. Hensikten er at lønnskartleggingen skal danne et grunnlag f</w:t>
      </w:r>
      <w:r>
        <w:t>or arbeidsgiver å vurdere om det er risiko for lønnsdiskriminering som krever forebyggende tiltak. Result</w:t>
      </w:r>
      <w:r>
        <w:t>a</w:t>
      </w:r>
      <w:r>
        <w:t>tene fra kartleggingen behøver heller ikke kunne generaliseres utover egen virksomhet, eller samme</w:t>
      </w:r>
      <w:r>
        <w:t>n</w:t>
      </w:r>
      <w:r>
        <w:t>lignes mellom virkso</w:t>
      </w:r>
      <w:r>
        <w:t>m</w:t>
      </w:r>
      <w:r>
        <w:t>hetene.</w:t>
      </w:r>
    </w:p>
    <w:p w:rsidR="00000000" w:rsidRDefault="00D718D0" w:rsidP="00BA3E8B">
      <w:pPr>
        <w:pStyle w:val="Undertittel"/>
      </w:pPr>
      <w:r>
        <w:t>Hvilke opplysninger skal kartlegges?</w:t>
      </w:r>
    </w:p>
    <w:p w:rsidR="00000000" w:rsidRDefault="00D718D0" w:rsidP="00BA3E8B">
      <w:r>
        <w:t xml:space="preserve">Lønnskartleggingen skal omfatte opplysninger om lønn, dvs. det alminnelige arbeidsvederlaget og tillegg, som arbeidsgiver betaler til den ansatte. Alt vederlag, goder og fordeler som ytes av arbeidsgiveren er omfattet, </w:t>
      </w:r>
      <w:r>
        <w:t>jf. likestillings- og diskrimineringsloven § 34 fjerde ledd. Lønnsb</w:t>
      </w:r>
      <w:r>
        <w:t>e</w:t>
      </w:r>
      <w:r>
        <w:t>grepet presiseres i spesia</w:t>
      </w:r>
      <w:r>
        <w:t>l</w:t>
      </w:r>
      <w:r>
        <w:t>merknadene til § 34 i lovproposisjonen (Prop. 81 L (2016–2017), og denne definisjonen av lønn legges til grunn også for lønnskartleggingen:</w:t>
      </w:r>
    </w:p>
    <w:p w:rsidR="00000000" w:rsidRDefault="00D718D0" w:rsidP="00BA3E8B">
      <w:pPr>
        <w:pStyle w:val="blokksit"/>
      </w:pPr>
      <w:r>
        <w:t>«Lønnsbegrepet er vid</w:t>
      </w:r>
      <w:r>
        <w:t>t og skiller ikke mellom grunnlønn og ulike tillegg. Det betyr at timelønn, a</w:t>
      </w:r>
      <w:r>
        <w:t>k</w:t>
      </w:r>
      <w:r>
        <w:t>kordlønn, bonuser, overtid osv. omfattes. Lønnsbegrepet omfatter ikke bare det som betales i penger, men også det som ytes i naturalia, som f.eks. rabattordninger for de ansatte,</w:t>
      </w:r>
      <w:r>
        <w:t xml:space="preserve"> fri telefon, fri bil og avi</w:t>
      </w:r>
      <w:r>
        <w:t>s</w:t>
      </w:r>
      <w:r>
        <w:t>abonnement. Også tjenestepensjoner kan anses som lønn. Alderspensjoner som følger av nasjonal trygderett vil imidlertid falle utenfor.»</w:t>
      </w:r>
    </w:p>
    <w:p w:rsidR="00000000" w:rsidRDefault="00D718D0" w:rsidP="00BA3E8B">
      <w:r>
        <w:t>Arbeidsgiver kan i tillegg innhente veiledning fra den lønnsdefinisjonen som brukes i A-ord</w:t>
      </w:r>
      <w:r>
        <w:t>ningen. Det vises til at fast bruttolønn, og avtalt timelønn omregnet til utbetaling for en fulltidsstilling, overtidsgod</w:t>
      </w:r>
      <w:r>
        <w:t>t</w:t>
      </w:r>
      <w:r>
        <w:t>gjørelser og eventuelt andre godtgjørelser, provisjon, ulike type tillegg (tillegg for f.eks. ansvarsvakt og lederansvar, vakttillegg,</w:t>
      </w:r>
      <w:r>
        <w:t xml:space="preserve"> helligdagstillegg, turnustillegg) og bonus, er omfattet. Opptjeningsperioden for ytelser som arbeidsgiver har betalt for den ansatte skal være det siste året. Lønnskartleggingen omfatter utbetalinger knyttet til et formelt a</w:t>
      </w:r>
      <w:r>
        <w:t>r</w:t>
      </w:r>
      <w:r>
        <w:t>beidsforhold. Styrehonorarer o</w:t>
      </w:r>
      <w:r>
        <w:t>g godtgjørelser for verv, eller foste</w:t>
      </w:r>
      <w:r>
        <w:t>r</w:t>
      </w:r>
      <w:r>
        <w:t>hjemsgodtgjørelse, som u</w:t>
      </w:r>
      <w:r>
        <w:t>t</w:t>
      </w:r>
      <w:r>
        <w:t>betales til en oppdragstaker (f.eks. til et fosterhjem), vil ikke være omfattet.</w:t>
      </w:r>
    </w:p>
    <w:p w:rsidR="00000000" w:rsidRDefault="00D718D0" w:rsidP="00BA3E8B">
      <w:pPr>
        <w:pStyle w:val="Undertittel"/>
      </w:pPr>
      <w:r>
        <w:lastRenderedPageBreak/>
        <w:t>Hvor ofte skal lønnskartlegging gjennomføres?</w:t>
      </w:r>
    </w:p>
    <w:p w:rsidR="00000000" w:rsidRDefault="00D718D0" w:rsidP="00BA3E8B">
      <w:r>
        <w:t xml:space="preserve">I høringsnotatet foreslo departementet at lønnskartlegging skulle </w:t>
      </w:r>
      <w:r>
        <w:t>gjennomføres årlig. Regelrådet har imidlertid i sitt høringssvar uttrykt bekymring for at oppgavebyrden for næringsdrivende kan bli ufo</w:t>
      </w:r>
      <w:r>
        <w:t>r</w:t>
      </w:r>
      <w:r>
        <w:t>holdsmessig. Departementet vil, for å imøtekomme bekymringene for byrder på vir</w:t>
      </w:r>
      <w:r>
        <w:t>k</w:t>
      </w:r>
      <w:r>
        <w:t>somhetene, derfor fremlegge forslag om a</w:t>
      </w:r>
      <w:r>
        <w:t>t lønnskartleggingen skal gjennomføres annethvert år, istedenfor hvert år. Det foreslås at dette fremgår av loven.</w:t>
      </w:r>
    </w:p>
    <w:p w:rsidR="00000000" w:rsidRDefault="00D718D0" w:rsidP="00BA3E8B">
      <w:pPr>
        <w:pStyle w:val="Undertittel"/>
      </w:pPr>
      <w:r>
        <w:t>Hvordan skal lønnskartleggingen presenteres?</w:t>
      </w:r>
    </w:p>
    <w:p w:rsidR="00000000" w:rsidRDefault="00D718D0" w:rsidP="00BA3E8B">
      <w:r>
        <w:t>Departementet mener at reglene for lønnskartleggingen ikke bør være for detaljerte. Noen minstek</w:t>
      </w:r>
      <w:r>
        <w:t>rav til hvordan kartleggingen skal gjennomføres og presenteres (dokumenteres) skal likevel fastsettes.</w:t>
      </w:r>
    </w:p>
    <w:p w:rsidR="00000000" w:rsidRDefault="00D718D0" w:rsidP="00BA3E8B">
      <w:r>
        <w:t>Departementet foreslår følgende minstekrav for lønnskartleggingen. Lønnskartleggingen skal for det første være basert på innsamling av kvantitativ data o</w:t>
      </w:r>
      <w:r>
        <w:t>m de ansattes lønn og alle ansatte skal omfattes av lønn</w:t>
      </w:r>
      <w:r>
        <w:t>s</w:t>
      </w:r>
      <w:r>
        <w:t>kartleggingen. Arbeidsgiver skal inndele lønnskartleggingen i stillingsgrupper. Som YS peker på, kan det være vanskelig å gjennomføre lønnskartlegging dersom virkso</w:t>
      </w:r>
      <w:r>
        <w:t>m</w:t>
      </w:r>
      <w:r>
        <w:t>hetsledelse ikke bruker stillingsk</w:t>
      </w:r>
      <w:r>
        <w:t>a</w:t>
      </w:r>
      <w:r>
        <w:t>tegorier. Departementet mener at bruken av stillingskategorier er et nødvendig utgangspunkt for å kunne identifisere sammenlignbare stillinger som inngår i samme stillingsgruppe. Mange arbeidsgivere bruker stillingskateg</w:t>
      </w:r>
      <w:r>
        <w:t>o</w:t>
      </w:r>
      <w:r>
        <w:t>rier. Dersom arbeidsgiver ikke ope</w:t>
      </w:r>
      <w:r>
        <w:t>rerer med stillingskategorier, skal lønnskartleggingen basere seg på en annen he</w:t>
      </w:r>
      <w:r>
        <w:t>n</w:t>
      </w:r>
      <w:r>
        <w:t>siktsmessig oversikt over ansattes stillingsplassering. Denne oversikten skal i så tilfelle danne grunnlaget for utforming av stillingsgrupper.</w:t>
      </w:r>
    </w:p>
    <w:p w:rsidR="00000000" w:rsidRDefault="00D718D0" w:rsidP="00BA3E8B">
      <w:r>
        <w:t xml:space="preserve">Det skal for det andre stilles </w:t>
      </w:r>
      <w:r>
        <w:t>krav til at lønnskartleggingen skal være basert på sammenligning mellom lønnsopplysninger (gjennomsnitt) for menn og kvinner i den respektive stillingsgruppen. Dette skal gjøres slik at det først utformes grupper for sammenlignbare stillinger, f.eks. grupp</w:t>
      </w:r>
      <w:r>
        <w:t>e 1 – ledelse: direktør, avd</w:t>
      </w:r>
      <w:r>
        <w:t>e</w:t>
      </w:r>
      <w:r>
        <w:t>lingsd</w:t>
      </w:r>
      <w:r>
        <w:t>i</w:t>
      </w:r>
      <w:r>
        <w:t>rektør, seksjonsleder; gruppe 2 – administrativt personale: ko</w:t>
      </w:r>
      <w:r>
        <w:t>n</w:t>
      </w:r>
      <w:r>
        <w:t>sulent og førstekonsulent mv.</w:t>
      </w:r>
    </w:p>
    <w:p w:rsidR="00000000" w:rsidRDefault="00D718D0" w:rsidP="00BA3E8B">
      <w:r>
        <w:t>Departementet foreslår at utforming av stillingsgruppene skal basere seg på en vurdering av hvilke stillinger som er sammenlign</w:t>
      </w:r>
      <w:r>
        <w:t>bare («samme arbeid» eller «arbeid av lik verdi»). Lønn</w:t>
      </w:r>
      <w:r>
        <w:t>s</w:t>
      </w:r>
      <w:r>
        <w:t>kartleggingen skal gi informasjon både om kjønnsbalanse i virksomheten og om gjenno</w:t>
      </w:r>
      <w:r>
        <w:t>m</w:t>
      </w:r>
      <w:r>
        <w:t>snittslønn for menn og kvinner i de respektive sti</w:t>
      </w:r>
      <w:r>
        <w:t>l</w:t>
      </w:r>
      <w:r>
        <w:t>lingsgruppene. Kjønnsbalansen gir informasjon om andelen av hvert</w:t>
      </w:r>
      <w:r>
        <w:t xml:space="preserve"> kjønn i de ulike kat</w:t>
      </w:r>
      <w:r>
        <w:t>e</w:t>
      </w:r>
      <w:r>
        <w:t>goriene. Dette er viktig informasjon både for å fremme lønnslikestilling og for å fremme kjønnsbalanse i ulike stillingskat</w:t>
      </w:r>
      <w:r>
        <w:t>e</w:t>
      </w:r>
      <w:r>
        <w:t>goriene, herunder i leder</w:t>
      </w:r>
      <w:r>
        <w:t>s</w:t>
      </w:r>
      <w:r>
        <w:t>tillinger. Lønnsoversikten kan gi informasjon om månedslønn, eller årslønn, per helt</w:t>
      </w:r>
      <w:r>
        <w:t>idsstilling. Gjennomsnittet av lønnsopplysninger for kvinner og menn i en stilling</w:t>
      </w:r>
      <w:r>
        <w:t>s</w:t>
      </w:r>
      <w:r>
        <w:t>gruppe sammenlignes med hverandre og f.eks. kvinners lønn kan oppgis i prosentandel av menns lønn (menns m</w:t>
      </w:r>
      <w:r>
        <w:t>å</w:t>
      </w:r>
      <w:r>
        <w:t>nedslønn 100 %, kvinners lønn 87 %).</w:t>
      </w:r>
    </w:p>
    <w:p w:rsidR="00000000" w:rsidRDefault="00D718D0" w:rsidP="00BA3E8B">
      <w:r>
        <w:t xml:space="preserve">Departementet har vurdert de </w:t>
      </w:r>
      <w:r>
        <w:t>mottatte høringsinnspillene når det gjelder om kartleggingen skal, i ti</w:t>
      </w:r>
      <w:r>
        <w:t>l</w:t>
      </w:r>
      <w:r>
        <w:t>legg til «likt arbeid» også omfatte «arbeid av lik verdi» Det er viktig at lønnsforskjeller som baserer seg på ulik verdsetting av tradisjonelle kvinne- og mannsyrker blir rammet av ka</w:t>
      </w:r>
      <w:r>
        <w:t>rtle</w:t>
      </w:r>
      <w:r>
        <w:t>g</w:t>
      </w:r>
      <w:r>
        <w:t>gingen og viser til at retten til samme lønn gjelder også tilfeller der arbeidstakere utfører arbeid av lik verdi, jf. likestillings- og diskr</w:t>
      </w:r>
      <w:r>
        <w:t>i</w:t>
      </w:r>
      <w:r>
        <w:t>minering</w:t>
      </w:r>
      <w:r>
        <w:t>s</w:t>
      </w:r>
      <w:r>
        <w:t xml:space="preserve">loven § 34, jf. Prop. 81 L (2016–2017) kapittel </w:t>
      </w:r>
      <w:r>
        <w:lastRenderedPageBreak/>
        <w:t xml:space="preserve">27.4.2.4. Prinsippet om lik lønn og lik behandling </w:t>
      </w:r>
      <w:r>
        <w:t>for «arbeid av lik verdi» uavhengig av kjønn er et grunnleggende menneskerettslig prinsipp, som er nedfelt i CEDAW artikkel 11 og ØSK a</w:t>
      </w:r>
      <w:r>
        <w:t>r</w:t>
      </w:r>
      <w:r>
        <w:t>tikkel 7 bokstav a. Prinsippet om samme lønn for «arbeid av likt verdi» er stadfestet også i EØS-avtalen, jf. artikkel 6</w:t>
      </w:r>
      <w:r>
        <w:t>9, jf. TEUV artikkel 157.</w:t>
      </w:r>
    </w:p>
    <w:p w:rsidR="00000000" w:rsidRDefault="00D718D0" w:rsidP="00BA3E8B">
      <w:r>
        <w:t>Departementet mener på bakgrunn av dette at det, for det tredje, skal stilles krav om at kartle</w:t>
      </w:r>
      <w:r>
        <w:t>g</w:t>
      </w:r>
      <w:r>
        <w:t>gingen skal presenteres slik at den synliggjør «samme arbeid» og «arbeid av lik verdi». En sti</w:t>
      </w:r>
      <w:r>
        <w:t>l</w:t>
      </w:r>
      <w:r>
        <w:t xml:space="preserve">lingsgruppe skal da omfatte stillinger </w:t>
      </w:r>
      <w:r>
        <w:t>som arbeidsgiver, i samarbeid med de ansatte, vurderer å være «samme arbeid» og «arbeid av lik verdi». Det foreslås å presisere i loven at de ansatte skal ha mulighet til å sammenligne sin lønn med gje</w:t>
      </w:r>
      <w:r>
        <w:t>n</w:t>
      </w:r>
      <w:r>
        <w:t>nomsnittet for egen stillingsgruppe. Med «egen stillin</w:t>
      </w:r>
      <w:r>
        <w:t>gsgruppe» menes «samme arbeid» og «arbeid av lik verdi». Det vil si arbeid som ut fra kompetansekrav, anstrengelse, ansvar og andre arbeid</w:t>
      </w:r>
      <w:r>
        <w:t>s</w:t>
      </w:r>
      <w:r>
        <w:t>forhold kan anses som likeverdig. Det vises for øvrig til omtalen av hvordan bestemmelsen om lik lønn for arbeid av l</w:t>
      </w:r>
      <w:r>
        <w:t>ik verdi skal forstås i Prop. 81 L (2016–2017) kapittel 27.4.</w:t>
      </w:r>
    </w:p>
    <w:p w:rsidR="00000000" w:rsidRDefault="00D718D0" w:rsidP="00BA3E8B">
      <w:r>
        <w:t>Departementet mener at utgangspunktet for utformingen av stillingsgrupper bør være stilling</w:t>
      </w:r>
      <w:r>
        <w:t>s</w:t>
      </w:r>
      <w:r>
        <w:t>kateg</w:t>
      </w:r>
      <w:r>
        <w:t>o</w:t>
      </w:r>
      <w:r>
        <w:t xml:space="preserve">riene som arbeidsgiver allerede bruker. Det skal likevel, for det fjerde, stilles krav om at de </w:t>
      </w:r>
      <w:r>
        <w:t>ansatte skal sikres mulighet til å delta i vurderingen av hvilke stillinger som skal inngå i en stillingsgruppe. Ansattes representanter skal sikres en reell mulighet til å delta i planleggingen og evalueringen av lønnskartle</w:t>
      </w:r>
      <w:r>
        <w:t>g</w:t>
      </w:r>
      <w:r>
        <w:t>gingen.</w:t>
      </w:r>
    </w:p>
    <w:p w:rsidR="00000000" w:rsidRDefault="00D718D0" w:rsidP="00BA3E8B">
      <w:r>
        <w:t>Lønnskartleggingen ska</w:t>
      </w:r>
      <w:r>
        <w:t>l gjennomføres slik at de ansatte får en reell mulighet til å sammenligne sin lønn med gjennomsnittet for egen stillingsgruppe. Det vil ofte være hensiktsmessig å benytte en fulltid</w:t>
      </w:r>
      <w:r>
        <w:t>s</w:t>
      </w:r>
      <w:r>
        <w:t>stilling (100 prosent) som sammenligningsgrunnlag. Det vil si at lønnsutbe</w:t>
      </w:r>
      <w:r>
        <w:t>talinger for de ansatte i de</w:t>
      </w:r>
      <w:r>
        <w:t>l</w:t>
      </w:r>
      <w:r>
        <w:t>tidsstillinger omregnes etter antall timer per måned som tilsvarer en full stilling i virksomheten.</w:t>
      </w:r>
    </w:p>
    <w:p w:rsidR="00000000" w:rsidRDefault="00D718D0" w:rsidP="00BA3E8B">
      <w:r>
        <w:t>Videre kan lønn oppgis i lønnskartleggingen som en samlet lønnsutbetaling, slik at den omfatter alt arbeid</w:t>
      </w:r>
      <w:r>
        <w:t>s</w:t>
      </w:r>
      <w:r>
        <w:t>vederlag som arbeids</w:t>
      </w:r>
      <w:r>
        <w:t xml:space="preserve">giver betaler for den enkelte arbeidstaker, i en heltidsstilling (samlet lønn for ett årsverk). Alternativt kan ulike deler av lønnen – fastlønn, tilleggene, bonus, overtid mv. – oppgis og behandles separat, noe som kan bidra til bedre gjennomsiktighet og </w:t>
      </w:r>
      <w:r>
        <w:t>sikrer en god kontroll av at ingen deler av lønnen fastsettes på en diskriminerende måte og at lønnstypene blir sammenlignbare.</w:t>
      </w:r>
    </w:p>
    <w:p w:rsidR="00000000" w:rsidRDefault="00D718D0" w:rsidP="00BA3E8B">
      <w:r>
        <w:t>For det femte stilles det krav om at lønnskartleggingen skal dokumenteres og offentliggjøres. Dette innebærer at likestillingsre</w:t>
      </w:r>
      <w:r>
        <w:t>degjørelsen, som arbeidsgiver vil være forpliktet til å utarbeide, skal omfatte opplysninger om gjennomført lønnskartlegging. Redegjørelsen skal gis, og offen</w:t>
      </w:r>
      <w:r>
        <w:t>t</w:t>
      </w:r>
      <w:r>
        <w:t>liggjøres i årsbere</w:t>
      </w:r>
      <w:r>
        <w:t>t</w:t>
      </w:r>
      <w:r>
        <w:t>ningen. Dersom en vir</w:t>
      </w:r>
      <w:r>
        <w:t>k</w:t>
      </w:r>
      <w:r>
        <w:t>somhet ikke har plikt til å levere en årsberetning, ska</w:t>
      </w:r>
      <w:r>
        <w:t>l redegjørelsen gis i årsra</w:t>
      </w:r>
      <w:r>
        <w:t>p</w:t>
      </w:r>
      <w:r>
        <w:t>port eller i et annet offentlig tilgjengelig dokument som publiseres, f.eks. på virksomhetens hjemmeside. Resultatene etter lønnskartle</w:t>
      </w:r>
      <w:r>
        <w:t>g</w:t>
      </w:r>
      <w:r>
        <w:t>gingen skal offentliggjøres i anonymisert form i denne redegjørelsen. Kva</w:t>
      </w:r>
      <w:r>
        <w:t>n</w:t>
      </w:r>
      <w:r>
        <w:t>titative fremstill</w:t>
      </w:r>
      <w:r>
        <w:t>ing av resultatene vil være he</w:t>
      </w:r>
      <w:r>
        <w:t>n</w:t>
      </w:r>
      <w:r>
        <w:t>siktsmessig og nyttig for de som bruker resultatene.</w:t>
      </w:r>
    </w:p>
    <w:p w:rsidR="00000000" w:rsidRDefault="00D718D0" w:rsidP="00BA3E8B">
      <w:pPr>
        <w:pStyle w:val="Undertittel"/>
      </w:pPr>
      <w:r>
        <w:t>Maler og skjemaer</w:t>
      </w:r>
    </w:p>
    <w:p w:rsidR="00000000" w:rsidRDefault="00D718D0" w:rsidP="00BA3E8B">
      <w:r>
        <w:t>For å sikre at formålet med lønnskartleggingen oppnås er det sentralt at det utarbeides retning</w:t>
      </w:r>
      <w:r>
        <w:t>s</w:t>
      </w:r>
      <w:r>
        <w:t>linjer, maler og skjemaer for lønnskartleggingen som er en</w:t>
      </w:r>
      <w:r>
        <w:t xml:space="preserve">kle å bruke både for store og mindre </w:t>
      </w:r>
      <w:r>
        <w:lastRenderedPageBreak/>
        <w:t>virksomheter. Det legges til grunn at forpliktelsen til å gjennomføre lønnskartlegging ikke skal medføre et økt behov for spesialkompetanse i virksomheter.</w:t>
      </w:r>
    </w:p>
    <w:p w:rsidR="00000000" w:rsidRDefault="00D718D0" w:rsidP="00BA3E8B">
      <w:pPr>
        <w:pStyle w:val="Undertittel"/>
      </w:pPr>
      <w:r>
        <w:t>Åpenhet om lønn vs. personvern</w:t>
      </w:r>
    </w:p>
    <w:p w:rsidR="00000000" w:rsidRDefault="00D718D0" w:rsidP="00BA3E8B">
      <w:r>
        <w:t xml:space="preserve">Lønnskartleggingen berører, som </w:t>
      </w:r>
      <w:r>
        <w:t>også Finans Norge viste til i sitt høringssvar, den enkelte a</w:t>
      </w:r>
      <w:r>
        <w:t>n</w:t>
      </w:r>
      <w:r>
        <w:t>sattes pe</w:t>
      </w:r>
      <w:r>
        <w:t>r</w:t>
      </w:r>
      <w:r>
        <w:t>sonvern. Forslaget innebærer at arbeidsgivere pålegges plikt til å gjennomføre, dok</w:t>
      </w:r>
      <w:r>
        <w:t>u</w:t>
      </w:r>
      <w:r>
        <w:t>mentere og offen</w:t>
      </w:r>
      <w:r>
        <w:t>t</w:t>
      </w:r>
      <w:r>
        <w:t>liggjøre lønnskartleggingen, i likestillings- og diskrimineringsloven.</w:t>
      </w:r>
    </w:p>
    <w:p w:rsidR="00000000" w:rsidRDefault="00D718D0" w:rsidP="00BA3E8B">
      <w:r>
        <w:t>Departemente</w:t>
      </w:r>
      <w:r>
        <w:t>t mener at arbeidet for likelønn og mot lønnsdiskriminering bør intensiveres gjennom lønn</w:t>
      </w:r>
      <w:r>
        <w:t>s</w:t>
      </w:r>
      <w:r>
        <w:t>kartleggingen. Et sentralt verktøy i dette arbeidet er åpenhet om lønn. Manglende innsyn i lønnsvi</w:t>
      </w:r>
      <w:r>
        <w:t>l</w:t>
      </w:r>
      <w:r>
        <w:t>kår er et vesentlig hinder i arbeidet for likebehandling ved avlønn</w:t>
      </w:r>
      <w:r>
        <w:t>ing i store deler av arbeidslivet. En d</w:t>
      </w:r>
      <w:r>
        <w:t>o</w:t>
      </w:r>
      <w:r>
        <w:t>kumentert lønnskartlegging vil kunne være et egnet virkemiddel ved lokale lønnsforhandlinger, både i store og små virksomheter. Departementet ønsker å fremme et lo</w:t>
      </w:r>
      <w:r>
        <w:t>v</w:t>
      </w:r>
      <w:r>
        <w:t>forslag om lønnskartlegging, som både er et viktig l</w:t>
      </w:r>
      <w:r>
        <w:t>ik</w:t>
      </w:r>
      <w:r>
        <w:t>e</w:t>
      </w:r>
      <w:r>
        <w:t>stillingstiltak, og som samtidig balanserer hensynet til personvern og behovet for me</w:t>
      </w:r>
      <w:r>
        <w:t>r</w:t>
      </w:r>
      <w:r>
        <w:t>åpenhet om lønn. Det er uheldig dersom virksomheter der det er 50 ansatte, med en eller to kvinnelige ansatte, ikke vil bli omfattet av plikten til å gjennomføre lønns</w:t>
      </w:r>
      <w:r>
        <w:t>kartlegging. Det er grunn til å anta at det er nettopp i slike tilfeller at en kjønnsdelt oversikt over avlønning, og åpenhet om lønnsvilkår, er spesielt viktig.</w:t>
      </w:r>
    </w:p>
    <w:p w:rsidR="00000000" w:rsidRDefault="00D718D0" w:rsidP="00BA3E8B">
      <w:r>
        <w:t>Det følger av internasjonale konvensjoner at Norge har en plikt til å avskaffe direkte og indi</w:t>
      </w:r>
      <w:r>
        <w:t>rekte di</w:t>
      </w:r>
      <w:r>
        <w:t>s</w:t>
      </w:r>
      <w:r>
        <w:t>krim</w:t>
      </w:r>
      <w:r>
        <w:t>i</w:t>
      </w:r>
      <w:r>
        <w:t>nering ved fastsetting av lønn, jf. EØS-avtalen artikkel 69 og CEDAW artikkel 11. EU-domstolens praksis tilsier at systemene for virksomheters lønnsfastsettelse skal være gje</w:t>
      </w:r>
      <w:r>
        <w:t>n</w:t>
      </w:r>
      <w:r>
        <w:t>nomskuelige. Domstolen har konstatert at dersom arbeidsgiver ansett</w:t>
      </w:r>
      <w:r>
        <w:t>er en yrkesgruppe som hovedsakelig består av kvinner, og som avlønnes v</w:t>
      </w:r>
      <w:r>
        <w:t>e</w:t>
      </w:r>
      <w:r>
        <w:t>sentlig lavere enn en sammenlignbar annen yrkesgruppe som hovedsakelig består av menn, er det arbeidsg</w:t>
      </w:r>
      <w:r>
        <w:t>i</w:t>
      </w:r>
      <w:r>
        <w:t>veren som skal godtgjøre at lønnsforskjellen ikke skyldes kjønn. Det vises til EU</w:t>
      </w:r>
      <w:r>
        <w:t>-domstolens avgjørelse i Danfoss (-109/88), Enderby (C-127/92) og Royal Copenhagen (C-400/93). EU-domstolens praksis stiller krav til gjennomskuelige lønnssystemer. Departementets forslag om aktivitetsplikt ved gjennomføring av lønn</w:t>
      </w:r>
      <w:r>
        <w:t>s</w:t>
      </w:r>
      <w:r>
        <w:t xml:space="preserve">kartlegging bidrar til </w:t>
      </w:r>
      <w:r>
        <w:t>implementering av EU-rettslige krav om gjennomskuelige syst</w:t>
      </w:r>
      <w:r>
        <w:t>e</w:t>
      </w:r>
      <w:r>
        <w:t>mer for lønnsfastsettelse.</w:t>
      </w:r>
    </w:p>
    <w:p w:rsidR="00000000" w:rsidRDefault="00D718D0" w:rsidP="00BA3E8B">
      <w:r>
        <w:t>Lønnsopplysninger i privat sektor anses som et privatrettslig forhold mellom arbeidsgiver og den a</w:t>
      </w:r>
      <w:r>
        <w:t>n</w:t>
      </w:r>
      <w:r>
        <w:t>satte, og tredjeparter har, i utgangspunktet ikke innsynsrett i andres</w:t>
      </w:r>
      <w:r>
        <w:t xml:space="preserve"> lønnsopplysninger. Slike opplysninger skal ikke utleveres uten en særskilt hjemmel. For å kunne behandle lønnsopply</w:t>
      </w:r>
      <w:r>
        <w:t>s</w:t>
      </w:r>
      <w:r>
        <w:t>ninger, offentliggjøre disse i forbindelse med lønnskartleggingen, og utlevere slike opplysninger til noen som krever innsyn må det forelig</w:t>
      </w:r>
      <w:r>
        <w:t>ge et b</w:t>
      </w:r>
      <w:r>
        <w:t>e</w:t>
      </w:r>
      <w:r>
        <w:t>handlingsgrunnlag etter personopplysningsl</w:t>
      </w:r>
      <w:r>
        <w:t>o</w:t>
      </w:r>
      <w:r>
        <w:t>ven, jf. personopplysningsforordningen. Lønnsopplysninger i offentlig sektor er ikke unntatt offentlighet. Det kan dermed kreves innsyn i dok</w:t>
      </w:r>
      <w:r>
        <w:t>u</w:t>
      </w:r>
      <w:r>
        <w:t>mentene som inneholder lønnsopplysninger for de ansatte i virks</w:t>
      </w:r>
      <w:r>
        <w:t>omheter underlagt offentleglovas b</w:t>
      </w:r>
      <w:r>
        <w:t>e</w:t>
      </w:r>
      <w:r>
        <w:t>stemmelser. Lønnsopplysninger til de a</w:t>
      </w:r>
      <w:r>
        <w:t>n</w:t>
      </w:r>
      <w:r>
        <w:t>satte i offentlig sektor skal, som hovedregel, likevel ikke gjøres offentlig tilgjengelig på internett, jf. offentlegforskrifta § 7 bokstav e.</w:t>
      </w:r>
    </w:p>
    <w:p w:rsidR="00000000" w:rsidRDefault="00D718D0" w:rsidP="00BA3E8B">
      <w:r>
        <w:t>Behandlingsgrunnlaget for lønnsopplysni</w:t>
      </w:r>
      <w:r>
        <w:t>nger er de foreslåtte lovbestemmelsene. Disse b</w:t>
      </w:r>
      <w:r>
        <w:t>e</w:t>
      </w:r>
      <w:r>
        <w:t>stemme</w:t>
      </w:r>
      <w:r>
        <w:t>l</w:t>
      </w:r>
      <w:r>
        <w:t>sene p</w:t>
      </w:r>
      <w:r>
        <w:t>å</w:t>
      </w:r>
      <w:r>
        <w:t>legger visse arbeidsgivere en plikt til å gjennomføre lønnskartlegging og å r</w:t>
      </w:r>
      <w:r>
        <w:t>e</w:t>
      </w:r>
      <w:r>
        <w:t>degjøre for denne kartleggingen. Bestemmelsene gir også en rett til innsyn i lønnsopplysningene som fremgår av lønn</w:t>
      </w:r>
      <w:r>
        <w:t>s</w:t>
      </w:r>
      <w:r>
        <w:t xml:space="preserve">kartleggingen (og også når opplysningene ikke kan anonymiseres). Det </w:t>
      </w:r>
      <w:r>
        <w:lastRenderedPageBreak/>
        <w:t>vises til personforordningen a</w:t>
      </w:r>
      <w:r>
        <w:t>r</w:t>
      </w:r>
      <w:r>
        <w:t>tikkel 6 som stadfester at behandlingen av personopplysninger er lovlig dersom behandlingen er nødve</w:t>
      </w:r>
      <w:r>
        <w:t>n</w:t>
      </w:r>
      <w:r>
        <w:t>dig for å oppfylle en rettslig forpliktelse som påhvile</w:t>
      </w:r>
      <w:r>
        <w:t>r den behandlingsansvarlige.</w:t>
      </w:r>
    </w:p>
    <w:p w:rsidR="00000000" w:rsidRDefault="00D718D0" w:rsidP="00BA3E8B">
      <w:r>
        <w:t>Personopplysningsloven og personopplysningsforordningen begrenser ikke innsynsretten etter o</w:t>
      </w:r>
      <w:r>
        <w:t>f</w:t>
      </w:r>
      <w:r>
        <w:t>fentleglova, eller annen lovbestemt plikt å gi innsyn i lønnsopplysningene som påhviler a</w:t>
      </w:r>
      <w:r>
        <w:t>r</w:t>
      </w:r>
      <w:r>
        <w:t>beidsgiver, jf. personvernfo</w:t>
      </w:r>
      <w:r>
        <w:t>r</w:t>
      </w:r>
      <w:r>
        <w:t>ordningen artik</w:t>
      </w:r>
      <w:r>
        <w:t>kel 6 bokstav c. Med dette forslaget lovfestes en plikt til å dokumentere og offentliggjøre resultatene etter lønnskartleggingen, og dette vil være et gyldig grunnlag for behandling av personopply</w:t>
      </w:r>
      <w:r>
        <w:t>s</w:t>
      </w:r>
      <w:r>
        <w:t>ninger etter personvernforordningen.</w:t>
      </w:r>
    </w:p>
    <w:p w:rsidR="00000000" w:rsidRDefault="00D718D0" w:rsidP="00BA3E8B">
      <w:r>
        <w:t>Ved utforming av lovfo</w:t>
      </w:r>
      <w:r>
        <w:t>rslaget har departementet vurdert og balansert behovet for åpenhet om lønn</w:t>
      </w:r>
      <w:r>
        <w:t>s</w:t>
      </w:r>
      <w:r>
        <w:t>opply</w:t>
      </w:r>
      <w:r>
        <w:t>s</w:t>
      </w:r>
      <w:r>
        <w:t>ninger og hensynet til personvern. Dersom resultatet av lønnskartleggingen (løn</w:t>
      </w:r>
      <w:r>
        <w:t>n</w:t>
      </w:r>
      <w:r>
        <w:t>soversikten) ikke inneholder lønnsopplysninger som kan knyttes til enkeltpersoner, vil oversi</w:t>
      </w:r>
      <w:r>
        <w:t>k</w:t>
      </w:r>
      <w:r>
        <w:t>t</w:t>
      </w:r>
      <w:r>
        <w:t>en falle utenfor personop</w:t>
      </w:r>
      <w:r>
        <w:t>p</w:t>
      </w:r>
      <w:r>
        <w:t>lysningslovens virkeområde. Problematikken knyttet til personvern gjør seg ikke gjeldende i slike situ</w:t>
      </w:r>
      <w:r>
        <w:t>a</w:t>
      </w:r>
      <w:r>
        <w:t>sjoner.</w:t>
      </w:r>
    </w:p>
    <w:p w:rsidR="00000000" w:rsidRDefault="00D718D0" w:rsidP="00BA3E8B">
      <w:r>
        <w:t>Departementets forslag innebærer at det unntaksvis kan forekomme tilfeller der det er fare for at e</w:t>
      </w:r>
      <w:r>
        <w:t>n</w:t>
      </w:r>
      <w:r>
        <w:t>keltansattes lønnso</w:t>
      </w:r>
      <w:r>
        <w:t>pplysninger blir offentliggjort gjennom lønnskartleggingen.</w:t>
      </w:r>
    </w:p>
    <w:p w:rsidR="00000000" w:rsidRDefault="00D718D0" w:rsidP="00BA3E8B">
      <w:r>
        <w:t>Datatilsynet har, i sin høringsuttalelse til departementets forslag til lønnskartlegging av 2012, lagt til grunn at lønnsoversikter på gruppenivå kan utleveres i privat sektor når</w:t>
      </w:r>
      <w:r>
        <w:t xml:space="preserve"> det er minst 5 ansatte av hvert kjønn i gruppen det presenteres lønnsoversikt over. Dersom det er mindre enn 5 personer i gruppen, bør opplysninger bare leveres til tillitsvalgt som har undertegnet taushet</w:t>
      </w:r>
      <w:r>
        <w:t>s</w:t>
      </w:r>
      <w:r>
        <w:t>erklæring. Bestemmelsen om a</w:t>
      </w:r>
      <w:r>
        <w:t>r</w:t>
      </w:r>
      <w:r>
        <w:t>beidsgivers opplysni</w:t>
      </w:r>
      <w:r>
        <w:t>ng</w:t>
      </w:r>
      <w:r>
        <w:t>s</w:t>
      </w:r>
      <w:r>
        <w:t>plikt om lønn overfor en arbeidstaker som mistenker lønnsdiskriminering inn</w:t>
      </w:r>
      <w:r>
        <w:t>e</w:t>
      </w:r>
      <w:r>
        <w:t>bærer for øvrig at den som mottar lønnsopplysningene har taushetsplikt, jf. likestillings- og diskrimin</w:t>
      </w:r>
      <w:r>
        <w:t>e</w:t>
      </w:r>
      <w:r>
        <w:t>ringsloven § 32.</w:t>
      </w:r>
    </w:p>
    <w:p w:rsidR="00000000" w:rsidRDefault="00D718D0" w:rsidP="00BA3E8B">
      <w:r>
        <w:t>Departementet foreslo i høringsnotatet en bestemmelse om</w:t>
      </w:r>
      <w:r>
        <w:t xml:space="preserve"> at dersom redegjørelsen inneholder pe</w:t>
      </w:r>
      <w:r>
        <w:t>r</w:t>
      </w:r>
      <w:r>
        <w:t>sonop</w:t>
      </w:r>
      <w:r>
        <w:t>p</w:t>
      </w:r>
      <w:r>
        <w:t>lysninger, skulle disse opplysningene unntas offentlighet. Departementet foreslo også at det i loven stilles opp noen få tilfeller der innsyn kan gis. Departementet foreslo videre at innsynsretten kombineres med</w:t>
      </w:r>
      <w:r>
        <w:t xml:space="preserve"> taushet</w:t>
      </w:r>
      <w:r>
        <w:t>s</w:t>
      </w:r>
      <w:r>
        <w:t>plikt, det vil si at personen som får tilgang til opply</w:t>
      </w:r>
      <w:r>
        <w:t>s</w:t>
      </w:r>
      <w:r>
        <w:t>ninger er underlagt taushetsplikt. Det vises til forslag om ny § 26a, tredje ledd i høringsnotatet.</w:t>
      </w:r>
    </w:p>
    <w:p w:rsidR="00000000" w:rsidRDefault="00D718D0" w:rsidP="00BA3E8B">
      <w:r>
        <w:t>Offentleglova inneholder ikke noen generell unntaksbestemmelse for personopplysninger eller</w:t>
      </w:r>
      <w:r>
        <w:t xml:space="preserve"> op</w:t>
      </w:r>
      <w:r>
        <w:t>p</w:t>
      </w:r>
      <w:r>
        <w:t>lysninger som gjelder likestilling. Når det gjelder organer som er omfattet av offentleglova, vil alle opply</w:t>
      </w:r>
      <w:r>
        <w:t>s</w:t>
      </w:r>
      <w:r>
        <w:t>ninger som gjelder noens «personlige forhold», jf. forvaltningsloven § 13 første ledd nr. 1, være omfattet av taushetsplikt og er dermed omfatt</w:t>
      </w:r>
      <w:r>
        <w:t>et av unntakene fra innsyn i o</w:t>
      </w:r>
      <w:r>
        <w:t>f</w:t>
      </w:r>
      <w:r>
        <w:t>fentleglova § 13 første eller andre ledd. Innsynsrett eller opplysningsplikt vil bare gå foran taushetsplikt der dette er uttrykkelig bestemt eller klart forutsatt, jf. fo</w:t>
      </w:r>
      <w:r>
        <w:t>r</w:t>
      </w:r>
      <w:r>
        <w:t>valtningsloven § 13 f annet ledd.</w:t>
      </w:r>
    </w:p>
    <w:p w:rsidR="00000000" w:rsidRDefault="00D718D0" w:rsidP="00BA3E8B">
      <w:r>
        <w:t>Lønnsopplysninger i</w:t>
      </w:r>
      <w:r>
        <w:t xml:space="preserve"> organer som er underlagt offentleglovas regler, skal ikke omfattes av b</w:t>
      </w:r>
      <w:r>
        <w:t>e</w:t>
      </w:r>
      <w:r>
        <w:t>gren</w:t>
      </w:r>
      <w:r>
        <w:t>s</w:t>
      </w:r>
      <w:r>
        <w:t>ningene i innsynsretten. Alle regler om unntak fra innsyn i offentleglova og andre lover, utenom unntak for opplysninger som er omfattet av lovfestet taushetsplikt, er utformet s</w:t>
      </w:r>
      <w:r>
        <w:t>om «kan-regler». Dette betyr at o</w:t>
      </w:r>
      <w:r>
        <w:t>r</w:t>
      </w:r>
      <w:r>
        <w:t>ganet kan gjøre unntak fra innsyn, men også velge å gi innsyn. Lønnsopplysninger til de ansatte i offentlig sektor skal imi</w:t>
      </w:r>
      <w:r>
        <w:t>d</w:t>
      </w:r>
      <w:r>
        <w:t>lertid, som hovedregel, likevel ikke publiseres på internett, jf. offentlegforskrifta § 7 bo</w:t>
      </w:r>
      <w:r>
        <w:t>k</w:t>
      </w:r>
      <w:r>
        <w:t xml:space="preserve">stav </w:t>
      </w:r>
      <w:r>
        <w:t>e. Depart</w:t>
      </w:r>
      <w:r>
        <w:t>e</w:t>
      </w:r>
      <w:r>
        <w:t>mentets forslag går ut på at virksomheter kan velge å offentliggjøre likestillingsredegj</w:t>
      </w:r>
      <w:r>
        <w:t>ø</w:t>
      </w:r>
      <w:r>
        <w:t>relsen «i et annet offentlig tilgjen</w:t>
      </w:r>
      <w:r>
        <w:t>g</w:t>
      </w:r>
      <w:r>
        <w:lastRenderedPageBreak/>
        <w:t>elig dokument», f.eks. på virksomhetens hjemmeside. Dette forutsetter at den foreslåtte b</w:t>
      </w:r>
      <w:r>
        <w:t>e</w:t>
      </w:r>
      <w:r>
        <w:t>stemmelsen om begrenset offent</w:t>
      </w:r>
      <w:r>
        <w:t>lighet for likestillingsredegjørelsen, jf. forslag til ny § 26 a tredje ledd, endres.</w:t>
      </w:r>
    </w:p>
    <w:p w:rsidR="00000000" w:rsidRDefault="00D718D0" w:rsidP="00BA3E8B">
      <w:r>
        <w:t>Det foreslås derfor i denne lovproposisjonen at det tas inn en lovhjemmel for å begrense in</w:t>
      </w:r>
      <w:r>
        <w:t>n</w:t>
      </w:r>
      <w:r>
        <w:t>synsretten i lønnsopplysninger i privat sektor. Dette er tiltenkt for tilfelle</w:t>
      </w:r>
      <w:r>
        <w:t>r, der det er fare for at den enkeltansattes lønnsopplysninger kan røpes, slik at resultatene fra lønnskartleggingen ikke kan offentliggjøres gjennom årsberetningen eller i et annet offentlig tilgjengelig dokument. I slike situasjoner må arbeidsgiver gi en</w:t>
      </w:r>
      <w:r>
        <w:t xml:space="preserve"> en</w:t>
      </w:r>
      <w:r>
        <w:t>k</w:t>
      </w:r>
      <w:r>
        <w:t>lere, mer overordnet redegjørelse om lønnskartle</w:t>
      </w:r>
      <w:r>
        <w:t>g</w:t>
      </w:r>
      <w:r>
        <w:t>gingen. Det understrekes at likestillingsredegj</w:t>
      </w:r>
      <w:r>
        <w:t>ø</w:t>
      </w:r>
      <w:r>
        <w:t>relsen som offentliggjøres i årsberetningen eller i et annet offentlig tilgjengelig dokument, f.eks. på vir</w:t>
      </w:r>
      <w:r>
        <w:t>k</w:t>
      </w:r>
      <w:r>
        <w:t>somhetens hjemmeside, alltid skal omfatte resul</w:t>
      </w:r>
      <w:r>
        <w:t>tatene etter lønnskartleggingen, i anonymisert form. Dette skal etter departementets forslag lovfestes.</w:t>
      </w:r>
    </w:p>
    <w:p w:rsidR="00000000" w:rsidRDefault="00D718D0" w:rsidP="00BA3E8B">
      <w:r>
        <w:t>Dessuten foreslår departementet at det tas inn en lovbestemmelse om at en privat virksomhets ansatte og deres representanter, Diskrimineringsnemnda, Lik</w:t>
      </w:r>
      <w:r>
        <w:t>estillings- og diskrimineringso</w:t>
      </w:r>
      <w:r>
        <w:t>m</w:t>
      </w:r>
      <w:r>
        <w:t>budet og forskere har rett til innsyn i resultatene etter lønnskartleggingen i virksomheten, også når resultatene ikke kan anonymiseres på grunn av for få ansatte i en stillingsgruppe. Opply</w:t>
      </w:r>
      <w:r>
        <w:t>s</w:t>
      </w:r>
      <w:r>
        <w:t>ningene kan bare gis i den utstre</w:t>
      </w:r>
      <w:r>
        <w:t>kning de er nødvendige for å undersøke om det foreligger usaklig forskjellsbehandling ved lønnsfastsettelsen. Departementet er enig med NITO, som i sitt h</w:t>
      </w:r>
      <w:r>
        <w:t>ø</w:t>
      </w:r>
      <w:r>
        <w:t>ringssvar har uttalt at vurderingstemaet «om det foreligger usaklig forskjellsbehandling ved lønnsfas</w:t>
      </w:r>
      <w:r>
        <w:t>tsettelsen», skal tolkes vidt. Departementet understreker derfor at terskelen for in</w:t>
      </w:r>
      <w:r>
        <w:t>n</w:t>
      </w:r>
      <w:r>
        <w:t>synsbegjæring ikke skal settes for høy. For å ivareta personvernhensyn foreslår d</w:t>
      </w:r>
      <w:r>
        <w:t>e</w:t>
      </w:r>
      <w:r>
        <w:t>partementet videre at innsynsretten i så tilfelle skal kombineres med taushetsplikt. Orga</w:t>
      </w:r>
      <w:r>
        <w:t>ner som er u</w:t>
      </w:r>
      <w:r>
        <w:t>n</w:t>
      </w:r>
      <w:r>
        <w:t>derlagt offentleglova, skal følge reglene om innsynsretten i offentleglova. Dersom resultatene ikke kan anonymiseres, bør det likevel redegjøres for gjennomføringen av lønnskartleggingen, på generelt grunnlag og uten at enkeltansattes lønnsopp</w:t>
      </w:r>
      <w:r>
        <w:t>lysinger røpes, i likestillingsredegjørelsen som er offentlig tilgjengelig.</w:t>
      </w:r>
    </w:p>
    <w:p w:rsidR="00000000" w:rsidRDefault="00D718D0" w:rsidP="00BA3E8B">
      <w:pPr>
        <w:pStyle w:val="Undertittel"/>
      </w:pPr>
      <w:r>
        <w:t>Forskriftshjemmel</w:t>
      </w:r>
    </w:p>
    <w:p w:rsidR="00000000" w:rsidRDefault="00D718D0" w:rsidP="00BA3E8B">
      <w:r>
        <w:t>Departementet forslår at det fastsettes en forskriftshjemmel slik at det kan gis nærmere regler om gje</w:t>
      </w:r>
      <w:r>
        <w:t>n</w:t>
      </w:r>
      <w:r>
        <w:t>nomføring av lønnskartleggingen og offentliggjøring av resu</w:t>
      </w:r>
      <w:r>
        <w:t>ltatene. Samordning av op</w:t>
      </w:r>
      <w:r>
        <w:t>p</w:t>
      </w:r>
      <w:r>
        <w:t>lysningskrav og krav til et eventuell statistikk vil også kunne presiseres i forskrift.</w:t>
      </w:r>
    </w:p>
    <w:p w:rsidR="00000000" w:rsidRDefault="00D718D0" w:rsidP="00BA3E8B">
      <w:pPr>
        <w:pStyle w:val="Overskrift3"/>
      </w:pPr>
      <w:r>
        <w:t>Ufrivillig deltidsarbeid</w:t>
      </w:r>
    </w:p>
    <w:p w:rsidR="00000000" w:rsidRDefault="00D718D0" w:rsidP="00BA3E8B">
      <w:pPr>
        <w:pStyle w:val="Overskrift4"/>
      </w:pPr>
      <w:r>
        <w:t>Gjeldende rett</w:t>
      </w:r>
    </w:p>
    <w:p w:rsidR="00000000" w:rsidRDefault="00D718D0" w:rsidP="00BA3E8B">
      <w:r>
        <w:t>Arbeidsgivers aktivitetsplikt innebærer at arbeidsgiver innenfor sin virks</w:t>
      </w:r>
      <w:r>
        <w:t>omhet skal arbeide aktivt, må</w:t>
      </w:r>
      <w:r>
        <w:t>l</w:t>
      </w:r>
      <w:r>
        <w:t xml:space="preserve">rettet og planmessig for å fremme likestilling og hindre diskriminering. Arbeidet skal omfatte lønns- og arbeidsvilkår. Kartlegging av omfanget av uønsket deltidsarbeid bør være en del av dette arbeidet, selv om arbeidsgivere </w:t>
      </w:r>
      <w:r>
        <w:t>per i dag ikke har en lovpålagt plikt til å gjennomføre en slik kartlegging.</w:t>
      </w:r>
    </w:p>
    <w:p w:rsidR="00000000" w:rsidRDefault="00D718D0" w:rsidP="00BA3E8B">
      <w:r>
        <w:t>Arbeidsmiljøloven har bestemmelser om fortrinnsrett for deltidsansatte. Det fremgår av a</w:t>
      </w:r>
      <w:r>
        <w:t>r</w:t>
      </w:r>
      <w:r>
        <w:t>beidsmilj</w:t>
      </w:r>
      <w:r>
        <w:t>ø</w:t>
      </w:r>
      <w:r>
        <w:t>loven § 14–3 at deltidsansatte har fortrinnsrett til utvidet stilling fremfor at</w:t>
      </w:r>
      <w:r>
        <w:t xml:space="preserve"> arbeid</w:t>
      </w:r>
      <w:r>
        <w:t>s</w:t>
      </w:r>
      <w:r>
        <w:t>giver foretar ny anse</w:t>
      </w:r>
      <w:r>
        <w:t>t</w:t>
      </w:r>
      <w:r>
        <w:t xml:space="preserve">telse. Det fremgår av denne bestemmelsen at fortrinnsretten også kan gjelde </w:t>
      </w:r>
      <w:r>
        <w:lastRenderedPageBreak/>
        <w:t>en del av en stilling. Stat</w:t>
      </w:r>
      <w:r>
        <w:t>s</w:t>
      </w:r>
      <w:r>
        <w:t>ansatteloven, som gjelder for arbeidstakere i staten, har en tilsvarende bestemmelse, jf. § 13 første ledd.</w:t>
      </w:r>
    </w:p>
    <w:p w:rsidR="00000000" w:rsidRDefault="00D718D0" w:rsidP="00BA3E8B">
      <w:r>
        <w:t>En deltidsansa</w:t>
      </w:r>
      <w:r>
        <w:t>tt som de siste 12 måneder jevnlig har jobbet utover avtalt arbeidstid, har rett til stilling ti</w:t>
      </w:r>
      <w:r>
        <w:t>l</w:t>
      </w:r>
      <w:r>
        <w:t>svarende faktisk arbeidstid i denne perioden, jf. arbeidsmiljøloven § 14–4 a.</w:t>
      </w:r>
    </w:p>
    <w:p w:rsidR="00000000" w:rsidRDefault="00D718D0" w:rsidP="00BA3E8B">
      <w:pPr>
        <w:pStyle w:val="Overskrift4"/>
      </w:pPr>
      <w:r>
        <w:t>Forslag i høringsnotatet</w:t>
      </w:r>
    </w:p>
    <w:p w:rsidR="00000000" w:rsidRDefault="00D718D0" w:rsidP="00BA3E8B">
      <w:r>
        <w:t>Departementet foreslo i hør</w:t>
      </w:r>
      <w:r>
        <w:t>ingsnotatet at arbeidsgivere i alle offentlige virksomheter, og a</w:t>
      </w:r>
      <w:r>
        <w:t>r</w:t>
      </w:r>
      <w:r>
        <w:t xml:space="preserve">beidsgivere i private virksomheter som jevnlig sysselsetter mer enn 50 ansatte, skal pålegges en plikt til å kartlegge bruken av ufrivillig deltidsarbeid, dvs. hvor mange ansatte som ønsker </w:t>
      </w:r>
      <w:r>
        <w:t>og har anledning til økt stilling</w:t>
      </w:r>
      <w:r>
        <w:t>s</w:t>
      </w:r>
      <w:r>
        <w:t>prosent. Forslaget omfatter også arbeidsgivere i private virksomheter som jevnlig sysselsetter mellom 20 og 50 ansatte, når en av arbeidslivets parter i virksomheten krever det.</w:t>
      </w:r>
    </w:p>
    <w:p w:rsidR="00000000" w:rsidRDefault="00D718D0" w:rsidP="00BA3E8B">
      <w:pPr>
        <w:pStyle w:val="Overskrift4"/>
      </w:pPr>
      <w:r>
        <w:t>Høringsinstansenes syn</w:t>
      </w:r>
    </w:p>
    <w:p w:rsidR="00000000" w:rsidRDefault="00D718D0" w:rsidP="00BA3E8B">
      <w:r>
        <w:t>Hørin</w:t>
      </w:r>
      <w:r>
        <w:t xml:space="preserve">gsinstansenes syn på forslaget er delt. </w:t>
      </w:r>
      <w:r>
        <w:rPr>
          <w:rStyle w:val="kursiv"/>
          <w:sz w:val="21"/>
          <w:szCs w:val="21"/>
        </w:rPr>
        <w:t>Likestillings- og diskrimineringsombudet</w:t>
      </w:r>
      <w:r>
        <w:t xml:space="preserve">, </w:t>
      </w:r>
      <w:r>
        <w:rPr>
          <w:rStyle w:val="kursiv"/>
          <w:sz w:val="21"/>
          <w:szCs w:val="21"/>
        </w:rPr>
        <w:t>Bufdir</w:t>
      </w:r>
      <w:r>
        <w:t xml:space="preserve">, </w:t>
      </w:r>
      <w:r>
        <w:rPr>
          <w:rStyle w:val="kursiv"/>
          <w:sz w:val="21"/>
          <w:szCs w:val="21"/>
        </w:rPr>
        <w:t>LO</w:t>
      </w:r>
      <w:r>
        <w:t xml:space="preserve">, </w:t>
      </w:r>
      <w:r>
        <w:rPr>
          <w:rStyle w:val="kursiv"/>
          <w:sz w:val="21"/>
          <w:szCs w:val="21"/>
        </w:rPr>
        <w:t>Fagfo</w:t>
      </w:r>
      <w:r>
        <w:rPr>
          <w:rStyle w:val="kursiv"/>
          <w:sz w:val="21"/>
          <w:szCs w:val="21"/>
        </w:rPr>
        <w:t>r</w:t>
      </w:r>
      <w:r>
        <w:rPr>
          <w:rStyle w:val="kursiv"/>
          <w:sz w:val="21"/>
          <w:szCs w:val="21"/>
        </w:rPr>
        <w:t>bundet</w:t>
      </w:r>
      <w:r>
        <w:t xml:space="preserve">, </w:t>
      </w:r>
      <w:r>
        <w:rPr>
          <w:rStyle w:val="kursiv"/>
          <w:sz w:val="21"/>
          <w:szCs w:val="21"/>
        </w:rPr>
        <w:t xml:space="preserve">Politidirektoratet </w:t>
      </w:r>
      <w:r>
        <w:t xml:space="preserve">og </w:t>
      </w:r>
      <w:r>
        <w:rPr>
          <w:rStyle w:val="kursiv"/>
          <w:sz w:val="21"/>
          <w:szCs w:val="21"/>
        </w:rPr>
        <w:t>Finansforbundet</w:t>
      </w:r>
      <w:r>
        <w:t xml:space="preserve"> støtter departementets forslag.</w:t>
      </w:r>
    </w:p>
    <w:p w:rsidR="00000000" w:rsidRPr="009445FD" w:rsidRDefault="00D718D0" w:rsidP="00BA3E8B">
      <w:pPr>
        <w:rPr>
          <w:rStyle w:val="kursiv"/>
        </w:rPr>
      </w:pPr>
      <w:r>
        <w:rPr>
          <w:rStyle w:val="kursiv"/>
          <w:sz w:val="21"/>
          <w:szCs w:val="21"/>
        </w:rPr>
        <w:t>LO</w:t>
      </w:r>
      <w:r>
        <w:t xml:space="preserve"> stiller seg svært positivt til at aktivitetsplikten på deltidsarbeid presis</w:t>
      </w:r>
      <w:r>
        <w:t xml:space="preserve">eres. </w:t>
      </w:r>
      <w:r>
        <w:rPr>
          <w:rStyle w:val="kursiv"/>
          <w:sz w:val="21"/>
          <w:szCs w:val="21"/>
        </w:rPr>
        <w:t>LO</w:t>
      </w:r>
      <w:r>
        <w:t xml:space="preserve"> støtter depa</w:t>
      </w:r>
      <w:r>
        <w:t>r</w:t>
      </w:r>
      <w:r>
        <w:t>teme</w:t>
      </w:r>
      <w:r>
        <w:t>n</w:t>
      </w:r>
      <w:r>
        <w:t>tets forslag om at det tas inn krav om kartlegging av ufrivillig deltid og uttaler:</w:t>
      </w:r>
    </w:p>
    <w:p w:rsidR="00000000" w:rsidRDefault="00D718D0" w:rsidP="00BA3E8B">
      <w:pPr>
        <w:pStyle w:val="blokksit"/>
      </w:pPr>
      <w:r>
        <w:t>«[K]vinners sterke overrepresentasjon blant deltidsansatte er en likestillingsutfordring. LO mener at deltid også er en likestillingsutfordring n</w:t>
      </w:r>
      <w:r>
        <w:t>år ansatte oppgir at dette er «frivillig», dersom denne «frivi</w:t>
      </w:r>
      <w:r>
        <w:t>l</w:t>
      </w:r>
      <w:r>
        <w:t>ligheten» er et uttrykk for manglende likestilling. LO foreslår at arbeidsgivere skal kar</w:t>
      </w:r>
      <w:r>
        <w:t>t</w:t>
      </w:r>
      <w:r>
        <w:t>legge bruken av og årsaker til deltidsarbeid blant kvinner og menn.»</w:t>
      </w:r>
    </w:p>
    <w:p w:rsidR="00000000" w:rsidRPr="009445FD" w:rsidRDefault="00D718D0" w:rsidP="00BA3E8B">
      <w:pPr>
        <w:rPr>
          <w:rStyle w:val="kursiv"/>
        </w:rPr>
      </w:pPr>
      <w:r>
        <w:rPr>
          <w:rStyle w:val="kursiv"/>
          <w:sz w:val="21"/>
          <w:szCs w:val="21"/>
        </w:rPr>
        <w:t>Fagforbundet</w:t>
      </w:r>
      <w:r>
        <w:t xml:space="preserve"> slutter seg til LOs h</w:t>
      </w:r>
      <w:r>
        <w:t xml:space="preserve">øringsuttalelse på dette punktet. </w:t>
      </w:r>
      <w:r>
        <w:rPr>
          <w:rStyle w:val="kursiv"/>
          <w:sz w:val="21"/>
          <w:szCs w:val="21"/>
        </w:rPr>
        <w:t>NITO</w:t>
      </w:r>
      <w:r>
        <w:t xml:space="preserve"> støtter forslaget, men mener at forslaget kunne gjerne gått lenger slik at retten til heltidsstilling lovfestes. </w:t>
      </w:r>
      <w:r>
        <w:rPr>
          <w:rStyle w:val="kursiv"/>
          <w:sz w:val="21"/>
          <w:szCs w:val="21"/>
        </w:rPr>
        <w:t xml:space="preserve">Bufdir </w:t>
      </w:r>
      <w:r>
        <w:t xml:space="preserve">viser til at de fleste som arbeider deltid er kvinner, og mener at deltidsarbeid kan derfor være </w:t>
      </w:r>
      <w:r>
        <w:t xml:space="preserve">et hinder for reell kjønnslikestilling. Ifølge </w:t>
      </w:r>
      <w:r>
        <w:rPr>
          <w:rStyle w:val="kursiv"/>
          <w:sz w:val="21"/>
          <w:szCs w:val="21"/>
        </w:rPr>
        <w:t>Bufdir</w:t>
      </w:r>
      <w:r>
        <w:t xml:space="preserve"> vil en kartlegging av ufrivillig deltidsarbeid gi et bedre bilde av den faktiske tilstanden, når det gjelder uønsket deltidsarbeid, og derigjennom gjøre det lettere å iverksette tiltak.</w:t>
      </w:r>
    </w:p>
    <w:p w:rsidR="00000000" w:rsidRPr="009445FD" w:rsidRDefault="00D718D0" w:rsidP="00BA3E8B">
      <w:pPr>
        <w:rPr>
          <w:rStyle w:val="kursiv"/>
        </w:rPr>
      </w:pPr>
      <w:r>
        <w:rPr>
          <w:rStyle w:val="kursiv"/>
          <w:sz w:val="21"/>
          <w:szCs w:val="21"/>
        </w:rPr>
        <w:t>Politidirektorat</w:t>
      </w:r>
      <w:r>
        <w:rPr>
          <w:rStyle w:val="kursiv"/>
          <w:sz w:val="21"/>
          <w:szCs w:val="21"/>
        </w:rPr>
        <w:t>et</w:t>
      </w:r>
      <w:r>
        <w:t xml:space="preserve"> stiller seg positivt til forslaget og uttaler:</w:t>
      </w:r>
    </w:p>
    <w:p w:rsidR="00000000" w:rsidRDefault="00D718D0" w:rsidP="00BA3E8B">
      <w:pPr>
        <w:pStyle w:val="blokksit"/>
      </w:pPr>
      <w:r>
        <w:t>«Dette er et konkret forslag som vil la seg gjennomføre i praksis og hvor det kan oppnås tydelige svar som det kan arbeides videre med i den enkelte virksomhet. Det er imidlertid viktig at det gis rom for a</w:t>
      </w:r>
      <w:r>
        <w:t>t den enkelte virksomhet bestemmer hyppigheten av kartleggingen og måten dette skal gjøres på.»</w:t>
      </w:r>
    </w:p>
    <w:p w:rsidR="00000000" w:rsidRDefault="00D718D0" w:rsidP="00BA3E8B">
      <w:r>
        <w:rPr>
          <w:rStyle w:val="kursiv"/>
          <w:sz w:val="21"/>
          <w:szCs w:val="21"/>
        </w:rPr>
        <w:t xml:space="preserve">Norsk sykepleierforbund </w:t>
      </w:r>
      <w:r>
        <w:t>mener derimot at kartlegging av ufrivillig deltid er problematisk. Med henvisning til Fafos forskning på deltidsarbeid, mener Norsk syke</w:t>
      </w:r>
      <w:r>
        <w:t xml:space="preserve">pleierforbund at </w:t>
      </w:r>
    </w:p>
    <w:p w:rsidR="00000000" w:rsidRDefault="00D718D0" w:rsidP="00BA3E8B">
      <w:pPr>
        <w:pStyle w:val="blokksit"/>
      </w:pPr>
      <w:r>
        <w:t xml:space="preserve">«…skillelinjene mellom frivillig og ufrivillig deltid er uskarpe.» </w:t>
      </w:r>
    </w:p>
    <w:p w:rsidR="00000000" w:rsidRDefault="00D718D0" w:rsidP="00BA3E8B">
      <w:r>
        <w:t>Sykepleierforbundet sier videre:</w:t>
      </w:r>
    </w:p>
    <w:p w:rsidR="00000000" w:rsidRDefault="00D718D0" w:rsidP="00BA3E8B">
      <w:pPr>
        <w:pStyle w:val="blokksit"/>
      </w:pPr>
      <w:r>
        <w:t>«[D]et norske arbeidsmarkedet har i dag delsegmenter som organiserer arbeidet rundt deltidssti</w:t>
      </w:r>
      <w:r>
        <w:t>l</w:t>
      </w:r>
      <w:r>
        <w:t>linger, noe som innebærer en strukturell t</w:t>
      </w:r>
      <w:r>
        <w:t>vang til deltidsarbeid. Sykepleieryrket er et av de mest b</w:t>
      </w:r>
      <w:r>
        <w:t>e</w:t>
      </w:r>
      <w:r>
        <w:t>lastende yrkene, med både fysiske, organisatoriske og psykososiale eksponeringer, og mange syk</w:t>
      </w:r>
      <w:r>
        <w:t>e</w:t>
      </w:r>
      <w:r>
        <w:t>pleiere velger redusert stilling av helsemessige årsaker. Arbeidet for å oppnå «heltidskultur» er lan</w:t>
      </w:r>
      <w:r>
        <w:t>g</w:t>
      </w:r>
      <w:r>
        <w:t>siktig og må ses i et helhetlig perspektiv. Utlysning av hele stillinger er imidlertid en fo</w:t>
      </w:r>
      <w:r>
        <w:t>r</w:t>
      </w:r>
      <w:r>
        <w:t>utsetning. En mer hensiktsmessig måte å bruke aktivitetsplikten er etter NSFs syn å kartlegge u</w:t>
      </w:r>
      <w:r>
        <w:t>t</w:t>
      </w:r>
      <w:r>
        <w:t>lysninger og fo</w:t>
      </w:r>
      <w:r>
        <w:t>r</w:t>
      </w:r>
      <w:r>
        <w:t>holdet mellom ansatte i heltids- og deltidsstilling</w:t>
      </w:r>
      <w:r>
        <w:t>er over tid.»</w:t>
      </w:r>
    </w:p>
    <w:p w:rsidR="00000000" w:rsidRDefault="00D718D0" w:rsidP="00BA3E8B">
      <w:r>
        <w:lastRenderedPageBreak/>
        <w:t xml:space="preserve">Noen høringsinstanser, deriblant </w:t>
      </w:r>
      <w:r>
        <w:rPr>
          <w:rStyle w:val="kursiv"/>
          <w:sz w:val="21"/>
          <w:szCs w:val="21"/>
        </w:rPr>
        <w:t>NHO</w:t>
      </w:r>
      <w:r>
        <w:t xml:space="preserve">, </w:t>
      </w:r>
      <w:r>
        <w:rPr>
          <w:rStyle w:val="kursiv"/>
          <w:sz w:val="21"/>
          <w:szCs w:val="21"/>
        </w:rPr>
        <w:t>Virke</w:t>
      </w:r>
      <w:r>
        <w:t xml:space="preserve">, </w:t>
      </w:r>
      <w:r>
        <w:rPr>
          <w:rStyle w:val="kursiv"/>
          <w:sz w:val="21"/>
          <w:szCs w:val="21"/>
        </w:rPr>
        <w:t>Finans</w:t>
      </w:r>
      <w:r>
        <w:t xml:space="preserve"> </w:t>
      </w:r>
      <w:r>
        <w:rPr>
          <w:rStyle w:val="kursiv"/>
          <w:sz w:val="21"/>
          <w:szCs w:val="21"/>
        </w:rPr>
        <w:t>Norge</w:t>
      </w:r>
      <w:r>
        <w:t xml:space="preserve"> og </w:t>
      </w:r>
      <w:r>
        <w:rPr>
          <w:rStyle w:val="kursiv"/>
          <w:sz w:val="21"/>
          <w:szCs w:val="21"/>
        </w:rPr>
        <w:t>KS</w:t>
      </w:r>
      <w:r>
        <w:t xml:space="preserve">, går imot forslaget. </w:t>
      </w:r>
      <w:r>
        <w:rPr>
          <w:rStyle w:val="kursiv"/>
          <w:sz w:val="21"/>
          <w:szCs w:val="21"/>
        </w:rPr>
        <w:t>NHO</w:t>
      </w:r>
      <w:r>
        <w:t xml:space="preserve"> mener at det er viktig at deltidsansatte kommer inn i heltidsstillinger. Ifølge </w:t>
      </w:r>
      <w:r>
        <w:rPr>
          <w:rStyle w:val="kursiv"/>
          <w:sz w:val="21"/>
          <w:szCs w:val="21"/>
        </w:rPr>
        <w:t>NHO</w:t>
      </w:r>
      <w:r>
        <w:t xml:space="preserve"> er det en forutsetning for at dagens velferdsnivå i Norge kan opprett</w:t>
      </w:r>
      <w:r>
        <w:t xml:space="preserve">holdes. </w:t>
      </w:r>
      <w:r>
        <w:rPr>
          <w:rStyle w:val="kursiv"/>
          <w:sz w:val="21"/>
          <w:szCs w:val="21"/>
        </w:rPr>
        <w:t>NHO</w:t>
      </w:r>
      <w:r>
        <w:t xml:space="preserve"> støtter likevel ikke forslaget og uttaler at:</w:t>
      </w:r>
    </w:p>
    <w:p w:rsidR="00000000" w:rsidRDefault="00D718D0" w:rsidP="00BA3E8B">
      <w:pPr>
        <w:pStyle w:val="blokksit"/>
      </w:pPr>
      <w:r>
        <w:t>«[p]likten til kartlegging av ufrivillig deltid er begrunnet i målet om et mer likestilt arbeidsliv. Bare 9 prosent av alle deltidsansatte er ufrivillig deltidsarbeidende. Derfor vil en konkret akti</w:t>
      </w:r>
      <w:r>
        <w:t>v</w:t>
      </w:r>
      <w:r>
        <w:t>i</w:t>
      </w:r>
      <w:r>
        <w:t>tetsplikt når problemet generelt sett er så vidt lite, ikke være hensiktsmessig sett opp mot målse</w:t>
      </w:r>
      <w:r>
        <w:t>t</w:t>
      </w:r>
      <w:r>
        <w:t>tingen.»</w:t>
      </w:r>
    </w:p>
    <w:p w:rsidR="00000000" w:rsidRPr="009445FD" w:rsidRDefault="00D718D0" w:rsidP="00BA3E8B">
      <w:pPr>
        <w:rPr>
          <w:rStyle w:val="kursiv"/>
        </w:rPr>
      </w:pPr>
      <w:r>
        <w:rPr>
          <w:rStyle w:val="kursiv"/>
          <w:sz w:val="21"/>
          <w:szCs w:val="21"/>
        </w:rPr>
        <w:t>Virke</w:t>
      </w:r>
      <w:r>
        <w:t xml:space="preserve"> mener også at ufrivillig deltidsarbeid ikke er et problem av et slikt omfang at det er legitimt å innføre en kartleggingsplikt. </w:t>
      </w:r>
      <w:r>
        <w:rPr>
          <w:rStyle w:val="kursiv"/>
          <w:sz w:val="21"/>
          <w:szCs w:val="21"/>
        </w:rPr>
        <w:t>Virke</w:t>
      </w:r>
      <w:r>
        <w:t xml:space="preserve"> viser </w:t>
      </w:r>
      <w:r>
        <w:t>også til arbeidsmiljølovens bestemmelser om retten til utvidet stilling</w:t>
      </w:r>
      <w:r>
        <w:t>s</w:t>
      </w:r>
      <w:r>
        <w:t>brøk, og uttaler at disse bestemmelsene:</w:t>
      </w:r>
    </w:p>
    <w:p w:rsidR="00000000" w:rsidRDefault="00D718D0" w:rsidP="00BA3E8B">
      <w:pPr>
        <w:pStyle w:val="blokksit"/>
      </w:pPr>
      <w:r>
        <w:t>«…skal sikre deltidsansatte en større stilling i situasjoner der arbeidsgiveren har et arbeid</w:t>
      </w:r>
      <w:r>
        <w:t>s</w:t>
      </w:r>
      <w:r>
        <w:t>kraftsbehov. Arbeidsgiveren har alltid en plikt t</w:t>
      </w:r>
      <w:r>
        <w:t>il å informere de ansatte om ledige stillinger, slik at de kan melde sin interesse for dette. Deltidsansatte har en lovfestet fortrinnsrett som gjør at de skal prioriteres før ek</w:t>
      </w:r>
      <w:r>
        <w:t>s</w:t>
      </w:r>
      <w:r>
        <w:t>terne søkere når arbeidsgiver skal foreta en «ny ansettelse». Fra 1. januar 2</w:t>
      </w:r>
      <w:r>
        <w:t>019 er denne retten utvidet til også å omfatte deler av den utlyste stillingen. Videre har deltid</w:t>
      </w:r>
      <w:r>
        <w:t>s</w:t>
      </w:r>
      <w:r>
        <w:t>ansatte rett til å få utvidet stilling</w:t>
      </w:r>
      <w:r>
        <w:t>s</w:t>
      </w:r>
      <w:r>
        <w:t>størrelsen sin i situasjoner der de jevnlig har arbeidet mer enn avtalt arbeidstid over en lengre periode. I tillegg ha</w:t>
      </w:r>
      <w:r>
        <w:t>r alle ansatte rett på fleksibel arbeidstid der dette kan gjennomføres uten vesentlig ulempe for virksomheten, noe som bidrar til å gjøre det enklere å kombinere familieliv og arbeid.»</w:t>
      </w:r>
    </w:p>
    <w:p w:rsidR="00000000" w:rsidRPr="009445FD" w:rsidRDefault="00D718D0" w:rsidP="00BA3E8B">
      <w:pPr>
        <w:rPr>
          <w:rStyle w:val="kursiv"/>
        </w:rPr>
      </w:pPr>
      <w:r>
        <w:rPr>
          <w:rStyle w:val="kursiv"/>
          <w:sz w:val="21"/>
          <w:szCs w:val="21"/>
        </w:rPr>
        <w:t>Virke</w:t>
      </w:r>
      <w:r>
        <w:t xml:space="preserve"> uttrykker videre en bekymring for at summen av pliktene gjør</w:t>
      </w:r>
      <w:r>
        <w:t xml:space="preserve"> det for vanskelig å drive en virkso</w:t>
      </w:r>
      <w:r>
        <w:t>m</w:t>
      </w:r>
      <w:r>
        <w:t>het.</w:t>
      </w:r>
    </w:p>
    <w:p w:rsidR="00000000" w:rsidRPr="009445FD" w:rsidRDefault="00D718D0" w:rsidP="00BA3E8B">
      <w:pPr>
        <w:rPr>
          <w:rStyle w:val="kursiv"/>
        </w:rPr>
      </w:pPr>
      <w:r>
        <w:rPr>
          <w:rStyle w:val="kursiv"/>
          <w:sz w:val="21"/>
          <w:szCs w:val="21"/>
        </w:rPr>
        <w:t>KS</w:t>
      </w:r>
      <w:r>
        <w:t xml:space="preserve"> mener at det å utvikle heltidskultur forutsetter en mer koordinert innsats av virkemidler lokalt, enn den foreslåtte kartleggingen. </w:t>
      </w:r>
      <w:r>
        <w:rPr>
          <w:rStyle w:val="kursiv"/>
          <w:sz w:val="21"/>
          <w:szCs w:val="21"/>
        </w:rPr>
        <w:t>KS</w:t>
      </w:r>
      <w:r>
        <w:t xml:space="preserve"> mener videre at «en kartlegging i seg selv vil ha liten effekt på heltid</w:t>
      </w:r>
      <w:r>
        <w:t>s</w:t>
      </w:r>
      <w:r>
        <w:t>and</w:t>
      </w:r>
      <w:r>
        <w:t>elen» og at det er «metodiske utfordringer med å spørre medarbeidere om de ønsker å jobbe mer, bl.a. fordi dette ikke nødvendigvis gir svar på om de ønsker å jobbe mer under andre arbeidstidsordninger.»</w:t>
      </w:r>
    </w:p>
    <w:p w:rsidR="00000000" w:rsidRPr="009445FD" w:rsidRDefault="00D718D0" w:rsidP="00BA3E8B">
      <w:pPr>
        <w:rPr>
          <w:rStyle w:val="kursiv"/>
        </w:rPr>
      </w:pPr>
      <w:r>
        <w:rPr>
          <w:rStyle w:val="kursiv"/>
          <w:sz w:val="21"/>
          <w:szCs w:val="21"/>
        </w:rPr>
        <w:t xml:space="preserve">Finans Norge </w:t>
      </w:r>
      <w:r>
        <w:t>mener at:</w:t>
      </w:r>
    </w:p>
    <w:p w:rsidR="00000000" w:rsidRDefault="00D718D0" w:rsidP="00BA3E8B">
      <w:pPr>
        <w:pStyle w:val="blokksit"/>
      </w:pPr>
      <w:r>
        <w:t>«behovet for jevnlig kartleggi</w:t>
      </w:r>
      <w:r>
        <w:t>ng av ufrivillig deltid er kun relevant i enkelte deler av arbeidslivet og det virker derfor unødvendig byråkratisk å generalisere en slik regel for alle næringer.»</w:t>
      </w:r>
    </w:p>
    <w:p w:rsidR="00000000" w:rsidRPr="009445FD" w:rsidRDefault="00D718D0" w:rsidP="00BA3E8B">
      <w:pPr>
        <w:rPr>
          <w:rStyle w:val="kursiv"/>
        </w:rPr>
      </w:pPr>
      <w:r>
        <w:rPr>
          <w:rStyle w:val="kursiv"/>
          <w:sz w:val="21"/>
          <w:szCs w:val="21"/>
        </w:rPr>
        <w:t xml:space="preserve">Norges Rederiforbund </w:t>
      </w:r>
      <w:r>
        <w:t xml:space="preserve">og </w:t>
      </w:r>
      <w:r>
        <w:rPr>
          <w:rStyle w:val="kursiv"/>
          <w:sz w:val="21"/>
          <w:szCs w:val="21"/>
        </w:rPr>
        <w:t xml:space="preserve">Oslo kommune Byrådsavdeling for eldre, helse og arbeid </w:t>
      </w:r>
      <w:r>
        <w:t>mener at det</w:t>
      </w:r>
      <w:r>
        <w:t xml:space="preserve"> er viktig at tilnærmingen til aktivt likestillingsarbeid, herunder arbeidsmetoden som visse arbeidsgivere er pålagt å følge, sikrer nødvendig fleksibilitet i likestillingsarbeidet. Dette for at arbeidsgivere kan rette oppmer</w:t>
      </w:r>
      <w:r>
        <w:t>k</w:t>
      </w:r>
      <w:r>
        <w:t>somhet på de områdene og temae</w:t>
      </w:r>
      <w:r>
        <w:t>ne som er aktuelle på den konkrete arbeidspla</w:t>
      </w:r>
      <w:r>
        <w:t>s</w:t>
      </w:r>
      <w:r>
        <w:t>sen. Disse to høringsi</w:t>
      </w:r>
      <w:r>
        <w:t>n</w:t>
      </w:r>
      <w:r>
        <w:t>stansene er bekymret for at oppregningen av spesifikke plikter (lønn</w:t>
      </w:r>
      <w:r>
        <w:t>s</w:t>
      </w:r>
      <w:r>
        <w:t>kartlegging og kartlegging av ufr</w:t>
      </w:r>
      <w:r>
        <w:t>i</w:t>
      </w:r>
      <w:r>
        <w:t>villig deltidsarbeid) vil gå på bekostning av andre relevante risiko-områder i den a</w:t>
      </w:r>
      <w:r>
        <w:t xml:space="preserve">ktuelle virksomheten. </w:t>
      </w:r>
      <w:r>
        <w:rPr>
          <w:rStyle w:val="kursiv"/>
          <w:sz w:val="21"/>
          <w:szCs w:val="21"/>
        </w:rPr>
        <w:t xml:space="preserve">Oslo kommune Byrådsavdeling for eldre, helse og arbeid </w:t>
      </w:r>
      <w:r>
        <w:t>mener at opplisting av spesifikke plikter i likesti</w:t>
      </w:r>
      <w:r>
        <w:t>l</w:t>
      </w:r>
      <w:r>
        <w:t>lings- og diskrimineringsloven § 26 andre ledd kan oppfattes som uttømmende vilkår for oppfyllelsen av aktivitetsplikten.</w:t>
      </w:r>
    </w:p>
    <w:p w:rsidR="00000000" w:rsidRDefault="00D718D0" w:rsidP="00BA3E8B">
      <w:r>
        <w:t>Enkel</w:t>
      </w:r>
      <w:r>
        <w:t xml:space="preserve">te høringsinstanser, herunder </w:t>
      </w:r>
      <w:r>
        <w:rPr>
          <w:rStyle w:val="kursiv"/>
          <w:sz w:val="21"/>
          <w:szCs w:val="21"/>
        </w:rPr>
        <w:t>Likestillings- og diskrimineringsombudet</w:t>
      </w:r>
      <w:r>
        <w:t xml:space="preserve">, </w:t>
      </w:r>
      <w:r>
        <w:rPr>
          <w:rStyle w:val="kursiv"/>
          <w:sz w:val="21"/>
          <w:szCs w:val="21"/>
        </w:rPr>
        <w:t>LO</w:t>
      </w:r>
      <w:r>
        <w:t xml:space="preserve"> og </w:t>
      </w:r>
      <w:r>
        <w:rPr>
          <w:rStyle w:val="kursiv"/>
          <w:sz w:val="21"/>
          <w:szCs w:val="21"/>
        </w:rPr>
        <w:t>Norsk sykepleie</w:t>
      </w:r>
      <w:r>
        <w:rPr>
          <w:rStyle w:val="kursiv"/>
          <w:sz w:val="21"/>
          <w:szCs w:val="21"/>
        </w:rPr>
        <w:t>r</w:t>
      </w:r>
      <w:r>
        <w:rPr>
          <w:rStyle w:val="kursiv"/>
          <w:sz w:val="21"/>
          <w:szCs w:val="21"/>
        </w:rPr>
        <w:t>forbund</w:t>
      </w:r>
      <w:r>
        <w:t xml:space="preserve">, mener at i tillegg til ufrivillig deltidsarbeid bør virksomhetene også være forpliktet til å kartlegge uttak av foreldrepermisjon fordelt på kjønn. </w:t>
      </w:r>
      <w:r>
        <w:rPr>
          <w:rStyle w:val="kursiv"/>
          <w:sz w:val="21"/>
          <w:szCs w:val="21"/>
        </w:rPr>
        <w:t>LO</w:t>
      </w:r>
      <w:r>
        <w:t xml:space="preserve"> ber departementet vurdere om det også skal stilles krav om å kartlegge uttak av omsorgspenger (syke-barn-dager).</w:t>
      </w:r>
    </w:p>
    <w:p w:rsidR="00000000" w:rsidRDefault="00D718D0" w:rsidP="00BA3E8B">
      <w:pPr>
        <w:pStyle w:val="Overskrift4"/>
      </w:pPr>
      <w:r>
        <w:lastRenderedPageBreak/>
        <w:t>Departementets vurderinger</w:t>
      </w:r>
    </w:p>
    <w:p w:rsidR="00000000" w:rsidRDefault="00D718D0" w:rsidP="00BA3E8B">
      <w:r>
        <w:t>Departementet foreslo i høringsnotatet at arbeidsgivere i offentlige virksomheter, og arbeid</w:t>
      </w:r>
      <w:r>
        <w:t>s</w:t>
      </w:r>
      <w:r>
        <w:t>givere</w:t>
      </w:r>
      <w:r>
        <w:t xml:space="preserve"> i pr</w:t>
      </w:r>
      <w:r>
        <w:t>i</w:t>
      </w:r>
      <w:r>
        <w:t>vate virksomheter som har mer enn 50 ansatte, skal pålegges en plikt til å kartlegge omfanget av ufrivillig deltidsarbeid i egen virksomhet. Skjeie-utvalget foreslo at arbeidsgivere i offentlige virksomheter og i private virksomheter med minst 50 ans</w:t>
      </w:r>
      <w:r>
        <w:t>atte skulle kartlegge bruken av ufrivillig deltid innen virksomheten. Departementet støtter Skjeie-utvalgets forslag, men mener at også arbeidsplassene i privat sektor med mellom 20 og 50 ansatte skal omfattes av plikten, når en av arbeidslivets parter kre</w:t>
      </w:r>
      <w:r>
        <w:t>ver det. Departementet opprettholder forslaget om kartlegging av ufrivillig deltidsarbeid, som ble fremmet i høringsnotatet.</w:t>
      </w:r>
    </w:p>
    <w:p w:rsidR="00000000" w:rsidRDefault="00D718D0" w:rsidP="00BA3E8B">
      <w:r>
        <w:t>Formålet med forslaget er å fremme en heltidskultur og likestilling i arbeidslivet. Det norske a</w:t>
      </w:r>
      <w:r>
        <w:t>r</w:t>
      </w:r>
      <w:r>
        <w:t xml:space="preserve">beidsmarkedet er kjønnsdelt i den </w:t>
      </w:r>
      <w:r>
        <w:t>forstand at kvinner og menn i stor grad jobber i forskjellige sektorer og yrker. Unders</w:t>
      </w:r>
      <w:r>
        <w:t>ø</w:t>
      </w:r>
      <w:r>
        <w:t>kelsene viser at det jobbes mye deltid i kvinnedominerte sektorer, jf. Meld. St. 7 (2015–2016) Likestilling i praksis, kapittel 1 og 3. For småbarns foreldre er delti</w:t>
      </w:r>
      <w:r>
        <w:t>d</w:t>
      </w:r>
      <w:r>
        <w:t>s</w:t>
      </w:r>
      <w:r>
        <w:t>andelen blant kvinner ca. fire ganger høyere enn blant menn. Kvinners utstrakte deltidsarbeid kan føre til svakere tilknytning til a</w:t>
      </w:r>
      <w:r>
        <w:t>r</w:t>
      </w:r>
      <w:r>
        <w:t>beidslivet, økonomisk avhengighet og mindre likestilling i familier. Deltidsarbeid kan også være en u</w:t>
      </w:r>
      <w:r>
        <w:t>t</w:t>
      </w:r>
      <w:r>
        <w:t>fordring fra et samfu</w:t>
      </w:r>
      <w:r>
        <w:t>nnsmessig perspektiv ved at det innebærer mindre arbeidskraft og dårligere in</w:t>
      </w:r>
      <w:r>
        <w:t>n</w:t>
      </w:r>
      <w:r>
        <w:t>tektsgrunnlag. Det er grunnleggende for likesti</w:t>
      </w:r>
      <w:r>
        <w:t>l</w:t>
      </w:r>
      <w:r>
        <w:t>ling å kunne å forsørge seg selv, jf. Meld. St. 7 (2015–2016) kapittel 1.2.</w:t>
      </w:r>
    </w:p>
    <w:p w:rsidR="00000000" w:rsidRDefault="00D718D0" w:rsidP="00BA3E8B">
      <w:r>
        <w:t>Som enkelte høringsinstanser peker på, er skillelinjen</w:t>
      </w:r>
      <w:r>
        <w:t>e mellom «frivillig» og «ufrivillig deltid» uklare. Å</w:t>
      </w:r>
      <w:r>
        <w:t>r</w:t>
      </w:r>
      <w:r>
        <w:t>sakene til deltidsarbeid kan være sammensatte og noen ganger kan omstendighetene rundt såkalt «fr</w:t>
      </w:r>
      <w:r>
        <w:t>i</w:t>
      </w:r>
      <w:r>
        <w:t>villig» deltidsarbeid innebære at arbeidstakeren i realiteten ikke har noe valg. «Frivillighet» bør derf</w:t>
      </w:r>
      <w:r>
        <w:t>or også sees i sammenheng med en arbeidsgivers manglende innsats for å fremme likestilling når det gjelder f.eks. rekru</w:t>
      </w:r>
      <w:r>
        <w:t>t</w:t>
      </w:r>
      <w:r>
        <w:t>tering, arbeidsvilkår, forfremmelse, utvikling</w:t>
      </w:r>
      <w:r>
        <w:t>s</w:t>
      </w:r>
      <w:r>
        <w:t>muligheter, tilrettelegging og mulighet for å komb</w:t>
      </w:r>
      <w:r>
        <w:t>i</w:t>
      </w:r>
      <w:r>
        <w:t>nere arbeid og familieliv, jf. likesti</w:t>
      </w:r>
      <w:r>
        <w:t>llings- og diskrimineringsloven § 26 første ledd. Det kan være strukturell tvang som gjør det vanskelig for den ansatte, som ofte er kvinne, å komme seg bort fra deltidsarbeid og inn i en he</w:t>
      </w:r>
      <w:r>
        <w:t>l</w:t>
      </w:r>
      <w:r>
        <w:t>tidsstilling.</w:t>
      </w:r>
    </w:p>
    <w:p w:rsidR="00000000" w:rsidRDefault="00D718D0" w:rsidP="00BA3E8B">
      <w:r>
        <w:t>På bakgrunn av dette mener departementet at begrepe</w:t>
      </w:r>
      <w:r>
        <w:t>t «ufrivillig deltidsarbeid» bør defineres i loven. Med «ufrivillig deltidsarbeid» menes deltidsarbeid der stillingsinnehaveren ønsker og er tilgjengelig for å jobbe mer. Det å være «tilgjengelig for å jobbe mer» bør forstås vidt. En de</w:t>
      </w:r>
      <w:r>
        <w:t>l</w:t>
      </w:r>
      <w:r>
        <w:t>tidsarbeider kan væ</w:t>
      </w:r>
      <w:r>
        <w:t>re ti</w:t>
      </w:r>
      <w:r>
        <w:t>l</w:t>
      </w:r>
      <w:r>
        <w:t>gjengelig for å arbeide mer med en viss tilrettelegging (f.eks. fleksibel arbeidstid, alternative arbeidstid</w:t>
      </w:r>
      <w:r>
        <w:t>s</w:t>
      </w:r>
      <w:r>
        <w:t>ordninger og/eller alternative arbeidsoppgaver).</w:t>
      </w:r>
    </w:p>
    <w:p w:rsidR="00000000" w:rsidRDefault="00D718D0" w:rsidP="00BA3E8B">
      <w:r>
        <w:t xml:space="preserve">Departementet er enig med Norsk Sykepleierforbund i at arbeidet for å oppnå heltidskultur i </w:t>
      </w:r>
      <w:r>
        <w:t>arbeid</w:t>
      </w:r>
      <w:r>
        <w:t>s</w:t>
      </w:r>
      <w:r>
        <w:t>livet tar tid og at dette arbeidet må gjøres ut fra et helhetlig perspektiv. Dette arbeidet krever, som KS peker på, en k</w:t>
      </w:r>
      <w:r>
        <w:t>o</w:t>
      </w:r>
      <w:r>
        <w:t>ordinert innsats på lokalt nivå.</w:t>
      </w:r>
    </w:p>
    <w:p w:rsidR="00000000" w:rsidRDefault="00D718D0" w:rsidP="00BA3E8B">
      <w:r>
        <w:t>Virke viste til deltidsansattes rettigheter etter arbeidsmiljøloven, i sitt høringssvar. Depar</w:t>
      </w:r>
      <w:r>
        <w:t>t</w:t>
      </w:r>
      <w:r>
        <w:t>e</w:t>
      </w:r>
      <w:r>
        <w:t>mentet mener at kartleggingen av ufrivillig deltidsarbeid, i tillegg til å fremme likestilling, også vil bidra til bedre realisering av deltidsansattes fortrinnsrett etter arbeidsmiljøloven.</w:t>
      </w:r>
    </w:p>
    <w:p w:rsidR="00000000" w:rsidRDefault="00D718D0" w:rsidP="00BA3E8B">
      <w:r>
        <w:t>Departementets forslag om kartlegging av ufrivillig deltidsarbe</w:t>
      </w:r>
      <w:r>
        <w:t>id vil gi arbeidsgiver et grunnlag for å utøve en mer helhetlig og likestilt personalpolitikk, som Norsk Sykepleierforbund etterlyste i sitt h</w:t>
      </w:r>
      <w:r>
        <w:t>ø</w:t>
      </w:r>
      <w:r>
        <w:t>ringssvar. Dette innebærer f.eks. planlegging av turnus, utlysning av stillinger mv. Kartleggingen vil være en de</w:t>
      </w:r>
      <w:r>
        <w:t>l av a</w:t>
      </w:r>
      <w:r>
        <w:t>r</w:t>
      </w:r>
      <w:r>
        <w:t xml:space="preserve">beidsmetoden i fire trinn, som innebærer et systematisk og kontinuerlig arbeid for et mer likestilt arbeidsliv. Forslaget innebærer at bruken av ufrivillig </w:t>
      </w:r>
      <w:r>
        <w:lastRenderedPageBreak/>
        <w:t>deltidsarbeid i egen virksomhet skal kar</w:t>
      </w:r>
      <w:r>
        <w:t>t</w:t>
      </w:r>
      <w:r>
        <w:t>legges, og der det for</w:t>
      </w:r>
      <w:r>
        <w:t>e</w:t>
      </w:r>
      <w:r>
        <w:t>kommer slikt deltidsarbeid, s</w:t>
      </w:r>
      <w:r>
        <w:t>kal arbeidsgiver finne årsakene til dette, iverksette tiltak og evaluere resultatene, jf. forslag til ny likestillings- og diskrimineringslov § 26 annet ledd. Å kar</w:t>
      </w:r>
      <w:r>
        <w:t>t</w:t>
      </w:r>
      <w:r>
        <w:t>legge årsakene, bidrar til mer lik</w:t>
      </w:r>
      <w:r>
        <w:t>e</w:t>
      </w:r>
      <w:r>
        <w:t>stilling. Der det er behov for aktive tiltak, skal arbei</w:t>
      </w:r>
      <w:r>
        <w:t>dsgiver – der det er mulig – tilrettelegge for mer arbeid til de deltidsansatte som ønsker og har anledning til å jobbe mer.</w:t>
      </w:r>
    </w:p>
    <w:p w:rsidR="00000000" w:rsidRDefault="00D718D0" w:rsidP="00BA3E8B">
      <w:r>
        <w:t>Det forutsettes ikke at arbeidsgiver, på bakgrunn av kartleggingen, iverksetter bestemte tiltak. A</w:t>
      </w:r>
      <w:r>
        <w:t>r</w:t>
      </w:r>
      <w:r>
        <w:t>beidsgiver må, utfra en situasjo</w:t>
      </w:r>
      <w:r>
        <w:t>nsanalyse, selv vurdere hvilke tiltak som er relevante. Den foreslåtte r</w:t>
      </w:r>
      <w:r>
        <w:t>e</w:t>
      </w:r>
      <w:r>
        <w:t>guleringen sikrer dermed nødvendig fleksibilitet for arbeidsgivere. Aktuelle tiltak som arbeidsgiver kan iverksette kan være en gjennomgang av bemanningsplaner og turnusor</w:t>
      </w:r>
      <w:r>
        <w:t>d</w:t>
      </w:r>
      <w:r>
        <w:t>ninger, sam</w:t>
      </w:r>
      <w:r>
        <w:t>menslåing av små deltidsstillinger, utlysning av hele stillinger, fleksible arbeid</w:t>
      </w:r>
      <w:r>
        <w:t>s</w:t>
      </w:r>
      <w:r>
        <w:t>tidsordninger, annen tilrettelegging (f.eks. hjemmekontorløsninger), oppl</w:t>
      </w:r>
      <w:r>
        <w:t>æ</w:t>
      </w:r>
      <w:r>
        <w:t>ring- og kompeta</w:t>
      </w:r>
      <w:r>
        <w:t>n</w:t>
      </w:r>
      <w:r>
        <w:t>sehevingstiltak mv. Arbeids- og sosialdepartementet har over flere år finansiert f</w:t>
      </w:r>
      <w:r>
        <w:t>orsøk for å utvikle tiltak som øker stillingsprosent gjennom bl.a. arbeidstid</w:t>
      </w:r>
      <w:r>
        <w:t>s</w:t>
      </w:r>
      <w:r>
        <w:t>ordninger. Evalueringen tyder på at slike tiltak har positiv effekt på stillingsstørrelsen, jf. Meld. St. 7 (2015–2016).</w:t>
      </w:r>
    </w:p>
    <w:p w:rsidR="00000000" w:rsidRDefault="00D718D0" w:rsidP="00BA3E8B">
      <w:r>
        <w:t xml:space="preserve">Fafos rapport 2015:25 viser at færre små stillingsbrøker </w:t>
      </w:r>
      <w:r>
        <w:t>bidrar til et bedre arbeidsmiljø og økt komp</w:t>
      </w:r>
      <w:r>
        <w:t>e</w:t>
      </w:r>
      <w:r>
        <w:t>tanse og faglighet i virksomheten.</w:t>
      </w:r>
    </w:p>
    <w:p w:rsidR="00000000" w:rsidRDefault="00D718D0" w:rsidP="00BA3E8B">
      <w:r>
        <w:t>En oversikt over ufrivillig deltidsarbeid kan enkelt skaffes gjennom en samtale med den ansatte. Det foru</w:t>
      </w:r>
      <w:r>
        <w:t>t</w:t>
      </w:r>
      <w:r>
        <w:t>settes at kartleggingen gjennomføres minst annethvert år for at det sk</w:t>
      </w:r>
      <w:r>
        <w:t>al bli et effektiv virkemiddel for å styrke likestilling. Oversikt over kjønnsfordeling mellom heltids- og deltid</w:t>
      </w:r>
      <w:r>
        <w:t>s</w:t>
      </w:r>
      <w:r>
        <w:t>ansatte og forekomsten av ufrivillig deltidsarbeid, samt tiltak for å øke heltidsarbeid, skal være en del av arbeidsgivers redegjørelse om lik</w:t>
      </w:r>
      <w:r>
        <w:t>estilling. Departementet fremhever at forslaget ikke innebærer en plikt for arbeidsgiver til å opprette en ny stilling.</w:t>
      </w:r>
    </w:p>
    <w:p w:rsidR="00000000" w:rsidRDefault="00D718D0" w:rsidP="00BA3E8B">
      <w:r>
        <w:t>Departementet fremmet ikke forslag om å kartlegge uttak av foreldrepermisjon fordelt på kjønn, eller uttak av omsorgspenger (syke-barn-d</w:t>
      </w:r>
      <w:r>
        <w:t>ager). Det vil derfor heller ikke være mulig å fremme et slikt lovfo</w:t>
      </w:r>
      <w:r>
        <w:t>r</w:t>
      </w:r>
      <w:r>
        <w:t>slag i denne lovproposisjonen. Hvorvidt en slik aktivitetsplikt for arbeidsgivere bør lovfestes, kan eventuelt vurderes og utredes på et senere tidspunkt.</w:t>
      </w:r>
    </w:p>
    <w:p w:rsidR="00000000" w:rsidRDefault="00D718D0" w:rsidP="00BA3E8B">
      <w:pPr>
        <w:pStyle w:val="Overskrift3"/>
      </w:pPr>
      <w:r>
        <w:t>Kjønnsbasert vold</w:t>
      </w:r>
    </w:p>
    <w:p w:rsidR="00000000" w:rsidRDefault="00D718D0" w:rsidP="00BA3E8B">
      <w:pPr>
        <w:pStyle w:val="Overskrift4"/>
      </w:pPr>
      <w:r>
        <w:t>Gjeldende rett</w:t>
      </w:r>
    </w:p>
    <w:p w:rsidR="00000000" w:rsidRDefault="00D718D0" w:rsidP="00BA3E8B">
      <w:r>
        <w:t xml:space="preserve">Det fremgår av likestillings- og diskrimineringsloven § 26 første ledd at alle arbeidsgivere, innenfor sin virksomhet, skal arbeide aktivt, målrettet og planmessig for å fremme likestilling og hindre diskriminering på grunn av </w:t>
      </w:r>
      <w:r>
        <w:t>kjønn.</w:t>
      </w:r>
    </w:p>
    <w:p w:rsidR="00000000" w:rsidRDefault="00D718D0" w:rsidP="00BA3E8B">
      <w:r>
        <w:t>Kvinnediskrimineringskomiteen har i sine generelle anbefalinger nr. 19 og 35 stadfestet at kjønnsb</w:t>
      </w:r>
      <w:r>
        <w:t>a</w:t>
      </w:r>
      <w:r>
        <w:t>sert vold («gender-based violence»), der manglende likestilling mellom kvinner og menn er underliggende årsak, er en alvorlig form for diskriminering.</w:t>
      </w:r>
      <w:r>
        <w:t xml:space="preserve"> CEDAWs definisjon om diskriminering i artikkel 1 omfatter kjønnsbasert vold. CEDAW er inkorporert i norsk rett gjennom menneskerettsloven og skal ved eventuell motstrid gå foran annen lovgivning, jf. menneskerettsloven §§ 2 og 3.</w:t>
      </w:r>
    </w:p>
    <w:p w:rsidR="00000000" w:rsidRDefault="00D718D0" w:rsidP="00BA3E8B">
      <w:r>
        <w:t>CEDAW, definerer seksuell</w:t>
      </w:r>
      <w:r>
        <w:t xml:space="preserve"> trakassering på arbeidsplassen, som en form for kjønnsbasert vold og kvinn</w:t>
      </w:r>
      <w:r>
        <w:t>e</w:t>
      </w:r>
      <w:r>
        <w:t>diskriminering.</w:t>
      </w:r>
    </w:p>
    <w:p w:rsidR="00000000" w:rsidRDefault="00D718D0" w:rsidP="00BA3E8B">
      <w:pPr>
        <w:pStyle w:val="Overskrift4"/>
      </w:pPr>
      <w:r>
        <w:lastRenderedPageBreak/>
        <w:t>Forslag i høringsnotatet</w:t>
      </w:r>
    </w:p>
    <w:p w:rsidR="00000000" w:rsidRDefault="00D718D0" w:rsidP="00BA3E8B">
      <w:r>
        <w:t>Departementet foreslo i høringsnotatet å tydeliggjøre arbeidsgiveres aktivitetsplikt knyttet til kjønnsdi</w:t>
      </w:r>
      <w:r>
        <w:t>s</w:t>
      </w:r>
      <w:r>
        <w:t>kriminering. Fors</w:t>
      </w:r>
      <w:r>
        <w:t>laget innebar at alle offentlige virksomheter, og arbeidsgivere i pr</w:t>
      </w:r>
      <w:r>
        <w:t>i</w:t>
      </w:r>
      <w:r>
        <w:t>vate virksomheter som jevnlig sysselsetter mer enn 50 ansatte, pålegges en plikt til å forebygge kjønnsrelatert vold. Departementet foreslo i høringsnotatet at det samme gjelder arbeidsgi</w:t>
      </w:r>
      <w:r>
        <w:t>vere i private virksomheter som jevnlig sysselsetter mellom 20 og 50 ansatte, når en av arbeidslivets parter i virksomheten krever det. Med kjønnsrelatert vold menes vold som er rettet mot en kvinne fordi hun er kvinne eller som i uforholdsmessig stor grad</w:t>
      </w:r>
      <w:r>
        <w:t xml:space="preserve"> rammer kvinner, samt annen kjønn</w:t>
      </w:r>
      <w:r>
        <w:t>s</w:t>
      </w:r>
      <w:r>
        <w:t>relatert vold.</w:t>
      </w:r>
    </w:p>
    <w:p w:rsidR="00000000" w:rsidRDefault="00D718D0" w:rsidP="00BA3E8B">
      <w:pPr>
        <w:pStyle w:val="Overskrift4"/>
      </w:pPr>
      <w:r>
        <w:t>Høringsinstansenes syn</w:t>
      </w:r>
    </w:p>
    <w:p w:rsidR="00000000" w:rsidRDefault="00D718D0" w:rsidP="00BA3E8B">
      <w:r>
        <w:t xml:space="preserve">Et flertall av de høringsinstansene som har uttalt seg om den foreslåtte presiseringen, støtter forslaget. Blant de som støtter forslaget er </w:t>
      </w:r>
      <w:r>
        <w:rPr>
          <w:rStyle w:val="kursiv"/>
          <w:sz w:val="21"/>
          <w:szCs w:val="21"/>
        </w:rPr>
        <w:t>LO</w:t>
      </w:r>
      <w:r>
        <w:t xml:space="preserve"> og </w:t>
      </w:r>
      <w:r>
        <w:rPr>
          <w:rStyle w:val="kursiv"/>
          <w:sz w:val="21"/>
          <w:szCs w:val="21"/>
        </w:rPr>
        <w:t>KVIBALD</w:t>
      </w:r>
      <w:r>
        <w:t xml:space="preserve">. Likestillingssenteret og </w:t>
      </w:r>
      <w:r>
        <w:rPr>
          <w:rStyle w:val="kursiv"/>
          <w:sz w:val="21"/>
          <w:szCs w:val="21"/>
        </w:rPr>
        <w:t xml:space="preserve">Oslo kommune byrådsavdeling for eldre, helse og arbeid </w:t>
      </w:r>
      <w:r>
        <w:t xml:space="preserve">mener at plikten skal gjøres gjeldende for alle arbeidsgivere. </w:t>
      </w:r>
      <w:r>
        <w:rPr>
          <w:rStyle w:val="kursiv"/>
          <w:sz w:val="21"/>
          <w:szCs w:val="21"/>
        </w:rPr>
        <w:t>YS</w:t>
      </w:r>
      <w:r>
        <w:t xml:space="preserve"> stiller seg positivt til forslaget om å styrke innsatsen for å bekjempe kjønnsrelatert vold på alle samfunns</w:t>
      </w:r>
      <w:r>
        <w:t>områder og minner om at:</w:t>
      </w:r>
    </w:p>
    <w:p w:rsidR="00000000" w:rsidRDefault="00D718D0" w:rsidP="00BA3E8B">
      <w:pPr>
        <w:pStyle w:val="blokksit"/>
      </w:pPr>
      <w:r>
        <w:t>«FNs arbeidsorganisasjon ILO i 2018 og 2019 behandler forslaget om en konvensjon og en r</w:t>
      </w:r>
      <w:r>
        <w:t>e</w:t>
      </w:r>
      <w:r>
        <w:t>ko</w:t>
      </w:r>
      <w:r>
        <w:t>m</w:t>
      </w:r>
      <w:r>
        <w:t>mandasjon mot vold og trakassering i arbeidslivet.»</w:t>
      </w:r>
    </w:p>
    <w:p w:rsidR="00000000" w:rsidRPr="009445FD" w:rsidRDefault="00D718D0" w:rsidP="00BA3E8B">
      <w:pPr>
        <w:rPr>
          <w:rStyle w:val="kursiv"/>
        </w:rPr>
      </w:pPr>
      <w:r>
        <w:rPr>
          <w:rStyle w:val="kursiv"/>
          <w:sz w:val="21"/>
          <w:szCs w:val="21"/>
        </w:rPr>
        <w:t>NHO</w:t>
      </w:r>
      <w:r>
        <w:t xml:space="preserve">, </w:t>
      </w:r>
      <w:r>
        <w:rPr>
          <w:rStyle w:val="kursiv"/>
          <w:sz w:val="21"/>
          <w:szCs w:val="21"/>
        </w:rPr>
        <w:t>Virke</w:t>
      </w:r>
      <w:r>
        <w:t xml:space="preserve"> og </w:t>
      </w:r>
      <w:r>
        <w:rPr>
          <w:rStyle w:val="kursiv"/>
          <w:sz w:val="21"/>
          <w:szCs w:val="21"/>
        </w:rPr>
        <w:t>KS</w:t>
      </w:r>
      <w:r>
        <w:t xml:space="preserve"> går imot forslaget bl.a. på grunn av at virksomhetene allerede har pli</w:t>
      </w:r>
      <w:r>
        <w:t>kter i arbeidsmi</w:t>
      </w:r>
      <w:r>
        <w:t>l</w:t>
      </w:r>
      <w:r>
        <w:t xml:space="preserve">jøloven som dekker vold. </w:t>
      </w:r>
      <w:r>
        <w:rPr>
          <w:rStyle w:val="kursiv"/>
          <w:sz w:val="21"/>
          <w:szCs w:val="21"/>
        </w:rPr>
        <w:t>Virke</w:t>
      </w:r>
      <w:r>
        <w:t xml:space="preserve"> mener at det:</w:t>
      </w:r>
    </w:p>
    <w:p w:rsidR="00000000" w:rsidRDefault="00D718D0" w:rsidP="00BA3E8B">
      <w:pPr>
        <w:pStyle w:val="blokksit"/>
      </w:pPr>
      <w:r>
        <w:t>«…er dårlig lovgivningsteknikk å vedta helt eller delvis overlappende forpliktelser i flere ulike lover. Det er allerede en utfordring at regelverket på arbeidslivsområdet er for lite tilgjengel</w:t>
      </w:r>
      <w:r>
        <w:t>ig for den typisk norske arbeidsgiveren. Den foreslåtte utvidelsen vil bidra til å komplisere dette ytte</w:t>
      </w:r>
      <w:r>
        <w:t>r</w:t>
      </w:r>
      <w:r>
        <w:t>ligere.»</w:t>
      </w:r>
    </w:p>
    <w:p w:rsidR="00000000" w:rsidRPr="009445FD" w:rsidRDefault="00D718D0" w:rsidP="00BA3E8B">
      <w:pPr>
        <w:rPr>
          <w:rStyle w:val="kursiv"/>
        </w:rPr>
      </w:pPr>
      <w:r>
        <w:rPr>
          <w:rStyle w:val="kursiv"/>
          <w:sz w:val="21"/>
          <w:szCs w:val="21"/>
        </w:rPr>
        <w:t xml:space="preserve">KS </w:t>
      </w:r>
      <w:r>
        <w:t>mener at kjønnsrelatert vold får for stor plass i lovbestemmelsen om arbeidsgivers konkret</w:t>
      </w:r>
      <w:r>
        <w:t>i</w:t>
      </w:r>
      <w:r>
        <w:t>serte akt</w:t>
      </w:r>
      <w:r>
        <w:t>i</w:t>
      </w:r>
      <w:r>
        <w:t>vitetsplikt i likestillings- og diskri</w:t>
      </w:r>
      <w:r>
        <w:t xml:space="preserve">mineringsloven § 26 andre ledd, særlig dersom dette skal inngå som tema i arbeidsgivers redegjørelsesplikt. </w:t>
      </w:r>
      <w:r>
        <w:rPr>
          <w:rStyle w:val="kursiv"/>
          <w:sz w:val="21"/>
          <w:szCs w:val="21"/>
        </w:rPr>
        <w:t>KS</w:t>
      </w:r>
      <w:r>
        <w:t xml:space="preserve"> stiller spørsmål ved hvordan a</w:t>
      </w:r>
      <w:r>
        <w:t>r</w:t>
      </w:r>
      <w:r>
        <w:t>beidsgiver skal kunne oppfylle sine plikter etter departementets forslag i praksis.</w:t>
      </w:r>
    </w:p>
    <w:p w:rsidR="00000000" w:rsidRPr="009445FD" w:rsidRDefault="00D718D0" w:rsidP="00BA3E8B">
      <w:pPr>
        <w:rPr>
          <w:rStyle w:val="kursiv"/>
        </w:rPr>
      </w:pPr>
      <w:r>
        <w:rPr>
          <w:rStyle w:val="kursiv"/>
          <w:sz w:val="21"/>
          <w:szCs w:val="21"/>
        </w:rPr>
        <w:t>Norges nasjonale institusjon f</w:t>
      </w:r>
      <w:r>
        <w:rPr>
          <w:rStyle w:val="kursiv"/>
          <w:sz w:val="21"/>
          <w:szCs w:val="21"/>
        </w:rPr>
        <w:t xml:space="preserve">or menneskerettigheter (NIM) </w:t>
      </w:r>
      <w:r>
        <w:t>viser til at kjønn ikke bør fremheves sæ</w:t>
      </w:r>
      <w:r>
        <w:t>r</w:t>
      </w:r>
      <w:r>
        <w:t>skilt i aktivitetsplikten. Aktivitetsplikten bør knyttes generelt til alle diskrimineringsgrunnl</w:t>
      </w:r>
      <w:r>
        <w:t>a</w:t>
      </w:r>
      <w:r>
        <w:t>gene, slik at det skal arbeides aktivt og forebyggende mot vold basert på alle diskrimine</w:t>
      </w:r>
      <w:r>
        <w:t>ring</w:t>
      </w:r>
      <w:r>
        <w:t>s</w:t>
      </w:r>
      <w:r>
        <w:t>grunnlagene.</w:t>
      </w:r>
    </w:p>
    <w:p w:rsidR="00000000" w:rsidRDefault="00D718D0" w:rsidP="00BA3E8B">
      <w:pPr>
        <w:pStyle w:val="Overskrift4"/>
      </w:pPr>
      <w:r>
        <w:t>Departementets vurderinger</w:t>
      </w:r>
    </w:p>
    <w:p w:rsidR="00000000" w:rsidRDefault="00D718D0" w:rsidP="00BA3E8B">
      <w:r>
        <w:t>Departementets forslag om at plikten for arbeidsgivere til å arbeide aktivt mot kjønnsrelatert vold, op</w:t>
      </w:r>
      <w:r>
        <w:t>p</w:t>
      </w:r>
      <w:r>
        <w:t>rettholdes. Departementet foreslår imidlertid en endret begrepsbruk, slik at kjønnsr</w:t>
      </w:r>
      <w:r>
        <w:t>e</w:t>
      </w:r>
      <w:r>
        <w:t>latert</w:t>
      </w:r>
      <w:r>
        <w:t xml:space="preserve"> vold i det fø</w:t>
      </w:r>
      <w:r>
        <w:t>l</w:t>
      </w:r>
      <w:r>
        <w:t>gende byttes ut med kjønnsbasert vold. Kjønnsbasert vold er et uttrykk for en historisk ulikhet i maktfo</w:t>
      </w:r>
      <w:r>
        <w:t>r</w:t>
      </w:r>
      <w:r>
        <w:t xml:space="preserve">holdet mellom kvinner og menn, og et uttrykk for diskriminering. Det er en særskilt dynamikk som knytter seg til volden som utøves. Den </w:t>
      </w:r>
      <w:r>
        <w:t>kjønnsbaserte volden kan også ramme menn og gutter som utfordrer kjønnsstereotype oppfatninger eller sosialt aksepterte kjønnsroller i samfunnet. Det vises til at Istanbu</w:t>
      </w:r>
      <w:r>
        <w:t>l</w:t>
      </w:r>
      <w:r>
        <w:t>konvensjonen bruker begrepet kjønnsbasert vold mot kvinner, jf. definisjoner i artikk</w:t>
      </w:r>
      <w:r>
        <w:t>el 3 i konvensjonen. Dette er også blitt brukt i EU-sammenheng. Derfor mener departementet at det er mer naturlig å bruke begrepet kjønn</w:t>
      </w:r>
      <w:r>
        <w:t>s</w:t>
      </w:r>
      <w:r>
        <w:t xml:space="preserve">basert vold. Med kjønnsbasert vold menes vold som er rettet mot en kvinne fordi hun er kvinne, </w:t>
      </w:r>
      <w:r>
        <w:lastRenderedPageBreak/>
        <w:t>og vold som i uforholdsm</w:t>
      </w:r>
      <w:r>
        <w:t>essig stor grad rammer kvinner, samt annen kjønnsbasert vold. Annen kjønnsbasert vold kan være kjønnsbasert vold rettet mot menn, transpersoner og inkludert i</w:t>
      </w:r>
      <w:r>
        <w:t>n</w:t>
      </w:r>
      <w:r>
        <w:t>terkjønnede personer med uklare kjønnskarakteristika og den vold som utøves på grunn av en person</w:t>
      </w:r>
      <w:r>
        <w:t>s kjønnsidentitet eller kjønnsuttrykk</w:t>
      </w:r>
    </w:p>
    <w:p w:rsidR="00000000" w:rsidRDefault="00D718D0" w:rsidP="00BA3E8B">
      <w:r>
        <w:t>Departementet legger vekt på Kvinnediskrimineringskomiteens klare tolkningsuttalelser om hvordan ko</w:t>
      </w:r>
      <w:r>
        <w:t>n</w:t>
      </w:r>
      <w:r>
        <w:t xml:space="preserve">vensjonens bestemmelser skal forstås. Kjønnsbasert vold er omfattet av forbudet mot diskriminering på grunn av kjønn. </w:t>
      </w:r>
      <w:r>
        <w:t>Plikten for arbeidsgivere til å arbeide aktivt mot kjønnsbasert vold innebærer i realiteten en tyd</w:t>
      </w:r>
      <w:r>
        <w:t>e</w:t>
      </w:r>
      <w:r>
        <w:t>liggjøring av en allerede eksisterende forpli</w:t>
      </w:r>
      <w:r>
        <w:t>k</w:t>
      </w:r>
      <w:r>
        <w:t>telse. Forpliktelsen vil være av generell karakter. Formålet med den foreslåtte aktivitetsplikten er først og f</w:t>
      </w:r>
      <w:r>
        <w:t>remst å styrke kvinners rettigheter og stilling. Departementet presiserer imidlertid at kjønnsbasert vold kan være basert på flere diskrimineringsgrun</w:t>
      </w:r>
      <w:r>
        <w:t>n</w:t>
      </w:r>
      <w:r>
        <w:t>lag samtidig – f.eks. nedsatt funksjonsevne, etnisitet og kjønn.</w:t>
      </w:r>
    </w:p>
    <w:p w:rsidR="00000000" w:rsidRDefault="00D718D0" w:rsidP="00BA3E8B">
      <w:r>
        <w:t>Etter departementets vurdering vil det d</w:t>
      </w:r>
      <w:r>
        <w:t>erfor være mest hensiktsmessig at temaet, som er b</w:t>
      </w:r>
      <w:r>
        <w:t>e</w:t>
      </w:r>
      <w:r>
        <w:t>slektet med seksuell trakassering, reguleres i likestillings- og diskrimineringsloven § 26 første ledd. I høring</w:t>
      </w:r>
      <w:r>
        <w:t>s</w:t>
      </w:r>
      <w:r>
        <w:t>notatet foreslo departementet at plikten bør være en del av den obligatoriske a</w:t>
      </w:r>
      <w:r>
        <w:t>r</w:t>
      </w:r>
      <w:r>
        <w:t>beidsmetoden</w:t>
      </w:r>
      <w:r>
        <w:t xml:space="preserve"> og dermed reguleres i likestillings- og diskrimineringsloven § 26 andre ledd. Departementet holder ikke lengre fast ved dette. Etter departementets vurdering bør plikten til å arbeide aktivt mot kjønnsbasert vold pålegges alle arbeidsgivere, og ikke kun e</w:t>
      </w:r>
      <w:r>
        <w:t>n avgrenset gruppe arbeidsgivere. Departementet foreslår med dette at plikten stadfestes i b</w:t>
      </w:r>
      <w:r>
        <w:t>e</w:t>
      </w:r>
      <w:r>
        <w:t>stemmelsen som allerede pålegger aktivitetsplikt for alle arbeidsgivere.</w:t>
      </w:r>
    </w:p>
    <w:p w:rsidR="00000000" w:rsidRDefault="00D718D0" w:rsidP="00BA3E8B">
      <w:r>
        <w:t>Arbeidsgivere skal, etter en analyse av volds- og trusselrelaterte situasjoner på jobb, og</w:t>
      </w:r>
      <w:r>
        <w:t xml:space="preserve"> av s</w:t>
      </w:r>
      <w:r>
        <w:t>i</w:t>
      </w:r>
      <w:r>
        <w:t>tuasjoner som knytter seg til arbeidstakers ansettelsesforhold, vurdere mulige tiltak. Dette kan være opplæring og komp</w:t>
      </w:r>
      <w:r>
        <w:t>e</w:t>
      </w:r>
      <w:r>
        <w:t>tanseheving når det gjelder håndtering av trusselrelaterte situasjoner, utarbeidelse av rutiner og planer, bruk av utstyr som øker</w:t>
      </w:r>
      <w:r>
        <w:t xml:space="preserve"> sikkerheten, unngå alenearbeid og arbeid med holdninger i virksomheten mv.</w:t>
      </w:r>
    </w:p>
    <w:p w:rsidR="00000000" w:rsidRDefault="00D718D0" w:rsidP="00BA3E8B">
      <w:r>
        <w:t>Departementet har forståelse for NIMs synspunkter om at rettighetene til de øvrige utsatte gruppene som dekkes av lovens diskrimineringsgrunnlag, bør styrkes på samme måte som kjøn</w:t>
      </w:r>
      <w:r>
        <w:t>n. Som NIM påp</w:t>
      </w:r>
      <w:r>
        <w:t>e</w:t>
      </w:r>
      <w:r>
        <w:t>ker, gje</w:t>
      </w:r>
      <w:r>
        <w:t>n</w:t>
      </w:r>
      <w:r>
        <w:t>speiles de nevnte diskrimineringsgrunnlagene i menneskerettskonve</w:t>
      </w:r>
      <w:r>
        <w:t>n</w:t>
      </w:r>
      <w:r>
        <w:t>sjoner Norge er bundet av, og av di</w:t>
      </w:r>
      <w:r>
        <w:t>s</w:t>
      </w:r>
      <w:r>
        <w:t>krimineringsvernet i Grunnloven. Det fremgår av bl.a. FNs konvensjon om rettighetene til me</w:t>
      </w:r>
      <w:r>
        <w:t>n</w:t>
      </w:r>
      <w:r>
        <w:t>nesker med nedsatt funksjonsevne artik</w:t>
      </w:r>
      <w:r>
        <w:t>kel 16 at:</w:t>
      </w:r>
    </w:p>
    <w:p w:rsidR="00000000" w:rsidRDefault="00D718D0" w:rsidP="00BA3E8B">
      <w:pPr>
        <w:pStyle w:val="blokksit"/>
      </w:pPr>
      <w:r>
        <w:t>«[p]artene skal treffe alle egnede lovgivningsmessige, administrative, sosiale, opplæringsmessige og andre hensiktsmessige tiltak for å beskytte mennesker med nedsatt funksjonsevne mot alle former for utnytting, vold og misbruk, både i og utenfo</w:t>
      </w:r>
      <w:r>
        <w:t>r hjemmet, herunder kjønnsbasert utny</w:t>
      </w:r>
      <w:r>
        <w:t>t</w:t>
      </w:r>
      <w:r>
        <w:t>ting, vold og mi</w:t>
      </w:r>
      <w:r>
        <w:t>s</w:t>
      </w:r>
      <w:r>
        <w:t>bruk.»</w:t>
      </w:r>
    </w:p>
    <w:p w:rsidR="00000000" w:rsidRDefault="00D718D0" w:rsidP="00BA3E8B">
      <w:r>
        <w:t>Den europeiske menneskerettskonvensjon legger også vekt på FN-konvensjoner ved tolkning av konve</w:t>
      </w:r>
      <w:r>
        <w:t>n</w:t>
      </w:r>
      <w:r>
        <w:t>sjonsforpliktelser.</w:t>
      </w:r>
    </w:p>
    <w:p w:rsidR="00000000" w:rsidRDefault="00D718D0" w:rsidP="00BA3E8B">
      <w:r>
        <w:t>Departementet har, i denne omgangen, fremlagt et forslag om aktivitetsplikt f</w:t>
      </w:r>
      <w:r>
        <w:t>or arbeidsgivere knyttet kun til kjønnsbasert vold. Norge har internasjonale forpliktelser gjennom CEDAW, som er inkorporert i mennesk</w:t>
      </w:r>
      <w:r>
        <w:t>e</w:t>
      </w:r>
      <w:r>
        <w:t>rettsloven. Forskning viser at kjønnsbasert vold forekommer ofte, også i arbeidslivet. Depart</w:t>
      </w:r>
      <w:r>
        <w:t>e</w:t>
      </w:r>
      <w:r>
        <w:t xml:space="preserve">mentet mener at det kreves </w:t>
      </w:r>
      <w:r>
        <w:t>en styrket innsats for å bekjempe og øke b</w:t>
      </w:r>
      <w:r>
        <w:t>e</w:t>
      </w:r>
      <w:r>
        <w:t>visstheten om denne typen vold.</w:t>
      </w:r>
    </w:p>
    <w:p w:rsidR="00000000" w:rsidRDefault="00D718D0" w:rsidP="00BA3E8B">
      <w:r>
        <w:lastRenderedPageBreak/>
        <w:t>Departementet vil i etterkant vurdere om det er behov for en tilsvarende tydeliggjøring av plikten til å mo</w:t>
      </w:r>
      <w:r>
        <w:t>t</w:t>
      </w:r>
      <w:r>
        <w:t xml:space="preserve">arbeide/forebygge vold basert på de andre diskrimineringsgrunnlagene som </w:t>
      </w:r>
      <w:r>
        <w:t>fremgår av loven. D</w:t>
      </w:r>
      <w:r>
        <w:t>e</w:t>
      </w:r>
      <w:r>
        <w:t>partementet vil vurdere å sette i gang en utredning av dette senere. Departementet viser til at det er satt i gang en utredning av det strafferettslige diskrimineringsvernet, der samme</w:t>
      </w:r>
      <w:r>
        <w:t>n</w:t>
      </w:r>
      <w:r>
        <w:t>hengen mellom bestemme</w:t>
      </w:r>
      <w:r>
        <w:t>l</w:t>
      </w:r>
      <w:r>
        <w:t>sene i straffeloven og diskr</w:t>
      </w:r>
      <w:r>
        <w:t>imineringslovgivningen skal vurderes. En eventuell utvidelse av plikten til å omfatte alle diskrimin</w:t>
      </w:r>
      <w:r>
        <w:t>e</w:t>
      </w:r>
      <w:r>
        <w:t>ringsgrunnlagene bør ses i samme</w:t>
      </w:r>
      <w:r>
        <w:t>n</w:t>
      </w:r>
      <w:r>
        <w:t>heng med dette arbeidet.</w:t>
      </w:r>
    </w:p>
    <w:p w:rsidR="00000000" w:rsidRDefault="00D718D0" w:rsidP="00BA3E8B">
      <w:r>
        <w:t>Virksomhetene har allerede plikter i arbeidsmiljøloven som dekker vold. Det fremgår av § 4–</w:t>
      </w:r>
      <w:r>
        <w:t>1 i a</w:t>
      </w:r>
      <w:r>
        <w:t>r</w:t>
      </w:r>
      <w:r>
        <w:t>beidsmi</w:t>
      </w:r>
      <w:r>
        <w:t>l</w:t>
      </w:r>
      <w:r>
        <w:t>jøloven at arbeidsmiljøet skal «være fullt ut forsvarlig ut fra en enkeltvis og samlet vurdering av faktorer i arbeidsmiljøet som kan innvirke på arbeidstakernes fysiske og psykiske helse og velferd.» Det fremgår videre av arbeidsmiljøloven §</w:t>
      </w:r>
      <w:r>
        <w:t> 4–3 at arbeidstakere ikke skal utsettes for trakassering eller annen utilbørlig opptreden og at arbeidstakerne, så langt det er mulig, skal beskyttes mot vold, trusler og uhe</w:t>
      </w:r>
      <w:r>
        <w:t>l</w:t>
      </w:r>
      <w:r>
        <w:t>dige belastninger som følge av kontakt med andre. Nærmere krav om tiltak for å s</w:t>
      </w:r>
      <w:r>
        <w:t>ikre forsvarlig utførelse av arbeid fremgår av forskrift om utførelse av arbeid, jf. særlig kapittel 23 A. Bestemmelsene i og i medhold av arbeidsmiljøloven har imidlertid et HMS-perspektiv og de dekker ikke behovet for vern mot diskrim</w:t>
      </w:r>
      <w:r>
        <w:t>i</w:t>
      </w:r>
      <w:r>
        <w:t xml:space="preserve">nering på grunn av </w:t>
      </w:r>
      <w:r>
        <w:t>kjønnsbasert vold. Etter departementets vurdering gir aktivitetsplikten for arbeidsg</w:t>
      </w:r>
      <w:r>
        <w:t>i</w:t>
      </w:r>
      <w:r>
        <w:t>vere knyttet til vold et viktig signal om at kjønnsbasert vold er diskriminering som det skal arbeides for</w:t>
      </w:r>
      <w:r>
        <w:t>e</w:t>
      </w:r>
      <w:r>
        <w:t>byggende imot, også i arbeidslivet.</w:t>
      </w:r>
    </w:p>
    <w:p w:rsidR="00000000" w:rsidRDefault="00D718D0" w:rsidP="00BA3E8B">
      <w:pPr>
        <w:pStyle w:val="Overskrift2"/>
      </w:pPr>
      <w:r>
        <w:t>Redegjørelsesplikt</w:t>
      </w:r>
    </w:p>
    <w:p w:rsidR="00000000" w:rsidRDefault="00D718D0" w:rsidP="00BA3E8B">
      <w:pPr>
        <w:pStyle w:val="Overskrift3"/>
      </w:pPr>
      <w:r>
        <w:t>Arbeidsgiveres redegjørelsesplikt</w:t>
      </w:r>
    </w:p>
    <w:p w:rsidR="00000000" w:rsidRDefault="00D718D0" w:rsidP="00BA3E8B">
      <w:pPr>
        <w:pStyle w:val="Overskrift4"/>
      </w:pPr>
      <w:r>
        <w:t>Innledning</w:t>
      </w:r>
    </w:p>
    <w:p w:rsidR="00000000" w:rsidRDefault="00D718D0" w:rsidP="00BA3E8B">
      <w:r>
        <w:t>Likestillings- og diskrimineringsloven ble vedtatt i juni 2017 uten en redegjørelsesplikt for a</w:t>
      </w:r>
      <w:r>
        <w:t>r</w:t>
      </w:r>
      <w:r>
        <w:t>beidsgivere. Det ble fremmet et representantforslag i november 2017 om å videreføre arbe</w:t>
      </w:r>
      <w:r>
        <w:t>id</w:t>
      </w:r>
      <w:r>
        <w:t>s</w:t>
      </w:r>
      <w:r>
        <w:t>givers redegjørelsesplikt. Forslaget ble behandlet av Stortinget i desember 2017 og redegjøre</w:t>
      </w:r>
      <w:r>
        <w:t>l</w:t>
      </w:r>
      <w:r>
        <w:t>sesplikten ble gjeninnført for alle di</w:t>
      </w:r>
      <w:r>
        <w:t>s</w:t>
      </w:r>
      <w:r>
        <w:t>krimineringsgrunnlag, med unntak av alder, fra januar 2018.</w:t>
      </w:r>
    </w:p>
    <w:p w:rsidR="00000000" w:rsidRDefault="00D718D0" w:rsidP="00BA3E8B">
      <w:r>
        <w:t>Redegjørelsesplikten er regulert i likestillings- og diskrim</w:t>
      </w:r>
      <w:r>
        <w:t>ineringsloven § 26 a. Denne beste</w:t>
      </w:r>
      <w:r>
        <w:t>m</w:t>
      </w:r>
      <w:r>
        <w:t>melsen er en kombinasjon av redegjørelsesplikten for arbeidsgivere som gjaldt etter den tidligere likestillingsloven § 24, og etter de tre tidligere diskrimineringslovene (diskrimineringsloven om etnisitet, diskriminerings</w:t>
      </w:r>
      <w:r>
        <w:t>- og tilgjen</w:t>
      </w:r>
      <w:r>
        <w:t>g</w:t>
      </w:r>
      <w:r>
        <w:t>elighetsloven og diskrimineringsloven om seksuell orie</w:t>
      </w:r>
      <w:r>
        <w:t>n</w:t>
      </w:r>
      <w:r>
        <w:t>tering) som ble opphevet 1. januar 2018. Forslag</w:t>
      </w:r>
      <w:r>
        <w:t>s</w:t>
      </w:r>
      <w:r>
        <w:t>tillerne vurderte ikke endringene som ble gjort i aktivitetsplikten gjennom likestillings- og diskriminering</w:t>
      </w:r>
      <w:r>
        <w:t>s</w:t>
      </w:r>
      <w:r>
        <w:t>loven. Gjeldende regulering av</w:t>
      </w:r>
      <w:r>
        <w:t xml:space="preserve"> a</w:t>
      </w:r>
      <w:r>
        <w:t>r</w:t>
      </w:r>
      <w:r>
        <w:t>beidsgivers aktivitetsplikt § 26 og redegjørelsesplikt § 26 a henger derfor ikke sammen.</w:t>
      </w:r>
    </w:p>
    <w:p w:rsidR="00000000" w:rsidRDefault="00D718D0" w:rsidP="00BA3E8B">
      <w:r>
        <w:t xml:space="preserve">Aktivitetsplikten for arbeidsgiverne ble, gjennom likestillings- og diskrimineringsloven, utvidet til å omfatte alle arbeidsgivere på alle diskrimineringsgrunnlag, </w:t>
      </w:r>
      <w:r>
        <w:t>med unntak av alder. Reglene om redegjøre</w:t>
      </w:r>
      <w:r>
        <w:t>l</w:t>
      </w:r>
      <w:r>
        <w:t>sesplikten, som trådte i kraft 1. januar 2018, differensierer likevel mellom diskrim</w:t>
      </w:r>
      <w:r>
        <w:t>i</w:t>
      </w:r>
      <w:r>
        <w:t>neringsgrunnlagene.</w:t>
      </w:r>
    </w:p>
    <w:p w:rsidR="00000000" w:rsidRDefault="00D718D0" w:rsidP="00BA3E8B">
      <w:r>
        <w:t xml:space="preserve">Stortinget vedtok i desember 2017 forenklinger i regnskapsloven. Lovendringene innebærer at små foretak ikke </w:t>
      </w:r>
      <w:r>
        <w:t>lenger behøver å levere årsberetning, jf. lovvedtak 5 (2017–2018). Dette betyr at redegjøre</w:t>
      </w:r>
      <w:r>
        <w:t>l</w:t>
      </w:r>
      <w:r>
        <w:t xml:space="preserve">sesplikten i dag bare gjelder for arbeidsgivere i private virksomheter som er pålagt å </w:t>
      </w:r>
      <w:r>
        <w:lastRenderedPageBreak/>
        <w:t>utarbeide årsbere</w:t>
      </w:r>
      <w:r>
        <w:t>t</w:t>
      </w:r>
      <w:r>
        <w:t>ning, i tillegg til arbeidsgivere i offentlige myndighetsor</w:t>
      </w:r>
      <w:r>
        <w:t>ganer og i offentlige virksomheter, som skal r</w:t>
      </w:r>
      <w:r>
        <w:t>e</w:t>
      </w:r>
      <w:r>
        <w:t>degjøre for likestilling i årsbudsjettet. Det vises til likestillings- og diskrimineringsloven § 26 a tredje og fjerde ledd.</w:t>
      </w:r>
    </w:p>
    <w:p w:rsidR="00000000" w:rsidRDefault="00D718D0" w:rsidP="00BA3E8B">
      <w:r>
        <w:t>Tall fra SSB (per januar 2018) viser at 98,2 prosent av virksomhetene i Norge, har u</w:t>
      </w:r>
      <w:r>
        <w:t>nder 50 ansatte. A</w:t>
      </w:r>
      <w:r>
        <w:t>n</w:t>
      </w:r>
      <w:r>
        <w:t>slagsvis mer enn 90 prosent av regnskapspliktige små foretak har 20 ansatte eller færre. Over 70 prosent av foretak har 4 ansatte, eller færre, og nesten halvparten av regnskap</w:t>
      </w:r>
      <w:r>
        <w:t>s</w:t>
      </w:r>
      <w:r>
        <w:t>pliktige foretak har ingen ansatte. De aller fleste regnskap</w:t>
      </w:r>
      <w:r>
        <w:t>spliktige foretak vil sannsynligvis falle inn under regnskapslovens definisjon av «små foretak», som er unntatt plikten å levere årsb</w:t>
      </w:r>
      <w:r>
        <w:t>e</w:t>
      </w:r>
      <w:r>
        <w:t xml:space="preserve">retning. Det er registrert totalt 334 551 regnskapspliktige enheter for regnskapsåret 2017. Det vises til lovforarbeidene </w:t>
      </w:r>
      <w:r>
        <w:t>til regnskapsloven, Prop. 160 L (2016–2017) og regn</w:t>
      </w:r>
      <w:r>
        <w:t>s</w:t>
      </w:r>
      <w:r>
        <w:t>kapsloven §§ 1–6 og 3–1. Det er dermed få private virksomheter som er o</w:t>
      </w:r>
      <w:r>
        <w:t>m</w:t>
      </w:r>
      <w:r>
        <w:t>fattet av redegjørelsesplikten.</w:t>
      </w:r>
    </w:p>
    <w:p w:rsidR="00000000" w:rsidRDefault="00D718D0" w:rsidP="00BA3E8B">
      <w:pPr>
        <w:pStyle w:val="Overskrift4"/>
      </w:pPr>
      <w:r>
        <w:t>Gjeldende rett</w:t>
      </w:r>
    </w:p>
    <w:p w:rsidR="00000000" w:rsidRDefault="00D718D0" w:rsidP="00BA3E8B">
      <w:r>
        <w:t>Det fremgår av likestillings- og diskrimineringsloven § 26 a før</w:t>
      </w:r>
      <w:r>
        <w:t>ste ledd at alle arbeidsgivere skal redegjøre for den faktiske tilstanden for kjønnslikestilling i virksomheten, samt planlagte og gjennomførte tiltak for å fremme kjønnslikestilling. Dette fremgår av likestillings- og diskr</w:t>
      </w:r>
      <w:r>
        <w:t>i</w:t>
      </w:r>
      <w:r>
        <w:t>mineringsloven § 26 a første le</w:t>
      </w:r>
      <w:r>
        <w:t>dd.</w:t>
      </w:r>
    </w:p>
    <w:p w:rsidR="00000000" w:rsidRDefault="00D718D0" w:rsidP="00BA3E8B">
      <w:r>
        <w:t>Redegjørelsesplikten for likestillingstiltak knyttet til de andre diskrimineringsgrunnlagene, enn kjønn, gjelder kun arbeidsgivere i private virksomheter som jevnlig sysselsetter mer enn 50 ansatte, og arbeid</w:t>
      </w:r>
      <w:r>
        <w:t>s</w:t>
      </w:r>
      <w:r>
        <w:t>givere i offentlige virksomheter. For andre</w:t>
      </w:r>
      <w:r>
        <w:t xml:space="preserve"> diskrimineringsgrunnlag enn kjønn innebærer redegjørelse</w:t>
      </w:r>
      <w:r>
        <w:t>s</w:t>
      </w:r>
      <w:r>
        <w:t>plikten å r</w:t>
      </w:r>
      <w:r>
        <w:t>e</w:t>
      </w:r>
      <w:r>
        <w:t>degjøre for iverksatte og planlagte tiltak for å fremme lovens formål om likestilling. Dette fremgår av lik</w:t>
      </w:r>
      <w:r>
        <w:t>e</w:t>
      </w:r>
      <w:r>
        <w:t>stillings- og diskrimineringsloven § 26 a andre ledd.</w:t>
      </w:r>
    </w:p>
    <w:p w:rsidR="00000000" w:rsidRDefault="00D718D0" w:rsidP="00BA3E8B">
      <w:r>
        <w:t>Redegjørelsesplikten gje</w:t>
      </w:r>
      <w:r>
        <w:t>lder bare for arbeidsgivere i private virksomheter som er pålagt å u</w:t>
      </w:r>
      <w:r>
        <w:t>t</w:t>
      </w:r>
      <w:r>
        <w:t>arbeide årsb</w:t>
      </w:r>
      <w:r>
        <w:t>e</w:t>
      </w:r>
      <w:r>
        <w:t>retning, i tillegg til arbeidsgivere i offentlige myndighetsorganer og i offentlige virksomheter, som skal r</w:t>
      </w:r>
      <w:r>
        <w:t>e</w:t>
      </w:r>
      <w:r>
        <w:t>degjøre for likestilling i årsbudsjettet, jf. likestillings- og d</w:t>
      </w:r>
      <w:r>
        <w:t>iskrimin</w:t>
      </w:r>
      <w:r>
        <w:t>e</w:t>
      </w:r>
      <w:r>
        <w:t>ringsloven § 26 a tredje og fjerde ledd.</w:t>
      </w:r>
    </w:p>
    <w:p w:rsidR="00000000" w:rsidRDefault="00D718D0" w:rsidP="00BA3E8B">
      <w:r>
        <w:t>Det er ikke en aktivitets- og redegjørelsesplikt for arbeidsgivere når det gjelder diskrimin</w:t>
      </w:r>
      <w:r>
        <w:t>e</w:t>
      </w:r>
      <w:r>
        <w:t>ring</w:t>
      </w:r>
      <w:r>
        <w:t>s</w:t>
      </w:r>
      <w:r>
        <w:t>grunnlaget alder.</w:t>
      </w:r>
    </w:p>
    <w:p w:rsidR="00000000" w:rsidRDefault="00D718D0" w:rsidP="00BA3E8B">
      <w:pPr>
        <w:pStyle w:val="Overskrift4"/>
      </w:pPr>
      <w:r>
        <w:t>Forslag i høringsnotatet</w:t>
      </w:r>
    </w:p>
    <w:p w:rsidR="00000000" w:rsidRDefault="00D718D0" w:rsidP="00BA3E8B">
      <w:r>
        <w:t>Departementet foreslo i høringsnotatet at arbeids</w:t>
      </w:r>
      <w:r>
        <w:t xml:space="preserve">givere som er pålagt å følge arbeidsmetoden beskrevet i likestillings- og diskrimineringsloven § 26 andre og tredje ledd, skal være pålagt en redegjørelsesplikt. Forslaget i høringsnotatet innebærer at arbeidsgivere i private virksomheter med mellom 20 og </w:t>
      </w:r>
      <w:r>
        <w:t>50 ansatte skal følge den lovbestemte arbeidsmetoden etter likestillings- og diskrimineringsloven § 26 andre ledd, når en av arbeidslivets parter i virksomheten krever det. Dette i tillegg til arbeidsgivere i offentlige vir</w:t>
      </w:r>
      <w:r>
        <w:t>k</w:t>
      </w:r>
      <w:r>
        <w:t>somheter og private virksomheter</w:t>
      </w:r>
      <w:r>
        <w:t xml:space="preserve"> med mer enn 50 ansatte som allerede er omfattet av redegjørelsespli</w:t>
      </w:r>
      <w:r>
        <w:t>k</w:t>
      </w:r>
      <w:r>
        <w:t>ten.</w:t>
      </w:r>
    </w:p>
    <w:p w:rsidR="00000000" w:rsidRDefault="00D718D0" w:rsidP="00BA3E8B">
      <w:r>
        <w:t>Forslaget i høringsnotatet innebærer at de her nevnte arbeidsgiverne skal være pålagt å redegjøre for den faktiske tilstanden for kjønnslikestilling i virksomheten, og hva de gjør fo</w:t>
      </w:r>
      <w:r>
        <w:t>r oppfylle aktivitetsplikten etter likestillings- og diskrimineringsloven § 26. Departementet foreslo i h</w:t>
      </w:r>
      <w:r>
        <w:t>ø</w:t>
      </w:r>
      <w:r>
        <w:t>ringsnotatet at det gjøres ti</w:t>
      </w:r>
      <w:r>
        <w:t>l</w:t>
      </w:r>
      <w:r>
        <w:t>svarende endringer i kommunelovens bestemmelse om arbeidsgivers redegjørelsesplikt, jf. også regn</w:t>
      </w:r>
      <w:r>
        <w:t>s</w:t>
      </w:r>
      <w:r>
        <w:t>kapsloven § 3–3 c førs</w:t>
      </w:r>
      <w:r>
        <w:t>te ledd. Dette innebærer at kommunen og fylkeskommunen skal, ifølge forslaget, redegjøre for den fa</w:t>
      </w:r>
      <w:r>
        <w:t>k</w:t>
      </w:r>
      <w:r>
        <w:t>tiske tilstanden for kjønnslikesti</w:t>
      </w:r>
      <w:r>
        <w:t>l</w:t>
      </w:r>
      <w:r>
        <w:lastRenderedPageBreak/>
        <w:t>ling i virksomheten og hva de gjør for å oppfylle arbeidsgivers aktivitetsplikt etter likestillings- og diskrimineringslo</w:t>
      </w:r>
      <w:r>
        <w:t>ven § 26. Kommunen og fylkesko</w:t>
      </w:r>
      <w:r>
        <w:t>m</w:t>
      </w:r>
      <w:r>
        <w:t>munen skal også redegjøre for hva de gjør for å integrere hensynet til likestilling i sitt arbeid, i sin daglige drift og i forholdet til sine interessenter og samarbeidspartnere, samt hvordan de arbeider med å omsette prinsi</w:t>
      </w:r>
      <w:r>
        <w:t>pper, pr</w:t>
      </w:r>
      <w:r>
        <w:t>o</w:t>
      </w:r>
      <w:r>
        <w:t>sedyrer og standarder for likestilling til handling. Kommunen og fylkeskommunen skal vurdere resultatene som er oppnådd og hvilke forventninger de har til dette arbeidet fremover. Det vises til forslaget om den reviderte § 48 femte ledd i kommunel</w:t>
      </w:r>
      <w:r>
        <w:t>oven, i høringsnotatet.</w:t>
      </w:r>
    </w:p>
    <w:p w:rsidR="00000000" w:rsidRDefault="00D718D0" w:rsidP="00BA3E8B">
      <w:r>
        <w:t>Departementet foreslo i høringsnotatet at redegjørelsen skal gis i årsberetningen eller i et annet o</w:t>
      </w:r>
      <w:r>
        <w:t>f</w:t>
      </w:r>
      <w:r>
        <w:t>fentlig tilgjengelig dokument. Videre ble det foreslått at arbeidsgivere i offentlige virkso</w:t>
      </w:r>
      <w:r>
        <w:t>m</w:t>
      </w:r>
      <w:r>
        <w:t>heter som ikke leverer en årsberetning</w:t>
      </w:r>
      <w:r>
        <w:t>, skal gi redegjørelsen i årsbudsjettet.</w:t>
      </w:r>
    </w:p>
    <w:p w:rsidR="00000000" w:rsidRDefault="00D718D0" w:rsidP="00BA3E8B">
      <w:r>
        <w:t>For å synliggjøre at foretaks samfunnsansvar omfatter virksomhetens rolle som arbeidsgiver, foreslo depa</w:t>
      </w:r>
      <w:r>
        <w:t>r</w:t>
      </w:r>
      <w:r>
        <w:t>tementet i høringsnotatet at bestemmelsen om arbeidsgivers redegjørelsesplikt innlemmes i b</w:t>
      </w:r>
      <w:r>
        <w:t>e</w:t>
      </w:r>
      <w:r>
        <w:t>stemmelsen om rede</w:t>
      </w:r>
      <w:r>
        <w:t>gjørelse om samfunnsansvar, jf. forslag til ny regnskapsloven § 3–3 c femte ledd. Samtidig ble det for</w:t>
      </w:r>
      <w:r>
        <w:t>e</w:t>
      </w:r>
      <w:r>
        <w:t>slått at regnskapsloven § 3–3 a tiende og ellevte ledd oppheves.</w:t>
      </w:r>
    </w:p>
    <w:p w:rsidR="00000000" w:rsidRDefault="00D718D0" w:rsidP="00BA3E8B">
      <w:pPr>
        <w:pStyle w:val="Overskrift4"/>
      </w:pPr>
      <w:r>
        <w:t>Høringsinstansenes syn</w:t>
      </w:r>
    </w:p>
    <w:p w:rsidR="00000000" w:rsidRDefault="00D718D0" w:rsidP="00BA3E8B">
      <w:r>
        <w:t>Høringsinstansenes syn på</w:t>
      </w:r>
      <w:r>
        <w:t xml:space="preserve"> departementets forslag i høringsnotatet er delt. Høringsinstansene mener enten at forslaget om redegjørelsesplikten ikke går langt nok, dvs. at pliktene skal styrkes i ytterligere, eller at de foreslåtte pliktene innebærer for omfattende byrder eller kost</w:t>
      </w:r>
      <w:r>
        <w:t>nader for små virksomheter.</w:t>
      </w:r>
    </w:p>
    <w:p w:rsidR="00000000" w:rsidRDefault="00D718D0" w:rsidP="00BA3E8B">
      <w:r>
        <w:t xml:space="preserve">Mange høringsinstanser støtter forslaget om en redegjørelsesplikt, herunder </w:t>
      </w:r>
      <w:r>
        <w:rPr>
          <w:rStyle w:val="kursiv"/>
          <w:sz w:val="21"/>
          <w:szCs w:val="21"/>
        </w:rPr>
        <w:t>Akademikerne</w:t>
      </w:r>
      <w:r>
        <w:t xml:space="preserve"> og </w:t>
      </w:r>
      <w:r>
        <w:rPr>
          <w:rStyle w:val="kursiv"/>
          <w:sz w:val="21"/>
          <w:szCs w:val="21"/>
        </w:rPr>
        <w:t>Lik</w:t>
      </w:r>
      <w:r>
        <w:rPr>
          <w:rStyle w:val="kursiv"/>
          <w:sz w:val="21"/>
          <w:szCs w:val="21"/>
        </w:rPr>
        <w:t>e</w:t>
      </w:r>
      <w:r>
        <w:rPr>
          <w:rStyle w:val="kursiv"/>
          <w:sz w:val="21"/>
          <w:szCs w:val="21"/>
        </w:rPr>
        <w:t>stilling</w:t>
      </w:r>
      <w:r>
        <w:rPr>
          <w:rStyle w:val="kursiv"/>
          <w:sz w:val="21"/>
          <w:szCs w:val="21"/>
        </w:rPr>
        <w:t>s</w:t>
      </w:r>
      <w:r>
        <w:rPr>
          <w:rStyle w:val="kursiv"/>
          <w:sz w:val="21"/>
          <w:szCs w:val="21"/>
        </w:rPr>
        <w:t>senteret</w:t>
      </w:r>
      <w:r>
        <w:t xml:space="preserve">. </w:t>
      </w:r>
      <w:r>
        <w:rPr>
          <w:rStyle w:val="kursiv"/>
          <w:sz w:val="21"/>
          <w:szCs w:val="21"/>
        </w:rPr>
        <w:t>Politidirektoratet</w:t>
      </w:r>
      <w:r>
        <w:t xml:space="preserve"> mener det er naturlig at aktivitetsplikten knyttes opp mot redegjørelse</w:t>
      </w:r>
      <w:r>
        <w:t>s</w:t>
      </w:r>
      <w:r>
        <w:t>plikten, som foreslåt</w:t>
      </w:r>
      <w:r>
        <w:t>t i departementets forslag, og uttaler at:</w:t>
      </w:r>
    </w:p>
    <w:p w:rsidR="00000000" w:rsidRDefault="00D718D0" w:rsidP="00BA3E8B">
      <w:pPr>
        <w:pStyle w:val="blokksit"/>
      </w:pPr>
      <w:r>
        <w:t>«[f]or å lykkes med intensjonen om styrket aktivitetsplikt, mener Politidirektoratet at det ikke bør legges opp til et krevende rapporteringsregime for den enkelte virksomhet, men at rammene for akt</w:t>
      </w:r>
      <w:r>
        <w:t>i</w:t>
      </w:r>
      <w:r>
        <w:t xml:space="preserve">vitetsplikten </w:t>
      </w:r>
      <w:r>
        <w:t>og rapporteringsplikten gir virksomhetene fleksibilitet til å finne løsninger som passer for dem.»</w:t>
      </w:r>
    </w:p>
    <w:p w:rsidR="00000000" w:rsidRDefault="00D718D0" w:rsidP="00BA3E8B">
      <w:r>
        <w:t xml:space="preserve">Flere høringsinstanser, herunder </w:t>
      </w:r>
      <w:r>
        <w:rPr>
          <w:rStyle w:val="kursiv"/>
          <w:sz w:val="21"/>
          <w:szCs w:val="21"/>
        </w:rPr>
        <w:t>KVIBALD</w:t>
      </w:r>
      <w:r>
        <w:t xml:space="preserve">, </w:t>
      </w:r>
      <w:r>
        <w:rPr>
          <w:rStyle w:val="kursiv"/>
          <w:sz w:val="21"/>
          <w:szCs w:val="21"/>
        </w:rPr>
        <w:t>Mira– Ressurssenter for kvinner med minoritetsbakgrunn</w:t>
      </w:r>
      <w:r>
        <w:t xml:space="preserve"> og </w:t>
      </w:r>
      <w:r>
        <w:rPr>
          <w:rStyle w:val="kursiv"/>
          <w:sz w:val="21"/>
          <w:szCs w:val="21"/>
        </w:rPr>
        <w:t>Kvinnefronten</w:t>
      </w:r>
      <w:r>
        <w:t>, mener at forslaget innebærer en uheldig sv</w:t>
      </w:r>
      <w:r>
        <w:t xml:space="preserve">ekkelse av redegjørelsesplikten knyttet til kjønn. </w:t>
      </w:r>
      <w:r>
        <w:rPr>
          <w:rStyle w:val="kursiv"/>
          <w:sz w:val="21"/>
          <w:szCs w:val="21"/>
        </w:rPr>
        <w:t>KVIBALD</w:t>
      </w:r>
      <w:r>
        <w:t xml:space="preserve"> mener at Stortingets anmodningsvedtak vanskelig kan sies å være oppfylt dersom det foreslås endringer i aktivitets- og redegjørelsesplikten som er mindre omfattende enn det som fulgte av likestilli</w:t>
      </w:r>
      <w:r>
        <w:t xml:space="preserve">ngs- og diskrimineringslovgivningen av 2013. </w:t>
      </w:r>
      <w:r>
        <w:rPr>
          <w:rStyle w:val="kursiv"/>
          <w:sz w:val="21"/>
          <w:szCs w:val="21"/>
        </w:rPr>
        <w:t>KVIBALD</w:t>
      </w:r>
      <w:r>
        <w:t xml:space="preserve"> foreslår at alle arbeidsgivere skal redegjøre for den faktiske tilstanden når det gjelder kjønnslikestilling i vir</w:t>
      </w:r>
      <w:r>
        <w:t>k</w:t>
      </w:r>
      <w:r>
        <w:t>somheten og hva de gjør for å oppfylle aktivitet</w:t>
      </w:r>
      <w:r>
        <w:t>s</w:t>
      </w:r>
      <w:r>
        <w:t>plikten etter likestillings- og diskrim</w:t>
      </w:r>
      <w:r>
        <w:t>inering</w:t>
      </w:r>
      <w:r>
        <w:t>s</w:t>
      </w:r>
      <w:r>
        <w:t>loven § 26, og at regnskapslovens regler bør endres tilsv</w:t>
      </w:r>
      <w:r>
        <w:t>a</w:t>
      </w:r>
      <w:r>
        <w:t>rende. De mener videre at svekkelsen står i kontrast både til Stortingets anmodningsvedtak og til Kvinn</w:t>
      </w:r>
      <w:r>
        <w:t>e</w:t>
      </w:r>
      <w:r>
        <w:t xml:space="preserve">diskrimineringskomiteens konkluderende observasjoner til Norges 9. periodiske rapport </w:t>
      </w:r>
      <w:r>
        <w:t xml:space="preserve">i november 2017. </w:t>
      </w:r>
      <w:r>
        <w:rPr>
          <w:rStyle w:val="kursiv"/>
          <w:sz w:val="21"/>
          <w:szCs w:val="21"/>
        </w:rPr>
        <w:t>Unio</w:t>
      </w:r>
      <w:r>
        <w:t xml:space="preserve"> mener at det er prinsipielt viktig at redegjørelsesplikten gjelder alle virksomheter, og ber om en klargjøring av hvilken enhet i en enkelt virksomhet, eventuelt hele virksomhet/ konsern, plikten gjelder. De mener videre at ordningen </w:t>
      </w:r>
      <w:r>
        <w:t>bør evalueres etter to-tre år fra ikrafttredelsen. Flere av disse h</w:t>
      </w:r>
      <w:r>
        <w:t>ø</w:t>
      </w:r>
      <w:r>
        <w:t>ringsi</w:t>
      </w:r>
      <w:r>
        <w:t>n</w:t>
      </w:r>
      <w:r>
        <w:t>stansene mener at det er positivt at forslaget også styrker redegjørelsesplikten på andre diskriminering</w:t>
      </w:r>
      <w:r>
        <w:t>s</w:t>
      </w:r>
      <w:r>
        <w:t>grunnlag enn kjønn.</w:t>
      </w:r>
    </w:p>
    <w:p w:rsidR="00000000" w:rsidRPr="009445FD" w:rsidRDefault="00D718D0" w:rsidP="00BA3E8B">
      <w:pPr>
        <w:rPr>
          <w:rStyle w:val="kursiv"/>
        </w:rPr>
      </w:pPr>
      <w:r>
        <w:rPr>
          <w:rStyle w:val="kursiv"/>
          <w:sz w:val="21"/>
          <w:szCs w:val="21"/>
        </w:rPr>
        <w:lastRenderedPageBreak/>
        <w:t>LO</w:t>
      </w:r>
      <w:r>
        <w:t xml:space="preserve"> er bekymret for at forslaget medfører en svak redegjø</w:t>
      </w:r>
      <w:r>
        <w:t>relsesplikt «for det store flertallet av vir</w:t>
      </w:r>
      <w:r>
        <w:t>k</w:t>
      </w:r>
      <w:r>
        <w:t>somheter i privat sektor» og mener at redegjørelsesplikten kan styrkes ved at aktivitetsplikten til å følge arbeidsmetoden utvides til å omfatte alle private arbeidsgivere med mer enn 20 ansatte, uavhengig av om</w:t>
      </w:r>
      <w:r>
        <w:t xml:space="preserve"> en av partene krever det.</w:t>
      </w:r>
    </w:p>
    <w:p w:rsidR="00000000" w:rsidRPr="009445FD" w:rsidRDefault="00D718D0" w:rsidP="00BA3E8B">
      <w:pPr>
        <w:rPr>
          <w:rStyle w:val="kursiv"/>
        </w:rPr>
      </w:pPr>
      <w:r>
        <w:rPr>
          <w:rStyle w:val="kursiv"/>
          <w:sz w:val="21"/>
          <w:szCs w:val="21"/>
        </w:rPr>
        <w:t>YS</w:t>
      </w:r>
      <w:r>
        <w:t xml:space="preserve"> mener også at redegjørelsesplikten skal gjelde alle arbeidsgivere med mer enn 20 ansatte.</w:t>
      </w:r>
    </w:p>
    <w:p w:rsidR="00000000" w:rsidRDefault="00D718D0" w:rsidP="00BA3E8B">
      <w:r>
        <w:t xml:space="preserve">I likhet med </w:t>
      </w:r>
      <w:r>
        <w:rPr>
          <w:rStyle w:val="kursiv"/>
          <w:sz w:val="21"/>
          <w:szCs w:val="21"/>
        </w:rPr>
        <w:t>KVIBALD</w:t>
      </w:r>
      <w:r>
        <w:t xml:space="preserve">, mener </w:t>
      </w:r>
      <w:r>
        <w:rPr>
          <w:rStyle w:val="kursiv"/>
          <w:sz w:val="21"/>
          <w:szCs w:val="21"/>
        </w:rPr>
        <w:t xml:space="preserve">Likestillings- og diskrimineringsombudet </w:t>
      </w:r>
      <w:r>
        <w:t>at forslaget:</w:t>
      </w:r>
    </w:p>
    <w:p w:rsidR="00000000" w:rsidRDefault="00D718D0" w:rsidP="00BA3E8B">
      <w:pPr>
        <w:pStyle w:val="blokksit"/>
      </w:pPr>
      <w:r>
        <w:t>«…innebærer en svekkelse av plikten for de minste pri</w:t>
      </w:r>
      <w:r>
        <w:t>vate arbeidsgiverne, sammenlignet med red</w:t>
      </w:r>
      <w:r>
        <w:t>e</w:t>
      </w:r>
      <w:r>
        <w:t>gjørelsesplikten slik denne var frem til de nevnte endringene i regnskapsloven trådte i kraft.»</w:t>
      </w:r>
    </w:p>
    <w:p w:rsidR="00000000" w:rsidRDefault="00D718D0" w:rsidP="00BA3E8B">
      <w:r>
        <w:rPr>
          <w:rStyle w:val="kursiv"/>
          <w:sz w:val="21"/>
          <w:szCs w:val="21"/>
        </w:rPr>
        <w:t>Ombudet</w:t>
      </w:r>
      <w:r>
        <w:t xml:space="preserve"> sier imidlertid at når de likevel skal kontrollere aktivitetsplikten hos alle arbeidsgivere, vil denne kontrol</w:t>
      </w:r>
      <w:r>
        <w:t>lfunksjonen, ifølge ombudet, «langt på vei» veie opp for svekkelsen.</w:t>
      </w:r>
    </w:p>
    <w:p w:rsidR="00000000" w:rsidRPr="009445FD" w:rsidRDefault="00D718D0" w:rsidP="00BA3E8B">
      <w:pPr>
        <w:rPr>
          <w:rStyle w:val="kursiv"/>
        </w:rPr>
      </w:pPr>
      <w:r>
        <w:rPr>
          <w:rStyle w:val="kursiv"/>
          <w:sz w:val="21"/>
          <w:szCs w:val="21"/>
        </w:rPr>
        <w:t>NIM</w:t>
      </w:r>
      <w:r>
        <w:t xml:space="preserve"> mener at diskrimineringsgrunnlaget kjønn ikke bør fremheves særskilt i bestemmelsen om a</w:t>
      </w:r>
      <w:r>
        <w:t>r</w:t>
      </w:r>
      <w:r>
        <w:t xml:space="preserve">beidsgivers redegjørelsesplikt. </w:t>
      </w:r>
      <w:r>
        <w:rPr>
          <w:rStyle w:val="kursiv"/>
          <w:sz w:val="21"/>
          <w:szCs w:val="21"/>
        </w:rPr>
        <w:t>Likestillingssenteret</w:t>
      </w:r>
      <w:r>
        <w:t xml:space="preserve"> og </w:t>
      </w:r>
      <w:r>
        <w:rPr>
          <w:rStyle w:val="kursiv"/>
          <w:sz w:val="21"/>
          <w:szCs w:val="21"/>
        </w:rPr>
        <w:t>Bufdir</w:t>
      </w:r>
      <w:r>
        <w:t xml:space="preserve"> foreslår at </w:t>
      </w:r>
      <w:r>
        <w:rPr>
          <w:rStyle w:val="kursiv"/>
          <w:sz w:val="21"/>
          <w:szCs w:val="21"/>
        </w:rPr>
        <w:t>Difi</w:t>
      </w:r>
      <w:r>
        <w:t xml:space="preserve">, i samarbeid </w:t>
      </w:r>
      <w:r>
        <w:t xml:space="preserve">med </w:t>
      </w:r>
      <w:r>
        <w:rPr>
          <w:rStyle w:val="kursiv"/>
          <w:sz w:val="21"/>
          <w:szCs w:val="21"/>
        </w:rPr>
        <w:t>Bufdir</w:t>
      </w:r>
      <w:r>
        <w:t>, u</w:t>
      </w:r>
      <w:r>
        <w:t>t</w:t>
      </w:r>
      <w:r>
        <w:t>arbeider en standardisert digitalt rapporteringssystem, slik at det blir enklere for a</w:t>
      </w:r>
      <w:r>
        <w:t>r</w:t>
      </w:r>
      <w:r>
        <w:t>beidsgivere å hente ut statistikk fra sine personalsystemer.</w:t>
      </w:r>
    </w:p>
    <w:p w:rsidR="00000000" w:rsidRDefault="00D718D0" w:rsidP="00BA3E8B">
      <w:r>
        <w:t>En rekke andre høringsinstanser er derimot svært kritiske til at arbeidsgivere skal pålegges e</w:t>
      </w:r>
      <w:r>
        <w:t>n red</w:t>
      </w:r>
      <w:r>
        <w:t>e</w:t>
      </w:r>
      <w:r>
        <w:t>gjørelse</w:t>
      </w:r>
      <w:r>
        <w:t>s</w:t>
      </w:r>
      <w:r>
        <w:t xml:space="preserve">plikt. </w:t>
      </w:r>
      <w:r>
        <w:rPr>
          <w:rStyle w:val="kursiv"/>
          <w:sz w:val="21"/>
          <w:szCs w:val="21"/>
        </w:rPr>
        <w:t xml:space="preserve">Den norske Revisorforeningen </w:t>
      </w:r>
      <w:r>
        <w:t>mener at forslaget delvis reverserer endringen i regnskap</w:t>
      </w:r>
      <w:r>
        <w:t>s</w:t>
      </w:r>
      <w:r>
        <w:t xml:space="preserve">loven om at små foretak ikke lenger trenger å levere en årsberetning. </w:t>
      </w:r>
      <w:r>
        <w:rPr>
          <w:rStyle w:val="kursiv"/>
          <w:sz w:val="21"/>
          <w:szCs w:val="21"/>
        </w:rPr>
        <w:t xml:space="preserve">NHO mfl. </w:t>
      </w:r>
      <w:r>
        <w:t>mener at redegjørelse</w:t>
      </w:r>
      <w:r>
        <w:t>s</w:t>
      </w:r>
      <w:r>
        <w:t>plikten innebærer økt byråkrati og en uforhold</w:t>
      </w:r>
      <w:r>
        <w:t xml:space="preserve">smessig byrde for næringsdrivende, særlig for små foretak. </w:t>
      </w:r>
      <w:r>
        <w:rPr>
          <w:rStyle w:val="kursiv"/>
          <w:sz w:val="21"/>
          <w:szCs w:val="21"/>
        </w:rPr>
        <w:t>NHO</w:t>
      </w:r>
      <w:r>
        <w:t xml:space="preserve"> og </w:t>
      </w:r>
      <w:r>
        <w:rPr>
          <w:rStyle w:val="kursiv"/>
          <w:sz w:val="21"/>
          <w:szCs w:val="21"/>
        </w:rPr>
        <w:t>KS</w:t>
      </w:r>
      <w:r>
        <w:t xml:space="preserve"> foreslår at redegjørelsesplikten byttes ut med en mindre byrdefull dokumentasjonsplikt. </w:t>
      </w:r>
      <w:r>
        <w:rPr>
          <w:rStyle w:val="kursiv"/>
          <w:sz w:val="21"/>
          <w:szCs w:val="21"/>
        </w:rPr>
        <w:t>Spekter</w:t>
      </w:r>
      <w:r>
        <w:t xml:space="preserve"> mener også at dok</w:t>
      </w:r>
      <w:r>
        <w:t>u</w:t>
      </w:r>
      <w:r>
        <w:t>mentasjonsplikten vil være enklere for virksomhetene å forholde seg til e</w:t>
      </w:r>
      <w:r>
        <w:t>nn en mer byrdefull og byråkratisk redegjørelsesplikt.</w:t>
      </w:r>
    </w:p>
    <w:p w:rsidR="00000000" w:rsidRPr="009445FD" w:rsidRDefault="00D718D0" w:rsidP="00BA3E8B">
      <w:pPr>
        <w:rPr>
          <w:rStyle w:val="kursiv"/>
        </w:rPr>
      </w:pPr>
      <w:r>
        <w:rPr>
          <w:rStyle w:val="kursiv"/>
          <w:sz w:val="21"/>
          <w:szCs w:val="21"/>
        </w:rPr>
        <w:t>KS</w:t>
      </w:r>
      <w:r>
        <w:t xml:space="preserve"> mener for øvrig at bestemmelsen om begrenset offentlighet av redegjørelsen, jf. forslag til ny § 26 a tredje ledd i høringsnotatet, er uklar når det gjelder sammenhengen mellom personop</w:t>
      </w:r>
      <w:r>
        <w:t>p</w:t>
      </w:r>
      <w:r>
        <w:t>lysningslove</w:t>
      </w:r>
      <w:r>
        <w:t>n, forvaltning</w:t>
      </w:r>
      <w:r>
        <w:t>s</w:t>
      </w:r>
      <w:r>
        <w:t>loven og offentleglova.</w:t>
      </w:r>
    </w:p>
    <w:p w:rsidR="00000000" w:rsidRDefault="00D718D0" w:rsidP="00BA3E8B">
      <w:r>
        <w:t>Når det gjelder departementets forslag til å ta inn en bestemmelse om begrenset innsynsrett i likesti</w:t>
      </w:r>
      <w:r>
        <w:t>l</w:t>
      </w:r>
      <w:r>
        <w:t>lingsr</w:t>
      </w:r>
      <w:r>
        <w:t>e</w:t>
      </w:r>
      <w:r>
        <w:t xml:space="preserve">degjørelsen der redegjørelsen inneholder personopplysninger, anfører </w:t>
      </w:r>
      <w:r>
        <w:rPr>
          <w:rStyle w:val="kursiv"/>
          <w:sz w:val="21"/>
          <w:szCs w:val="21"/>
        </w:rPr>
        <w:t>Justis- og beredskapsdepa</w:t>
      </w:r>
      <w:r>
        <w:rPr>
          <w:rStyle w:val="kursiv"/>
          <w:sz w:val="21"/>
          <w:szCs w:val="21"/>
        </w:rPr>
        <w:t>r</w:t>
      </w:r>
      <w:r>
        <w:rPr>
          <w:rStyle w:val="kursiv"/>
          <w:sz w:val="21"/>
          <w:szCs w:val="21"/>
        </w:rPr>
        <w:t xml:space="preserve">tement </w:t>
      </w:r>
      <w:r>
        <w:t>at dep</w:t>
      </w:r>
      <w:r>
        <w:t>artementets forslag innebærer en vesentlig innskrenking av in</w:t>
      </w:r>
      <w:r>
        <w:t>n</w:t>
      </w:r>
      <w:r>
        <w:t>synsretten for virksomheter underlagt offentleglova.</w:t>
      </w:r>
    </w:p>
    <w:p w:rsidR="00000000" w:rsidRDefault="00D718D0" w:rsidP="00BA3E8B">
      <w:pPr>
        <w:pStyle w:val="Overskrift4"/>
      </w:pPr>
      <w:r>
        <w:t>Departementets vurderinger</w:t>
      </w:r>
    </w:p>
    <w:p w:rsidR="00000000" w:rsidRDefault="00D718D0" w:rsidP="00BA3E8B">
      <w:pPr>
        <w:pStyle w:val="Undertittel"/>
      </w:pPr>
      <w:r>
        <w:t>Arbeidsgivers dokumentasjonsplikt</w:t>
      </w:r>
    </w:p>
    <w:p w:rsidR="00000000" w:rsidRDefault="00D718D0" w:rsidP="00BA3E8B">
      <w:r>
        <w:t>Departementet mener at det er vanskelig å treffe det riktige niv</w:t>
      </w:r>
      <w:r>
        <w:t>ået på krav til redegjørelse og dokument</w:t>
      </w:r>
      <w:r>
        <w:t>a</w:t>
      </w:r>
      <w:r>
        <w:t>sjon. For de minste virksomhetene vil redegjørelses- og dokumentasjonskrav lettere bli uforholdsmessige enn for store virksomheter.</w:t>
      </w:r>
    </w:p>
    <w:p w:rsidR="00000000" w:rsidRDefault="00D718D0" w:rsidP="00BA3E8B">
      <w:r>
        <w:t>Flere høringsinstanser har uttrykt bekymringer for at den foreslåtte redegjør</w:t>
      </w:r>
      <w:r>
        <w:t>elsesplikten inn</w:t>
      </w:r>
      <w:r>
        <w:t>e</w:t>
      </w:r>
      <w:r>
        <w:t>bærer en sve</w:t>
      </w:r>
      <w:r>
        <w:t>k</w:t>
      </w:r>
      <w:r>
        <w:t>kelse av dagens redegjørelsesplikt. Departementet viser til at redegjørelsesplikten i dag gjelder private vir</w:t>
      </w:r>
      <w:r>
        <w:t>k</w:t>
      </w:r>
      <w:r>
        <w:t>somheter som skal levere en årsberetning, i tillegg til offentlige vir</w:t>
      </w:r>
      <w:r>
        <w:t>k</w:t>
      </w:r>
      <w:r>
        <w:t>somheter. Det er kun såkalte «store f</w:t>
      </w:r>
      <w:r>
        <w:t>o</w:t>
      </w:r>
      <w:r>
        <w:t xml:space="preserve">retak» </w:t>
      </w:r>
      <w:r>
        <w:t>og «øvrige foretak» som hverken er store eller små, som har en plikt å gi årsberetning, og dermed har de færreste private virksomheter en redegj</w:t>
      </w:r>
      <w:r>
        <w:t>ø</w:t>
      </w:r>
      <w:r>
        <w:t>relsesplikt. Likestillings- og diskrimineringsloven ble vedtatt i juni 2017 uten en redegjørelse</w:t>
      </w:r>
      <w:r>
        <w:t>s</w:t>
      </w:r>
      <w:r>
        <w:lastRenderedPageBreak/>
        <w:t>plikt. Forslag</w:t>
      </w:r>
      <w:r>
        <w:t>et i høringsnotatet innebærer en redegjørelse</w:t>
      </w:r>
      <w:r>
        <w:t>s</w:t>
      </w:r>
      <w:r>
        <w:t>plikt for arbeidsgivere, som styrker pliktene, sammenlignet både med lovvedtaket fra juni 2017, og sa</w:t>
      </w:r>
      <w:r>
        <w:t>m</w:t>
      </w:r>
      <w:r>
        <w:t>menlignet med gjeldende rett.</w:t>
      </w:r>
    </w:p>
    <w:p w:rsidR="00000000" w:rsidRDefault="00D718D0" w:rsidP="00BA3E8B">
      <w:r>
        <w:t xml:space="preserve">Departementet ser at en redegjørelsesplikt kan medføre en administrativ byrde </w:t>
      </w:r>
      <w:r>
        <w:t>som slår særlig hardt ut for de minste virksomhetene, og foreslår derfor en enklere dokumentasjonsplikt for arbeidsgivere med færre enn 20 ansatte. Etter departementets syn vil en dokumentasjonsplikt være mindre byrdefull og harmonere bedre med regjeringen</w:t>
      </w:r>
      <w:r>
        <w:t>s forenklingstiltak for næringsdr</w:t>
      </w:r>
      <w:r>
        <w:t>i</w:t>
      </w:r>
      <w:r>
        <w:t>vende. For å imøtekomme beky</w:t>
      </w:r>
      <w:r>
        <w:t>m</w:t>
      </w:r>
      <w:r>
        <w:t>ringene og utfordringene som en omfattende redegjørelsesplikt vil medføre for de minste virksomhetene, har departementet revurdert sitt forslag fra høring</w:t>
      </w:r>
      <w:r>
        <w:t>s</w:t>
      </w:r>
      <w:r>
        <w:t>notatet. Departementet foreslår derfor</w:t>
      </w:r>
      <w:r>
        <w:t xml:space="preserve"> at arbeidsgivere i private virksomheter med færre enn 20 ansatte skal pålegges dokumentasjonsplikt, istedenfor en red</w:t>
      </w:r>
      <w:r>
        <w:t>e</w:t>
      </w:r>
      <w:r>
        <w:t>gjørelsesplikt. En slik dokume</w:t>
      </w:r>
      <w:r>
        <w:t>n</w:t>
      </w:r>
      <w:r>
        <w:t xml:space="preserve">tasjonsplikt vil innebære både en plikt til å utarbeide dokumentasjon om utført likestillingsarbeid og en </w:t>
      </w:r>
      <w:r>
        <w:t>plikt til å op</w:t>
      </w:r>
      <w:r>
        <w:t>p</w:t>
      </w:r>
      <w:r>
        <w:t>bevare denne dokumentasjonen.</w:t>
      </w:r>
    </w:p>
    <w:p w:rsidR="00000000" w:rsidRDefault="00D718D0" w:rsidP="00BA3E8B">
      <w:r>
        <w:t>Etter departementets vurdering vil dokumentasjonsplikten kunne reise spørsmål om den enkelte a</w:t>
      </w:r>
      <w:r>
        <w:t>n</w:t>
      </w:r>
      <w:r>
        <w:t>sattes personvern. Dette fordi virksomhetens ansatte og deres representanter, Diskrimin</w:t>
      </w:r>
      <w:r>
        <w:t>e</w:t>
      </w:r>
      <w:r>
        <w:t xml:space="preserve">ringsnemnda, Likestillings- </w:t>
      </w:r>
      <w:r>
        <w:t>og diskrimineringsombudet og enhver som utfører arbeid i forbi</w:t>
      </w:r>
      <w:r>
        <w:t>n</w:t>
      </w:r>
      <w:r>
        <w:t>delse med en forskning</w:t>
      </w:r>
      <w:r>
        <w:t>s</w:t>
      </w:r>
      <w:r>
        <w:t>oppgave (forskere) vil ha rett til innsyn i dokumentasjon om likesti</w:t>
      </w:r>
      <w:r>
        <w:t>l</w:t>
      </w:r>
      <w:r>
        <w:t>lingsarbeid. Dersom dokumentasjonen som det gis innsyn i, innebærer lønnsopplysninger som kan knyttes</w:t>
      </w:r>
      <w:r>
        <w:t xml:space="preserve"> til enkeltansatte, skal innsynsretten kombineres med taushet</w:t>
      </w:r>
      <w:r>
        <w:t>s</w:t>
      </w:r>
      <w:r>
        <w:t>plikt. Innsynsrett skal også kombineres med taushetsplikt dersom dokument</w:t>
      </w:r>
      <w:r>
        <w:t>a</w:t>
      </w:r>
      <w:r>
        <w:t>sjonen om arbeidet for å fremme likesti</w:t>
      </w:r>
      <w:r>
        <w:t>l</w:t>
      </w:r>
      <w:r>
        <w:t>ling og hindre diskriminering inneholder opplysninger som kan knyttes til en per</w:t>
      </w:r>
      <w:r>
        <w:t>sons etnisitet, religion, livssyn, helse og nedsatt funksjonsevne, eller seksuell orientering, kjønnsidentitet eller kjønnsuttrykk, dvs. i tilfeller der det er snakk om sensitive personopplysninger, jf. personver</w:t>
      </w:r>
      <w:r>
        <w:t>n</w:t>
      </w:r>
      <w:r>
        <w:t>forordningen artikkel 9 bokstav g og artikk</w:t>
      </w:r>
      <w:r>
        <w:t>el 6. Det vises for øvrig til omtalen av åpenhet om lønn og personvern i kapittel 8.2.4.8.</w:t>
      </w:r>
    </w:p>
    <w:p w:rsidR="00000000" w:rsidRDefault="00D718D0" w:rsidP="00BA3E8B">
      <w:r>
        <w:t>Opplysningene kan bare gis i den utstrekning de er nødvendige for å undersøke om arbeidsgiver har overholdt sin aktivitets- og dokumentasjonsplikt etter likestilling</w:t>
      </w:r>
      <w:r>
        <w:t>s- og diskrimineringsloven. Organer som er underlagt offentleglova, skal følge reglene om innsynsretten i denne loven. Dette presiseres i likesti</w:t>
      </w:r>
      <w:r>
        <w:t>l</w:t>
      </w:r>
      <w:r>
        <w:t>lings- og diskr</w:t>
      </w:r>
      <w:r>
        <w:t>i</w:t>
      </w:r>
      <w:r>
        <w:t>mineringsloven.</w:t>
      </w:r>
    </w:p>
    <w:p w:rsidR="00000000" w:rsidRDefault="00D718D0" w:rsidP="00BA3E8B">
      <w:pPr>
        <w:pStyle w:val="Undertittel"/>
      </w:pPr>
      <w:r>
        <w:t>Arbeidsgivers redegjørelsesplikt</w:t>
      </w:r>
    </w:p>
    <w:p w:rsidR="00000000" w:rsidRDefault="00D718D0" w:rsidP="00BA3E8B">
      <w:r>
        <w:t xml:space="preserve">Enkelte høringsinstanser, herunder YS, mener </w:t>
      </w:r>
      <w:r>
        <w:t>at redegjørelsesplikten skal gjelde for alle private arbeid</w:t>
      </w:r>
      <w:r>
        <w:t>s</w:t>
      </w:r>
      <w:r>
        <w:t>givere med 20 eller flere ansatte. Flere høringsinstanser mener at partsamarbeidet ikke nødvendigvis bør involveres i aktivitetsplikten, men at arbeidet skal være obligatorisk. Dette blant annet f</w:t>
      </w:r>
      <w:r>
        <w:t>or å unngå risikoen for at partene havner i interessekonflikter. Virke støtter ikke forslaget om å involvere partssamarbeidet i aktivitetsplikten, fordi den innebærer at arbeidst</w:t>
      </w:r>
      <w:r>
        <w:t>a</w:t>
      </w:r>
      <w:r>
        <w:t>kersiden i virksomheter med mer enn 20 ansatte kan kreve at arbeidsgiver iver</w:t>
      </w:r>
      <w:r>
        <w:t>ksetter tiltak uten nærmere begrunnelse. Enkelte høringsinstanser viser til at de samme argumentene gjør seg gjeldende for redegjørelsesplikten. Departementet foreslår likevel at det pålegges en redegj</w:t>
      </w:r>
      <w:r>
        <w:t>ø</w:t>
      </w:r>
      <w:r>
        <w:t>relsesplikt for arbeidsgivere i private virksomheter m</w:t>
      </w:r>
      <w:r>
        <w:t>ed mellom 20 og 50 ansatte når en av a</w:t>
      </w:r>
      <w:r>
        <w:t>r</w:t>
      </w:r>
      <w:r>
        <w:t>beidslivets parter i virksomheten krever det, ellers får de dokumentasjonsplikt. Redegjørelse</w:t>
      </w:r>
      <w:r>
        <w:t>s</w:t>
      </w:r>
      <w:r>
        <w:t>plikten gjelder også for arbeidsgivere i offentlige virksomheter og i private virksomheter med mer enn 50 ansatte.</w:t>
      </w:r>
    </w:p>
    <w:p w:rsidR="00000000" w:rsidRDefault="00D718D0" w:rsidP="00BA3E8B">
      <w:r>
        <w:lastRenderedPageBreak/>
        <w:t>Departem</w:t>
      </w:r>
      <w:r>
        <w:t>entet legger til grunn at en styrking av aktivitets- og redegjørelsesplikten i utgang</w:t>
      </w:r>
      <w:r>
        <w:t>s</w:t>
      </w:r>
      <w:r>
        <w:t>punktet skal vurderes opp mot gjeldende rettstilstand, men har også sett hen til lovgivningen som eksisterte før likesti</w:t>
      </w:r>
      <w:r>
        <w:t>l</w:t>
      </w:r>
      <w:r>
        <w:t>lings- og diskrimineringsloven ble vedtatt. Etter</w:t>
      </w:r>
      <w:r>
        <w:t xml:space="preserve"> lovendringene i 2013 var det kun arbeidsgivere i privat sektor med mer enn 50 ansatte, i tillegg til arbeidsgivere i offentlig sektor, som var omfattet av r</w:t>
      </w:r>
      <w:r>
        <w:t>e</w:t>
      </w:r>
      <w:r>
        <w:t>degjørelsesplikten knyttet til diskrimineringsgrunnlagene etnisitet, nedsatt funksjonsevne, seksue</w:t>
      </w:r>
      <w:r>
        <w:t>ll or</w:t>
      </w:r>
      <w:r>
        <w:t>i</w:t>
      </w:r>
      <w:r>
        <w:t>entering, kjønnsidentitet og kjønnsuttrykk.</w:t>
      </w:r>
    </w:p>
    <w:p w:rsidR="00000000" w:rsidRDefault="00D718D0" w:rsidP="00BA3E8B">
      <w:r>
        <w:t>Departementet opprettholder ikke forslaget om at bestemmelsen om arbeidsgivers redegjøre</w:t>
      </w:r>
      <w:r>
        <w:t>l</w:t>
      </w:r>
      <w:r>
        <w:t>sesplikt inntas i regnskapsloven § 3–3 c. Departementet opprettholder forslaget som innebærer at regnskapsloven § 3–3</w:t>
      </w:r>
      <w:r>
        <w:t xml:space="preserve"> a tiende og ellevte ledd oppheves.</w:t>
      </w:r>
    </w:p>
    <w:p w:rsidR="00000000" w:rsidRDefault="00D718D0" w:rsidP="00BA3E8B">
      <w:r>
        <w:t>Forslaget om å endre kommunelovens bestemmelse om arbeidsgivers redegjørelsesplikt, op</w:t>
      </w:r>
      <w:r>
        <w:t>p</w:t>
      </w:r>
      <w:r>
        <w:t>rettho</w:t>
      </w:r>
      <w:r>
        <w:t>l</w:t>
      </w:r>
      <w:r>
        <w:t>des. D</w:t>
      </w:r>
      <w:r>
        <w:t>e</w:t>
      </w:r>
      <w:r>
        <w:t>partementet vil likevel fremme et forslag hvor den detaljerte formuleringen av pliktens innhold, jf. forslaget i høring</w:t>
      </w:r>
      <w:r>
        <w:t>snotatet, erstattes med en mer generell formulering av redegjørelsesplikten. Det næ</w:t>
      </w:r>
      <w:r>
        <w:t>r</w:t>
      </w:r>
      <w:r>
        <w:t>mere innholdet av redegjørelsesplikten foreslås presisert i fora</w:t>
      </w:r>
      <w:r>
        <w:t>r</w:t>
      </w:r>
      <w:r>
        <w:t>beidene.</w:t>
      </w:r>
    </w:p>
    <w:p w:rsidR="00000000" w:rsidRDefault="00D718D0" w:rsidP="00BA3E8B">
      <w:r>
        <w:t>Departementet opprettholder forslaget om at redegjørelsen gis i årsberetningen eller i et annet of</w:t>
      </w:r>
      <w:r>
        <w:t>fentlig ti</w:t>
      </w:r>
      <w:r>
        <w:t>l</w:t>
      </w:r>
      <w:r>
        <w:t>gjengelig dokument. Departementet foreslo i høringsnotatet at arbeidsgivere i o</w:t>
      </w:r>
      <w:r>
        <w:t>f</w:t>
      </w:r>
      <w:r>
        <w:t>fentlige virksomheter som ikke er pålagt å utarbeide årsberetning skal ta redegjørelsen inn i årsrapporten. Finansdepartementet har påpekt at statlige virksomheter i</w:t>
      </w:r>
      <w:r>
        <w:t>kke offentliggjør sine egne budsjetter, men er pålagt å avgi en år</w:t>
      </w:r>
      <w:r>
        <w:t>s</w:t>
      </w:r>
      <w:r>
        <w:t>rapport, hvor det kan være naturlig å omtale arbeidet med og status for likestilling i virksomheten. Videre påpeker Finansdepa</w:t>
      </w:r>
      <w:r>
        <w:t>r</w:t>
      </w:r>
      <w:r>
        <w:t>tementet at beste</w:t>
      </w:r>
      <w:r>
        <w:t>m</w:t>
      </w:r>
      <w:r>
        <w:t xml:space="preserve">melser om økonomistyring i staten åpner for </w:t>
      </w:r>
      <w:r>
        <w:t>at en slik redegj</w:t>
      </w:r>
      <w:r>
        <w:t>ø</w:t>
      </w:r>
      <w:r>
        <w:t>relse kan gis i et annet o</w:t>
      </w:r>
      <w:r>
        <w:t>f</w:t>
      </w:r>
      <w:r>
        <w:t>fentlig tilgjengelig dokument med en henvisning til årsberetningen. Depart</w:t>
      </w:r>
      <w:r>
        <w:t>e</w:t>
      </w:r>
      <w:r>
        <w:t>mentet mener dette kan være en hensiktsmessig løsning (også) for statlige virksomheter. Departementet fremmer derfor forslag om at a</w:t>
      </w:r>
      <w:r>
        <w:t>r</w:t>
      </w:r>
      <w:r>
        <w:t>bei</w:t>
      </w:r>
      <w:r>
        <w:t>dsgivere i offentlige virksomheter som ikke er pålagt å utarbeide år</w:t>
      </w:r>
      <w:r>
        <w:t>s</w:t>
      </w:r>
      <w:r>
        <w:t>beretning, skal ta redegjørelsen etter første ledd inn i årsrapport eller i annet offentlig dokument.</w:t>
      </w:r>
    </w:p>
    <w:p w:rsidR="00000000" w:rsidRDefault="00D718D0" w:rsidP="00BA3E8B">
      <w:pPr>
        <w:pStyle w:val="avsnitt-tittel"/>
      </w:pPr>
      <w:r>
        <w:t>Formålet med redegjørelsesplikten</w:t>
      </w:r>
    </w:p>
    <w:p w:rsidR="00000000" w:rsidRDefault="00D718D0" w:rsidP="00BA3E8B">
      <w:r>
        <w:t>Formålet med redegjørelsesplikten er å skjerpe oppm</w:t>
      </w:r>
      <w:r>
        <w:t>erksomheten rundt likestilling og skape mer syst</w:t>
      </w:r>
      <w:r>
        <w:t>e</w:t>
      </w:r>
      <w:r>
        <w:t>matisk tilnærming til arbeidet med det i virksomheten. Likestillingsredegjørelsen har også kontrollfun</w:t>
      </w:r>
      <w:r>
        <w:t>k</w:t>
      </w:r>
      <w:r>
        <w:t>sjon. På bakgrunn av redegjørelsen skal en kunne vurdere om den ansvarlige har oppfylt aktivitetsplikten</w:t>
      </w:r>
      <w:r>
        <w:t>, jf. forarbeidene til likestillingsloven, Ot.prp. nr. 77 (2000–2001) side 24.</w:t>
      </w:r>
    </w:p>
    <w:p w:rsidR="00000000" w:rsidRDefault="00D718D0" w:rsidP="00BA3E8B">
      <w:pPr>
        <w:pStyle w:val="avsnitt-tittel"/>
      </w:pPr>
      <w:r>
        <w:t>Hvem som er omfattet av bestemmelsen</w:t>
      </w:r>
    </w:p>
    <w:p w:rsidR="00000000" w:rsidRDefault="00D718D0" w:rsidP="00BA3E8B">
      <w:r>
        <w:t>Departementet foreslår, for det første, at nærmere angitte arbeidsgivere pålegges en redegj</w:t>
      </w:r>
      <w:r>
        <w:t>ø</w:t>
      </w:r>
      <w:r>
        <w:t>relsesplikt. Departementet foreslo i høringsnota</w:t>
      </w:r>
      <w:r>
        <w:t>tet en redegjørelsesplikt for arbeidsgivere som skal følge den lovr</w:t>
      </w:r>
      <w:r>
        <w:t>e</w:t>
      </w:r>
      <w:r>
        <w:t>gulerte arbeidsmetoden.</w:t>
      </w:r>
    </w:p>
    <w:p w:rsidR="00000000" w:rsidRDefault="00D718D0" w:rsidP="00BA3E8B">
      <w:r>
        <w:t xml:space="preserve">Departementet fremmer med dette et forslag om at arbeidsgivere i private virksomheter med mellom 20 og 50 ansatte får dokumentasjonsplikt, men slik at dersom en av </w:t>
      </w:r>
      <w:r>
        <w:t>arbeidslivets parter i virksomheten krever det får de en redegjørelsesplikt. Arbeidsgivere i offentlige virksomheter og i private virksomheter med mer enn 50 ansatte får redegjørelsesplikt. Det vises til kapittel 3.5.2.4 hvor det gis en nærmere drø</w:t>
      </w:r>
      <w:r>
        <w:t>f</w:t>
      </w:r>
      <w:r>
        <w:t>telse a</w:t>
      </w:r>
      <w:r>
        <w:t xml:space="preserve">v hvordan «offentlig virksomhet» og «privat virksomhet» skal </w:t>
      </w:r>
      <w:r>
        <w:lastRenderedPageBreak/>
        <w:t>forstås. Likestillingsredegjørelsen skal omfatte de driftsenhetene i den enkelte virksomhet a</w:t>
      </w:r>
      <w:r>
        <w:t>r</w:t>
      </w:r>
      <w:r>
        <w:t>beidsgiver har det formelle arbeidsgiveransvaret for. Redegjørelsen skal gis hvert år.</w:t>
      </w:r>
    </w:p>
    <w:p w:rsidR="00000000" w:rsidRDefault="00D718D0" w:rsidP="00BA3E8B">
      <w:r>
        <w:t>En rekke hørin</w:t>
      </w:r>
      <w:r>
        <w:t>gsinstanser har gitt uttrykk for at partssamarbeidet ikke bør involveres i aktiv</w:t>
      </w:r>
      <w:r>
        <w:t>i</w:t>
      </w:r>
      <w:r>
        <w:t>tetspli</w:t>
      </w:r>
      <w:r>
        <w:t>k</w:t>
      </w:r>
      <w:r>
        <w:t>ten, men at arbeidet isteden bør være obligatorisk. Dette bl.a. for å unngå risikoen av at partene havner i interess</w:t>
      </w:r>
      <w:r>
        <w:t>e</w:t>
      </w:r>
      <w:r>
        <w:t xml:space="preserve">konflikter. Andre høringsinstanser mener at det i </w:t>
      </w:r>
      <w:r>
        <w:t>små virksomheter kan være krevende for de ansatte å kreve at arbeidsgiveren skal bruke arbeidsmetoden. De er kritiske til at ansatte kan kreve at arbeidsgiver iverksetter tiltak, uten nærmere begrunnelse. De samme argumentene kan anses å være relevante for</w:t>
      </w:r>
      <w:r>
        <w:t xml:space="preserve"> redegjørelsesplikten. Enkelte høringsinstanser mener at redegjørelsesplikten skal gjelde alle arbeidsgivere med mer enn 20 ansatte. Departementet mener likevel at en slik innretning vil sikre fleks</w:t>
      </w:r>
      <w:r>
        <w:t>i</w:t>
      </w:r>
      <w:r>
        <w:t>bilitet og tilrettelegge for at de lokale fo</w:t>
      </w:r>
      <w:r>
        <w:t>r</w:t>
      </w:r>
      <w:r>
        <w:t>ho</w:t>
      </w:r>
      <w:r>
        <w:t>l</w:t>
      </w:r>
      <w:r>
        <w:t>dene på a</w:t>
      </w:r>
      <w:r>
        <w:t>rbeidsplassen kan tillegges vekt. Dette kan anses som en god mellomløsning, idet det er vanskelig å finne det rette nivået for dokumentasjons- og redegjørelse</w:t>
      </w:r>
      <w:r>
        <w:t>s</w:t>
      </w:r>
      <w:r>
        <w:t>plikten. Departementet gjør også oppmerksom på at EU-rettslige føringer oppmuntrer til dialog med</w:t>
      </w:r>
      <w:r>
        <w:t xml:space="preserve"> a</w:t>
      </w:r>
      <w:r>
        <w:t>r</w:t>
      </w:r>
      <w:r>
        <w:t>beidslivets parter for å fremme likestilling på arbeid</w:t>
      </w:r>
      <w:r>
        <w:t>s</w:t>
      </w:r>
      <w:r>
        <w:t>plassen, se kapittel 3.3.1.</w:t>
      </w:r>
    </w:p>
    <w:p w:rsidR="00000000" w:rsidRDefault="00D718D0" w:rsidP="00BA3E8B">
      <w:r>
        <w:t>Departementet fremhever at Likestillings- og diskrimineringsombudets anledning til å følge opp op</w:t>
      </w:r>
      <w:r>
        <w:t>p</w:t>
      </w:r>
      <w:r>
        <w:t>fyllelsen av aktivitets- og dokumentasjonsplikten, vil veie opp for at r</w:t>
      </w:r>
      <w:r>
        <w:t>edegjørelsesplikten ikke gjelder alle arbeidsg</w:t>
      </w:r>
      <w:r>
        <w:t>i</w:t>
      </w:r>
      <w:r>
        <w:t>vere.</w:t>
      </w:r>
    </w:p>
    <w:p w:rsidR="00000000" w:rsidRDefault="00D718D0" w:rsidP="00BA3E8B">
      <w:pPr>
        <w:pStyle w:val="avsnitt-tittel"/>
      </w:pPr>
      <w:r>
        <w:t>Hva skal det gis en redegjørelse for</w:t>
      </w:r>
    </w:p>
    <w:p w:rsidR="00000000" w:rsidRDefault="00D718D0" w:rsidP="00BA3E8B">
      <w:r>
        <w:t>Departementet foreslår at de nevnte arbeidsgivere skal redegjøre, for det første, for den faktiske tilstanden når det gjelder kjønnslikestilling i virksomheten, og, f</w:t>
      </w:r>
      <w:r>
        <w:t>or det andre, hva de gjør for å oppfylle aktivitet</w:t>
      </w:r>
      <w:r>
        <w:t>s</w:t>
      </w:r>
      <w:r>
        <w:t>plikten etter likestillings- og diskrimineringsloven § 26.</w:t>
      </w:r>
    </w:p>
    <w:p w:rsidR="00000000" w:rsidRDefault="00D718D0" w:rsidP="00BA3E8B">
      <w:pPr>
        <w:pStyle w:val="avsnitt-tittel"/>
      </w:pPr>
      <w:r>
        <w:t>Faktisk tilstand for kjønnslikestilling</w:t>
      </w:r>
    </w:p>
    <w:p w:rsidR="00000000" w:rsidRDefault="00D718D0" w:rsidP="00BA3E8B">
      <w:r>
        <w:t>En redegjørelse for den faktiske tilstanden for kjønn skal gi mer detaljert informasjon om status for kjøn</w:t>
      </w:r>
      <w:r>
        <w:t>nslikestilling i virksomheten. Det vil, av personvernhensyn, ikke være aktuelt å pålegge arbeidsgivere en plikt å utarbeide en tilstandsrapport knyttet til de andre diskrimineringsgrun</w:t>
      </w:r>
      <w:r>
        <w:t>n</w:t>
      </w:r>
      <w:r>
        <w:t>lagene, enn kjønn.</w:t>
      </w:r>
    </w:p>
    <w:p w:rsidR="00000000" w:rsidRDefault="00D718D0" w:rsidP="00BA3E8B">
      <w:r>
        <w:t>Det uttales i forarbeidene til likestillingsloven, j</w:t>
      </w:r>
      <w:r>
        <w:t>f. Ot.prp. nr. 77 (2000–2001) kapittel 5.6.3 at:</w:t>
      </w:r>
    </w:p>
    <w:p w:rsidR="00000000" w:rsidRDefault="00D718D0" w:rsidP="00BA3E8B">
      <w:pPr>
        <w:pStyle w:val="blokksit"/>
      </w:pPr>
      <w:r>
        <w:t>«Hvor omfattende omtalen skal være må tilpasses virksomhetens størrelse, slik at jo større vir</w:t>
      </w:r>
      <w:r>
        <w:t>k</w:t>
      </w:r>
      <w:r>
        <w:t>somhet det er tale om, dess mer kan en forvente av omtalen. Videre vil det kunne stilles større krav til offentl</w:t>
      </w:r>
      <w:r>
        <w:t>ige virksomheters redegjørelse».</w:t>
      </w:r>
    </w:p>
    <w:p w:rsidR="00000000" w:rsidRDefault="00D718D0" w:rsidP="00BA3E8B">
      <w:r>
        <w:t>Det samme utgangspunktet skal gjelde også for den foreslåtte redegjørelsesplikten i denne lo</w:t>
      </w:r>
      <w:r>
        <w:t>v</w:t>
      </w:r>
      <w:r>
        <w:t>propos</w:t>
      </w:r>
      <w:r>
        <w:t>i</w:t>
      </w:r>
      <w:r>
        <w:t>sjonen.</w:t>
      </w:r>
    </w:p>
    <w:p w:rsidR="00000000" w:rsidRDefault="00D718D0" w:rsidP="00BA3E8B">
      <w:r>
        <w:t>Redegjørelsen for status om kjønnslikestilling skal inneholde opplysninger om kjønnsbalanse i vir</w:t>
      </w:r>
      <w:r>
        <w:t>k</w:t>
      </w:r>
      <w:r>
        <w:t>somheten, om resu</w:t>
      </w:r>
      <w:r>
        <w:t>ltatene etter lønnskartlegging fordelt på kjønn og om resultatene etter kartleggingen av ufrivillig deltidsarbeid. I tillegg skal andelen deltidsarbeid, andelen av mi</w:t>
      </w:r>
      <w:r>
        <w:t>d</w:t>
      </w:r>
      <w:r>
        <w:t>lertidig ansettelse, andelen fo</w:t>
      </w:r>
      <w:r>
        <w:t>r</w:t>
      </w:r>
      <w:r>
        <w:t>eldrepermisjon i virksomheten oppgis i redegjørelsen. For</w:t>
      </w:r>
      <w:r>
        <w:t xml:space="preserve"> å få en nyttig oversikt er det viktig at andelene av hvert kjønn på hver element oppgis, i den aktuelle virksomheten. Dette er et obligatorisk minimumskrav for de arbeidsgivere som er pålagt å følge arbeidsmetoden etter den foreslåtte, reviderte likestill</w:t>
      </w:r>
      <w:r>
        <w:t xml:space="preserve">ings- og diskrimineringsloven § 26 annet </w:t>
      </w:r>
      <w:r>
        <w:lastRenderedPageBreak/>
        <w:t>ledd. For andre arbeidsgivere vil dette være veiledende retningslinjer, som kan justeres og ti</w:t>
      </w:r>
      <w:r>
        <w:t>l</w:t>
      </w:r>
      <w:r>
        <w:t>passes etter virksomhetens størrelse og utfordringsbildet i den aktuelle virkso</w:t>
      </w:r>
      <w:r>
        <w:t>m</w:t>
      </w:r>
      <w:r>
        <w:t>heten.</w:t>
      </w:r>
    </w:p>
    <w:p w:rsidR="00000000" w:rsidRDefault="00D718D0" w:rsidP="00BA3E8B">
      <w:r>
        <w:t>Dette er ikke en uttømmende oppre</w:t>
      </w:r>
      <w:r>
        <w:t xml:space="preserve">gning av de faktiske forholdene knyttet til kjønnslikestilling, som kan eller bør tas med i redegjørelsen. Departementet påpeker at også andre forhold kan tas med i en slik redegjørelse. Det vises til forarbeidene til den tidligere likestillingsloven hvor </w:t>
      </w:r>
      <w:r>
        <w:t>det nevnes eksempler av forhold det skal gis en redegjørelse for, jf. Ot.prp. nr. 77 (2000–2001), kapittel 5.6.3. I tillegg til forholdene nevnt ovenfor nevner forarbeidene rekruttering, avans</w:t>
      </w:r>
      <w:r>
        <w:t>e</w:t>
      </w:r>
      <w:r>
        <w:t>ment, arbeidskraftbehov, sykefravær og videreu</w:t>
      </w:r>
      <w:r>
        <w:t>t</w:t>
      </w:r>
      <w:r>
        <w:t>danning. Det sie</w:t>
      </w:r>
      <w:r>
        <w:t>s i fora</w:t>
      </w:r>
      <w:r>
        <w:t>r</w:t>
      </w:r>
      <w:r>
        <w:t>beidene Ot.prp. nr. 77 (2000–2001), kapittel 5.6.3 at:</w:t>
      </w:r>
    </w:p>
    <w:p w:rsidR="00000000" w:rsidRDefault="00D718D0" w:rsidP="00BA3E8B">
      <w:pPr>
        <w:pStyle w:val="blokksit"/>
      </w:pPr>
      <w:r>
        <w:t>« Bruken av videreutdanning bør beskrives både med tanke på tidsforbruk og kostnader, og hvordan denne ressursbruken fordeler seg på de ansatte.»</w:t>
      </w:r>
    </w:p>
    <w:p w:rsidR="00000000" w:rsidRDefault="00D718D0" w:rsidP="00BA3E8B">
      <w:r>
        <w:t>Disse forholdene kan vurderes inntatt i redegj</w:t>
      </w:r>
      <w:r>
        <w:t>ørelsen.</w:t>
      </w:r>
    </w:p>
    <w:p w:rsidR="00000000" w:rsidRDefault="00D718D0" w:rsidP="00BA3E8B">
      <w:pPr>
        <w:pStyle w:val="avsnitt-tittel"/>
      </w:pPr>
      <w:r>
        <w:t>Hva arbeidsgiver må gjøre for å oppfylle aktivitetsplikten</w:t>
      </w:r>
    </w:p>
    <w:p w:rsidR="00000000" w:rsidRDefault="00D718D0" w:rsidP="00BA3E8B">
      <w:r>
        <w:t>Arbeidsgivere skal redegjøre for «</w:t>
      </w:r>
      <w:r>
        <w:rPr>
          <w:rStyle w:val="kursiv"/>
          <w:sz w:val="21"/>
          <w:szCs w:val="21"/>
        </w:rPr>
        <w:t>hva de gjør</w:t>
      </w:r>
      <w:r>
        <w:t>» for å oppfylle aktivitetsplikten etter likestillings- og diskr</w:t>
      </w:r>
      <w:r>
        <w:t>i</w:t>
      </w:r>
      <w:r>
        <w:t>mineringsloven § 26, jf. forslag til ny § </w:t>
      </w:r>
      <w:r>
        <w:t>26 a i likestillings- og diskrimineringsloven. Dette omfatter, som i dag, opplysninger om planlagte og iverksatte tiltak, jf. den gjeldende l</w:t>
      </w:r>
      <w:r>
        <w:t>i</w:t>
      </w:r>
      <w:r>
        <w:t xml:space="preserve">kestillings- og diskrimineringsloven § 26 a første ledd bokstav b og andre ledd. Dette innebærer at det må gis en </w:t>
      </w:r>
      <w:r>
        <w:t>beskrivelse av, og opply</w:t>
      </w:r>
      <w:r>
        <w:t>s</w:t>
      </w:r>
      <w:r>
        <w:t>ninger om, hva arbeidsgiveren gjør for å ivareta he</w:t>
      </w:r>
      <w:r>
        <w:t>n</w:t>
      </w:r>
      <w:r>
        <w:t>synet til likestilling og ikke-diskriminering i sin pe</w:t>
      </w:r>
      <w:r>
        <w:t>r</w:t>
      </w:r>
      <w:r>
        <w:t>sonalpolitikk, herunder bl.a. rekruttering, lønns- og arbeidsvilkår, forfremmelse, utviklingsmuligheter, tilrettelegging, mu</w:t>
      </w:r>
      <w:r>
        <w:t>lighet for å kombinere arbeid og familieliv, og forebygging av trakassering, jf. § 26 første ledd siste punktum. Det kan være hensiktsmessig å benytte seg av statistikk for fremstilling av opply</w:t>
      </w:r>
      <w:r>
        <w:t>s</w:t>
      </w:r>
      <w:r>
        <w:t>ningene. Redegjørelsen skal omfatte alle diskrimineringsgrunn</w:t>
      </w:r>
      <w:r>
        <w:t>lagene, jf. likestillings- og di</w:t>
      </w:r>
      <w:r>
        <w:t>s</w:t>
      </w:r>
      <w:r>
        <w:t>krim</w:t>
      </w:r>
      <w:r>
        <w:t>i</w:t>
      </w:r>
      <w:r>
        <w:t>neringsloven § 26.</w:t>
      </w:r>
    </w:p>
    <w:p w:rsidR="00000000" w:rsidRDefault="00D718D0" w:rsidP="00BA3E8B">
      <w:r>
        <w:t>Departementet understreker at arbeidsgiver som er omfattet av redegjørelsesplikten, skal ha en bevisst politikk på likestillingsområdet. Dette betyr at arbeidsgiver skal utarbeide retningslinjer, pri</w:t>
      </w:r>
      <w:r>
        <w:t>nsipper, pr</w:t>
      </w:r>
      <w:r>
        <w:t>o</w:t>
      </w:r>
      <w:r>
        <w:t>sedyrer og standarder for sitt arbeid med likestilling. Redegjørelsen skal videre inneholde opplysninger om retningslinjer, prinsipper, prosedyrer og standarder arbeidsgiver benytter for å ivareta de nevnte hens</w:t>
      </w:r>
      <w:r>
        <w:t>y</w:t>
      </w:r>
      <w:r>
        <w:t>nene i sin daglige drift og pers</w:t>
      </w:r>
      <w:r>
        <w:t>onalpolitikk. Arbeidsgiver skal videre opplyse om hvordan virksomheten arbeider for å operasjon</w:t>
      </w:r>
      <w:r>
        <w:t>a</w:t>
      </w:r>
      <w:r>
        <w:t>lisere likestillingspol</w:t>
      </w:r>
      <w:r>
        <w:t>i</w:t>
      </w:r>
      <w:r>
        <w:t>tikken til handling, herunder hvordan den obligatoriske arbeidsmetoden etter likesti</w:t>
      </w:r>
      <w:r>
        <w:t>l</w:t>
      </w:r>
      <w:r>
        <w:t>lings- og diskrimineringsloven § 26 andre ledd, pra</w:t>
      </w:r>
      <w:r>
        <w:t>ktiseres. Arbeidsgiver skal i redegjørelsen gi en vu</w:t>
      </w:r>
      <w:r>
        <w:t>r</w:t>
      </w:r>
      <w:r>
        <w:t>dering av resultatene som er oppnådd, og opplyse om forventninger til dette a</w:t>
      </w:r>
      <w:r>
        <w:t>r</w:t>
      </w:r>
      <w:r>
        <w:t>beidet framover.</w:t>
      </w:r>
    </w:p>
    <w:p w:rsidR="00000000" w:rsidRDefault="00D718D0" w:rsidP="00BA3E8B">
      <w:r>
        <w:t>Departementets forslag om arbeidsgivers plikt til å redegjøre for «</w:t>
      </w:r>
      <w:r>
        <w:rPr>
          <w:rStyle w:val="kursiv"/>
          <w:sz w:val="21"/>
          <w:szCs w:val="21"/>
        </w:rPr>
        <w:t>hva de gjør</w:t>
      </w:r>
      <w:r>
        <w:t>» for å oppfylle aktivitet</w:t>
      </w:r>
      <w:r>
        <w:t>s</w:t>
      </w:r>
      <w:r>
        <w:t>pli</w:t>
      </w:r>
      <w:r>
        <w:t>kten etter § 26, har klare likhetstrekk med plikten til å redegjøre for samfunnsansvar etter regnskap</w:t>
      </w:r>
      <w:r>
        <w:t>s</w:t>
      </w:r>
      <w:r>
        <w:t>loven § 3–3 c. Departementets forslag til arbeidsgivers redegjørelsesplikt baserer seg på en erkjennelse av at virksomheter er en integrert del av det sam</w:t>
      </w:r>
      <w:r>
        <w:t>funnet de opererer i. Fo</w:t>
      </w:r>
      <w:r>
        <w:t>r</w:t>
      </w:r>
      <w:r>
        <w:t>slaget signaliserer, som Bufdir også påpeker i sitt h</w:t>
      </w:r>
      <w:r>
        <w:t>ø</w:t>
      </w:r>
      <w:r>
        <w:t>ringssvar, at likestilling i arbeidslivet er viktig for utviklingen av et bærekraftig samfunn. Likestilling i a</w:t>
      </w:r>
      <w:r>
        <w:t>r</w:t>
      </w:r>
      <w:r>
        <w:t>beidslivet, der alle gis en m</w:t>
      </w:r>
      <w:r>
        <w:t>u</w:t>
      </w:r>
      <w:r>
        <w:t>lighet til å delta og bidra, er vik</w:t>
      </w:r>
      <w:r>
        <w:t xml:space="preserve">tig for økt produktivitet og økonomisk vekst. Arbeidsgivers redegjørelsesplikt er likevel mer forpliktende i det at arbeidsgivere, som er omfattet av plikten, </w:t>
      </w:r>
      <w:r>
        <w:lastRenderedPageBreak/>
        <w:t>skal ha en bevisst politikk på likestillingsområdet. Videre er bestemmelsen om arbeidsgivers rede</w:t>
      </w:r>
      <w:r>
        <w:t>gjørelse</w:t>
      </w:r>
      <w:r>
        <w:t>s</w:t>
      </w:r>
      <w:r>
        <w:t>plikt avgrenset i samsvar med likestillings- og diskrimineringslovens geogr</w:t>
      </w:r>
      <w:r>
        <w:t>a</w:t>
      </w:r>
      <w:r>
        <w:t>fiske virkeområde. Det saklige virkeområdet er avgrenset, slik at redegjørelsesplikten gjelder de forho</w:t>
      </w:r>
      <w:r>
        <w:t>l</w:t>
      </w:r>
      <w:r>
        <w:t>dene som fremgår av likestillings- og diskrimineringsloven § 26.</w:t>
      </w:r>
    </w:p>
    <w:p w:rsidR="00000000" w:rsidRDefault="00D718D0" w:rsidP="00BA3E8B">
      <w:pPr>
        <w:pStyle w:val="avsnitt-tittel"/>
      </w:pPr>
      <w:r>
        <w:t>Hv</w:t>
      </w:r>
      <w:r>
        <w:t>or redegjørelsen skal gis</w:t>
      </w:r>
    </w:p>
    <w:p w:rsidR="00000000" w:rsidRDefault="00D718D0" w:rsidP="00BA3E8B">
      <w:r>
        <w:t>Etter departementets vurdering er nødvendig at det lovfestes bestemmelser som regulerer hvor redegj</w:t>
      </w:r>
      <w:r>
        <w:t>ø</w:t>
      </w:r>
      <w:r>
        <w:t>relsen skal gis. Departementet fremmer, for det tredje, forslag om at likestillingsred</w:t>
      </w:r>
      <w:r>
        <w:t>e</w:t>
      </w:r>
      <w:r>
        <w:t>gjørelsen gis i år</w:t>
      </w:r>
      <w:r>
        <w:t>s</w:t>
      </w:r>
      <w:r>
        <w:t>beretningen eller i et a</w:t>
      </w:r>
      <w:r>
        <w:t>nnet offentlig tilgjengelig dokument. Dersom redegj</w:t>
      </w:r>
      <w:r>
        <w:t>ø</w:t>
      </w:r>
      <w:r>
        <w:t>relsen gis i annet offentlig tilgjengelig dokument, og foretaket har en plikt til å levere årsbere</w:t>
      </w:r>
      <w:r>
        <w:t>t</w:t>
      </w:r>
      <w:r>
        <w:t>ning, skal det opplyses i årsberetningen hvor dokumentet finnes offentlig tilgjengelig.</w:t>
      </w:r>
    </w:p>
    <w:p w:rsidR="00000000" w:rsidRDefault="00D718D0" w:rsidP="00BA3E8B">
      <w:r>
        <w:t>Når likestillings</w:t>
      </w:r>
      <w:r>
        <w:t>redegjørelsen gis i et annet offentlig tilgjengelig dokument kan denne i praksis publ</w:t>
      </w:r>
      <w:r>
        <w:t>i</w:t>
      </w:r>
      <w:r>
        <w:t>seres f.eks. på virksomhetens hjemmeside. Dette åpner for at virksomhetene, på sikt, kan vurdere å avgi en samlet redegjørelse om sitt likestillingsarbeid, som omfatter b</w:t>
      </w:r>
      <w:r>
        <w:t>åde redegjørelsen om arbeidsgivers arbeid med lik</w:t>
      </w:r>
      <w:r>
        <w:t>e</w:t>
      </w:r>
      <w:r>
        <w:t>stilling etter likestillings- og diskrimineringsloven § 26 a, og tilgjengelighetserklæringen om i hvilken grad virksomhetens nettløsning er universelt utformet, jf. WAD-direktivet artikkel 7, der det fremgå</w:t>
      </w:r>
      <w:r>
        <w:t>r at tilgjeng</w:t>
      </w:r>
      <w:r>
        <w:t>e</w:t>
      </w:r>
      <w:r>
        <w:t>lighetserklæringen skal publiseres på virksomhetens relevante nettsted. Det vises til omtalen av WAD-direktivet i kapittel 8.2.4.9.</w:t>
      </w:r>
    </w:p>
    <w:p w:rsidR="00000000" w:rsidRDefault="00D718D0" w:rsidP="00BA3E8B">
      <w:r>
        <w:t>Arbeidsgivere i regnskapspliktige foretak som ikke har en plikt til å levere årsberetning, skal gi red</w:t>
      </w:r>
      <w:r>
        <w:t>e</w:t>
      </w:r>
      <w:r>
        <w:t>gjørels</w:t>
      </w:r>
      <w:r>
        <w:t>en i et annet offentlig tilgjengelig dokument. Arbeidsgivere i offentlige virksomheter som ikke l</w:t>
      </w:r>
      <w:r>
        <w:t>e</w:t>
      </w:r>
      <w:r>
        <w:t>verer en år</w:t>
      </w:r>
      <w:r>
        <w:t>s</w:t>
      </w:r>
      <w:r>
        <w:t>beretning, skal gi redegjørelsen i årsrapport eller i et annet offentlig ti</w:t>
      </w:r>
      <w:r>
        <w:t>l</w:t>
      </w:r>
      <w:r>
        <w:t>gjengelig dokument.</w:t>
      </w:r>
    </w:p>
    <w:p w:rsidR="00000000" w:rsidRDefault="00D718D0" w:rsidP="00BA3E8B">
      <w:r>
        <w:t>I høringsnotatet foreslo departementet å ta inn en</w:t>
      </w:r>
      <w:r>
        <w:t xml:space="preserve"> bestemmelse om begrenset offentlighet av likesti</w:t>
      </w:r>
      <w:r>
        <w:t>l</w:t>
      </w:r>
      <w:r>
        <w:t>lingsr</w:t>
      </w:r>
      <w:r>
        <w:t>e</w:t>
      </w:r>
      <w:r>
        <w:t>degjørelsen. Departementet understreker at likestillingsredegjørelsen som gis i årsberetningen, eller som publiseres i et annet offentlig tilgjengelig dokument f.eks. på vir</w:t>
      </w:r>
      <w:r>
        <w:t>k</w:t>
      </w:r>
      <w:r>
        <w:t>somhetens hjemmeside, ska</w:t>
      </w:r>
      <w:r>
        <w:t>l omtale hva arbeidsgiveren gjør for å oppfylle aktivitetsplikten etter likestillings- og diskrimineringsloven § 26. Slik redegjørelse skal gis i anonymisert form. He</w:t>
      </w:r>
      <w:r>
        <w:t>n</w:t>
      </w:r>
      <w:r>
        <w:t>synet bak anonymisering et at personopplysninger om den enkelte ansattes lønn eller en pe</w:t>
      </w:r>
      <w:r>
        <w:t>rsons etnisitet, religion, livssyn, helse og nedsatt funksjonsevne, seksuell orientering, kjønnsidentitet eller kjønnsuttrykk, ikke skal røpes. Dette skal fremgå av loven. Det vises til omtalen av pe</w:t>
      </w:r>
      <w:r>
        <w:t>r</w:t>
      </w:r>
      <w:r>
        <w:t>sonvern og lønnsopplysinger i kapittel 3.7.2.4.</w:t>
      </w:r>
    </w:p>
    <w:p w:rsidR="00000000" w:rsidRDefault="00D718D0" w:rsidP="00BA3E8B">
      <w:pPr>
        <w:pStyle w:val="avsnitt-tittel"/>
      </w:pPr>
      <w:r>
        <w:t>Elektron</w:t>
      </w:r>
      <w:r>
        <w:t>isk tilgang og redegjørelse</w:t>
      </w:r>
    </w:p>
    <w:p w:rsidR="00000000" w:rsidRDefault="00D718D0" w:rsidP="00BA3E8B">
      <w:r>
        <w:t>Noen høringsinstanser har vist til at digitale løsninger kan bidra til å redusere etterlevelse</w:t>
      </w:r>
      <w:r>
        <w:t>s</w:t>
      </w:r>
      <w:r>
        <w:t>kostandene for næringslivet. Departementet mener at det bør, på sikt, utredes om det er mulig å utvikle digitale løsninger for samlet</w:t>
      </w:r>
      <w:r>
        <w:t xml:space="preserve"> redegjørelse på likestillingsområdet. Dette av hensyn til å effektivisere administrative arbeid</w:t>
      </w:r>
      <w:r>
        <w:t>s</w:t>
      </w:r>
      <w:r>
        <w:t>prosesser i virksomheter. Det kan, som Bufdir påpeker, vurderes å igangsette et arbeid for å utvikle en standard for elektronisk redegjørelse på pers</w:t>
      </w:r>
      <w:r>
        <w:t>o</w:t>
      </w:r>
      <w:r>
        <w:t>nalområde</w:t>
      </w:r>
      <w:r>
        <w:t>t, slik at en tilstandsrapport enkelt kan hentes ut av datasystemet. I så tilfelle bør det faglige innholdet vurderes, og indikatorer til den standardiserte red</w:t>
      </w:r>
      <w:r>
        <w:t>e</w:t>
      </w:r>
      <w:r>
        <w:t>gjørelsen utvikles.</w:t>
      </w:r>
    </w:p>
    <w:p w:rsidR="00000000" w:rsidRDefault="00D718D0" w:rsidP="00BA3E8B">
      <w:r>
        <w:t>Forslaget medfører en gjeninnførelse av redegjørelsesplikten for arbeidsgiv</w:t>
      </w:r>
      <w:r>
        <w:t>ere i private vir</w:t>
      </w:r>
      <w:r>
        <w:t>k</w:t>
      </w:r>
      <w:r>
        <w:t xml:space="preserve">somheter med mellom 20 og 50 ansatte, når en av arbeidslivets parter krever det. Virksomhetene </w:t>
      </w:r>
      <w:r>
        <w:lastRenderedPageBreak/>
        <w:t>som har en plikt til å levere årsberetning kan velge å gi sin redegjørelse i årsberetning eller i et annet offentlig tilgjengelig dokument.</w:t>
      </w:r>
    </w:p>
    <w:p w:rsidR="00000000" w:rsidRDefault="00D718D0" w:rsidP="00BA3E8B">
      <w:r>
        <w:t>Dep</w:t>
      </w:r>
      <w:r>
        <w:t>artementet viser til at det er satt i gang et arbeid for å gjennomføre et EU-direktiv om un</w:t>
      </w:r>
      <w:r>
        <w:t>i</w:t>
      </w:r>
      <w:r>
        <w:t>versell utforming av nettsteder og mobilapplikasjoner («Web Accessibility Directive»), som skal bedre tilgjeng</w:t>
      </w:r>
      <w:r>
        <w:t>e</w:t>
      </w:r>
      <w:r>
        <w:t>ligheten for nettsidene både for personer med nedsatt</w:t>
      </w:r>
      <w:r>
        <w:t xml:space="preserve"> funksjonsevne, og for andre. WAD-direktivet er EØS-relevant og vil bli innlemmet i EØS-avtalen. Direktivet stiller krav om at offentlige organer skal avgi en tilgjengelighetse</w:t>
      </w:r>
      <w:r>
        <w:t>r</w:t>
      </w:r>
      <w:r>
        <w:t xml:space="preserve">klæring – en form for redegjørelsesplikt, som skal publiseres på virksomhetens </w:t>
      </w:r>
      <w:r>
        <w:t>nettsted. Egenerklæringen skal gi informasjon om den enkelte virksomhet oppfyller kravene til universell utforming eller ikke, og vil utgjøre en status for i hvilken grad nettløsningen er universelt utformet, jf. WAD-direktivet artikkel 7(1) bokstav (a).</w:t>
      </w:r>
    </w:p>
    <w:p w:rsidR="00000000" w:rsidRDefault="00D718D0" w:rsidP="00BA3E8B">
      <w:r>
        <w:t>E</w:t>
      </w:r>
      <w:r>
        <w:t>tter departementets vurdering skal det åpnes for at virksomhetene, dersom de ønsker det, kan sa</w:t>
      </w:r>
      <w:r>
        <w:t>m</w:t>
      </w:r>
      <w:r>
        <w:t>ordne WAD-direktivets opplysningsplikt med arbeidsgivers redegjørelsesplikt, jf. likesti</w:t>
      </w:r>
      <w:r>
        <w:t>l</w:t>
      </w:r>
      <w:r>
        <w:t>lings- og diskr</w:t>
      </w:r>
      <w:r>
        <w:t>i</w:t>
      </w:r>
      <w:r>
        <w:t>min</w:t>
      </w:r>
      <w:r>
        <w:t>e</w:t>
      </w:r>
      <w:r>
        <w:t xml:space="preserve">ringsloven § 26 a, og opplyse om kravene samlet på </w:t>
      </w:r>
      <w:r>
        <w:t>sitt nettsted (hjemm</w:t>
      </w:r>
      <w:r>
        <w:t>e</w:t>
      </w:r>
      <w:r>
        <w:t>side). KMD og BLD skal sende et lovforslag om gjennomføring av WAD-direktivet på høring i løpet av 2019.</w:t>
      </w:r>
    </w:p>
    <w:p w:rsidR="00000000" w:rsidRDefault="00D718D0" w:rsidP="00BA3E8B">
      <w:r>
        <w:t>For å styrke fremtidig utnytting av IKT til samfunnets beste, foreslås det en forskriftshjemmel, slik at eve</w:t>
      </w:r>
      <w:r>
        <w:t>n</w:t>
      </w:r>
      <w:r>
        <w:t>tuelle krav om standa</w:t>
      </w:r>
      <w:r>
        <w:t>rdisering og digitalisering av redegjørelsen på likestillingso</w:t>
      </w:r>
      <w:r>
        <w:t>m</w:t>
      </w:r>
      <w:r>
        <w:t>rådet, kan regul</w:t>
      </w:r>
      <w:r>
        <w:t>e</w:t>
      </w:r>
      <w:r>
        <w:t>res i forskrift.</w:t>
      </w:r>
    </w:p>
    <w:p w:rsidR="00000000" w:rsidRDefault="00D718D0" w:rsidP="00BA3E8B">
      <w:pPr>
        <w:pStyle w:val="avsnitt-undertittel"/>
      </w:pPr>
      <w:r>
        <w:t>Maler og skjemaer</w:t>
      </w:r>
    </w:p>
    <w:p w:rsidR="00000000" w:rsidRDefault="00D718D0" w:rsidP="00BA3E8B">
      <w:r>
        <w:t>For å sikre at formålet med redegjørelsesplikten oppnås, er det viktig at oppfølgingen blir enkel for de aktuelle virksomhetene. Det forutset</w:t>
      </w:r>
      <w:r>
        <w:t>tes derfor at det utarbeides maler og skjemaer for likestillingsred</w:t>
      </w:r>
      <w:r>
        <w:t>e</w:t>
      </w:r>
      <w:r>
        <w:t>gjørelsen, som er enkle å bruke både for store og små virksomheter.</w:t>
      </w:r>
    </w:p>
    <w:p w:rsidR="00000000" w:rsidRDefault="00D718D0" w:rsidP="00BA3E8B">
      <w:pPr>
        <w:pStyle w:val="Overskrift3"/>
      </w:pPr>
      <w:r>
        <w:t>Foretaks redegjørelsesplikt om samfunnsansvar</w:t>
      </w:r>
    </w:p>
    <w:p w:rsidR="00000000" w:rsidRDefault="00D718D0" w:rsidP="00BA3E8B">
      <w:pPr>
        <w:pStyle w:val="Overskrift4"/>
      </w:pPr>
      <w:r>
        <w:t>Innledning</w:t>
      </w:r>
    </w:p>
    <w:p w:rsidR="00000000" w:rsidRDefault="00D718D0" w:rsidP="00BA3E8B">
      <w:r>
        <w:t>Departementets forslag i hør</w:t>
      </w:r>
      <w:r>
        <w:t>ingsnotatet bygger overordnet på tanken om at likestilling og i</w:t>
      </w:r>
      <w:r>
        <w:t>k</w:t>
      </w:r>
      <w:r>
        <w:t>ke-diskriminering skal anses som en del av virksomheters samfunnsansvar. Det ble lagt til grunn at dette gjelder alle virksomheter, både store foretak, som i dag har en rapporteringsplikt om s</w:t>
      </w:r>
      <w:r>
        <w:t>amfunnsansvar etter reglene i regnskapsloven, og andre virksomheter, inkludert små foretak og offentlige virksomheter.</w:t>
      </w:r>
    </w:p>
    <w:p w:rsidR="00000000" w:rsidRDefault="00D718D0" w:rsidP="00BA3E8B">
      <w:pPr>
        <w:pStyle w:val="Overskrift4"/>
      </w:pPr>
      <w:r>
        <w:t>Gjeldende rett</w:t>
      </w:r>
    </w:p>
    <w:p w:rsidR="00000000" w:rsidRDefault="00D718D0" w:rsidP="00BA3E8B">
      <w:r>
        <w:t>Store regnskapspliktige foretak, jf. regnskapsloven § 1–5, har en plikt å redegjøre for sa</w:t>
      </w:r>
      <w:r>
        <w:t>m</w:t>
      </w:r>
      <w:r>
        <w:t>funnsansvar ett</w:t>
      </w:r>
      <w:r>
        <w:t>er reglene i regnskapsloven § 3–3 c. Det er fastsatt enkelte unntak fra rapport</w:t>
      </w:r>
      <w:r>
        <w:t>e</w:t>
      </w:r>
      <w:r>
        <w:t>ringskravet i § 3–3 c fjerde ledd, for foretak (datterselskap) som er del av et konsern. Beste</w:t>
      </w:r>
      <w:r>
        <w:t>m</w:t>
      </w:r>
      <w:r>
        <w:t>melsens første og andre ledd lyder slik:</w:t>
      </w:r>
    </w:p>
    <w:p w:rsidR="00000000" w:rsidRDefault="00D718D0" w:rsidP="00BA3E8B">
      <w:pPr>
        <w:pStyle w:val="blokksit"/>
      </w:pPr>
      <w:r>
        <w:t>«Store foretak skal redegjøre for hva fo</w:t>
      </w:r>
      <w:r>
        <w:t>retaket gjør for å integrere hensynet til menneskerettigh</w:t>
      </w:r>
      <w:r>
        <w:t>e</w:t>
      </w:r>
      <w:r>
        <w:t>ter, arbeidstakerrettigheter og sosiale forhold, det ytre miljø og bekjempelse av korrupsjon i sine forre</w:t>
      </w:r>
      <w:r>
        <w:t>t</w:t>
      </w:r>
      <w:r>
        <w:t>ningsstrategier, i sin daglige drift og i forholdet til sine interessenter. Redegjørelsen sk</w:t>
      </w:r>
      <w:r>
        <w:t>al minst inn</w:t>
      </w:r>
      <w:r>
        <w:t>e</w:t>
      </w:r>
      <w:r>
        <w:t>holde opplysninger om retningslinjer, prinsipper, prosedyrer og standarder foretaket benytter for å integrere de nevnte hensynene i sine forretningsstrategier, i sin daglige drift og i forholdet til sine i</w:t>
      </w:r>
      <w:r>
        <w:t>n</w:t>
      </w:r>
      <w:r>
        <w:t>teressenter. Foretak som har retnings</w:t>
      </w:r>
      <w:r>
        <w:t>linjer, prinsipper, prosedyrer og standa</w:t>
      </w:r>
      <w:r>
        <w:t>r</w:t>
      </w:r>
      <w:r>
        <w:lastRenderedPageBreak/>
        <w:t>der som nevnt skal i ti</w:t>
      </w:r>
      <w:r>
        <w:t>l</w:t>
      </w:r>
      <w:r>
        <w:t>legg opplyse om hvordan foretaket arbeider for å omsette disse til han</w:t>
      </w:r>
      <w:r>
        <w:t>d</w:t>
      </w:r>
      <w:r>
        <w:t>ling, gi en vurdering av resu</w:t>
      </w:r>
      <w:r>
        <w:t>l</w:t>
      </w:r>
      <w:r>
        <w:t>tatene som er oppnådd som følge av arbeidet med å integrere he</w:t>
      </w:r>
      <w:r>
        <w:t>n</w:t>
      </w:r>
      <w:r>
        <w:t>synene som er nevnt i først</w:t>
      </w:r>
      <w:r>
        <w:t>e punktum i sine forretningsstrategier, i sin daglige drift og i forholdet til sine interessenter, og opplyse om fo</w:t>
      </w:r>
      <w:r>
        <w:t>r</w:t>
      </w:r>
      <w:r>
        <w:t>ventninger til dette arbeidet framover.</w:t>
      </w:r>
    </w:p>
    <w:p w:rsidR="00000000" w:rsidRDefault="00D718D0" w:rsidP="00BA3E8B">
      <w:pPr>
        <w:pStyle w:val="blokksit"/>
      </w:pPr>
      <w:r>
        <w:t>Hvis foretaket ikke har retningslinjer, prinsipper, prosedyrer og standarder som nevnt, skal det opp</w:t>
      </w:r>
      <w:r>
        <w:t>lyses om dette.»</w:t>
      </w:r>
    </w:p>
    <w:p w:rsidR="00000000" w:rsidRDefault="00D718D0" w:rsidP="00BA3E8B">
      <w:r>
        <w:t>Forarbeidene til regnskapsloven, Prop. 48 L (2012–2013) merknader til § 3–3 c klargjør at opplysning</w:t>
      </w:r>
      <w:r>
        <w:t>s</w:t>
      </w:r>
      <w:r>
        <w:t>kravet først og fremst tar sikte på det arbeidet foretakene gjør frivillig, dvs. utover å holde reglene i de landene hvor de driver sin vi</w:t>
      </w:r>
      <w:r>
        <w:t>rksomhet. Foretakene trenger likevel ikke å a</w:t>
      </w:r>
      <w:r>
        <w:t>v</w:t>
      </w:r>
      <w:r>
        <w:t>grense samfunnsansvaret mot etterlevelse av lovkrav innenfor de temaene som definisjonen av samfunnsansvaret dekker.</w:t>
      </w:r>
    </w:p>
    <w:p w:rsidR="00000000" w:rsidRDefault="00D718D0" w:rsidP="00BA3E8B">
      <w:r>
        <w:t>Redegjørelsen skal omfatte opplysninger om foretaks samfunnsansvarspolicy, dvs. den skal inne</w:t>
      </w:r>
      <w:r>
        <w:t>holde op</w:t>
      </w:r>
      <w:r>
        <w:t>p</w:t>
      </w:r>
      <w:r>
        <w:t>lysninger om retningslinjer, prinsipper mv, som foretaket benytter for å integrere de nevnte hensynene og rettighetene i sine forretningsstrategier, i sin daglige drift mv. Rappo</w:t>
      </w:r>
      <w:r>
        <w:t>r</w:t>
      </w:r>
      <w:r>
        <w:t>teringskravene om samfunnsa</w:t>
      </w:r>
      <w:r>
        <w:t>n</w:t>
      </w:r>
      <w:r>
        <w:t>svar er mindre forpliktende i det at for</w:t>
      </w:r>
      <w:r>
        <w:t>etaket kan velge ikke å ha et bevisst samfunnsansvarspolicy oper</w:t>
      </w:r>
      <w:r>
        <w:t>a</w:t>
      </w:r>
      <w:r>
        <w:t>sjonalisert gjennom retningslinjer, prinsipper mv., og i</w:t>
      </w:r>
      <w:r>
        <w:t>m</w:t>
      </w:r>
      <w:r>
        <w:t>plementering av disse. Dette fremgår av b</w:t>
      </w:r>
      <w:r>
        <w:t>e</w:t>
      </w:r>
      <w:r>
        <w:t>stemmelsens andre ledd, der det stadfestes at dersom foretaket ikke har retningslinjer eller</w:t>
      </w:r>
      <w:r>
        <w:t xml:space="preserve"> prinsipper mv. skal det opplyses særskilt om dette.</w:t>
      </w:r>
    </w:p>
    <w:p w:rsidR="00000000" w:rsidRDefault="00D718D0" w:rsidP="00BA3E8B">
      <w:r>
        <w:t>Redegjørelsen skal gis i årsberetningen eller i et annet offentlig tilgjengelig dokument. Dersom red</w:t>
      </w:r>
      <w:r>
        <w:t>e</w:t>
      </w:r>
      <w:r>
        <w:t>gjørelsen gis i et annet offentlig tilgjengelig dokument, som f.eks. publiseres på virkso</w:t>
      </w:r>
      <w:r>
        <w:t>m</w:t>
      </w:r>
      <w:r>
        <w:t>hetens hjemm</w:t>
      </w:r>
      <w:r>
        <w:t>e</w:t>
      </w:r>
      <w:r>
        <w:t>side, skal det i årsberetningen opplyses hvor dokumentet finnes offentlig ti</w:t>
      </w:r>
      <w:r>
        <w:t>l</w:t>
      </w:r>
      <w:r>
        <w:t>gjengelig, jf. regnskapsloven § 3–3 c femte ledd og merknader til § 3–3 c, jf. Prop. 48 L (2012–2013).</w:t>
      </w:r>
    </w:p>
    <w:p w:rsidR="00000000" w:rsidRDefault="00D718D0" w:rsidP="00BA3E8B">
      <w:pPr>
        <w:pStyle w:val="Overskrift4"/>
      </w:pPr>
      <w:r>
        <w:t>Forslag i høringsnotatet</w:t>
      </w:r>
    </w:p>
    <w:p w:rsidR="00000000" w:rsidRDefault="00D718D0" w:rsidP="00BA3E8B">
      <w:r>
        <w:t>Departementets lovforslag i hør</w:t>
      </w:r>
      <w:r>
        <w:t>ingsnotatet innebærer at alle regnskapspliktige foretak skal være pålagt en redegjørelsesplikt om likestilling og ikke-diskriminering som en del av rapportering om samfunnsansvar, jf. forslag til ny § 24 a i likestillings- og diskrimineringsloven i hørings</w:t>
      </w:r>
      <w:r>
        <w:t>notatet. Hensikten med forslaget i høringsnotatet er at redegjørelsesplikten om likestilling etter regn</w:t>
      </w:r>
      <w:r>
        <w:t>s</w:t>
      </w:r>
      <w:r>
        <w:t>kapslovens regler om samfunnsa</w:t>
      </w:r>
      <w:r>
        <w:t>n</w:t>
      </w:r>
      <w:r>
        <w:t>svarsrapportering, utvides slik at også såkalte «små foretak» og «øvrige foretak», dvs. foretak som ikke er små eller sto</w:t>
      </w:r>
      <w:r>
        <w:t>re foretak i regnskapslovens forstand, er omfattet. Departementet påpeker at store foretak allerede er omfattet av pliktene. Det vises til regnskapsloven §§ 1–5 og 1–6.</w:t>
      </w:r>
    </w:p>
    <w:p w:rsidR="00000000" w:rsidRDefault="00D718D0" w:rsidP="00BA3E8B">
      <w:r>
        <w:t>Forslaget i høringsnotatet innebærer videre at store foretaks samfunnsansvarsrapporteri</w:t>
      </w:r>
      <w:r>
        <w:t>ngsplikt om likesti</w:t>
      </w:r>
      <w:r>
        <w:t>l</w:t>
      </w:r>
      <w:r>
        <w:t>ling tydeliggjøres ved at begrepene «likestilling» og «ikke-diskriminering» tas inn i regnskapsloven § 3–3 c første ledd.</w:t>
      </w:r>
    </w:p>
    <w:p w:rsidR="00000000" w:rsidRDefault="00D718D0" w:rsidP="00BA3E8B">
      <w:r>
        <w:t>Departementet uttalte i høringsnotatet, ved en inkurie, at likestilling og ikke-diskriminering ikke er omfattet av</w:t>
      </w:r>
      <w:r>
        <w:t xml:space="preserve"> store foretaks rapporteringskrav etter regnskapsloven § 3–3 c. Departementet understreker, som også noen høringsinstanser har pekt på, at likestilling og ikke-diskriminering er omfattet av opply</w:t>
      </w:r>
      <w:r>
        <w:t>s</w:t>
      </w:r>
      <w:r>
        <w:t>ningskravene som følger av regnskapsloven § 3–3 c. Dette gje</w:t>
      </w:r>
      <w:r>
        <w:t>lder både kravene som fremgår av regn</w:t>
      </w:r>
      <w:r>
        <w:t>s</w:t>
      </w:r>
      <w:r>
        <w:t>kapsloven § 3–3 a og likestillings- og diskrimineringsloven § 26 a (arbeidsgivers redegjørelsesplikt), og når det gjelder likestilling «mer generelt». Dette fremgår av forarbeidene til regnskapsloven, jf. Rapporten «Kr</w:t>
      </w:r>
      <w:r>
        <w:t xml:space="preserve">av til rapportering om samfunnsansvar» til </w:t>
      </w:r>
      <w:r>
        <w:lastRenderedPageBreak/>
        <w:t>Finansdepartementet fra arbeidsgruppen for rapportering om samfunnsansvar, avgitt oktober 2010. Små foretak eller øvrige foretak, dvs. foretak som ikke regnes som små eller store i regn</w:t>
      </w:r>
      <w:r>
        <w:t>s</w:t>
      </w:r>
      <w:r>
        <w:t>kapslovens forstand, er ikk</w:t>
      </w:r>
      <w:r>
        <w:t>e omfattet av plikten om å rapportere om sa</w:t>
      </w:r>
      <w:r>
        <w:t>m</w:t>
      </w:r>
      <w:r>
        <w:t>funnsansvar.</w:t>
      </w:r>
    </w:p>
    <w:p w:rsidR="00000000" w:rsidRDefault="00D718D0" w:rsidP="00BA3E8B">
      <w:pPr>
        <w:pStyle w:val="Overskrift4"/>
      </w:pPr>
      <w:r>
        <w:t>Høringsinstansenes syn</w:t>
      </w:r>
    </w:p>
    <w:p w:rsidR="00000000" w:rsidRDefault="00D718D0" w:rsidP="00BA3E8B">
      <w:r>
        <w:t xml:space="preserve">Flertallet av høringsinstansene som har uttalt seg om forslaget i høringsnotatet, støtter det. Blant de som støtter forslaget er </w:t>
      </w:r>
      <w:r>
        <w:rPr>
          <w:rStyle w:val="kursiv"/>
          <w:sz w:val="21"/>
          <w:szCs w:val="21"/>
        </w:rPr>
        <w:t>Senter for likestilling</w:t>
      </w:r>
      <w:r>
        <w:t xml:space="preserve">, </w:t>
      </w:r>
      <w:r>
        <w:rPr>
          <w:rStyle w:val="kursiv"/>
          <w:sz w:val="21"/>
          <w:szCs w:val="21"/>
        </w:rPr>
        <w:t>Likest</w:t>
      </w:r>
      <w:r>
        <w:rPr>
          <w:rStyle w:val="kursiv"/>
          <w:sz w:val="21"/>
          <w:szCs w:val="21"/>
        </w:rPr>
        <w:t>illingssenteret</w:t>
      </w:r>
      <w:r>
        <w:t xml:space="preserve">, </w:t>
      </w:r>
      <w:r>
        <w:rPr>
          <w:rStyle w:val="kursiv"/>
          <w:sz w:val="21"/>
          <w:szCs w:val="21"/>
        </w:rPr>
        <w:t>Fagforbundet</w:t>
      </w:r>
      <w:r>
        <w:t xml:space="preserve"> og </w:t>
      </w:r>
      <w:r>
        <w:rPr>
          <w:rStyle w:val="kursiv"/>
          <w:sz w:val="21"/>
          <w:szCs w:val="21"/>
        </w:rPr>
        <w:t>Vest-Agder fylkeskommune</w:t>
      </w:r>
      <w:r>
        <w:t>.</w:t>
      </w:r>
    </w:p>
    <w:p w:rsidR="00000000" w:rsidRDefault="00D718D0" w:rsidP="00BA3E8B">
      <w:r>
        <w:t xml:space="preserve">En lang rekke frivillige organisasjoner som </w:t>
      </w:r>
      <w:r>
        <w:rPr>
          <w:rStyle w:val="kursiv"/>
          <w:sz w:val="21"/>
          <w:szCs w:val="21"/>
        </w:rPr>
        <w:t>Antirasistisk senter</w:t>
      </w:r>
      <w:r>
        <w:t xml:space="preserve">, </w:t>
      </w:r>
      <w:r>
        <w:rPr>
          <w:rStyle w:val="kursiv"/>
          <w:sz w:val="21"/>
          <w:szCs w:val="21"/>
        </w:rPr>
        <w:t>FRI – Foreningen for kjønns- og se</w:t>
      </w:r>
      <w:r>
        <w:rPr>
          <w:rStyle w:val="kursiv"/>
          <w:sz w:val="21"/>
          <w:szCs w:val="21"/>
        </w:rPr>
        <w:t>k</w:t>
      </w:r>
      <w:r>
        <w:rPr>
          <w:rStyle w:val="kursiv"/>
          <w:sz w:val="21"/>
          <w:szCs w:val="21"/>
        </w:rPr>
        <w:t>su</w:t>
      </w:r>
      <w:r>
        <w:rPr>
          <w:rStyle w:val="kursiv"/>
          <w:sz w:val="21"/>
          <w:szCs w:val="21"/>
        </w:rPr>
        <w:t>a</w:t>
      </w:r>
      <w:r>
        <w:rPr>
          <w:rStyle w:val="kursiv"/>
          <w:sz w:val="21"/>
          <w:szCs w:val="21"/>
        </w:rPr>
        <w:t>l</w:t>
      </w:r>
      <w:r>
        <w:rPr>
          <w:rStyle w:val="kursiv"/>
          <w:sz w:val="21"/>
          <w:szCs w:val="21"/>
        </w:rPr>
        <w:t>i</w:t>
      </w:r>
      <w:r>
        <w:rPr>
          <w:rStyle w:val="kursiv"/>
          <w:sz w:val="21"/>
          <w:szCs w:val="21"/>
        </w:rPr>
        <w:t>tetsmangfold</w:t>
      </w:r>
      <w:r>
        <w:t xml:space="preserve">, </w:t>
      </w:r>
      <w:r>
        <w:rPr>
          <w:rStyle w:val="kursiv"/>
          <w:sz w:val="21"/>
          <w:szCs w:val="21"/>
        </w:rPr>
        <w:t>Funksjonshemmedes fellesorganisasjon (FFO)</w:t>
      </w:r>
      <w:r>
        <w:t xml:space="preserve">, </w:t>
      </w:r>
      <w:r>
        <w:rPr>
          <w:rStyle w:val="kursiv"/>
          <w:sz w:val="21"/>
          <w:szCs w:val="21"/>
        </w:rPr>
        <w:t>Juridisk råd</w:t>
      </w:r>
      <w:r>
        <w:rPr>
          <w:rStyle w:val="kursiv"/>
          <w:sz w:val="21"/>
          <w:szCs w:val="21"/>
        </w:rPr>
        <w:t>givning for kvinner (JURK)</w:t>
      </w:r>
      <w:r>
        <w:t xml:space="preserve">, </w:t>
      </w:r>
      <w:r>
        <w:rPr>
          <w:rStyle w:val="kursiv"/>
          <w:sz w:val="21"/>
          <w:szCs w:val="21"/>
        </w:rPr>
        <w:t>Kr</w:t>
      </w:r>
      <w:r>
        <w:rPr>
          <w:rStyle w:val="kursiv"/>
          <w:sz w:val="21"/>
          <w:szCs w:val="21"/>
        </w:rPr>
        <w:t>i</w:t>
      </w:r>
      <w:r>
        <w:rPr>
          <w:rStyle w:val="kursiv"/>
          <w:sz w:val="21"/>
          <w:szCs w:val="21"/>
        </w:rPr>
        <w:t>sesentersekretariatet</w:t>
      </w:r>
      <w:r>
        <w:t xml:space="preserve">, </w:t>
      </w:r>
      <w:r>
        <w:rPr>
          <w:rStyle w:val="kursiv"/>
          <w:sz w:val="21"/>
          <w:szCs w:val="21"/>
        </w:rPr>
        <w:t>Mental Helse Norge</w:t>
      </w:r>
      <w:r>
        <w:t xml:space="preserve">, </w:t>
      </w:r>
      <w:r>
        <w:rPr>
          <w:rStyle w:val="kursiv"/>
          <w:sz w:val="21"/>
          <w:szCs w:val="21"/>
        </w:rPr>
        <w:t>Menneskerettsalliansen</w:t>
      </w:r>
      <w:r>
        <w:t xml:space="preserve">, </w:t>
      </w:r>
      <w:r>
        <w:rPr>
          <w:rStyle w:val="kursiv"/>
          <w:sz w:val="21"/>
          <w:szCs w:val="21"/>
        </w:rPr>
        <w:t>MiRA ressurssenter for kvinner med m</w:t>
      </w:r>
      <w:r>
        <w:rPr>
          <w:rStyle w:val="kursiv"/>
          <w:sz w:val="21"/>
          <w:szCs w:val="21"/>
        </w:rPr>
        <w:t>i</w:t>
      </w:r>
      <w:r>
        <w:rPr>
          <w:rStyle w:val="kursiv"/>
          <w:sz w:val="21"/>
          <w:szCs w:val="21"/>
        </w:rPr>
        <w:t>noritetsbakgrunn</w:t>
      </w:r>
      <w:r>
        <w:t xml:space="preserve">, </w:t>
      </w:r>
      <w:r>
        <w:rPr>
          <w:rStyle w:val="kursiv"/>
          <w:sz w:val="21"/>
          <w:szCs w:val="21"/>
        </w:rPr>
        <w:t>Norges Handikapforbund (NHF)</w:t>
      </w:r>
      <w:r>
        <w:t xml:space="preserve">, </w:t>
      </w:r>
      <w:r>
        <w:rPr>
          <w:rStyle w:val="kursiv"/>
          <w:sz w:val="21"/>
          <w:szCs w:val="21"/>
        </w:rPr>
        <w:t>Organisasjonen mot offentlig diskriminering (OMOD)</w:t>
      </w:r>
      <w:r>
        <w:t xml:space="preserve">, </w:t>
      </w:r>
      <w:r>
        <w:rPr>
          <w:rStyle w:val="kursiv"/>
          <w:sz w:val="21"/>
          <w:szCs w:val="21"/>
        </w:rPr>
        <w:t>Reform – ressurssente</w:t>
      </w:r>
      <w:r>
        <w:rPr>
          <w:rStyle w:val="kursiv"/>
          <w:sz w:val="21"/>
          <w:szCs w:val="21"/>
        </w:rPr>
        <w:t>r for menn</w:t>
      </w:r>
      <w:r>
        <w:t xml:space="preserve">, </w:t>
      </w:r>
      <w:r>
        <w:rPr>
          <w:rStyle w:val="kursiv"/>
          <w:sz w:val="21"/>
          <w:szCs w:val="21"/>
        </w:rPr>
        <w:t>Samarbeidsrådet for tros- og livssynssamfunn</w:t>
      </w:r>
      <w:r>
        <w:t xml:space="preserve">, </w:t>
      </w:r>
      <w:r>
        <w:rPr>
          <w:rStyle w:val="kursiv"/>
          <w:sz w:val="21"/>
          <w:szCs w:val="21"/>
        </w:rPr>
        <w:t>Samisk Kvinn</w:t>
      </w:r>
      <w:r>
        <w:rPr>
          <w:rStyle w:val="kursiv"/>
          <w:sz w:val="21"/>
          <w:szCs w:val="21"/>
        </w:rPr>
        <w:t>e</w:t>
      </w:r>
      <w:r>
        <w:rPr>
          <w:rStyle w:val="kursiv"/>
          <w:sz w:val="21"/>
          <w:szCs w:val="21"/>
        </w:rPr>
        <w:t>forum</w:t>
      </w:r>
      <w:r>
        <w:t xml:space="preserve"> – </w:t>
      </w:r>
      <w:r>
        <w:rPr>
          <w:rStyle w:val="kursiv"/>
          <w:sz w:val="21"/>
          <w:szCs w:val="21"/>
        </w:rPr>
        <w:t>Sami Nisson Forum</w:t>
      </w:r>
      <w:r>
        <w:t xml:space="preserve">, </w:t>
      </w:r>
      <w:r>
        <w:rPr>
          <w:rStyle w:val="kursiv"/>
          <w:sz w:val="21"/>
          <w:szCs w:val="21"/>
        </w:rPr>
        <w:t>Stiftelsen Alternativ til vold</w:t>
      </w:r>
      <w:r>
        <w:t xml:space="preserve">, </w:t>
      </w:r>
      <w:r>
        <w:rPr>
          <w:rStyle w:val="kursiv"/>
          <w:sz w:val="21"/>
          <w:szCs w:val="21"/>
        </w:rPr>
        <w:t>Stiftelsen Stopp diskrimineringen</w:t>
      </w:r>
      <w:r>
        <w:t xml:space="preserve">, og </w:t>
      </w:r>
      <w:r>
        <w:rPr>
          <w:rStyle w:val="kursiv"/>
          <w:sz w:val="21"/>
          <w:szCs w:val="21"/>
        </w:rPr>
        <w:t>Unge fun</w:t>
      </w:r>
      <w:r>
        <w:rPr>
          <w:rStyle w:val="kursiv"/>
          <w:sz w:val="21"/>
          <w:szCs w:val="21"/>
        </w:rPr>
        <w:t>k</w:t>
      </w:r>
      <w:r>
        <w:rPr>
          <w:rStyle w:val="kursiv"/>
          <w:sz w:val="21"/>
          <w:szCs w:val="21"/>
        </w:rPr>
        <w:t xml:space="preserve">sjonshemmede </w:t>
      </w:r>
      <w:r>
        <w:t>har gitt en felles uttalelse. De mener at foretaks rapporteringspl</w:t>
      </w:r>
      <w:r>
        <w:t>ikt om samfunn</w:t>
      </w:r>
      <w:r>
        <w:t>s</w:t>
      </w:r>
      <w:r>
        <w:t>ansvar skal tydeliggjøres, slik at det kommer klart frem av loven at plikten gjelder alle diskr</w:t>
      </w:r>
      <w:r>
        <w:t>i</w:t>
      </w:r>
      <w:r>
        <w:t>mineringsgrunnlag.</w:t>
      </w:r>
    </w:p>
    <w:p w:rsidR="00000000" w:rsidRPr="009445FD" w:rsidRDefault="00D718D0" w:rsidP="00BA3E8B">
      <w:pPr>
        <w:rPr>
          <w:rStyle w:val="kursiv"/>
        </w:rPr>
      </w:pPr>
      <w:r>
        <w:rPr>
          <w:rStyle w:val="kursiv"/>
          <w:sz w:val="21"/>
          <w:szCs w:val="21"/>
        </w:rPr>
        <w:t xml:space="preserve">Likestillings- og diskrimineringsombudet </w:t>
      </w:r>
      <w:r>
        <w:t>viser til at forslaget i høringsnotatet innebærer at små vir</w:t>
      </w:r>
      <w:r>
        <w:t>k</w:t>
      </w:r>
      <w:r>
        <w:t>somheter kun vil ha en m</w:t>
      </w:r>
      <w:r>
        <w:t>indre forpliktende redegjørelsesplikt etter regnskapsloven § 3–3 c. Dette inn</w:t>
      </w:r>
      <w:r>
        <w:t>e</w:t>
      </w:r>
      <w:r>
        <w:t>bærer, ifølge ombudet, en svekkelse av redegjørelsesplikten for disse, sammenlignet med redegjørelse</w:t>
      </w:r>
      <w:r>
        <w:t>s</w:t>
      </w:r>
      <w:r>
        <w:t>plikten slik denne var da små foretak hadde en plikt å levere årsberetning (d</w:t>
      </w:r>
      <w:r>
        <w:t xml:space="preserve">vs. før januar 2018). </w:t>
      </w:r>
      <w:r>
        <w:rPr>
          <w:rStyle w:val="kursiv"/>
          <w:sz w:val="21"/>
          <w:szCs w:val="21"/>
        </w:rPr>
        <w:t>Ombudet</w:t>
      </w:r>
      <w:r>
        <w:t xml:space="preserve"> mener likevel at ombudets mulighet til å kontrollere aktivitetsplikten hos alle arbeidsgivere, uansett stø</w:t>
      </w:r>
      <w:r>
        <w:t>r</w:t>
      </w:r>
      <w:r>
        <w:t xml:space="preserve">relse, «langt på vei veier opp for dette». </w:t>
      </w:r>
      <w:r>
        <w:rPr>
          <w:rStyle w:val="kursiv"/>
          <w:sz w:val="21"/>
          <w:szCs w:val="21"/>
        </w:rPr>
        <w:t>KVIBALD</w:t>
      </w:r>
      <w:r>
        <w:t xml:space="preserve"> mener at svekkelsen av arbeidsgivers redegjørelsesplikt for kjønn ik</w:t>
      </w:r>
      <w:r>
        <w:t>ke a</w:t>
      </w:r>
      <w:r>
        <w:t>v</w:t>
      </w:r>
      <w:r>
        <w:t>hjelpes gjennom plikten om samfunnsansvarsrapportering, jf. forslaget til ny § 24 a.</w:t>
      </w:r>
    </w:p>
    <w:p w:rsidR="00000000" w:rsidRDefault="00D718D0" w:rsidP="00BA3E8B">
      <w:r>
        <w:t xml:space="preserve">Enkelte høringsinstanser er imot departementets forslag. </w:t>
      </w:r>
      <w:r>
        <w:rPr>
          <w:rStyle w:val="kursiv"/>
          <w:sz w:val="21"/>
          <w:szCs w:val="21"/>
        </w:rPr>
        <w:t>NHO</w:t>
      </w:r>
      <w:r>
        <w:t xml:space="preserve"> mener at det å innføre en ny r</w:t>
      </w:r>
      <w:r>
        <w:t>e</w:t>
      </w:r>
      <w:r>
        <w:t>degj</w:t>
      </w:r>
      <w:r>
        <w:t>ø</w:t>
      </w:r>
      <w:r>
        <w:t>relsesplikt for små foretak er svært bekymringsfullt, og foreslår ist</w:t>
      </w:r>
      <w:r>
        <w:t>edenfor en dokument</w:t>
      </w:r>
      <w:r>
        <w:t>a</w:t>
      </w:r>
      <w:r>
        <w:t xml:space="preserve">sjonsplikt for arbeidsgivere. </w:t>
      </w:r>
      <w:r>
        <w:rPr>
          <w:rStyle w:val="kursiv"/>
          <w:sz w:val="21"/>
          <w:szCs w:val="21"/>
        </w:rPr>
        <w:t xml:space="preserve">NHO </w:t>
      </w:r>
      <w:r>
        <w:t>viser til forslaget om at alle regnskapspliktige foretak pålegges en plikt til å redegjøre for likestilling og ikke-diskriminering som en del av samfunnsansvaret, og uttaler:</w:t>
      </w:r>
    </w:p>
    <w:p w:rsidR="00000000" w:rsidRDefault="00D718D0" w:rsidP="00BA3E8B">
      <w:pPr>
        <w:pStyle w:val="blokksit"/>
      </w:pPr>
      <w:r>
        <w:t>«NHO forstår det slik at de</w:t>
      </w:r>
      <w:r>
        <w:t>nne modellen innebærer en betydelig utvidelse av redegjørelsesplikten for de mindre virksomhetene (alle som er regnskapspliktige). Mange regnskapspliktige foretak vil være små virksomheter ettersom denne kategorien omfatter f.eks. alle AS. Alle disse vil d</w:t>
      </w:r>
      <w:r>
        <w:t>e</w:t>
      </w:r>
      <w:r>
        <w:t>r</w:t>
      </w:r>
      <w:r>
        <w:t>med etter fo</w:t>
      </w:r>
      <w:r>
        <w:t>r</w:t>
      </w:r>
      <w:r>
        <w:t>slaget blir pålagt nye plikter, hvor de skal levere en redegjørelse for sitt arbeid med likestilling og i</w:t>
      </w:r>
      <w:r>
        <w:t>k</w:t>
      </w:r>
      <w:r>
        <w:t>ke-diskrimineringsgrunnlagene. NHO er svært bekymret for påleggelsen av slik plikt på de mindre foretakene, og kan vanskelig se hvordan</w:t>
      </w:r>
      <w:r>
        <w:t xml:space="preserve"> dette kan forenes med målet om fo</w:t>
      </w:r>
      <w:r>
        <w:t>r</w:t>
      </w:r>
      <w:r>
        <w:t>enkling og avbyråkratis</w:t>
      </w:r>
      <w:r>
        <w:t>e</w:t>
      </w:r>
      <w:r>
        <w:t>ring. En slik redegjørelsesplikt vil utvilsomt være omfattende og a</w:t>
      </w:r>
      <w:r>
        <w:t>r</w:t>
      </w:r>
      <w:r>
        <w:t>beidskrevende, særlig for de aller minste virksomhetene. Spesielt bekymringsfullt er dette når det ikke er sannsynliggjort at lik</w:t>
      </w:r>
      <w:r>
        <w:t>esti</w:t>
      </w:r>
      <w:r>
        <w:t>l</w:t>
      </w:r>
      <w:r>
        <w:t>lingsmålene i større grad vil nås ved innføringen av slike pli</w:t>
      </w:r>
      <w:r>
        <w:t>k</w:t>
      </w:r>
      <w:r>
        <w:t>ter.»</w:t>
      </w:r>
    </w:p>
    <w:p w:rsidR="00000000" w:rsidRPr="009445FD" w:rsidRDefault="00D718D0" w:rsidP="00BA3E8B">
      <w:pPr>
        <w:rPr>
          <w:rStyle w:val="kursiv"/>
        </w:rPr>
      </w:pPr>
      <w:r>
        <w:rPr>
          <w:rStyle w:val="kursiv"/>
          <w:sz w:val="21"/>
          <w:szCs w:val="21"/>
        </w:rPr>
        <w:t xml:space="preserve">Den norske Revisorforeningen </w:t>
      </w:r>
      <w:r>
        <w:t>mener at hvis redegjørelsesplikten likevel skal gjeninnføres for små foretak bør det settes en nedre grense på 50 ansatte. De viser i sitt høringssvar ti</w:t>
      </w:r>
      <w:r>
        <w:t xml:space="preserve">l at: «…anslagsvis mer enn 90 % av regnskapspliktige små foretak har 20 ansatte eller mindre.» og til tallene fra SSB fra 2018, som viser at 3,6 % av virksomhetene i Norge har mellom 20 og 49 </w:t>
      </w:r>
      <w:r>
        <w:lastRenderedPageBreak/>
        <w:t>ansatte. Sammen med andre kritiske stemmer anf</w:t>
      </w:r>
      <w:r>
        <w:t>ø</w:t>
      </w:r>
      <w:r>
        <w:t>res det at forsla</w:t>
      </w:r>
      <w:r>
        <w:t>gene innebærer unødvendige merkostnader og administrative byrder, noe som er pr</w:t>
      </w:r>
      <w:r>
        <w:t>o</w:t>
      </w:r>
      <w:r>
        <w:t>blematisk særlig for små virksomheter med en sårbar økonomisk situasjon og knappe ressurser.</w:t>
      </w:r>
    </w:p>
    <w:p w:rsidR="00000000" w:rsidRPr="009445FD" w:rsidRDefault="00D718D0" w:rsidP="00BA3E8B">
      <w:pPr>
        <w:rPr>
          <w:rStyle w:val="kursiv"/>
        </w:rPr>
      </w:pPr>
      <w:r>
        <w:rPr>
          <w:rStyle w:val="kursiv"/>
          <w:sz w:val="21"/>
          <w:szCs w:val="21"/>
        </w:rPr>
        <w:t>NIM</w:t>
      </w:r>
      <w:r>
        <w:t xml:space="preserve"> og </w:t>
      </w:r>
      <w:r>
        <w:rPr>
          <w:rStyle w:val="kursiv"/>
          <w:sz w:val="21"/>
          <w:szCs w:val="21"/>
        </w:rPr>
        <w:t xml:space="preserve">Den norske Revisorforeningen </w:t>
      </w:r>
      <w:r>
        <w:t>støtter ikke forslaget om å ta inn begrepene «l</w:t>
      </w:r>
      <w:r>
        <w:t>ikestilling» og «i</w:t>
      </w:r>
      <w:r>
        <w:t>k</w:t>
      </w:r>
      <w:r>
        <w:t>ke-diskriminering» i bestemmelsen om store foretaks samfunnsansvarsrapportering. Dette ettersom forslaget impliserer at likestilling og ikke-diskriminering ikke er dekket av menne</w:t>
      </w:r>
      <w:r>
        <w:t>s</w:t>
      </w:r>
      <w:r>
        <w:t>kerettigheter og a</w:t>
      </w:r>
      <w:r>
        <w:t>r</w:t>
      </w:r>
      <w:r>
        <w:t>beidstakerre</w:t>
      </w:r>
      <w:r>
        <w:t>t</w:t>
      </w:r>
      <w:r>
        <w:t>tigheter, noe som ikke er</w:t>
      </w:r>
      <w:r>
        <w:t xml:space="preserve"> riktig.</w:t>
      </w:r>
    </w:p>
    <w:p w:rsidR="00000000" w:rsidRPr="009445FD" w:rsidRDefault="00D718D0" w:rsidP="00BA3E8B">
      <w:pPr>
        <w:rPr>
          <w:rStyle w:val="kursiv"/>
        </w:rPr>
      </w:pPr>
      <w:r>
        <w:rPr>
          <w:rStyle w:val="kursiv"/>
          <w:sz w:val="21"/>
          <w:szCs w:val="21"/>
        </w:rPr>
        <w:t>NIM</w:t>
      </w:r>
      <w:r>
        <w:t xml:space="preserve"> mener at det er prinsipielt uheldig å fremheve kjønn som kun ett av diskrimineringsgrun</w:t>
      </w:r>
      <w:r>
        <w:t>n</w:t>
      </w:r>
      <w:r>
        <w:t>lagene i ra</w:t>
      </w:r>
      <w:r>
        <w:t>p</w:t>
      </w:r>
      <w:r>
        <w:t xml:space="preserve">porteringsbestemmelsene. </w:t>
      </w:r>
      <w:r>
        <w:rPr>
          <w:rStyle w:val="kursiv"/>
          <w:sz w:val="21"/>
          <w:szCs w:val="21"/>
        </w:rPr>
        <w:t>Fagforbundet</w:t>
      </w:r>
      <w:r>
        <w:t xml:space="preserve"> mener derimot at kjønnsperspektivet må kommuniseres tyd</w:t>
      </w:r>
      <w:r>
        <w:t>e</w:t>
      </w:r>
      <w:r>
        <w:t>lig og at distinksjonen i begrepsbruken «likestil</w:t>
      </w:r>
      <w:r>
        <w:t>ling» og «i</w:t>
      </w:r>
      <w:r>
        <w:t>k</w:t>
      </w:r>
      <w:r>
        <w:t xml:space="preserve">ke-diskriminering» er derfor nødvendig. </w:t>
      </w:r>
      <w:r>
        <w:rPr>
          <w:rStyle w:val="kursiv"/>
          <w:sz w:val="21"/>
          <w:szCs w:val="21"/>
        </w:rPr>
        <w:t>Fa</w:t>
      </w:r>
      <w:r>
        <w:rPr>
          <w:rStyle w:val="kursiv"/>
          <w:sz w:val="21"/>
          <w:szCs w:val="21"/>
        </w:rPr>
        <w:t>g</w:t>
      </w:r>
      <w:r>
        <w:rPr>
          <w:rStyle w:val="kursiv"/>
          <w:sz w:val="21"/>
          <w:szCs w:val="21"/>
        </w:rPr>
        <w:t xml:space="preserve">forbundet </w:t>
      </w:r>
      <w:r>
        <w:t>viser til FNs kvinnekomiteens kritikk knyttet til Norges kjønnsnøytrale lovgivning, som de mener kan føre til utilstrekkelig beskyttelse mot kjønnsdiskriminering.</w:t>
      </w:r>
    </w:p>
    <w:p w:rsidR="00000000" w:rsidRDefault="00D718D0" w:rsidP="00BA3E8B">
      <w:pPr>
        <w:pStyle w:val="Overskrift4"/>
      </w:pPr>
      <w:r>
        <w:t>Departemente</w:t>
      </w:r>
      <w:r>
        <w:t>ts vurderinger</w:t>
      </w:r>
    </w:p>
    <w:p w:rsidR="00000000" w:rsidRDefault="00D718D0" w:rsidP="00BA3E8B">
      <w:r>
        <w:t>Departementets lovforslag i høringsnotatet innebærer at alle regnskapspliktige foretak, inkludert såkalte «små foretak» og «øvrige foretak», skal være pålagt rapporteringspl</w:t>
      </w:r>
      <w:r>
        <w:t>ikt. Rapportering</w:t>
      </w:r>
      <w:r>
        <w:t>s</w:t>
      </w:r>
      <w:r>
        <w:t>plikten blir en del av foretaks rapporteringsplikt om samfunnsansvar.</w:t>
      </w:r>
    </w:p>
    <w:p w:rsidR="00000000" w:rsidRDefault="00D718D0" w:rsidP="00BA3E8B">
      <w:r>
        <w:t>Høringsrunden har vist at det er mange høringsinstanser som støtter forslaget. Næringslivets repr</w:t>
      </w:r>
      <w:r>
        <w:t>e</w:t>
      </w:r>
      <w:r>
        <w:t>sentanter med NHO i spissen, har derimot gitt uttrykk for bekymring kn</w:t>
      </w:r>
      <w:r>
        <w:t>yttet til byrder som redegjøre</w:t>
      </w:r>
      <w:r>
        <w:t>l</w:t>
      </w:r>
      <w:r>
        <w:t>sesplikten me</w:t>
      </w:r>
      <w:r>
        <w:t>d</w:t>
      </w:r>
      <w:r>
        <w:t>fører for små virksomheter. For å ta hensyn til dette og imøtekomme arbeidsgivere i små private virksomheter. har departementet valgt å ikke opprettholde forslaget om å innføre en slik byrdefull redegjørelsespli</w:t>
      </w:r>
      <w:r>
        <w:t xml:space="preserve">kt om likestilling, for små og øvrige foretak, etter regnskapslovens regler i § 3–3 c. Isteden har departementet valgt å pålegge arbeidsgivere med færre enn 20 ansatte en dokumentasjonsplikt. Det samme gjelder virksomheter med mellom 20 og 50 ansatte, men </w:t>
      </w:r>
      <w:r>
        <w:t>dersom en av arbeidslivets parter krever det får de full redegjørelsesplikt. At virksomhetene faktisk jobber for likestilling, er viktigere enn at det redegjøres for dette arbeidet.</w:t>
      </w:r>
    </w:p>
    <w:p w:rsidR="00000000" w:rsidRDefault="00D718D0" w:rsidP="00BA3E8B">
      <w:r>
        <w:t>Departementet opprettholder forslaget om å ta inn begrepene «likestilling»</w:t>
      </w:r>
      <w:r>
        <w:t xml:space="preserve"> og «i</w:t>
      </w:r>
      <w:r>
        <w:t>k</w:t>
      </w:r>
      <w:r>
        <w:t>ke-diskriminering» i b</w:t>
      </w:r>
      <w:r>
        <w:t>e</w:t>
      </w:r>
      <w:r>
        <w:t>stemmelsen om store foretaks samfunnsansvarsrapporteringsplikt. Det er viktig at virksomhetene har fokus rettet både mot å forhindre diskriminering, samtidig som de jobber aktivt for likestilling. Arbeid</w:t>
      </w:r>
      <w:r>
        <w:t>s</w:t>
      </w:r>
      <w:r>
        <w:t>gruppen (2010) uttrykt</w:t>
      </w:r>
      <w:r>
        <w:t>e i sin rapport (side 27–28) at fo</w:t>
      </w:r>
      <w:r>
        <w:t>r</w:t>
      </w:r>
      <w:r>
        <w:t>muleringene «arbeidstakerrettigheter» og «sosiale forhold» er bedre egnet, enn «likestilling», og viste til at de dagjeldende opplysningskrav om likestilling hadde et mer begrenset virkeområde, enn regnskapsloven § 3–3 c.</w:t>
      </w:r>
      <w:r>
        <w:t xml:space="preserve"> Som NIM og Den norske Revisorf</w:t>
      </w:r>
      <w:r>
        <w:t>o</w:t>
      </w:r>
      <w:r>
        <w:t>reningen påpeker, er likestilling og ikke-diskriminering dekket av rapporteringskravene som fremgår av gjeldende regnskap</w:t>
      </w:r>
      <w:r>
        <w:t>s</w:t>
      </w:r>
      <w:r>
        <w:t>loven § 3–3 c. Departementet mener at selv om det ikke tilsiktes realitetsendring i lovforståelsen, vi</w:t>
      </w:r>
      <w:r>
        <w:t>l det å fremheve likestilling og ikke-diskriminering i bestemmelsen om samfunnsansvar, konkretisere opplysningskravene. Likestillingssenteret har i sitt høringssvar vist til at likesti</w:t>
      </w:r>
      <w:r>
        <w:t>l</w:t>
      </w:r>
      <w:r>
        <w:t>lingsutfor</w:t>
      </w:r>
      <w:r>
        <w:t>d</w:t>
      </w:r>
      <w:r>
        <w:t>ringer i Norge, i stor grad, dreier seg om manglende problem</w:t>
      </w:r>
      <w:r>
        <w:t>forståelse. Likesti</w:t>
      </w:r>
      <w:r>
        <w:t>l</w:t>
      </w:r>
      <w:r>
        <w:t>lingssenteret understreker viktigheten av en konkret etterspørsel om hvordan virksomhetene jobber med likestilling, for at likesti</w:t>
      </w:r>
      <w:r>
        <w:t>l</w:t>
      </w:r>
      <w:r>
        <w:t>lingsarbeidet skal bli prioritert i virksomhetene. Depart</w:t>
      </w:r>
      <w:r>
        <w:t>e</w:t>
      </w:r>
      <w:r>
        <w:t xml:space="preserve">mentets forslag bygger på at konkretisering av </w:t>
      </w:r>
      <w:r>
        <w:t>kravene styrker likestillingsarbeid og vil også gi et viktig signaleffekt.</w:t>
      </w:r>
    </w:p>
    <w:p w:rsidR="00000000" w:rsidRDefault="00D718D0" w:rsidP="00BA3E8B">
      <w:pPr>
        <w:pStyle w:val="Overskrift2"/>
      </w:pPr>
      <w:r>
        <w:lastRenderedPageBreak/>
        <w:t>Forankring av aktivitets- og redegjørelsesplikten i selskapers styre</w:t>
      </w:r>
    </w:p>
    <w:p w:rsidR="00000000" w:rsidRDefault="00D718D0" w:rsidP="00BA3E8B">
      <w:pPr>
        <w:pStyle w:val="Overskrift3"/>
      </w:pPr>
      <w:r>
        <w:t>Gjeldende rett</w:t>
      </w:r>
    </w:p>
    <w:p w:rsidR="00000000" w:rsidRDefault="00D718D0" w:rsidP="00BA3E8B">
      <w:r>
        <w:t>Lov 13. juni 1997 nr. 44 om aksjeselskaper (aksjeloven) og lov 13. juni 1997 nr. 45 om al</w:t>
      </w:r>
      <w:r>
        <w:t>l</w:t>
      </w:r>
      <w:r>
        <w:t>mennaksjesels</w:t>
      </w:r>
      <w:r>
        <w:t>k</w:t>
      </w:r>
      <w:r>
        <w:t>aper (allmennaksjeloven) inneholder regler om selskapers ledelse og ledelsens oppgaver og saksbehan</w:t>
      </w:r>
      <w:r>
        <w:t>d</w:t>
      </w:r>
      <w:r>
        <w:t>ling. Aksjeselskaper og allmennaksjeselskaper skal h</w:t>
      </w:r>
      <w:r>
        <w:t>a et styre, jf. a</w:t>
      </w:r>
      <w:r>
        <w:t>k</w:t>
      </w:r>
      <w:r>
        <w:t>sjeloven og allmennaksjeloven §§ 6–1. I allmennaksjeselskaper stilles det krav om represent</w:t>
      </w:r>
      <w:r>
        <w:t>a</w:t>
      </w:r>
      <w:r>
        <w:t>sjon av begge kjønn i styret, jf. allmennaksjeloven § 6–11 a. Det stilles tilsvarende krav om representasjon av begge kjønn i styret i statsaksjes</w:t>
      </w:r>
      <w:r>
        <w:t>elskaper og statsallmennaksjeselskaper, jf. aksjeloven og allmennaksjeloven §§ 20–6.</w:t>
      </w:r>
    </w:p>
    <w:p w:rsidR="00000000" w:rsidRDefault="00D718D0" w:rsidP="00BA3E8B">
      <w:r>
        <w:t>Forvaltningen av aksjeselskaper hører under styret, jf. aksjeloven og allmennaksjeloven §§ 6–12. Styret skal sørge for forsvarlig organisering av virksomheten, som bl.a. i</w:t>
      </w:r>
      <w:r>
        <w:t>nnebærer at selskapet etterlever lovp</w:t>
      </w:r>
      <w:r>
        <w:t>å</w:t>
      </w:r>
      <w:r>
        <w:t>lagte krav. Styret skal i nødvendig utstrekning fastsette planer, retningslinjer og budsjetter for virkso</w:t>
      </w:r>
      <w:r>
        <w:t>m</w:t>
      </w:r>
      <w:r>
        <w:t>heten. Styret har også det overordnede ansvaret for virksomhetens ledelse, jf. aksjeloven og allmenna</w:t>
      </w:r>
      <w:r>
        <w:t>k</w:t>
      </w:r>
      <w:r>
        <w:t>sjeloven §</w:t>
      </w:r>
      <w:r>
        <w:t>§ 6–12.</w:t>
      </w:r>
    </w:p>
    <w:p w:rsidR="00000000" w:rsidRDefault="00D718D0" w:rsidP="00BA3E8B">
      <w:r>
        <w:t>Etter aksjeloven og allmennaksjeloven §§ 6–20 første ledd skal styreleder sørge for at aktuelle saker som hører inn under styret, styrebehandles. Styremedlemmene og daglig leder kan kreve at styret b</w:t>
      </w:r>
      <w:r>
        <w:t>e</w:t>
      </w:r>
      <w:r>
        <w:t>handler bestemte saker, jf. aksjeloven og allmen</w:t>
      </w:r>
      <w:r>
        <w:t>naksjeloven §§ 6–20 andre ledd. Hvilke saker som «hører inn under styret» fremgår av andre bestemmelser i aksjelovene, jf. Andenæs mfl. (2016) «Aksjeselskaper og allmennaksjese</w:t>
      </w:r>
      <w:r>
        <w:t>l</w:t>
      </w:r>
      <w:r>
        <w:t>skaper», kapittel 26.3.1.1. Styrebehandlingen skal protokollføres, jf. aksjelov</w:t>
      </w:r>
      <w:r>
        <w:t>en og al</w:t>
      </w:r>
      <w:r>
        <w:t>l</w:t>
      </w:r>
      <w:r>
        <w:t>mennaksjeloven §§ 6–29.</w:t>
      </w:r>
    </w:p>
    <w:p w:rsidR="00000000" w:rsidRDefault="00D718D0" w:rsidP="00BA3E8B">
      <w:r>
        <w:t>Regnskapspliktige foretak skal utarbeide årsregnskap etter reglene i lov 17. juli 1998 om år</w:t>
      </w:r>
      <w:r>
        <w:t>s</w:t>
      </w:r>
      <w:r>
        <w:t>regnskap mv. (regnskapsloven). For regnskapspliktige som har styre, skal samtlige styreme</w:t>
      </w:r>
      <w:r>
        <w:t>d</w:t>
      </w:r>
      <w:r>
        <w:t>lemmer underskrive årsreg</w:t>
      </w:r>
      <w:r>
        <w:t>n</w:t>
      </w:r>
      <w:r>
        <w:t>skapet, jf. re</w:t>
      </w:r>
      <w:r>
        <w:t>gnskapsloven § 3–5. Underskriften omfatter redegj</w:t>
      </w:r>
      <w:r>
        <w:t>ø</w:t>
      </w:r>
      <w:r>
        <w:t>relsen om likestilling jf. regn</w:t>
      </w:r>
      <w:r>
        <w:t>s</w:t>
      </w:r>
      <w:r>
        <w:t>kapsloven § 3–3c, når det er henvist til denne i årsberetningen, jf. regnskapsloven § 3–5 tredje ledd. Plikt til å utarbeide årsberetning gjelder ikke for små foretak, jf. re</w:t>
      </w:r>
      <w:r>
        <w:t>gnskapsloven § 3–1 andre ledd andre punktum.</w:t>
      </w:r>
    </w:p>
    <w:p w:rsidR="00000000" w:rsidRDefault="00D718D0" w:rsidP="00BA3E8B">
      <w:r>
        <w:t xml:space="preserve">Lov 30. august 1991 nr. 71 om statsforetak § 23, lov 29. januar 1999 nr. 6 om interkommunale selskaper § 13, lov 15. juni 2001 nr. 59 om stiftelser § 30 andre ledd og lov 29. juni 2007 nr. 81 om samvirkeforetak </w:t>
      </w:r>
      <w:r>
        <w:t>§ 76 fastsetter tilsvarende at forvaltningen av foretaket hører under styret.</w:t>
      </w:r>
    </w:p>
    <w:p w:rsidR="00000000" w:rsidRDefault="00D718D0" w:rsidP="00BA3E8B">
      <w:r>
        <w:t>Krav om kjønnsrepresentasjon i styret gjelder for statsforetak, jf. statsforetaksloven § 19 femte ledd, inte</w:t>
      </w:r>
      <w:r>
        <w:t>r</w:t>
      </w:r>
      <w:r>
        <w:t>kommunale selskaper, jf. lov om interkommunale selskaper § 10 før</w:t>
      </w:r>
      <w:r>
        <w:t>ste ledd, og for aksjeselskaper hvor kommuner og fylkeskommuner til sammen eier minst to tredeler av aksjene i selskapet, jf. lov 25. september 1992 nr. 107 om kommuner og fylkeskommuner § 80 a.</w:t>
      </w:r>
    </w:p>
    <w:p w:rsidR="00000000" w:rsidRDefault="00D718D0" w:rsidP="00BA3E8B">
      <w:r>
        <w:t>Krav til kjønnsrepresentasjon i styret gjelder også for stift</w:t>
      </w:r>
      <w:r>
        <w:t>elser når staten, en fylkeskommune eller en ko</w:t>
      </w:r>
      <w:r>
        <w:t>m</w:t>
      </w:r>
      <w:r>
        <w:t>mune oppnevner styret i stiftelsen, jf. stiftelsesloven § 27 a. Samvirkeloven § 69 stiller krav til repr</w:t>
      </w:r>
      <w:r>
        <w:t>e</w:t>
      </w:r>
      <w:r>
        <w:t>sentasjon av begge kjønn i styret i samvirkeforetak med flere enn 1 000 medlemmer</w:t>
      </w:r>
    </w:p>
    <w:p w:rsidR="00000000" w:rsidRDefault="00D718D0" w:rsidP="00BA3E8B">
      <w:pPr>
        <w:pStyle w:val="Overskrift3"/>
      </w:pPr>
      <w:r>
        <w:lastRenderedPageBreak/>
        <w:t xml:space="preserve">Forslag i </w:t>
      </w:r>
      <w:r>
        <w:t>høringsnotatet</w:t>
      </w:r>
    </w:p>
    <w:p w:rsidR="00000000" w:rsidRDefault="00D718D0" w:rsidP="00BA3E8B">
      <w:r>
        <w:t>Departementet foreslo i høringsnotatet at det presiseres i aksjeloven, allmennaksjeloven, stat</w:t>
      </w:r>
      <w:r>
        <w:t>s</w:t>
      </w:r>
      <w:r>
        <w:t>foretaksl</w:t>
      </w:r>
      <w:r>
        <w:t>o</w:t>
      </w:r>
      <w:r>
        <w:t>ven, lov om interkommunale selskaper, stiftelsesloven, kommuneloven og samvirk</w:t>
      </w:r>
      <w:r>
        <w:t>e</w:t>
      </w:r>
      <w:r>
        <w:t>loven, at styret skal sørge for at plikten til aktivt lik</w:t>
      </w:r>
      <w:r>
        <w:t>estillingsarbeid og plikten til å redegjøre for dette oppfylles i samsvar med likestillings- og diskrimineringsloven §§ 26 og 26 a og regn</w:t>
      </w:r>
      <w:r>
        <w:t>s</w:t>
      </w:r>
      <w:r>
        <w:t>kapsloven § 3–3c.</w:t>
      </w:r>
    </w:p>
    <w:p w:rsidR="00000000" w:rsidRDefault="00D718D0" w:rsidP="00BA3E8B">
      <w:pPr>
        <w:pStyle w:val="Overskrift3"/>
      </w:pPr>
      <w:r>
        <w:t>Høringsinstansenes syn</w:t>
      </w:r>
    </w:p>
    <w:p w:rsidR="00000000" w:rsidRDefault="00D718D0" w:rsidP="00BA3E8B">
      <w:r>
        <w:t>Et stort flertall av høringsinstansene som uttalte seg om forsla</w:t>
      </w:r>
      <w:r>
        <w:t xml:space="preserve">get i høringsnotatet, støtter det. Blant disse er </w:t>
      </w:r>
      <w:r>
        <w:rPr>
          <w:rStyle w:val="kursiv"/>
          <w:sz w:val="21"/>
          <w:szCs w:val="21"/>
        </w:rPr>
        <w:t>Finans Norge</w:t>
      </w:r>
      <w:r>
        <w:t xml:space="preserve">, </w:t>
      </w:r>
      <w:r>
        <w:rPr>
          <w:rStyle w:val="kursiv"/>
          <w:sz w:val="21"/>
          <w:szCs w:val="21"/>
        </w:rPr>
        <w:t>Kif-komiteen</w:t>
      </w:r>
      <w:r>
        <w:t xml:space="preserve">, </w:t>
      </w:r>
      <w:r>
        <w:rPr>
          <w:rStyle w:val="kursiv"/>
          <w:sz w:val="21"/>
          <w:szCs w:val="21"/>
        </w:rPr>
        <w:t>UiO</w:t>
      </w:r>
      <w:r>
        <w:t xml:space="preserve">, </w:t>
      </w:r>
      <w:r>
        <w:rPr>
          <w:rStyle w:val="kursiv"/>
          <w:sz w:val="21"/>
          <w:szCs w:val="21"/>
        </w:rPr>
        <w:t>Likestillingssenteret</w:t>
      </w:r>
      <w:r>
        <w:t xml:space="preserve">, </w:t>
      </w:r>
      <w:r>
        <w:rPr>
          <w:rStyle w:val="kursiv"/>
          <w:sz w:val="21"/>
          <w:szCs w:val="21"/>
        </w:rPr>
        <w:t>YS</w:t>
      </w:r>
      <w:r>
        <w:t xml:space="preserve"> og </w:t>
      </w:r>
      <w:r>
        <w:rPr>
          <w:rStyle w:val="kursiv"/>
          <w:sz w:val="21"/>
          <w:szCs w:val="21"/>
        </w:rPr>
        <w:t>Aust-Agder fylkeskommune</w:t>
      </w:r>
      <w:r>
        <w:t xml:space="preserve">. </w:t>
      </w:r>
      <w:r>
        <w:rPr>
          <w:rStyle w:val="kursiv"/>
          <w:sz w:val="21"/>
          <w:szCs w:val="21"/>
        </w:rPr>
        <w:t>Finansforbundet</w:t>
      </w:r>
      <w:r>
        <w:t xml:space="preserve"> mener at forankring av likestillingsarbeid i toppledelsen er viktig for at arbeidet kan implementeres </w:t>
      </w:r>
      <w:r>
        <w:t xml:space="preserve">i hele organisasjonen. </w:t>
      </w:r>
      <w:r>
        <w:rPr>
          <w:rStyle w:val="kursiv"/>
          <w:sz w:val="21"/>
          <w:szCs w:val="21"/>
        </w:rPr>
        <w:t>Kif-komiteen</w:t>
      </w:r>
      <w:r>
        <w:t xml:space="preserve"> viser til at både selskapers styre og op</w:t>
      </w:r>
      <w:r>
        <w:t>e</w:t>
      </w:r>
      <w:r>
        <w:t>rative ledere har en nøkkelrolle og at:</w:t>
      </w:r>
    </w:p>
    <w:p w:rsidR="00000000" w:rsidRDefault="00D718D0" w:rsidP="00BA3E8B">
      <w:pPr>
        <w:pStyle w:val="blokksit"/>
      </w:pPr>
      <w:r>
        <w:t>«…lederes signaler og engasjement er vesentlig for god integrering av likestillingsarbeid i øvrig a</w:t>
      </w:r>
      <w:r>
        <w:t>r</w:t>
      </w:r>
      <w:r>
        <w:t>beid.»</w:t>
      </w:r>
    </w:p>
    <w:p w:rsidR="00000000" w:rsidRDefault="00D718D0" w:rsidP="00BA3E8B">
      <w:r>
        <w:t>Departementets forslag er, ifølg</w:t>
      </w:r>
      <w:r>
        <w:t xml:space="preserve">e </w:t>
      </w:r>
      <w:r>
        <w:rPr>
          <w:rStyle w:val="kursiv"/>
          <w:sz w:val="21"/>
          <w:szCs w:val="21"/>
        </w:rPr>
        <w:t>Finans Norge</w:t>
      </w:r>
      <w:r>
        <w:t>, i tråd med finansnæringens egne anbefalinger.</w:t>
      </w:r>
    </w:p>
    <w:p w:rsidR="00000000" w:rsidRPr="009445FD" w:rsidRDefault="00D718D0" w:rsidP="00BA3E8B">
      <w:pPr>
        <w:rPr>
          <w:rStyle w:val="kursiv"/>
        </w:rPr>
      </w:pPr>
      <w:r>
        <w:rPr>
          <w:rStyle w:val="kursiv"/>
          <w:sz w:val="21"/>
          <w:szCs w:val="21"/>
        </w:rPr>
        <w:t xml:space="preserve">Aust-Agder fylkeskommune </w:t>
      </w:r>
      <w:r>
        <w:t>mener at styreforankringen sikrer at:</w:t>
      </w:r>
    </w:p>
    <w:p w:rsidR="00000000" w:rsidRDefault="00D718D0" w:rsidP="00BA3E8B">
      <w:pPr>
        <w:pStyle w:val="blokksit"/>
      </w:pPr>
      <w:r>
        <w:t>«…styre og ledelse må holde seg godt orientert om likestillingssituasjonen og om tiltak som iverkse</w:t>
      </w:r>
      <w:r>
        <w:t>t</w:t>
      </w:r>
      <w:r>
        <w:t xml:space="preserve">tes. Prinsippet om å integrere </w:t>
      </w:r>
      <w:r>
        <w:t>likestillingsarbeidet i hele virksomheten vil bli ivaretatt med denne m</w:t>
      </w:r>
      <w:r>
        <w:t>o</w:t>
      </w:r>
      <w:r>
        <w:t>dellen.»</w:t>
      </w:r>
    </w:p>
    <w:p w:rsidR="00000000" w:rsidRPr="009445FD" w:rsidRDefault="00D718D0" w:rsidP="00BA3E8B">
      <w:pPr>
        <w:rPr>
          <w:rStyle w:val="halvfet"/>
        </w:rPr>
      </w:pPr>
      <w:r>
        <w:rPr>
          <w:rStyle w:val="kursiv"/>
          <w:sz w:val="21"/>
          <w:szCs w:val="21"/>
        </w:rPr>
        <w:t>NHO</w:t>
      </w:r>
      <w:r>
        <w:t xml:space="preserve"> støtter ikke departementets forslag. </w:t>
      </w:r>
      <w:r>
        <w:rPr>
          <w:rStyle w:val="kursiv"/>
          <w:sz w:val="21"/>
          <w:szCs w:val="21"/>
        </w:rPr>
        <w:t>NHO</w:t>
      </w:r>
      <w:r>
        <w:t xml:space="preserve"> mener at det ikke er behov for en slik bestemmelse i a</w:t>
      </w:r>
      <w:r>
        <w:t>k</w:t>
      </w:r>
      <w:r>
        <w:t>sjeloven og viser til at styrets ansvar etter aksjeloven innebærer at styre</w:t>
      </w:r>
      <w:r>
        <w:t>t skal sørge for at selskapet er organisert på forsvarlig måte, og at selskapet er i stand til å etterleve lover og regler. De mener at dersom man lovfester en aktivitets- og redegjørelsesplikt så vil dette uansett a</w:t>
      </w:r>
      <w:r>
        <w:t>u</w:t>
      </w:r>
      <w:r>
        <w:t>tomatisk falle inn under styrets og dag</w:t>
      </w:r>
      <w:r>
        <w:t>lig ledelses ansvar.</w:t>
      </w:r>
    </w:p>
    <w:p w:rsidR="00000000" w:rsidRDefault="00D718D0" w:rsidP="00BA3E8B">
      <w:pPr>
        <w:pStyle w:val="Overskrift3"/>
      </w:pPr>
      <w:r>
        <w:t>Departementets vurderinger</w:t>
      </w:r>
    </w:p>
    <w:p w:rsidR="00000000" w:rsidRDefault="00D718D0" w:rsidP="00BA3E8B">
      <w:r>
        <w:t>Departementet opprettholder sitt forslag fra høringsnotatet om at styret i aksjeselskaper og al</w:t>
      </w:r>
      <w:r>
        <w:t>l</w:t>
      </w:r>
      <w:r>
        <w:t>menna</w:t>
      </w:r>
      <w:r>
        <w:t>k</w:t>
      </w:r>
      <w:r>
        <w:t>sjeselskaper skal sørge for at plikten til aktivt likestillingsarbeid og plikten til å redegjø</w:t>
      </w:r>
      <w:r>
        <w:t>re for dette oppfylles i samsvar med likestillings- og diskrimineringsloven §§ 26 og 26 a og reg</w:t>
      </w:r>
      <w:r>
        <w:t>n</w:t>
      </w:r>
      <w:r>
        <w:t>skapsloven § 3–3c.</w:t>
      </w:r>
    </w:p>
    <w:p w:rsidR="00000000" w:rsidRDefault="00D718D0" w:rsidP="00BA3E8B">
      <w:r>
        <w:t>Departementet har imidlertid hensyntatt Nærings- og fiskeridepartementets høringsinnspill, slik at beste</w:t>
      </w:r>
      <w:r>
        <w:t>m</w:t>
      </w:r>
      <w:r>
        <w:t>melsene om styrets plikter nå isted</w:t>
      </w:r>
      <w:r>
        <w:t>en er tatt inn i Likestillings- og diskrimineringsloven.</w:t>
      </w:r>
    </w:p>
    <w:p w:rsidR="00000000" w:rsidRDefault="00D718D0" w:rsidP="00BA3E8B">
      <w:r>
        <w:t>Departementet går i denne omgang ikke videre med forslag om endringer i statsforetaksloven, lov om inte</w:t>
      </w:r>
      <w:r>
        <w:t>r</w:t>
      </w:r>
      <w:r>
        <w:t>kommunale selskaper, stiftelsesloven, kommuneloven og samvirkeloven. Endringer i disse lovene m</w:t>
      </w:r>
      <w:r>
        <w:t>å eve</w:t>
      </w:r>
      <w:r>
        <w:t>n</w:t>
      </w:r>
      <w:r>
        <w:t>tuelt utredes nærmere på et senere tidspunkt.</w:t>
      </w:r>
    </w:p>
    <w:p w:rsidR="00000000" w:rsidRDefault="00D718D0" w:rsidP="00BA3E8B">
      <w:r>
        <w:t>Departementet mener at tydelig forankring av styrets ansvar for å oppfylle aktivitets- og red</w:t>
      </w:r>
      <w:r>
        <w:t>e</w:t>
      </w:r>
      <w:r>
        <w:t>gjøre</w:t>
      </w:r>
      <w:r>
        <w:t>l</w:t>
      </w:r>
      <w:r>
        <w:t>sesplikten i likestillings- og diskrimineringsloven øker bevisstheten om pliktene og bidrar til at de et</w:t>
      </w:r>
      <w:r>
        <w:t>te</w:t>
      </w:r>
      <w:r>
        <w:t>r</w:t>
      </w:r>
      <w:r>
        <w:t>leves. Foran</w:t>
      </w:r>
      <w:r>
        <w:t>k</w:t>
      </w:r>
      <w:r>
        <w:t>ringen gir et viktig signal om styrets plikt til å arbeide aktivt for mer likestilling i virkso</w:t>
      </w:r>
      <w:r>
        <w:t>m</w:t>
      </w:r>
      <w:r>
        <w:t>heten, og til å rapportere om arbeidet. Departementet viser til at forslaget fikk bred støtte i høringsrunden.</w:t>
      </w:r>
    </w:p>
    <w:p w:rsidR="00000000" w:rsidRDefault="00D718D0" w:rsidP="00BA3E8B">
      <w:r>
        <w:lastRenderedPageBreak/>
        <w:t>Formålet med å tydeliggjøre at ak</w:t>
      </w:r>
      <w:r>
        <w:t>tivitets- og redegjørelsesplikten skal styrebehandles er å øke innsa</w:t>
      </w:r>
      <w:r>
        <w:t>t</w:t>
      </w:r>
      <w:r>
        <w:t>sen for aktivt likestillingsarbeid i næringslivet. Ledelsesforankring bidrar til å skape en organisasjonskultur med bevissthet om fordelene ved økt likestilling, om likestillingsutfor</w:t>
      </w:r>
      <w:r>
        <w:t>d</w:t>
      </w:r>
      <w:r>
        <w:t>rin</w:t>
      </w:r>
      <w:r>
        <w:t>ger og -barrierer, i den aktuelle vir</w:t>
      </w:r>
      <w:r>
        <w:t>k</w:t>
      </w:r>
      <w:r>
        <w:t>somheten. Ledelsesforankringen gjelder spørsmål som mangfoldsrekruttering, deltidsarbeid, muli</w:t>
      </w:r>
      <w:r>
        <w:t>g</w:t>
      </w:r>
      <w:r>
        <w:t>heter til å kombinere familieliv og arbeid, utvi</w:t>
      </w:r>
      <w:r>
        <w:t>k</w:t>
      </w:r>
      <w:r>
        <w:t>lingsmuligheter, forfremmelse, lønnsforskjeller og tilrett</w:t>
      </w:r>
      <w:r>
        <w:t>e</w:t>
      </w:r>
      <w:r>
        <w:t>legging, jf. Fa</w:t>
      </w:r>
      <w:r>
        <w:t>fos rapport 2015:25 og Meld. St. 6 (2010–2011) Likestilling for likelønn.</w:t>
      </w:r>
    </w:p>
    <w:p w:rsidR="00000000" w:rsidRDefault="00D718D0" w:rsidP="00BA3E8B">
      <w:r>
        <w:t>Departementets forslag innebærer at saker som gjelder aktivitets- og redegjørelsesplikten etter lik</w:t>
      </w:r>
      <w:r>
        <w:t>e</w:t>
      </w:r>
      <w:r>
        <w:t>stillings- og diskrimineringsloven hører inn under styret. Lovendringen vil medfør</w:t>
      </w:r>
      <w:r>
        <w:t>e en plikt for styreled</w:t>
      </w:r>
      <w:r>
        <w:t>e</w:t>
      </w:r>
      <w:r>
        <w:t>ren til å sørge for styrebehandling av aktuelle saker for å fremme likestilling og hindre diskriminering, jf. forslag til ny lik</w:t>
      </w:r>
      <w:r>
        <w:t>e</w:t>
      </w:r>
      <w:r>
        <w:t>stillings- og diskrimineringslov §§ 26 og 26 a og regnskapsloven § 3–3c. Forarbeidene til aksjeloven og</w:t>
      </w:r>
      <w:r>
        <w:t xml:space="preserve"> allmennaksjeloven, jf. Ot. prp. nr. 23 (1996–1997) side 149 med henvisning til NOU 1996:3 side 144, pr</w:t>
      </w:r>
      <w:r>
        <w:t>e</w:t>
      </w:r>
      <w:r>
        <w:t>siserer at i dette ligger</w:t>
      </w:r>
    </w:p>
    <w:p w:rsidR="00000000" w:rsidRDefault="00D718D0" w:rsidP="00BA3E8B">
      <w:pPr>
        <w:pStyle w:val="blokksit"/>
      </w:pPr>
      <w:r>
        <w:t>«…ikke bare at styret skal sørge for å få til behandling saker av slik betydning at de bør være gjenstand for styrebehandling.</w:t>
      </w:r>
      <w:r>
        <w:t xml:space="preserve"> Sakene må også behandles så raskt at styrebehandlingen ikke i realiteten blir en etterhåndsbehandling av saker som er avgjort av administrasjonen».</w:t>
      </w:r>
    </w:p>
    <w:p w:rsidR="00000000" w:rsidRDefault="00D718D0" w:rsidP="00BA3E8B">
      <w:r>
        <w:t>Det presiseres, for ordens skyld, at også styremedlemmene og daglig leder kan kreve styreb</w:t>
      </w:r>
      <w:r>
        <w:t>e</w:t>
      </w:r>
      <w:r>
        <w:t>handling av sake</w:t>
      </w:r>
      <w:r>
        <w:t>r om aktivt likestillingsarbeid, jf. aksjeloven og allmennaksjeloven begges § 6–20 andre ledd.</w:t>
      </w:r>
    </w:p>
    <w:p w:rsidR="00000000" w:rsidRDefault="00D718D0" w:rsidP="00BA3E8B">
      <w:r>
        <w:t>Departementet mener at en tydeligere forankring av plikten i selskapers styre til å jobbe aktivt med likesti</w:t>
      </w:r>
      <w:r>
        <w:t>l</w:t>
      </w:r>
      <w:r>
        <w:t>lingsfremmende tiltak, vil sikre ivaretakelsen av li</w:t>
      </w:r>
      <w:r>
        <w:t>kestillings- og mangfold</w:t>
      </w:r>
      <w:r>
        <w:t>s</w:t>
      </w:r>
      <w:r>
        <w:t>perspektivene i selsk</w:t>
      </w:r>
      <w:r>
        <w:t>a</w:t>
      </w:r>
      <w:r>
        <w:t>penes drift, og derfor styrke dette arbeidet. Sammen med bestemmelsene om kjønnsrepresentasjon i styret vil depart</w:t>
      </w:r>
      <w:r>
        <w:t>e</w:t>
      </w:r>
      <w:r>
        <w:t>mentets forslag styrke arbeidet for å fremme lik</w:t>
      </w:r>
      <w:r>
        <w:t>e</w:t>
      </w:r>
      <w:r>
        <w:t>stilling og hindre diskriminering i næringsli</w:t>
      </w:r>
      <w:r>
        <w:t>vet.</w:t>
      </w:r>
    </w:p>
    <w:p w:rsidR="00000000" w:rsidRDefault="00D718D0" w:rsidP="00BA3E8B">
      <w:r>
        <w:t>Departementet opprettholder ikke forslag om endringer i statsforetaksloven, lov om interko</w:t>
      </w:r>
      <w:r>
        <w:t>m</w:t>
      </w:r>
      <w:r>
        <w:t>munale sel</w:t>
      </w:r>
      <w:r>
        <w:t>s</w:t>
      </w:r>
      <w:r>
        <w:t>kaper, stiftelsesloven, kommuneloven og samvirkelova.</w:t>
      </w:r>
    </w:p>
    <w:p w:rsidR="00000000" w:rsidRDefault="00D718D0" w:rsidP="00BA3E8B">
      <w:pPr>
        <w:pStyle w:val="Overskrift2"/>
      </w:pPr>
      <w:r>
        <w:t>Offentlige myndigheters plikt til aktivt likestillingsarbeid</w:t>
      </w:r>
    </w:p>
    <w:p w:rsidR="00000000" w:rsidRDefault="00D718D0" w:rsidP="00BA3E8B">
      <w:pPr>
        <w:pStyle w:val="Overskrift3"/>
      </w:pPr>
      <w:r>
        <w:t>Aktivitets</w:t>
      </w:r>
      <w:r>
        <w:t>plikt</w:t>
      </w:r>
    </w:p>
    <w:p w:rsidR="00000000" w:rsidRDefault="00D718D0" w:rsidP="00BA3E8B">
      <w:pPr>
        <w:pStyle w:val="Overskrift4"/>
      </w:pPr>
      <w:r>
        <w:t>Innledning</w:t>
      </w:r>
    </w:p>
    <w:p w:rsidR="00000000" w:rsidRDefault="00D718D0" w:rsidP="00BA3E8B">
      <w:r>
        <w:t>Departementets forslag i denne lovproposisjonen innebærer at myndighetenes aktivitetsplikt til å rette særlig oppmerksomhet mot s</w:t>
      </w:r>
      <w:r>
        <w:t>ammensatt diskriminering stadfestes i loven. Plikten skal gjenspeiles i alt arbeid myndighetene utfører. Med sammensatt diskriminering menes diskrim</w:t>
      </w:r>
      <w:r>
        <w:t>i</w:t>
      </w:r>
      <w:r>
        <w:t>nering som forekommer som følge av samvirke av flere diskrimineringsgrunnlag, jf. begrepets innhold er besk</w:t>
      </w:r>
      <w:r>
        <w:t>revet nærmere i kapittel 3.5.2.</w:t>
      </w:r>
    </w:p>
    <w:p w:rsidR="00000000" w:rsidRDefault="00D718D0" w:rsidP="00BA3E8B">
      <w:r>
        <w:t xml:space="preserve">Av myndighetenes aktivitetsplikt etter likestillings- og diskrimineringsloven § 24 følger det at tjenester skal være av like god kvalitet og tilpasset den enkelte brukeren og dennes behov. Med andre ord skal alle ha tilgang </w:t>
      </w:r>
      <w:r>
        <w:t>til likeverdige tjenester. Imidlertid kan det forekomme forskjell</w:t>
      </w:r>
      <w:r>
        <w:t>s</w:t>
      </w:r>
      <w:r>
        <w:t>behandling av brukere i fo</w:t>
      </w:r>
      <w:r>
        <w:t>r</w:t>
      </w:r>
      <w:r>
        <w:t>bindelse med tjenesteytelse som en utilsiktet konsekvens av makten tjenesteytere forvalter, stereotypis</w:t>
      </w:r>
      <w:r>
        <w:t>e</w:t>
      </w:r>
      <w:r>
        <w:t>ring og sosial ulikhet. Dersom f.eks. kvinnelige tjenest</w:t>
      </w:r>
      <w:r>
        <w:t>e</w:t>
      </w:r>
      <w:r>
        <w:lastRenderedPageBreak/>
        <w:t>br</w:t>
      </w:r>
      <w:r>
        <w:t>ukere behandles ulikt, og denne forskjellsb</w:t>
      </w:r>
      <w:r>
        <w:t>e</w:t>
      </w:r>
      <w:r>
        <w:t>handlingen har sammenheng med etnisitet, fun</w:t>
      </w:r>
      <w:r>
        <w:t>k</w:t>
      </w:r>
      <w:r>
        <w:t>sjonsevne, alder, funksjonsevne, eller andre grunnlag nevnt i likestillings- og diskriminering</w:t>
      </w:r>
      <w:r>
        <w:t>s</w:t>
      </w:r>
      <w:r>
        <w:t>loven, kan forskjellsbehandlingen utgjøre sammensatt diskrimin</w:t>
      </w:r>
      <w:r>
        <w:t>e</w:t>
      </w:r>
      <w:r>
        <w:t>ring. Der</w:t>
      </w:r>
      <w:r>
        <w:t>for er brukerme</w:t>
      </w:r>
      <w:r>
        <w:t>d</w:t>
      </w:r>
      <w:r>
        <w:t>virkning, relevant informasjon og et reflektivt forhold til den makten tjenest</w:t>
      </w:r>
      <w:r>
        <w:t>e</w:t>
      </w:r>
      <w:r>
        <w:t>yteren forvalter, virkningsfulle måter å fremme likestilling og forebygge og hindre sammensatt diskrim</w:t>
      </w:r>
      <w:r>
        <w:t>i</w:t>
      </w:r>
      <w:r>
        <w:t>nering. Likestillings- og diskrim</w:t>
      </w:r>
      <w:r>
        <w:t>i</w:t>
      </w:r>
      <w:r>
        <w:t>neringsombudet har i sin</w:t>
      </w:r>
      <w:r>
        <w:t xml:space="preserve"> håndbok «Likeverdige tjenester for alle» (2011) gitt eksempler på hvordan en virksomhet kan sikre likeverdige tjenester.</w:t>
      </w:r>
    </w:p>
    <w:p w:rsidR="00000000" w:rsidRDefault="00D718D0" w:rsidP="00BA3E8B">
      <w:r>
        <w:t>Myndighetsutøvelse innebærer at forvaltningen fatter vedtak og forskrifter, og utøver annen myndi</w:t>
      </w:r>
      <w:r>
        <w:t>g</w:t>
      </w:r>
      <w:r>
        <w:t>het. Myndighetsutøvelse omfatter bl.</w:t>
      </w:r>
      <w:r>
        <w:t>a. behandling av klager i saker om diskriminering. Håndhevingso</w:t>
      </w:r>
      <w:r>
        <w:t>r</w:t>
      </w:r>
      <w:r>
        <w:t>ganene har behandlet flere saker, der spørsmålet om sammensatt diskriminering har blitt vurdert. Det vises for eksempel til sakene LDN-1/2008, LDN-2010–60, LDN-2014–2, LDN-35/2014, LDN-2015–31</w:t>
      </w:r>
      <w:r>
        <w:t>, og til dom av 17. mars 2010 i Øst-Finnmark tingrett, saksnummer 09–136827TVI-OSFI.</w:t>
      </w:r>
    </w:p>
    <w:p w:rsidR="00000000" w:rsidRDefault="00D718D0" w:rsidP="00BA3E8B">
      <w:r>
        <w:t>Offentlige myndigheter har en lovpålagt plikt til å forebygge seksuell trakassering, jf. likesti</w:t>
      </w:r>
      <w:r>
        <w:t>l</w:t>
      </w:r>
      <w:r>
        <w:t>lings- og di</w:t>
      </w:r>
      <w:r>
        <w:t>s</w:t>
      </w:r>
      <w:r>
        <w:t>krimineringsloven § 24. Departementet foreslår at aktivitetsp</w:t>
      </w:r>
      <w:r>
        <w:t>likten tydeliggjøres. Undersøkelser om omfanget av seksuell trakassering og #Metoo-kampanjen viser at seksuell trakassering er et vedvarende samfunnspr</w:t>
      </w:r>
      <w:r>
        <w:t>o</w:t>
      </w:r>
      <w:r>
        <w:t>blem på de fleste samfunnsområdene. Antallet ve</w:t>
      </w:r>
      <w:r>
        <w:t>i</w:t>
      </w:r>
      <w:r>
        <w:t>ledningssaker hos Likestillings- og diskr</w:t>
      </w:r>
      <w:r>
        <w:t>i</w:t>
      </w:r>
      <w:r>
        <w:t>mineringsombud</w:t>
      </w:r>
      <w:r>
        <w:t>et har økt jevnlig de siste årene. Med #Metoo kampanjen, har antallet henvendelser knyttet til veiledning om seksuell trakassering økt ytterligere. Det vises til omtalen av seksuell trakassering i kapittel 2.5. Depart</w:t>
      </w:r>
      <w:r>
        <w:t>e</w:t>
      </w:r>
      <w:r>
        <w:t>mentet mener at det kreves styrket inn</w:t>
      </w:r>
      <w:r>
        <w:t>sats for å bekjempe seksuell trakassering og vil derfor fremme et forslag om at plikten tydeliggjøres i loven.</w:t>
      </w:r>
    </w:p>
    <w:p w:rsidR="00000000" w:rsidRDefault="00D718D0" w:rsidP="00BA3E8B">
      <w:r>
        <w:t xml:space="preserve">Kjønnsbasert vold er et alvorlig samfunnsproblem. Internasjonale konvensjoner, som Norge er bundet av, forutsetter at myndighetene jobber aktivt </w:t>
      </w:r>
      <w:r>
        <w:t>for å bekjempe kjønnsbasert vold. Kjønnsbasert vold er et fenomen som hovedsakelig rammer kvinner, men ikke utelukkende. Også menn og gutter kan bli utsatt for vold og overgrep, på grunn av kjønn. Kjønnsbasert vold rammer hovedsakelig menn og gutter som u</w:t>
      </w:r>
      <w:r>
        <w:t>t</w:t>
      </w:r>
      <w:r>
        <w:t>fordrer sosialt normative kjønnsroller og en manns og en kvinnes aksepterte posisjoner i samfunnet. Kjønnsbasert vold omfatter bl.a. voldtekt og seksuelle overgrep, tvangsekteskap og kjønnslemlestelse. Kjønnsbasert vold er å anse som diskriminering på grun</w:t>
      </w:r>
      <w:r>
        <w:t>n av kjønn i henhold til Istanbulkonvensjonen og CEDAW.</w:t>
      </w:r>
    </w:p>
    <w:p w:rsidR="00000000" w:rsidRDefault="00D718D0" w:rsidP="00BA3E8B">
      <w:r>
        <w:t>Undersøkelser viser at menn oftest blir utsatt for vold i det offentlige rom, mens kvinner oftest blir u</w:t>
      </w:r>
      <w:r>
        <w:t>t</w:t>
      </w:r>
      <w:r>
        <w:t>satt for vold i nære relasjoner, for voldtekt, seksuelle overgrep og seksuell trakassering, jf.</w:t>
      </w:r>
      <w:r>
        <w:t xml:space="preserve"> Likestilling</w:t>
      </w:r>
      <w:r>
        <w:t>s</w:t>
      </w:r>
      <w:r>
        <w:t>meldingen (Meld. St. 7 (2015–2016) kapittel 4. Menn utgjør 81 prosent av siktede for forbrytelser i fam</w:t>
      </w:r>
      <w:r>
        <w:t>i</w:t>
      </w:r>
      <w:r>
        <w:t>lieforhold. En studie fra NKVTS fra 2015 viser videre at 13,3 prosent av jentene, og 3,7 prosent av guttene i alderen 16–17 år, hadde oppl</w:t>
      </w:r>
      <w:r>
        <w:t>evd seksuelle overgrep i løpet av livet. Ifølge en nasjonal forekomststudie av vold i Norge (NKVTS 2014) hadde ca. åtte prosent av de spurte kvinnene vært utsatt for alvorlig vold fra partner. Vold i nære rel</w:t>
      </w:r>
      <w:r>
        <w:t>a</w:t>
      </w:r>
      <w:r>
        <w:t>sjoner har store menneskelige kostnader, og det</w:t>
      </w:r>
      <w:r>
        <w:t xml:space="preserve"> koster det norske samfunnet mellom 4,5 og 6 milliarder kroner hvert år, jf. Meld. St. 7 (2015–2016) kapittel 4.</w:t>
      </w:r>
    </w:p>
    <w:p w:rsidR="00000000" w:rsidRDefault="00D718D0" w:rsidP="00BA3E8B">
      <w:r>
        <w:t>Internasjonale konvensjoner forplikter offentlige myndigheter til å iverksette tiltak for å avskaffe såkalt strukturell diskriminering. Begrepe</w:t>
      </w:r>
      <w:r>
        <w:t>t «strukturell diskriminering» viser til strukturer og systemer, som sa</w:t>
      </w:r>
      <w:r>
        <w:t>m</w:t>
      </w:r>
      <w:r>
        <w:t xml:space="preserve">funnet og dets institusjoner er bygget på, og som inneholder elementer av </w:t>
      </w:r>
      <w:r>
        <w:lastRenderedPageBreak/>
        <w:t>diskriminerende karakter. Depa</w:t>
      </w:r>
      <w:r>
        <w:t>r</w:t>
      </w:r>
      <w:r>
        <w:t>tementet har i Prop. 81 L (2016–2017) kapittel 2.5.3.1 uttalt at gjennomføringe</w:t>
      </w:r>
      <w:r>
        <w:t>n av prinsippet om i</w:t>
      </w:r>
      <w:r>
        <w:t>k</w:t>
      </w:r>
      <w:r>
        <w:t>ke-diskriminering blant annet innebærer:</w:t>
      </w:r>
    </w:p>
    <w:p w:rsidR="00000000" w:rsidRDefault="00D718D0" w:rsidP="00BA3E8B">
      <w:pPr>
        <w:pStyle w:val="blokksit"/>
      </w:pPr>
      <w:r>
        <w:t>«…en plikt til å motarbeide de underliggende årsakene til diskriminering, for eksempel stereot</w:t>
      </w:r>
      <w:r>
        <w:t>y</w:t>
      </w:r>
      <w:r>
        <w:t>pier eller fordommer som regner noen personer eller grupper som mindreverdige på grunn av deres pe</w:t>
      </w:r>
      <w:r>
        <w:t>r</w:t>
      </w:r>
      <w:r>
        <w:t>sonlige kjennetegn.»</w:t>
      </w:r>
    </w:p>
    <w:p w:rsidR="00000000" w:rsidRDefault="00D718D0" w:rsidP="00BA3E8B">
      <w:r>
        <w:t>Departementet foreslår at myndighetens plikt til å motarbeide stereotypier fremheves i loven.</w:t>
      </w:r>
    </w:p>
    <w:p w:rsidR="00000000" w:rsidRDefault="00D718D0" w:rsidP="00BA3E8B">
      <w:pPr>
        <w:pStyle w:val="Overskrift4"/>
      </w:pPr>
      <w:r>
        <w:t>Gjeldende rett</w:t>
      </w:r>
    </w:p>
    <w:p w:rsidR="00000000" w:rsidRDefault="00D718D0" w:rsidP="00BA3E8B">
      <w:r>
        <w:t>Offentlige myndigheter skal arbeide aktivt, målrettet og planmessig for å oppfylle lovens formål</w:t>
      </w:r>
      <w:r>
        <w:t>, jf. lik</w:t>
      </w:r>
      <w:r>
        <w:t>e</w:t>
      </w:r>
      <w:r>
        <w:t>stillings- og diskrimineringsloven § 24. Aktivitetsplikten skal forstås i lys av lovens formålsbestemmelse i likestillings- og diskrimineringsloven § 1:</w:t>
      </w:r>
    </w:p>
    <w:p w:rsidR="00000000" w:rsidRDefault="00D718D0" w:rsidP="00BA3E8B">
      <w:pPr>
        <w:pStyle w:val="blokksit"/>
      </w:pPr>
      <w:r>
        <w:t>«Lovens formål er å fremme likestilling og hindre diskriminering på grunn av kjønn, gravidite</w:t>
      </w:r>
      <w:r>
        <w:t>t, perm</w:t>
      </w:r>
      <w:r>
        <w:t>i</w:t>
      </w:r>
      <w:r>
        <w:t>sjon ved fødsel eller adopsjon, omsorgsoppgaver, etnisitet, religion, livssyn, funksjonsne</w:t>
      </w:r>
      <w:r>
        <w:t>d</w:t>
      </w:r>
      <w:r>
        <w:t>settelse, seksuell orientering, kjønnsidentitet, kjønnsuttrykk, alder og andre vesentlige forhold ved en person.»</w:t>
      </w:r>
    </w:p>
    <w:p w:rsidR="00000000" w:rsidRDefault="00D718D0" w:rsidP="00BA3E8B">
      <w:r>
        <w:t>Bestemmelsens andre ledd presiserer at:</w:t>
      </w:r>
    </w:p>
    <w:p w:rsidR="00000000" w:rsidRDefault="00D718D0" w:rsidP="00BA3E8B">
      <w:pPr>
        <w:pStyle w:val="blokksit"/>
      </w:pPr>
      <w:r>
        <w:t>«Lo</w:t>
      </w:r>
      <w:r>
        <w:t>ven tar særlig sikte på å bedre kvinners og minoriteters stilling. Loven skal bidra til å bygge ned samfunnsskapte funksjonshemmende barrierer, og hindre at nye skapes.»</w:t>
      </w:r>
    </w:p>
    <w:p w:rsidR="00000000" w:rsidRDefault="00D718D0" w:rsidP="00BA3E8B">
      <w:pPr>
        <w:pStyle w:val="Overskrift4"/>
      </w:pPr>
      <w:r>
        <w:t>Forslag i høringsnotatet</w:t>
      </w:r>
    </w:p>
    <w:p w:rsidR="00000000" w:rsidRDefault="00D718D0" w:rsidP="00BA3E8B">
      <w:r>
        <w:t>Departementet foreslo i høringsnotatet at o</w:t>
      </w:r>
      <w:r>
        <w:t>ffentlige myndigheters aktivitetsplikt konkretiseres. Dette gjelder myndighetenes rolle i myndighetsutøvelse og tjenesteyting. Likestillings- og di</w:t>
      </w:r>
      <w:r>
        <w:t>s</w:t>
      </w:r>
      <w:r>
        <w:t>krimineringsloven § 24 gir føringer på hvordan plikten skal forstås. Lovbestemmelsen er imi</w:t>
      </w:r>
      <w:r>
        <w:t>d</w:t>
      </w:r>
      <w:r>
        <w:t>lertid lite konk</w:t>
      </w:r>
      <w:r>
        <w:t>ret. Depart</w:t>
      </w:r>
      <w:r>
        <w:t>e</w:t>
      </w:r>
      <w:r>
        <w:t>mentet mener det er behov for å gi en mer konkret beskrivelse i lik</w:t>
      </w:r>
      <w:r>
        <w:t>e</w:t>
      </w:r>
      <w:r>
        <w:t>stillings- og diskrimineringsloven, om hva plikten omfatter.</w:t>
      </w:r>
    </w:p>
    <w:p w:rsidR="00000000" w:rsidRDefault="00D718D0" w:rsidP="00BA3E8B">
      <w:r>
        <w:t>Departementet fremhevet i høringsnotatet enkelte elementer i myndighetens likestillingsarbeid, ne</w:t>
      </w:r>
      <w:r>
        <w:t>m</w:t>
      </w:r>
      <w:r>
        <w:t>lig sammensatt di</w:t>
      </w:r>
      <w:r>
        <w:t>skriminering, seksuell trakassering og kjønnsbasert vold. Forslaget i</w:t>
      </w:r>
      <w:r>
        <w:t>n</w:t>
      </w:r>
      <w:r>
        <w:t>nebærer at det skal fremgå av loven at offentlige myndigheter bl.a. skal kartlegge tilstand for kjønnslikestilling og likesti</w:t>
      </w:r>
      <w:r>
        <w:t>l</w:t>
      </w:r>
      <w:r>
        <w:t>lingsutfor</w:t>
      </w:r>
      <w:r>
        <w:t>d</w:t>
      </w:r>
      <w:r>
        <w:t>ringer, være oppmerksomme på utfordringer knyttet</w:t>
      </w:r>
      <w:r>
        <w:t xml:space="preserve"> til sammensatt diskriminering, og for</w:t>
      </w:r>
      <w:r>
        <w:t>e</w:t>
      </w:r>
      <w:r>
        <w:t>bygge trakassering, herunder seksuell trakassering og kjønnsbasert vold. Denne oppregningen skal tjene som veiledning for pliktsubjektene om hvilke temaer som kan være relevante.</w:t>
      </w:r>
    </w:p>
    <w:p w:rsidR="00000000" w:rsidRDefault="00D718D0" w:rsidP="00BA3E8B">
      <w:r>
        <w:t>Forslag om at myndighetenes aktivitets</w:t>
      </w:r>
      <w:r>
        <w:t>plikt skal konkretiseres, bygger i hovedsak på Skjeie-utvalgets anb</w:t>
      </w:r>
      <w:r>
        <w:t>e</w:t>
      </w:r>
      <w:r>
        <w:t>falinger, jf. NOU 2011: 18, kapittel 3.5.2.2.</w:t>
      </w:r>
    </w:p>
    <w:p w:rsidR="00000000" w:rsidRDefault="00D718D0" w:rsidP="00BA3E8B">
      <w:pPr>
        <w:pStyle w:val="Overskrift4"/>
      </w:pPr>
      <w:r>
        <w:t>Høringsinstansenes syn</w:t>
      </w:r>
    </w:p>
    <w:p w:rsidR="00000000" w:rsidRDefault="00D718D0" w:rsidP="00BA3E8B">
      <w:r>
        <w:t>Et stort flertall av de høringsinstansene som har uttalt seg om forslaget, støt</w:t>
      </w:r>
      <w:r>
        <w:t>ter konkretiseringen av akt</w:t>
      </w:r>
      <w:r>
        <w:t>i</w:t>
      </w:r>
      <w:r>
        <w:t>vitetsplikten som myndighetene er pålagt å følge etter likestillings- og diskriminering</w:t>
      </w:r>
      <w:r>
        <w:t>s</w:t>
      </w:r>
      <w:r>
        <w:t>loven § 24. Flere høringsinstanser har kommet med ulike alternative forslag om hvordan pliktene kan utformes og konkr</w:t>
      </w:r>
      <w:r>
        <w:t>e</w:t>
      </w:r>
      <w:r>
        <w:t>tiseres.</w:t>
      </w:r>
    </w:p>
    <w:p w:rsidR="00000000" w:rsidRDefault="00D718D0" w:rsidP="00BA3E8B">
      <w:r>
        <w:t>Noen høringsi</w:t>
      </w:r>
      <w:r>
        <w:t xml:space="preserve">nstanser, herunder </w:t>
      </w:r>
      <w:r>
        <w:rPr>
          <w:rStyle w:val="kursiv"/>
          <w:sz w:val="21"/>
          <w:szCs w:val="21"/>
        </w:rPr>
        <w:t>Likestillings- og diskrimineringsombudet</w:t>
      </w:r>
      <w:r>
        <w:t xml:space="preserve">, </w:t>
      </w:r>
      <w:r>
        <w:rPr>
          <w:rStyle w:val="kursiv"/>
          <w:sz w:val="21"/>
          <w:szCs w:val="21"/>
        </w:rPr>
        <w:t>Bufdir</w:t>
      </w:r>
      <w:r>
        <w:t>, og en rekke int</w:t>
      </w:r>
      <w:r>
        <w:t>e</w:t>
      </w:r>
      <w:r>
        <w:t>resseo</w:t>
      </w:r>
      <w:r>
        <w:t>r</w:t>
      </w:r>
      <w:r>
        <w:t>ganisasjoner (</w:t>
      </w:r>
      <w:r>
        <w:rPr>
          <w:rStyle w:val="kursiv"/>
          <w:sz w:val="21"/>
          <w:szCs w:val="21"/>
        </w:rPr>
        <w:t>Antirasistisk senter</w:t>
      </w:r>
      <w:r>
        <w:t xml:space="preserve">, </w:t>
      </w:r>
      <w:r>
        <w:rPr>
          <w:rStyle w:val="kursiv"/>
          <w:sz w:val="21"/>
          <w:szCs w:val="21"/>
        </w:rPr>
        <w:t>FRI – Foreningen for kjønns- og seksualitetsmangfold</w:t>
      </w:r>
      <w:r>
        <w:t xml:space="preserve">, </w:t>
      </w:r>
      <w:r>
        <w:rPr>
          <w:rStyle w:val="kursiv"/>
          <w:sz w:val="21"/>
          <w:szCs w:val="21"/>
        </w:rPr>
        <w:t>Fun</w:t>
      </w:r>
      <w:r>
        <w:rPr>
          <w:rStyle w:val="kursiv"/>
          <w:sz w:val="21"/>
          <w:szCs w:val="21"/>
        </w:rPr>
        <w:t>k</w:t>
      </w:r>
      <w:r>
        <w:rPr>
          <w:rStyle w:val="kursiv"/>
          <w:sz w:val="21"/>
          <w:szCs w:val="21"/>
        </w:rPr>
        <w:t>sjon</w:t>
      </w:r>
      <w:r>
        <w:rPr>
          <w:rStyle w:val="kursiv"/>
          <w:sz w:val="21"/>
          <w:szCs w:val="21"/>
        </w:rPr>
        <w:t>s</w:t>
      </w:r>
      <w:r>
        <w:rPr>
          <w:rStyle w:val="kursiv"/>
          <w:sz w:val="21"/>
          <w:szCs w:val="21"/>
        </w:rPr>
        <w:t>he</w:t>
      </w:r>
      <w:r>
        <w:rPr>
          <w:rStyle w:val="kursiv"/>
          <w:sz w:val="21"/>
          <w:szCs w:val="21"/>
        </w:rPr>
        <w:t>m</w:t>
      </w:r>
      <w:r>
        <w:rPr>
          <w:rStyle w:val="kursiv"/>
          <w:sz w:val="21"/>
          <w:szCs w:val="21"/>
        </w:rPr>
        <w:t>medes fellesorganisasjon (FFO)</w:t>
      </w:r>
      <w:r>
        <w:t xml:space="preserve">, </w:t>
      </w:r>
      <w:r>
        <w:rPr>
          <w:rStyle w:val="kursiv"/>
          <w:sz w:val="21"/>
          <w:szCs w:val="21"/>
        </w:rPr>
        <w:t>Juridisk rådgivning for kvinne</w:t>
      </w:r>
      <w:r>
        <w:rPr>
          <w:rStyle w:val="kursiv"/>
          <w:sz w:val="21"/>
          <w:szCs w:val="21"/>
        </w:rPr>
        <w:t>r (JURK)</w:t>
      </w:r>
      <w:r>
        <w:t xml:space="preserve">, </w:t>
      </w:r>
      <w:r>
        <w:rPr>
          <w:rStyle w:val="kursiv"/>
          <w:sz w:val="21"/>
          <w:szCs w:val="21"/>
        </w:rPr>
        <w:t>Krisesentersekretariatet</w:t>
      </w:r>
      <w:r>
        <w:t xml:space="preserve">, </w:t>
      </w:r>
      <w:r>
        <w:rPr>
          <w:rStyle w:val="kursiv"/>
          <w:sz w:val="21"/>
          <w:szCs w:val="21"/>
        </w:rPr>
        <w:t>Mental Helse Norge</w:t>
      </w:r>
      <w:r>
        <w:t xml:space="preserve">, </w:t>
      </w:r>
      <w:r>
        <w:rPr>
          <w:rStyle w:val="kursiv"/>
          <w:sz w:val="21"/>
          <w:szCs w:val="21"/>
        </w:rPr>
        <w:t>Menneskerettsalliansen</w:t>
      </w:r>
      <w:r>
        <w:t xml:space="preserve">, </w:t>
      </w:r>
      <w:r>
        <w:rPr>
          <w:rStyle w:val="kursiv"/>
          <w:sz w:val="21"/>
          <w:szCs w:val="21"/>
        </w:rPr>
        <w:t>MiRA ressurssenter for kvinner med minoritetsbakgrunn</w:t>
      </w:r>
      <w:r>
        <w:t xml:space="preserve">, </w:t>
      </w:r>
      <w:r>
        <w:rPr>
          <w:rStyle w:val="kursiv"/>
          <w:sz w:val="21"/>
          <w:szCs w:val="21"/>
        </w:rPr>
        <w:lastRenderedPageBreak/>
        <w:t>Norges Ha</w:t>
      </w:r>
      <w:r>
        <w:rPr>
          <w:rStyle w:val="kursiv"/>
          <w:sz w:val="21"/>
          <w:szCs w:val="21"/>
        </w:rPr>
        <w:t>n</w:t>
      </w:r>
      <w:r>
        <w:rPr>
          <w:rStyle w:val="kursiv"/>
          <w:sz w:val="21"/>
          <w:szCs w:val="21"/>
        </w:rPr>
        <w:t>dikapforbund (NHF)</w:t>
      </w:r>
      <w:r>
        <w:t xml:space="preserve">, </w:t>
      </w:r>
      <w:r>
        <w:rPr>
          <w:rStyle w:val="kursiv"/>
          <w:sz w:val="21"/>
          <w:szCs w:val="21"/>
        </w:rPr>
        <w:t>Organisasjonen mot offentlig diskriminering (OMOD)</w:t>
      </w:r>
      <w:r>
        <w:t xml:space="preserve">, </w:t>
      </w:r>
      <w:r>
        <w:rPr>
          <w:rStyle w:val="kursiv"/>
          <w:sz w:val="21"/>
          <w:szCs w:val="21"/>
        </w:rPr>
        <w:t>Reform – ressur</w:t>
      </w:r>
      <w:r>
        <w:rPr>
          <w:rStyle w:val="kursiv"/>
          <w:sz w:val="21"/>
          <w:szCs w:val="21"/>
        </w:rPr>
        <w:t>s</w:t>
      </w:r>
      <w:r>
        <w:rPr>
          <w:rStyle w:val="kursiv"/>
          <w:sz w:val="21"/>
          <w:szCs w:val="21"/>
        </w:rPr>
        <w:t>senter for menn</w:t>
      </w:r>
      <w:r>
        <w:t xml:space="preserve">, </w:t>
      </w:r>
      <w:r>
        <w:rPr>
          <w:rStyle w:val="kursiv"/>
          <w:sz w:val="21"/>
          <w:szCs w:val="21"/>
        </w:rPr>
        <w:t>Samarbeidsrådet for tros- og livssynssamfunn</w:t>
      </w:r>
      <w:r>
        <w:t xml:space="preserve">, </w:t>
      </w:r>
      <w:r>
        <w:rPr>
          <w:rStyle w:val="kursiv"/>
          <w:sz w:val="21"/>
          <w:szCs w:val="21"/>
        </w:rPr>
        <w:t>Samisk Kvinneforum – Sami Nisson Forum</w:t>
      </w:r>
      <w:r>
        <w:t xml:space="preserve">, </w:t>
      </w:r>
      <w:r>
        <w:rPr>
          <w:rStyle w:val="kursiv"/>
          <w:sz w:val="21"/>
          <w:szCs w:val="21"/>
        </w:rPr>
        <w:t>Stiftelsen Alternativ til vold</w:t>
      </w:r>
      <w:r>
        <w:t xml:space="preserve">, </w:t>
      </w:r>
      <w:r>
        <w:rPr>
          <w:rStyle w:val="kursiv"/>
          <w:sz w:val="21"/>
          <w:szCs w:val="21"/>
        </w:rPr>
        <w:t>Stiftelsen Stopp diskrimineringen og Unge funksjonshemmede)</w:t>
      </w:r>
      <w:r>
        <w:t>, mener at a</w:t>
      </w:r>
      <w:r>
        <w:t>k</w:t>
      </w:r>
      <w:r>
        <w:t>tivitetsplikten bør ko</w:t>
      </w:r>
      <w:r>
        <w:t>n</w:t>
      </w:r>
      <w:r>
        <w:t>kretiseres i enda større grad, enn det depa</w:t>
      </w:r>
      <w:r>
        <w:t>rtementet foreslo i høringsn</w:t>
      </w:r>
      <w:r>
        <w:t>o</w:t>
      </w:r>
      <w:r>
        <w:t>tatet. Noen høringsinstanser stø</w:t>
      </w:r>
      <w:r>
        <w:t>t</w:t>
      </w:r>
      <w:r>
        <w:t>ter særskilt forslaget om å fremheve kjønnsrelatert vold og seksuell trakassering i loven, mens enkelte andre høringsinstanser stiller seg kritiske til det.</w:t>
      </w:r>
    </w:p>
    <w:p w:rsidR="00000000" w:rsidRPr="009445FD" w:rsidRDefault="00D718D0" w:rsidP="00BA3E8B">
      <w:pPr>
        <w:rPr>
          <w:rStyle w:val="kursiv"/>
        </w:rPr>
      </w:pPr>
      <w:r>
        <w:rPr>
          <w:rStyle w:val="kursiv"/>
          <w:sz w:val="21"/>
          <w:szCs w:val="21"/>
        </w:rPr>
        <w:t>KVIBALD</w:t>
      </w:r>
      <w:r>
        <w:t xml:space="preserve"> stiller seg positivt til at m</w:t>
      </w:r>
      <w:r>
        <w:t>yndighetenes aktivitetsplikt knyttet til kjønnsrelatert vold fremh</w:t>
      </w:r>
      <w:r>
        <w:t>e</w:t>
      </w:r>
      <w:r>
        <w:t>ves og viser til at dette bidrar til gjennomføring Norges konvensjonsforpliktelser etter FNs kvinnediskr</w:t>
      </w:r>
      <w:r>
        <w:t>i</w:t>
      </w:r>
      <w:r>
        <w:t>minering</w:t>
      </w:r>
      <w:r>
        <w:t>s</w:t>
      </w:r>
      <w:r>
        <w:t xml:space="preserve">konvensjon og Istanbulkonvensjonen. </w:t>
      </w:r>
      <w:r>
        <w:rPr>
          <w:rStyle w:val="kursiv"/>
          <w:sz w:val="21"/>
          <w:szCs w:val="21"/>
        </w:rPr>
        <w:t>KVIBALD</w:t>
      </w:r>
      <w:r>
        <w:t xml:space="preserve"> mener likevel at også stereotyp</w:t>
      </w:r>
      <w:r>
        <w:t>isering bør fremheves, og viser til at stereotypisering er:</w:t>
      </w:r>
    </w:p>
    <w:p w:rsidR="00000000" w:rsidRDefault="00D718D0" w:rsidP="00BA3E8B">
      <w:pPr>
        <w:pStyle w:val="blokksit"/>
      </w:pPr>
      <w:r>
        <w:t>«…et sentralt element i Norges internasjonale forpliktelser med hensyn til å avskaffe strukturell di</w:t>
      </w:r>
      <w:r>
        <w:t>s</w:t>
      </w:r>
      <w:r>
        <w:t>kriminering.»</w:t>
      </w:r>
    </w:p>
    <w:p w:rsidR="00000000" w:rsidRDefault="00D718D0" w:rsidP="00BA3E8B">
      <w:r>
        <w:t>KVIBALD viser videre til at stereotypier og diskriminering henger ofte sammen.</w:t>
      </w:r>
    </w:p>
    <w:p w:rsidR="00000000" w:rsidRDefault="00D718D0" w:rsidP="00BA3E8B">
      <w:r>
        <w:t>In</w:t>
      </w:r>
      <w:r>
        <w:t xml:space="preserve">teresseorganisasjonene </w:t>
      </w:r>
      <w:r>
        <w:rPr>
          <w:rStyle w:val="kursiv"/>
          <w:sz w:val="21"/>
          <w:szCs w:val="21"/>
        </w:rPr>
        <w:t>Antirasistisk senter</w:t>
      </w:r>
      <w:r>
        <w:t xml:space="preserve">, </w:t>
      </w:r>
      <w:r>
        <w:rPr>
          <w:rStyle w:val="kursiv"/>
          <w:sz w:val="21"/>
          <w:szCs w:val="21"/>
        </w:rPr>
        <w:t>FRI – Foreningen for kjønns- og seksualitetsmangfold</w:t>
      </w:r>
      <w:r>
        <w:t xml:space="preserve">, </w:t>
      </w:r>
      <w:r>
        <w:rPr>
          <w:rStyle w:val="kursiv"/>
          <w:sz w:val="21"/>
          <w:szCs w:val="21"/>
        </w:rPr>
        <w:t>Fun</w:t>
      </w:r>
      <w:r>
        <w:rPr>
          <w:rStyle w:val="kursiv"/>
          <w:sz w:val="21"/>
          <w:szCs w:val="21"/>
        </w:rPr>
        <w:t>k</w:t>
      </w:r>
      <w:r>
        <w:rPr>
          <w:rStyle w:val="kursiv"/>
          <w:sz w:val="21"/>
          <w:szCs w:val="21"/>
        </w:rPr>
        <w:t>sjonshemmedes fellesorganisasjon (FFO)</w:t>
      </w:r>
      <w:r>
        <w:t xml:space="preserve">, </w:t>
      </w:r>
      <w:r>
        <w:rPr>
          <w:rStyle w:val="kursiv"/>
          <w:sz w:val="21"/>
          <w:szCs w:val="21"/>
        </w:rPr>
        <w:t>Juridisk rådgivning for kvinner (JURK)</w:t>
      </w:r>
      <w:r>
        <w:t xml:space="preserve">, </w:t>
      </w:r>
      <w:r>
        <w:rPr>
          <w:rStyle w:val="kursiv"/>
          <w:sz w:val="21"/>
          <w:szCs w:val="21"/>
        </w:rPr>
        <w:t>Krisesentersekr</w:t>
      </w:r>
      <w:r>
        <w:rPr>
          <w:rStyle w:val="kursiv"/>
          <w:sz w:val="21"/>
          <w:szCs w:val="21"/>
        </w:rPr>
        <w:t>e</w:t>
      </w:r>
      <w:r>
        <w:rPr>
          <w:rStyle w:val="kursiv"/>
          <w:sz w:val="21"/>
          <w:szCs w:val="21"/>
        </w:rPr>
        <w:t>t</w:t>
      </w:r>
      <w:r>
        <w:rPr>
          <w:rStyle w:val="kursiv"/>
          <w:sz w:val="21"/>
          <w:szCs w:val="21"/>
        </w:rPr>
        <w:t>a</w:t>
      </w:r>
      <w:r>
        <w:rPr>
          <w:rStyle w:val="kursiv"/>
          <w:sz w:val="21"/>
          <w:szCs w:val="21"/>
        </w:rPr>
        <w:t>riatet</w:t>
      </w:r>
      <w:r>
        <w:t xml:space="preserve">, </w:t>
      </w:r>
      <w:r>
        <w:rPr>
          <w:rStyle w:val="kursiv"/>
          <w:sz w:val="21"/>
          <w:szCs w:val="21"/>
        </w:rPr>
        <w:t>Mental Helse Norge</w:t>
      </w:r>
      <w:r>
        <w:t xml:space="preserve">, </w:t>
      </w:r>
      <w:r>
        <w:rPr>
          <w:rStyle w:val="kursiv"/>
          <w:sz w:val="21"/>
          <w:szCs w:val="21"/>
        </w:rPr>
        <w:t>Menneskerettsalliansen</w:t>
      </w:r>
      <w:r>
        <w:t xml:space="preserve">, </w:t>
      </w:r>
      <w:r>
        <w:rPr>
          <w:rStyle w:val="kursiv"/>
          <w:sz w:val="21"/>
          <w:szCs w:val="21"/>
        </w:rPr>
        <w:t>MiR</w:t>
      </w:r>
      <w:r>
        <w:rPr>
          <w:rStyle w:val="kursiv"/>
          <w:sz w:val="21"/>
          <w:szCs w:val="21"/>
        </w:rPr>
        <w:t>A ressurssenter for kvinner med minoritetsba</w:t>
      </w:r>
      <w:r>
        <w:rPr>
          <w:rStyle w:val="kursiv"/>
          <w:sz w:val="21"/>
          <w:szCs w:val="21"/>
        </w:rPr>
        <w:t>k</w:t>
      </w:r>
      <w:r>
        <w:rPr>
          <w:rStyle w:val="kursiv"/>
          <w:sz w:val="21"/>
          <w:szCs w:val="21"/>
        </w:rPr>
        <w:t>grunn</w:t>
      </w:r>
      <w:r>
        <w:t xml:space="preserve">, </w:t>
      </w:r>
      <w:r>
        <w:rPr>
          <w:rStyle w:val="kursiv"/>
          <w:sz w:val="21"/>
          <w:szCs w:val="21"/>
        </w:rPr>
        <w:t>Norges Handikapforbund (NHF)</w:t>
      </w:r>
      <w:r>
        <w:t xml:space="preserve">, </w:t>
      </w:r>
      <w:r>
        <w:rPr>
          <w:rStyle w:val="kursiv"/>
          <w:sz w:val="21"/>
          <w:szCs w:val="21"/>
        </w:rPr>
        <w:t>Organisasjonen mot offentlig diskriminering (OMOD)</w:t>
      </w:r>
      <w:r>
        <w:t xml:space="preserve">, </w:t>
      </w:r>
      <w:r>
        <w:rPr>
          <w:rStyle w:val="kursiv"/>
          <w:sz w:val="21"/>
          <w:szCs w:val="21"/>
        </w:rPr>
        <w:t>Reform – ressur</w:t>
      </w:r>
      <w:r>
        <w:rPr>
          <w:rStyle w:val="kursiv"/>
          <w:sz w:val="21"/>
          <w:szCs w:val="21"/>
        </w:rPr>
        <w:t>s</w:t>
      </w:r>
      <w:r>
        <w:rPr>
          <w:rStyle w:val="kursiv"/>
          <w:sz w:val="21"/>
          <w:szCs w:val="21"/>
        </w:rPr>
        <w:t>senter for menn</w:t>
      </w:r>
      <w:r>
        <w:t xml:space="preserve">, </w:t>
      </w:r>
      <w:r>
        <w:rPr>
          <w:rStyle w:val="kursiv"/>
          <w:sz w:val="21"/>
          <w:szCs w:val="21"/>
        </w:rPr>
        <w:t>Samarbeidsrådet for tros- og livssynssamfunn</w:t>
      </w:r>
      <w:r>
        <w:t xml:space="preserve">, </w:t>
      </w:r>
      <w:r>
        <w:rPr>
          <w:rStyle w:val="kursiv"/>
          <w:sz w:val="21"/>
          <w:szCs w:val="21"/>
        </w:rPr>
        <w:t>Samisk Kvinneforum – Sami Nisson Forum</w:t>
      </w:r>
      <w:r>
        <w:t xml:space="preserve">, </w:t>
      </w:r>
      <w:r>
        <w:rPr>
          <w:rStyle w:val="kursiv"/>
          <w:sz w:val="21"/>
          <w:szCs w:val="21"/>
        </w:rPr>
        <w:t>Sti</w:t>
      </w:r>
      <w:r>
        <w:rPr>
          <w:rStyle w:val="kursiv"/>
          <w:sz w:val="21"/>
          <w:szCs w:val="21"/>
        </w:rPr>
        <w:t>ftelsen Alternativ til vold</w:t>
      </w:r>
      <w:r>
        <w:t xml:space="preserve">, </w:t>
      </w:r>
      <w:r>
        <w:rPr>
          <w:rStyle w:val="kursiv"/>
          <w:sz w:val="21"/>
          <w:szCs w:val="21"/>
        </w:rPr>
        <w:t>Stiftelsen Stopp diskrimineringen</w:t>
      </w:r>
      <w:r>
        <w:t xml:space="preserve"> og </w:t>
      </w:r>
      <w:r>
        <w:rPr>
          <w:rStyle w:val="kursiv"/>
          <w:sz w:val="21"/>
          <w:szCs w:val="21"/>
        </w:rPr>
        <w:t xml:space="preserve">Unge funksjonshemmede </w:t>
      </w:r>
      <w:r>
        <w:t>har uttalt seg i et felles høringssvar. Interesseorganisasjonene mener at det bør vurderes om arbeidsm</w:t>
      </w:r>
      <w:r>
        <w:t>e</w:t>
      </w:r>
      <w:r>
        <w:t>toden i fire trinn i lik</w:t>
      </w:r>
      <w:r>
        <w:t>e</w:t>
      </w:r>
      <w:r>
        <w:t xml:space="preserve">stillings- og diskrimineringsloven § 26 </w:t>
      </w:r>
      <w:r>
        <w:t>andre ledd også bør gjelde for myndighetene. Likestillings- og di</w:t>
      </w:r>
      <w:r>
        <w:t>s</w:t>
      </w:r>
      <w:r>
        <w:t>krimineringsombudet støtter dette.</w:t>
      </w:r>
    </w:p>
    <w:p w:rsidR="00000000" w:rsidRDefault="00D718D0" w:rsidP="00BA3E8B">
      <w:r>
        <w:t>Ifølge de ovennevnte interesseorganisasjonene bør det presiseres at plikten gjelder i all vir</w:t>
      </w:r>
      <w:r>
        <w:t>k</w:t>
      </w:r>
      <w:r>
        <w:t>somhet offentlige myndigheter utøver. Videre anføres det at a</w:t>
      </w:r>
      <w:r>
        <w:t>lle diskrimineringsgrunnlag bør nevnes i beste</w:t>
      </w:r>
      <w:r>
        <w:t>m</w:t>
      </w:r>
      <w:r>
        <w:t>melsen, slik grunnlagene fremgår av bestemmelsen om arbeidsgivers aktiv</w:t>
      </w:r>
      <w:r>
        <w:t>i</w:t>
      </w:r>
      <w:r>
        <w:t>tetsplikt.</w:t>
      </w:r>
    </w:p>
    <w:p w:rsidR="00000000" w:rsidRPr="009445FD" w:rsidRDefault="00D718D0" w:rsidP="00BA3E8B">
      <w:pPr>
        <w:rPr>
          <w:rStyle w:val="kursiv"/>
        </w:rPr>
      </w:pPr>
      <w:r>
        <w:rPr>
          <w:rStyle w:val="kursiv"/>
          <w:sz w:val="21"/>
          <w:szCs w:val="21"/>
        </w:rPr>
        <w:t>Ombudet</w:t>
      </w:r>
      <w:r>
        <w:t xml:space="preserve"> mener at det er svært positivt at offentlige myndigheters aktivitetsplikt konkretiseres. </w:t>
      </w:r>
      <w:r>
        <w:rPr>
          <w:rStyle w:val="kursiv"/>
          <w:sz w:val="21"/>
          <w:szCs w:val="21"/>
        </w:rPr>
        <w:t>O</w:t>
      </w:r>
      <w:r>
        <w:rPr>
          <w:rStyle w:val="kursiv"/>
          <w:sz w:val="21"/>
          <w:szCs w:val="21"/>
        </w:rPr>
        <w:t>m</w:t>
      </w:r>
      <w:r>
        <w:rPr>
          <w:rStyle w:val="kursiv"/>
          <w:sz w:val="21"/>
          <w:szCs w:val="21"/>
        </w:rPr>
        <w:t>budet</w:t>
      </w:r>
      <w:r>
        <w:t xml:space="preserve"> støtter også forslage</w:t>
      </w:r>
      <w:r>
        <w:t>t om at trakassering, seksuell trakassering og kjønnsrelatert vold fremheves i lovteksten.</w:t>
      </w:r>
    </w:p>
    <w:p w:rsidR="00000000" w:rsidRPr="009445FD" w:rsidRDefault="00D718D0" w:rsidP="00BA3E8B">
      <w:pPr>
        <w:rPr>
          <w:rStyle w:val="kursiv"/>
        </w:rPr>
      </w:pPr>
      <w:r>
        <w:rPr>
          <w:rStyle w:val="kursiv"/>
          <w:sz w:val="21"/>
          <w:szCs w:val="21"/>
        </w:rPr>
        <w:t>Bufdir</w:t>
      </w:r>
      <w:r>
        <w:t xml:space="preserve"> støtter forslaget om å konkretisere offentlige myndigheters aktivitetsplikt og at offentlige my</w:t>
      </w:r>
      <w:r>
        <w:t>n</w:t>
      </w:r>
      <w:r>
        <w:t xml:space="preserve">digheter pålegges en redegjørelsesplikt, men mener at plikten </w:t>
      </w:r>
      <w:r>
        <w:t>bør konkretiseres ytterligere, slik at det fremgår av loven at myndigheters:</w:t>
      </w:r>
    </w:p>
    <w:p w:rsidR="00000000" w:rsidRDefault="00D718D0" w:rsidP="00BA3E8B">
      <w:pPr>
        <w:pStyle w:val="blokksit"/>
      </w:pPr>
      <w:r>
        <w:t>«aktivitetsplikt omfatter bl.a. likeverdig tjenesteytelse, lovarbeid, utredninger, handlingsplaner og strategiarbeid».</w:t>
      </w:r>
    </w:p>
    <w:p w:rsidR="00000000" w:rsidRPr="009445FD" w:rsidRDefault="00D718D0" w:rsidP="00BA3E8B">
      <w:pPr>
        <w:rPr>
          <w:rStyle w:val="kursiv"/>
        </w:rPr>
      </w:pPr>
      <w:r>
        <w:rPr>
          <w:rStyle w:val="kursiv"/>
          <w:sz w:val="21"/>
          <w:szCs w:val="21"/>
        </w:rPr>
        <w:t>NIM</w:t>
      </w:r>
      <w:r>
        <w:t xml:space="preserve"> viser i sin høringsuttalelse bl.a. til at departementets</w:t>
      </w:r>
      <w:r>
        <w:t xml:space="preserve"> hensikt med lovforslaget er å fremheve kvinn</w:t>
      </w:r>
      <w:r>
        <w:t>e</w:t>
      </w:r>
      <w:r>
        <w:t xml:space="preserve">diskriminering, seksuell trakassering og kjønnsrelatert vold i aktivitetsplikten. </w:t>
      </w:r>
      <w:r>
        <w:rPr>
          <w:rStyle w:val="kursiv"/>
          <w:sz w:val="21"/>
          <w:szCs w:val="21"/>
        </w:rPr>
        <w:t>NIM</w:t>
      </w:r>
      <w:r>
        <w:t xml:space="preserve"> stiller seg positivt til styrking av kvinners stilling, men ønsker på samme måte en styrking av retti</w:t>
      </w:r>
      <w:r>
        <w:t>g</w:t>
      </w:r>
      <w:r>
        <w:t>hetene til de øvrige u</w:t>
      </w:r>
      <w:r>
        <w:t xml:space="preserve">tsatte gruppene som vernet i lovens formålsbestemmelse, jf. likestillings- og diskrimineringsloven § 1. </w:t>
      </w:r>
      <w:r>
        <w:rPr>
          <w:rStyle w:val="kursiv"/>
          <w:sz w:val="21"/>
          <w:szCs w:val="21"/>
        </w:rPr>
        <w:t>NIM</w:t>
      </w:r>
      <w:r>
        <w:t xml:space="preserve"> uttaler at:</w:t>
      </w:r>
    </w:p>
    <w:p w:rsidR="00000000" w:rsidRDefault="00D718D0" w:rsidP="00BA3E8B">
      <w:pPr>
        <w:pStyle w:val="blokksit"/>
      </w:pPr>
      <w:r>
        <w:t>«…disse diskrimineringsgrunnlagene reflekteres i internasjonale menneskerettskonvensjoner Norge er bundet av, og av diskrimineringsverne</w:t>
      </w:r>
      <w:r>
        <w:t xml:space="preserve">t i Grunnloven. NIM mener at det på prinsipielt </w:t>
      </w:r>
      <w:r>
        <w:lastRenderedPageBreak/>
        <w:t>grunnlag er uheldig å framheve ett av flere diskrimineringsgrunnlag på denne måten i selve lo</w:t>
      </w:r>
      <w:r>
        <w:t>v</w:t>
      </w:r>
      <w:r>
        <w:t>teksten. Implisitt sier man at dette diskrimineringsgrunnlaget er viktigere enn de andre.»</w:t>
      </w:r>
    </w:p>
    <w:p w:rsidR="00000000" w:rsidRPr="009445FD" w:rsidRDefault="00D718D0" w:rsidP="00BA3E8B">
      <w:pPr>
        <w:rPr>
          <w:rStyle w:val="kursiv"/>
        </w:rPr>
      </w:pPr>
      <w:r>
        <w:rPr>
          <w:rStyle w:val="kursiv"/>
          <w:sz w:val="21"/>
          <w:szCs w:val="21"/>
        </w:rPr>
        <w:t>NIM</w:t>
      </w:r>
      <w:r>
        <w:t xml:space="preserve"> påpeker videre at F</w:t>
      </w:r>
      <w:r>
        <w:t xml:space="preserve">Ns rasediskrimineringskomité har etterlyst en redegjørelse og kartlegging av rasisme på ulike områder i Norge. </w:t>
      </w:r>
      <w:r>
        <w:rPr>
          <w:rStyle w:val="kursiv"/>
          <w:sz w:val="21"/>
          <w:szCs w:val="21"/>
        </w:rPr>
        <w:t>NIM</w:t>
      </w:r>
      <w:r>
        <w:t xml:space="preserve"> mener videre at forslaget om en konkretisert aktiv</w:t>
      </w:r>
      <w:r>
        <w:t>i</w:t>
      </w:r>
      <w:r>
        <w:t>tetsplikt kunne fremhevet og konkretisere aktivitetsplikten for alle diskrimineringsgrunnl</w:t>
      </w:r>
      <w:r>
        <w:t>agene ved å fjerne henvisninger til kjønn.</w:t>
      </w:r>
    </w:p>
    <w:p w:rsidR="00000000" w:rsidRDefault="00D718D0" w:rsidP="00BA3E8B">
      <w:r>
        <w:t xml:space="preserve">Når det gjelder konkretiseringen av aktivitetsplikten, er det, ifølge </w:t>
      </w:r>
      <w:r>
        <w:rPr>
          <w:rStyle w:val="kursiv"/>
          <w:sz w:val="21"/>
          <w:szCs w:val="21"/>
        </w:rPr>
        <w:t>Justis- og beredskapsdepart</w:t>
      </w:r>
      <w:r>
        <w:rPr>
          <w:rStyle w:val="kursiv"/>
          <w:sz w:val="21"/>
          <w:szCs w:val="21"/>
        </w:rPr>
        <w:t>e</w:t>
      </w:r>
      <w:r>
        <w:rPr>
          <w:rStyle w:val="kursiv"/>
          <w:sz w:val="21"/>
          <w:szCs w:val="21"/>
        </w:rPr>
        <w:t>mentet</w:t>
      </w:r>
      <w:r>
        <w:t>, ikke åpenbart hva man oppnår med tilføyelsene, eller hvorfor akkurat disse tre elementene skal trekkes frem</w:t>
      </w:r>
      <w:r>
        <w:t xml:space="preserve">. Ifølge </w:t>
      </w:r>
      <w:r>
        <w:rPr>
          <w:rStyle w:val="kursiv"/>
          <w:sz w:val="21"/>
          <w:szCs w:val="21"/>
        </w:rPr>
        <w:t xml:space="preserve">Justis- og beredskapsdepartementet </w:t>
      </w:r>
      <w:r>
        <w:t>kan dette føre til at arbeidet konse</w:t>
      </w:r>
      <w:r>
        <w:t>n</w:t>
      </w:r>
      <w:r>
        <w:t>treres om de fremhevede punktene, og slik sett gå på bekostning av de andre temaene. De e</w:t>
      </w:r>
      <w:r>
        <w:t>t</w:t>
      </w:r>
      <w:r>
        <w:t>terlyser også en gjennomgang av fo</w:t>
      </w:r>
      <w:r>
        <w:t>r</w:t>
      </w:r>
      <w:r>
        <w:t>muleringene i b</w:t>
      </w:r>
      <w:r>
        <w:t>e</w:t>
      </w:r>
      <w:r>
        <w:t xml:space="preserve">stemmelsene. Dette for å sikre en </w:t>
      </w:r>
      <w:r>
        <w:t>bedre sammenheng mellom pliktene og for å gjøre lovteksten mer ti</w:t>
      </w:r>
      <w:r>
        <w:t>l</w:t>
      </w:r>
      <w:r>
        <w:t>gjengelig.</w:t>
      </w:r>
    </w:p>
    <w:p w:rsidR="00000000" w:rsidRDefault="00D718D0" w:rsidP="00BA3E8B">
      <w:pPr>
        <w:pStyle w:val="Overskrift4"/>
      </w:pPr>
      <w:r>
        <w:t>Departementets vurderinger</w:t>
      </w:r>
    </w:p>
    <w:p w:rsidR="00000000" w:rsidRDefault="00D718D0" w:rsidP="00BA3E8B">
      <w:pPr>
        <w:pStyle w:val="Undertittel"/>
      </w:pPr>
      <w:r>
        <w:t>Innledning</w:t>
      </w:r>
    </w:p>
    <w:p w:rsidR="00000000" w:rsidRDefault="00D718D0" w:rsidP="00BA3E8B">
      <w:r>
        <w:t>Departementet opprettholder forslaget om å konkretisere myndighetenes aktivitetsplikt, men foreslår</w:t>
      </w:r>
      <w:r>
        <w:t xml:space="preserve"> enkelte endringer som gjelder for elementene som fremheves i loven.</w:t>
      </w:r>
    </w:p>
    <w:p w:rsidR="00000000" w:rsidRDefault="00D718D0" w:rsidP="00BA3E8B">
      <w:r>
        <w:t>Departementet understreker at de temaene, som er foreslått fremhevet i loven, kun er eksempler på forhold plikten omfatter. Oppregningen er altså ikke en uttømmende liste over rekkevidden</w:t>
      </w:r>
      <w:r>
        <w:t xml:space="preserve"> av aktivitet</w:t>
      </w:r>
      <w:r>
        <w:t>s</w:t>
      </w:r>
      <w:r>
        <w:t>pliktens innhold.</w:t>
      </w:r>
    </w:p>
    <w:p w:rsidR="00000000" w:rsidRDefault="00D718D0" w:rsidP="00BA3E8B">
      <w:r>
        <w:t>Departementets forslag innebærer at offentlige myndigheter fremdeles skal arbeide aktivt, må</w:t>
      </w:r>
      <w:r>
        <w:t>l</w:t>
      </w:r>
      <w:r>
        <w:t>rettet og planmessig for å fremme likestilling og hindre diskriminering. I høringsnotatet ble henvisningen til «lovens formål» i li</w:t>
      </w:r>
      <w:r>
        <w:t>kestillings- og diskrimineringsloven § 24 foreslått op</w:t>
      </w:r>
      <w:r>
        <w:t>p</w:t>
      </w:r>
      <w:r>
        <w:t>rettholdt, jf. forslaget til revidert § 24 i høringsnotatet. Departementet har revurdert dette. D</w:t>
      </w:r>
      <w:r>
        <w:t>e</w:t>
      </w:r>
      <w:r>
        <w:t>partementet foreslår i denne lovproposisjonen at fo</w:t>
      </w:r>
      <w:r>
        <w:t>r</w:t>
      </w:r>
      <w:r>
        <w:t>slaget endres, slik at diskrimineringsgrun</w:t>
      </w:r>
      <w:r>
        <w:t>n</w:t>
      </w:r>
      <w:r>
        <w:t>lagene s</w:t>
      </w:r>
      <w:r>
        <w:t>om er omfattet av aktivitetsplikten, fremgår direkte av lovbestemmelsen gjennom he</w:t>
      </w:r>
      <w:r>
        <w:t>n</w:t>
      </w:r>
      <w:r>
        <w:t>visningen til lovens § 6.</w:t>
      </w:r>
    </w:p>
    <w:p w:rsidR="00000000" w:rsidRDefault="00D718D0" w:rsidP="00BA3E8B">
      <w:r>
        <w:t>Enkelte høringsinstanser har anført at det bør fremgå av lovbestemmelsen at aktivitetsplikten gjelder i all virksomhet til offentlige virksomheter.</w:t>
      </w:r>
      <w:r>
        <w:t xml:space="preserve"> Departementet er enig i dette og fremmer et forslag i lovprop</w:t>
      </w:r>
      <w:r>
        <w:t>o</w:t>
      </w:r>
      <w:r>
        <w:t>sisjonen om at det at aktivitetsplikten omfatter all virksomhet til offentlige myndigheter.</w:t>
      </w:r>
    </w:p>
    <w:p w:rsidR="00000000" w:rsidRDefault="00D718D0" w:rsidP="00BA3E8B">
      <w:r>
        <w:t>Departementet foreslo i høringsnotatet at det skal fremgå av loven at offentlige myndigheter blant a</w:t>
      </w:r>
      <w:r>
        <w:t>n</w:t>
      </w:r>
      <w:r>
        <w:t>net skal kartlegge tilstand for kjønnslikestilling og likestillingsutfordringer.</w:t>
      </w:r>
    </w:p>
    <w:p w:rsidR="00000000" w:rsidRDefault="00D718D0" w:rsidP="00BA3E8B">
      <w:r>
        <w:t>For å sikre bedre tilgjengelighet og for å tydeliggjøre sammenhengen mellom myndighetenes aktiv</w:t>
      </w:r>
      <w:r>
        <w:t>i</w:t>
      </w:r>
      <w:r>
        <w:t xml:space="preserve">tetsplikt og redegjørelsesplikt, foreslår departementet at forslaget justeres. </w:t>
      </w:r>
      <w:r>
        <w:t>Departementet foreslår derfor at myndighetene pålegges en plikt til å redegjøre for hvordan de jobber for å ivareta hensynet til likestilling og i</w:t>
      </w:r>
      <w:r>
        <w:t>k</w:t>
      </w:r>
      <w:r>
        <w:t>ke-diskriminering i sitt arbeid, og en plikt til å vurdere r</w:t>
      </w:r>
      <w:r>
        <w:t>e</w:t>
      </w:r>
      <w:r>
        <w:t>sultatene som er oppnådd, jf. forslag til r</w:t>
      </w:r>
      <w:r>
        <w:t>e</w:t>
      </w:r>
      <w:r>
        <w:t>degj</w:t>
      </w:r>
      <w:r>
        <w:t>øre</w:t>
      </w:r>
      <w:r>
        <w:t>l</w:t>
      </w:r>
      <w:r>
        <w:t>sesplikten i § 24 annet ledd. At offentlige myndigheter, i forbindelse med dette arbeidet, kartle</w:t>
      </w:r>
      <w:r>
        <w:t>g</w:t>
      </w:r>
      <w:r>
        <w:t>ger tilstanden for kjønnslikestilling og likestillingsutfordringer på de diskrimineringsgrunnlagene som er omfattet av akt</w:t>
      </w:r>
      <w:r>
        <w:t>i</w:t>
      </w:r>
      <w:r>
        <w:t>vitetsplikten, er både naturlig</w:t>
      </w:r>
      <w:r>
        <w:t xml:space="preserve"> og formålstjenlig. Departementet opprettholder imidlertid ikke forslaget om å </w:t>
      </w:r>
      <w:r>
        <w:lastRenderedPageBreak/>
        <w:t>lovfeste plikt for myndighetene til å kartlegge tilstanden for kjønnslikestilling og lik</w:t>
      </w:r>
      <w:r>
        <w:t>e</w:t>
      </w:r>
      <w:r>
        <w:t>stilling</w:t>
      </w:r>
      <w:r>
        <w:t>s</w:t>
      </w:r>
      <w:r>
        <w:t>utfordringer, slik det ble foreslått i høringsnotatet.</w:t>
      </w:r>
    </w:p>
    <w:p w:rsidR="00000000" w:rsidRDefault="00D718D0" w:rsidP="00BA3E8B">
      <w:r>
        <w:t>Departementet oppretthol</w:t>
      </w:r>
      <w:r>
        <w:t>der forslaget om at det bør fremgå direkte av loven at plikten innebærer at my</w:t>
      </w:r>
      <w:r>
        <w:t>n</w:t>
      </w:r>
      <w:r>
        <w:t>dighetene skal være oppmerksomme på sammensatt diskriminering, og forebygge tr</w:t>
      </w:r>
      <w:r>
        <w:t>a</w:t>
      </w:r>
      <w:r>
        <w:t>kassering, herunder seksuell trakassering og kjønnsrelatert vold.</w:t>
      </w:r>
    </w:p>
    <w:p w:rsidR="00000000" w:rsidRDefault="00D718D0" w:rsidP="00BA3E8B">
      <w:r>
        <w:t>Departementet foreslår videre at</w:t>
      </w:r>
      <w:r>
        <w:t xml:space="preserve"> det tas inn i lovteksten at myndighetene også skal motarbeide st</w:t>
      </w:r>
      <w:r>
        <w:t>e</w:t>
      </w:r>
      <w:r>
        <w:t>reotypier knyttet til de diskrimineringsgrunnlagene som er nevnt i bestemmelsen.</w:t>
      </w:r>
    </w:p>
    <w:p w:rsidR="00000000" w:rsidRDefault="00D718D0" w:rsidP="00BA3E8B">
      <w:r>
        <w:t>Offentlige myndigheters aktivitetsplikt ble ikke konkretisert i likestillings- og diskriminering</w:t>
      </w:r>
      <w:r>
        <w:t>s</w:t>
      </w:r>
      <w:r>
        <w:t>loven. Depa</w:t>
      </w:r>
      <w:r>
        <w:t>r</w:t>
      </w:r>
      <w:r>
        <w:t>tementet uttaler likevel i lovens forarbeider at store deler av Skjeie-utvalgets forslag om offentlige myndi</w:t>
      </w:r>
      <w:r>
        <w:t>g</w:t>
      </w:r>
      <w:r>
        <w:t>heters aktivitetsplikt er relevante i vurderingen av om plikten er oppfylt. Disse føringene er vid</w:t>
      </w:r>
      <w:r>
        <w:t>e</w:t>
      </w:r>
      <w:r>
        <w:t>reført i lik</w:t>
      </w:r>
      <w:r>
        <w:t>e</w:t>
      </w:r>
      <w:r>
        <w:t>stillings- og diskrimineringsloven,</w:t>
      </w:r>
      <w:r>
        <w:t xml:space="preserve"> jf. Prop. 81 L (2016–2017) kapittel 24.2.9.</w:t>
      </w:r>
    </w:p>
    <w:p w:rsidR="00000000" w:rsidRDefault="00D718D0" w:rsidP="00BA3E8B">
      <w:r>
        <w:t>En kartlegging av kommunalt og regionalt likestillingsarbeid «Vedvarende vikeplikt» fra 2011 tyder på at den største utfordringen i likestillingsarbeidet i offentlige virksomheter er at det mangler systematikk o</w:t>
      </w:r>
      <w:r>
        <w:t>g kont</w:t>
      </w:r>
      <w:r>
        <w:t>i</w:t>
      </w:r>
      <w:r>
        <w:t>nuitet i arbeidet. Likestillingssenteret har også i sitt høringssvar påpekt at «likestillingsutfordringene i Norge handler om mangler i strukturen for likestilling</w:t>
      </w:r>
      <w:r>
        <w:t>s</w:t>
      </w:r>
      <w:r>
        <w:t>arbeidet, manglende oppfølging av aktivitetspli</w:t>
      </w:r>
      <w:r>
        <w:t>k</w:t>
      </w:r>
      <w:r>
        <w:t>tene og en manglende problemforståels</w:t>
      </w:r>
      <w:r>
        <w:t>e.» På bakgrunn av dette foreslår departementet en konkretisering av aktivitet</w:t>
      </w:r>
      <w:r>
        <w:t>s</w:t>
      </w:r>
      <w:r>
        <w:t>plikten for offentlige myndigheter, i tillegg til at det foreslås en redegjørelsesplikt for my</w:t>
      </w:r>
      <w:r>
        <w:t>n</w:t>
      </w:r>
      <w:r>
        <w:t>dighetene. D</w:t>
      </w:r>
      <w:r>
        <w:t>e</w:t>
      </w:r>
      <w:r>
        <w:t>partementet mener at dette er et viktig fremskritt i arbeidet for mer</w:t>
      </w:r>
      <w:r>
        <w:t xml:space="preserve"> likestilling i samfunnet.</w:t>
      </w:r>
    </w:p>
    <w:p w:rsidR="00000000" w:rsidRDefault="00D718D0" w:rsidP="00BA3E8B">
      <w:r>
        <w:t>Departementets forslag i denne lovproposisjonen innebærer en tydeliggjøring av aktivitetsplikten ved at enkelte elementer av de presiseringene Skjeie-utvalget foreslo, tas inn i loven, jf. NOU 2011: 18 side 57.</w:t>
      </w:r>
    </w:p>
    <w:p w:rsidR="00000000" w:rsidRDefault="00D718D0" w:rsidP="00BA3E8B">
      <w:pPr>
        <w:pStyle w:val="Undertittel"/>
      </w:pPr>
      <w:r>
        <w:t>Formålet med konkr</w:t>
      </w:r>
      <w:r>
        <w:t>etiseringen</w:t>
      </w:r>
    </w:p>
    <w:p w:rsidR="00000000" w:rsidRDefault="00D718D0" w:rsidP="00BA3E8B">
      <w:r>
        <w:t>Formålet med de foreslåtte lovendringene er å fremme og styrke offentlige myndigheters arbeid for mer likestilling og forebyggende arbeid mot diskriminering, på alle samfunnsområder.</w:t>
      </w:r>
    </w:p>
    <w:p w:rsidR="00000000" w:rsidRDefault="00D718D0" w:rsidP="00BA3E8B">
      <w:pPr>
        <w:pStyle w:val="Undertittel"/>
      </w:pPr>
      <w:r>
        <w:t>Hvem som er omfattet av aktivitetsplikten</w:t>
      </w:r>
    </w:p>
    <w:p w:rsidR="00000000" w:rsidRDefault="00D718D0" w:rsidP="00BA3E8B">
      <w:r>
        <w:t>Begrepet «offentlig</w:t>
      </w:r>
      <w:r>
        <w:t>e myndigheter» omfatter forvaltningsorganer som er en del av stat, kommune og fy</w:t>
      </w:r>
      <w:r>
        <w:t>l</w:t>
      </w:r>
      <w:r>
        <w:t>keskommune, og som utøver offentlig myndighet, jf. Prop. 88 L (2012–2013) kapittel 20.1 side 162, jf. Prop. 81 L (2016–2017) kapittel 24.2.2 og 24.2.9. Statsforetak eller stat</w:t>
      </w:r>
      <w:r>
        <w:t>lige aksj</w:t>
      </w:r>
      <w:r>
        <w:t>e</w:t>
      </w:r>
      <w:r>
        <w:t>selskaper er omfattet av plikten, så langt de utøver offentlig myndighet. Offentlige foretak eller lignende som er aktører i markedet eller som ikke utøver myndighet, omfattes ikke av aktiv</w:t>
      </w:r>
      <w:r>
        <w:t>i</w:t>
      </w:r>
      <w:r>
        <w:t>tetsplikten. Det vises til Prop. 81 L (2016–2017) kapitt</w:t>
      </w:r>
      <w:r>
        <w:t>el 24.2.9. Private rettssubjekter, som utøver offentlig myndighet, f.eks. en privat undervisningsinstitusjon, er også omfattet av plikten.</w:t>
      </w:r>
    </w:p>
    <w:p w:rsidR="00000000" w:rsidRDefault="00D718D0" w:rsidP="00BA3E8B">
      <w:pPr>
        <w:pStyle w:val="Undertittel"/>
      </w:pPr>
      <w:r>
        <w:lastRenderedPageBreak/>
        <w:t>Hva innebærer aktivitetsplikten</w:t>
      </w:r>
    </w:p>
    <w:p w:rsidR="00000000" w:rsidRDefault="00D718D0" w:rsidP="00BA3E8B">
      <w:pPr>
        <w:pStyle w:val="avsnitt-tittel"/>
      </w:pPr>
      <w:r>
        <w:t>Arbeidet skal være aktivt, målrettet og planmessig</w:t>
      </w:r>
    </w:p>
    <w:p w:rsidR="00000000" w:rsidRDefault="00D718D0" w:rsidP="00BA3E8B">
      <w:r>
        <w:t>Departementet foreslo i høringsnot</w:t>
      </w:r>
      <w:r>
        <w:t>atet at offentlige myndigheter fremdeles skal ha en plikt til å arbeide aktivt, målrettet og planmessig for å fremme likestilling og hindre diskriminering. Dette er en videreføring av gjeldende rett. Det forventes at offentlige myndigheter har oppmerksomhe</w:t>
      </w:r>
      <w:r>
        <w:t>t på, legger vekt på, og til en viss grad prioriterer likestillingshensyn, jf. forarbeidene til likesti</w:t>
      </w:r>
      <w:r>
        <w:t>l</w:t>
      </w:r>
      <w:r>
        <w:t>lings- og diskrimineringsloven, Prop. L 81 (2016–2017) merknader til § 24.</w:t>
      </w:r>
    </w:p>
    <w:p w:rsidR="00000000" w:rsidRDefault="00D718D0" w:rsidP="00BA3E8B">
      <w:r>
        <w:t xml:space="preserve">Når det gjelder meningsinnholdet av plikten til å arbeide «aktivt, målrettet </w:t>
      </w:r>
      <w:r>
        <w:t>og planmessig» med lik</w:t>
      </w:r>
      <w:r>
        <w:t>e</w:t>
      </w:r>
      <w:r>
        <w:t>stilling, vises det til fortolkningsuttalelser om disse begrepene i Prop. 81 L (2016–2017) kapittel 24.2.9. Plikten til å arbeide «aktivt» innebærer at det skal iverksettes konkrete tiltak.</w:t>
      </w:r>
    </w:p>
    <w:p w:rsidR="00000000" w:rsidRDefault="00D718D0" w:rsidP="00BA3E8B">
      <w:r>
        <w:t>Flere høringsinstanser har gitt innspill på</w:t>
      </w:r>
      <w:r>
        <w:t xml:space="preserve"> og bedt departementet om å vurdere om arbeidsm</w:t>
      </w:r>
      <w:r>
        <w:t>e</w:t>
      </w:r>
      <w:r>
        <w:t>toden i fire trinn i likestillings- og diskrimineringsloven § 26 annet ledd også bør gjelde for offentlige myndigheter. Depart</w:t>
      </w:r>
      <w:r>
        <w:t>e</w:t>
      </w:r>
      <w:r>
        <w:t>mentet har forståelse for synspunktet om at myndighetene også bør følge arbeidsme</w:t>
      </w:r>
      <w:r>
        <w:t>toden, men har likevel valgt å ikke foreslå det. Etter departementets forslag skal myndighetene integrere og ivareta likestilling</w:t>
      </w:r>
      <w:r>
        <w:t>s</w:t>
      </w:r>
      <w:r>
        <w:t>perspektivet i all virksomhet. Myndighet</w:t>
      </w:r>
      <w:r>
        <w:t>s</w:t>
      </w:r>
      <w:r>
        <w:t>organene utgjør en uensartet gruppe av virksomh</w:t>
      </w:r>
      <w:r>
        <w:t>e</w:t>
      </w:r>
      <w:r>
        <w:t>ter, av ulik stø</w:t>
      </w:r>
      <w:r>
        <w:t>r</w:t>
      </w:r>
      <w:r>
        <w:t>relse. Det er depart</w:t>
      </w:r>
      <w:r>
        <w:t>ementets oppfatning at myndighetene selv skal kunne bestemme hvordan de ønsker å jobbe med likesti</w:t>
      </w:r>
      <w:r>
        <w:t>l</w:t>
      </w:r>
      <w:r>
        <w:t>ling. Offentlige myndigheter kan bruke arbeidsmetoden i sitt lik</w:t>
      </w:r>
      <w:r>
        <w:t>e</w:t>
      </w:r>
      <w:r>
        <w:t>stillingsarbeid, dersom de ønsker det, men anvendelse av metoden vil ikke være et absolutt v</w:t>
      </w:r>
      <w:r>
        <w:t>ilkår og o</w:t>
      </w:r>
      <w:r>
        <w:t>b</w:t>
      </w:r>
      <w:r>
        <w:t>ligatorisk for oppfyllelsen av aktiv</w:t>
      </w:r>
      <w:r>
        <w:t>i</w:t>
      </w:r>
      <w:r>
        <w:t>tetsplikten. Det gjelder også andre retningslinjer, f.eks. utredningsi</w:t>
      </w:r>
      <w:r>
        <w:t>n</w:t>
      </w:r>
      <w:r>
        <w:t>struksen og rapporteringsordningen til FN-komiteer, som stiller krav til måten aktivt likesti</w:t>
      </w:r>
      <w:r>
        <w:t>l</w:t>
      </w:r>
      <w:r>
        <w:t>lingsarbeid skal organiseres på, jf. depart</w:t>
      </w:r>
      <w:r>
        <w:t>ementets vu</w:t>
      </w:r>
      <w:r>
        <w:t>r</w:t>
      </w:r>
      <w:r>
        <w:t>dering av offentlige myndigheters aktiv</w:t>
      </w:r>
      <w:r>
        <w:t>i</w:t>
      </w:r>
      <w:r>
        <w:t>tetsplikt i Prop. 81 L (2016–2017) kapittel 24.2.9.</w:t>
      </w:r>
    </w:p>
    <w:p w:rsidR="00000000" w:rsidRDefault="00D718D0" w:rsidP="00BA3E8B">
      <w:r>
        <w:t>Plikten til å arbeide «målrettet» og «planmessig» innebærer at myndighetene må sette mål, lage en plan og følge en strategi for likestillingsarbeidet, j</w:t>
      </w:r>
      <w:r>
        <w:t>f. Prop. 81 L (2016–2017) kapittel 24.2.9. Offentlige my</w:t>
      </w:r>
      <w:r>
        <w:t>n</w:t>
      </w:r>
      <w:r>
        <w:t>dighetene skal holde oversikt over ansvar, oppgaver og myndighet når det gjelder likestilling og diskr</w:t>
      </w:r>
      <w:r>
        <w:t>i</w:t>
      </w:r>
      <w:r>
        <w:t>minering, jf. NOU 2011:18, side 57.</w:t>
      </w:r>
    </w:p>
    <w:p w:rsidR="00000000" w:rsidRDefault="00D718D0" w:rsidP="00BA3E8B">
      <w:pPr>
        <w:pStyle w:val="avsnitt-tittel"/>
      </w:pPr>
      <w:r>
        <w:t>Plikten omfatter alle diskrimineringsgrunnlagene</w:t>
      </w:r>
    </w:p>
    <w:p w:rsidR="00000000" w:rsidRDefault="00D718D0" w:rsidP="00BA3E8B">
      <w:r>
        <w:t>Flere hørin</w:t>
      </w:r>
      <w:r>
        <w:t>gsinstanser mener at diskrimineringsgrunnlagene som er omfattet av bestemmelsen bør ne</w:t>
      </w:r>
      <w:r>
        <w:t>v</w:t>
      </w:r>
      <w:r>
        <w:t>nes eksplisitt i loven. Departementet er i utgangspunktet enig i dette, men foreslår at de diskriminering</w:t>
      </w:r>
      <w:r>
        <w:t>s</w:t>
      </w:r>
      <w:r>
        <w:t>grunnlagene som er omfattet av offentlige myndigheters aktivite</w:t>
      </w:r>
      <w:r>
        <w:t>tsplikt skal klargjøres gjennom henvisning til lovens § 6.</w:t>
      </w:r>
    </w:p>
    <w:p w:rsidR="00000000" w:rsidRDefault="00D718D0" w:rsidP="00BA3E8B">
      <w:r>
        <w:t>Diskrimineringsgrunnlagene som omfattes er kjønn, graviditet, permisjon ved fødsel eller adopsjon, o</w:t>
      </w:r>
      <w:r>
        <w:t>m</w:t>
      </w:r>
      <w:r>
        <w:t>sorgsoppgaver, etnisitet, religion, livssyn, funksjonsnedsettelse, seksuell orient</w:t>
      </w:r>
      <w:r>
        <w:t>e</w:t>
      </w:r>
      <w:r>
        <w:t>ring, kjønnsi</w:t>
      </w:r>
      <w:r>
        <w:t>dentitet, kjønnsuttrykk og alder. Det er også foreslått at sammensatt diskriminering nevnes.</w:t>
      </w:r>
    </w:p>
    <w:p w:rsidR="00000000" w:rsidRDefault="00D718D0" w:rsidP="00BA3E8B">
      <w:r>
        <w:t>Den såkalte samlekategorien «andre lignende, vesentlige forhold ved en person», som fremgår av l</w:t>
      </w:r>
      <w:r>
        <w:t>o</w:t>
      </w:r>
      <w:r>
        <w:t>vens formålsparagraf i gjeldende rett, har et svært uklart virkeom</w:t>
      </w:r>
      <w:r>
        <w:t>råde. Etter departementets vurdering vil ukla</w:t>
      </w:r>
      <w:r>
        <w:t>r</w:t>
      </w:r>
      <w:r>
        <w:t xml:space="preserve">heten kunne gjøre det vanskelig for offentlige myndigheter og ombudet å følge </w:t>
      </w:r>
      <w:r>
        <w:lastRenderedPageBreak/>
        <w:t>opp plikten. Klargj</w:t>
      </w:r>
      <w:r>
        <w:t>ø</w:t>
      </w:r>
      <w:r>
        <w:t>ringen av diskrimineringsgrunnlagene som aktivitetsplikten omfatter i</w:t>
      </w:r>
      <w:r>
        <w:t>n</w:t>
      </w:r>
      <w:r>
        <w:t>nebærer en endring i aktivitet</w:t>
      </w:r>
      <w:r>
        <w:t>s</w:t>
      </w:r>
      <w:r>
        <w:t>pliktens sa</w:t>
      </w:r>
      <w:r>
        <w:t>klige virkeområde, slik at den såkalte samlekategorien faller utenfor bestemmelsens virkeo</w:t>
      </w:r>
      <w:r>
        <w:t>m</w:t>
      </w:r>
      <w:r>
        <w:t>råde.</w:t>
      </w:r>
    </w:p>
    <w:p w:rsidR="00000000" w:rsidRDefault="00D718D0" w:rsidP="00BA3E8B">
      <w:pPr>
        <w:pStyle w:val="avsnitt-tittel"/>
      </w:pPr>
      <w:r>
        <w:t>Plikten gjelder all virksomhet</w:t>
      </w:r>
    </w:p>
    <w:p w:rsidR="00000000" w:rsidRDefault="00D718D0" w:rsidP="00BA3E8B">
      <w:r>
        <w:t>Plikten gjelder, som i dag, i all virksomhet til offentlige myndigheter, jf. Prop. 81 L (2016–2017) kapittel 24.2.9. Plikten omf</w:t>
      </w:r>
      <w:r>
        <w:t>atter all myndighetsutøvelse og all tjenesteyting, og den gjelder på alle samfunnsomr</w:t>
      </w:r>
      <w:r>
        <w:t>å</w:t>
      </w:r>
      <w:r>
        <w:t>der. Plikten omfatter bl.a. utforming og tildeling av tjenester, regelverksu</w:t>
      </w:r>
      <w:r>
        <w:t>t</w:t>
      </w:r>
      <w:r>
        <w:t>forming, budsjettering og sa</w:t>
      </w:r>
      <w:r>
        <w:t>m</w:t>
      </w:r>
      <w:r>
        <w:t>funnsplanlegging.</w:t>
      </w:r>
    </w:p>
    <w:p w:rsidR="00000000" w:rsidRDefault="00D718D0" w:rsidP="00BA3E8B">
      <w:r>
        <w:t>Departementet ga i lovproposi</w:t>
      </w:r>
      <w:r>
        <w:t>sjonen Prop. 81 L (2016–2017) kapittel 24.2.9 uttrykk for at myndighe</w:t>
      </w:r>
      <w:r>
        <w:t>t</w:t>
      </w:r>
      <w:r>
        <w:t>ene skal integrere likestillingsperspektivet i all offentlig virksomhet og den:</w:t>
      </w:r>
    </w:p>
    <w:p w:rsidR="00000000" w:rsidRDefault="00D718D0" w:rsidP="00BA3E8B">
      <w:pPr>
        <w:pStyle w:val="blokksit"/>
      </w:pPr>
      <w:r>
        <w:t>«…skal markere at offentlige myndigheter skal gi likestillingsarbeid høy prioritet, jf. Ot.prp. nr. 33 (19</w:t>
      </w:r>
      <w:r>
        <w:t>74–75) side 18 flg. Offentlig virksomhet må vurdere hvilke forhold som virker mot lik</w:t>
      </w:r>
      <w:r>
        <w:t>e</w:t>
      </w:r>
      <w:r>
        <w:t>stilling og hvilke tiltak som kan bidra til å fjerne slike barrierer. Videre omfatter plikten å iver</w:t>
      </w:r>
      <w:r>
        <w:t>k</w:t>
      </w:r>
      <w:r>
        <w:t>sette konkrete l</w:t>
      </w:r>
      <w:r>
        <w:t>i</w:t>
      </w:r>
      <w:r>
        <w:t>kestillingstiltak, og å sikre at forslag til nye lov</w:t>
      </w:r>
      <w:r>
        <w:t>er, forskrifter mv. og forval</w:t>
      </w:r>
      <w:r>
        <w:t>t</w:t>
      </w:r>
      <w:r>
        <w:t>ningsvedtak er i tråd med likestillings- og diskrimineringsloven.»</w:t>
      </w:r>
    </w:p>
    <w:p w:rsidR="00000000" w:rsidRDefault="00D718D0" w:rsidP="00BA3E8B">
      <w:pPr>
        <w:pStyle w:val="avsnitt-tittel"/>
      </w:pPr>
      <w:r>
        <w:t>Situasjonsanalyse</w:t>
      </w:r>
    </w:p>
    <w:p w:rsidR="00000000" w:rsidRDefault="00D718D0" w:rsidP="00BA3E8B">
      <w:r>
        <w:t>Departementets forslag innebærer at offentlige myndigheter, ut fra en analyse av situasjonen, skal vurdere hvilke tiltak som er relevante, jf</w:t>
      </w:r>
      <w:r>
        <w:t>. Prop 81 L (2016–2017) merknader til § 24. D</w:t>
      </w:r>
      <w:r>
        <w:t>e</w:t>
      </w:r>
      <w:r>
        <w:t>partementets forslag i</w:t>
      </w:r>
      <w:r>
        <w:t>n</w:t>
      </w:r>
      <w:r>
        <w:t>nebærer at det ikke stadfestes en plikt til å gjennomføre bestemte tiltak. Dette er en videreføring av gje</w:t>
      </w:r>
      <w:r>
        <w:t>l</w:t>
      </w:r>
      <w:r>
        <w:t>dende rett, jf. Prop. 81 L (2016–2017) kapittel 24.2.9.</w:t>
      </w:r>
    </w:p>
    <w:p w:rsidR="00000000" w:rsidRDefault="00D718D0" w:rsidP="00BA3E8B">
      <w:r>
        <w:t>En situasjonsanalyse inn</w:t>
      </w:r>
      <w:r>
        <w:t>ebærer at myndighetene bør skaffe kunnskap om likestillingssituasjonen på eget forvaltningsområde og på alle diskrimineringsgrunnlag. Situasjonsanalysen skal brukes til egen virkso</w:t>
      </w:r>
      <w:r>
        <w:t>m</w:t>
      </w:r>
      <w:r>
        <w:t>hetsstyring, myndighetsutøvelse og forbedring av kvalitet i tjenester. Dett</w:t>
      </w:r>
      <w:r>
        <w:t>e omfatter bl.a. at my</w:t>
      </w:r>
      <w:r>
        <w:t>n</w:t>
      </w:r>
      <w:r>
        <w:t>dighetene innhenter informasjon om brukernes utfordringer og behov, og vurderer risiko for at diskrim</w:t>
      </w:r>
      <w:r>
        <w:t>i</w:t>
      </w:r>
      <w:r>
        <w:t>nering for</w:t>
      </w:r>
      <w:r>
        <w:t>e</w:t>
      </w:r>
      <w:r>
        <w:t>kommer.</w:t>
      </w:r>
    </w:p>
    <w:p w:rsidR="00000000" w:rsidRDefault="00D718D0" w:rsidP="00BA3E8B">
      <w:r>
        <w:t>Offentlige myndigheter skal ha rutiner for å gjennomføre en analyse og for å identifisere u</w:t>
      </w:r>
      <w:r>
        <w:t>t</w:t>
      </w:r>
      <w:r>
        <w:t>fordringer knyttet t</w:t>
      </w:r>
      <w:r>
        <w:t>il egen virksomhet. På bakgrunn av analysen skal det vurderes hvordan tj</w:t>
      </w:r>
      <w:r>
        <w:t>e</w:t>
      </w:r>
      <w:r>
        <w:t>nestetilbudet bør u</w:t>
      </w:r>
      <w:r>
        <w:t>t</w:t>
      </w:r>
      <w:r>
        <w:t>formes og hvilke tilpasninger som skal gjøres for å imøtekomme likesti</w:t>
      </w:r>
      <w:r>
        <w:t>l</w:t>
      </w:r>
      <w:r>
        <w:t>lingsutfordringene. Det vises til NOU 2011:18 punkt 3.5.2.</w:t>
      </w:r>
    </w:p>
    <w:p w:rsidR="00000000" w:rsidRDefault="00D718D0" w:rsidP="00BA3E8B">
      <w:r>
        <w:t>Likestillings- og diskriminerings</w:t>
      </w:r>
      <w:r>
        <w:t>ombudet har utarbeidet en håndbok om likeverdige tjenester (2011) der det gis veiledning om hvordan likeverdige tjenester ytes i praksis.</w:t>
      </w:r>
    </w:p>
    <w:p w:rsidR="00000000" w:rsidRDefault="00D718D0" w:rsidP="00BA3E8B">
      <w:r>
        <w:t>Offentlige myndigheter som har gjennomført en situasjonsanalyse bør vurdere hvilke tiltak som skal iver</w:t>
      </w:r>
      <w:r>
        <w:t>k</w:t>
      </w:r>
      <w:r>
        <w:t>settes. Eksemp</w:t>
      </w:r>
      <w:r>
        <w:t>ler på slike tiltak er:</w:t>
      </w:r>
    </w:p>
    <w:p w:rsidR="00000000" w:rsidRDefault="00D718D0" w:rsidP="00BA3E8B">
      <w:pPr>
        <w:pStyle w:val="Liste"/>
      </w:pPr>
      <w:r>
        <w:t>Vurdere om eksisterende lover, forskrifter, rundskriv og forvaltningsvedtak mv, slår ut skjevt for e</w:t>
      </w:r>
      <w:r>
        <w:t>n</w:t>
      </w:r>
      <w:r>
        <w:t>kelte grupper, og ta initiativ til å endre disse</w:t>
      </w:r>
    </w:p>
    <w:p w:rsidR="00000000" w:rsidRDefault="00D718D0" w:rsidP="00BA3E8B">
      <w:pPr>
        <w:pStyle w:val="Liste"/>
      </w:pPr>
      <w:r>
        <w:t>påse at lovforslag ivaretar likestillingshensyn og er i samsvar med likest</w:t>
      </w:r>
      <w:r>
        <w:t>illings- og diskr</w:t>
      </w:r>
      <w:r>
        <w:t>i</w:t>
      </w:r>
      <w:r>
        <w:t>mineringsl</w:t>
      </w:r>
      <w:r>
        <w:t>o</w:t>
      </w:r>
      <w:r>
        <w:t>ven, EU-rett og internasjonale konvensjoner som fastsetter føringer for likesti</w:t>
      </w:r>
      <w:r>
        <w:t>l</w:t>
      </w:r>
      <w:r>
        <w:t>lingsfeltet, jf. veilederen for utredningsinstruksen pkt. 3.3 som stadfester at dersom statlige tiltak som utredes vil medføre v</w:t>
      </w:r>
      <w:r>
        <w:t>e</w:t>
      </w:r>
      <w:r>
        <w:t>sentlige likestill</w:t>
      </w:r>
      <w:r>
        <w:t>ingsmessige virkninger, skal saken for</w:t>
      </w:r>
      <w:r>
        <w:t>e</w:t>
      </w:r>
      <w:r>
        <w:t>legges Barne- og likestillingsdepartementet.</w:t>
      </w:r>
    </w:p>
    <w:p w:rsidR="00000000" w:rsidRDefault="00D718D0" w:rsidP="00BA3E8B">
      <w:pPr>
        <w:pStyle w:val="Liste"/>
      </w:pPr>
      <w:r>
        <w:lastRenderedPageBreak/>
        <w:t>påse at tjenesteyting er likeverdig. Dette innebærer å gjøre informasjon tilgjengelig, å sikre bruke</w:t>
      </w:r>
      <w:r>
        <w:t>r</w:t>
      </w:r>
      <w:r>
        <w:t>me</w:t>
      </w:r>
      <w:r>
        <w:t>d</w:t>
      </w:r>
      <w:r>
        <w:t>virkning og bl.a. tilgang til tolk, eller annen form for individ</w:t>
      </w:r>
      <w:r>
        <w:t>uell tilrettelegging. Det vises for øvrig til Prop. 81 L (2016–2017) merknader til § 24</w:t>
      </w:r>
    </w:p>
    <w:p w:rsidR="00000000" w:rsidRDefault="00D718D0" w:rsidP="00BA3E8B">
      <w:pPr>
        <w:pStyle w:val="Liste"/>
      </w:pPr>
      <w:r>
        <w:t>øke kompetanse på bl.a. sammensatt diskriminering, seksuell trakassering, kjønnsrelatert vold, og st</w:t>
      </w:r>
      <w:r>
        <w:t>e</w:t>
      </w:r>
      <w:r>
        <w:t>reotypisering som kan ha sammenheng med diskriminering</w:t>
      </w:r>
    </w:p>
    <w:p w:rsidR="00000000" w:rsidRDefault="00D718D0" w:rsidP="00BA3E8B">
      <w:pPr>
        <w:pStyle w:val="Liste"/>
      </w:pPr>
      <w:r>
        <w:t xml:space="preserve">øke </w:t>
      </w:r>
      <w:r>
        <w:t>kompetanse om sårbarhet som skyldes forhold som reflekteres i lovens diskrimin</w:t>
      </w:r>
      <w:r>
        <w:t>e</w:t>
      </w:r>
      <w:r>
        <w:t>ringsgrunnlag, dvs. kjønn, nedsatt funksjonsevne, etnisitet, alder, seksuell orientering mv.</w:t>
      </w:r>
    </w:p>
    <w:p w:rsidR="00000000" w:rsidRDefault="00D718D0" w:rsidP="00BA3E8B">
      <w:pPr>
        <w:pStyle w:val="Liste"/>
      </w:pPr>
      <w:r>
        <w:t>øke kompetanse om sårbarhet som skyldes andre forhold, som f. eks. sykdom, flytt</w:t>
      </w:r>
      <w:r>
        <w:t>ing, fa</w:t>
      </w:r>
      <w:r>
        <w:t>t</w:t>
      </w:r>
      <w:r>
        <w:t>tigdom, tap av nettverk og nære relasjoner mv, ufrivillig institusjonalisering mv.</w:t>
      </w:r>
    </w:p>
    <w:p w:rsidR="00000000" w:rsidRDefault="00D718D0" w:rsidP="00BA3E8B">
      <w:pPr>
        <w:pStyle w:val="Liste"/>
      </w:pPr>
      <w:r>
        <w:t>øke bevissthet om hvordan stereotypier og fordommer kan føre til diskriminering i tjene</w:t>
      </w:r>
      <w:r>
        <w:t>s</w:t>
      </w:r>
      <w:r>
        <w:t>teyting og i myndighetsutøvelse</w:t>
      </w:r>
    </w:p>
    <w:p w:rsidR="00000000" w:rsidRDefault="00D718D0" w:rsidP="00BA3E8B">
      <w:pPr>
        <w:pStyle w:val="Liste"/>
      </w:pPr>
      <w:r>
        <w:t>nedbygge kulturelle og språklige barr</w:t>
      </w:r>
      <w:r>
        <w:t>ierer mellom minoritetsgrupper og myndighetene.</w:t>
      </w:r>
    </w:p>
    <w:p w:rsidR="00000000" w:rsidRDefault="00D718D0" w:rsidP="00BA3E8B">
      <w:r>
        <w:t>Det vises til NOU 2011:18 kapittel 3.5.2 og Likestillings- og diskrimineringsombudets håndbok for tjene</w:t>
      </w:r>
      <w:r>
        <w:t>s</w:t>
      </w:r>
      <w:r>
        <w:t>teytere «Likeverdige tjenester for alle» og refleksjonsheftet «Likeverdige tjenester i praksis».</w:t>
      </w:r>
    </w:p>
    <w:p w:rsidR="00000000" w:rsidRDefault="00D718D0" w:rsidP="00BA3E8B">
      <w:pPr>
        <w:pStyle w:val="avsnitt-tittel"/>
      </w:pPr>
      <w:r>
        <w:t>Sammens</w:t>
      </w:r>
      <w:r>
        <w:t>att diskriminering</w:t>
      </w:r>
    </w:p>
    <w:p w:rsidR="00000000" w:rsidRDefault="00D718D0" w:rsidP="00BA3E8B">
      <w:r>
        <w:t>Departementet opprettholder forslaget om at offentlige myndigheter pålegges en aktivitetsplikt knyttet til sammensatt diskriminering. Denne type diskriminering er forbudt etter gjeldende rett, jf. likestillings- og diskrimineringsloven §</w:t>
      </w:r>
      <w:r>
        <w:t> 6. Økt bevissthet om sammensatt diskriminering vil hjelpe til å identifisere lik</w:t>
      </w:r>
      <w:r>
        <w:t>e</w:t>
      </w:r>
      <w:r>
        <w:t>stillingsutfordringer, som gjennom enkelte diskrimineringsgrunnlag ikke kan fanges opp. Det vises til omtalen av sammensatt diskriminering i lovproposisjonen 81 L (2016–2017)</w:t>
      </w:r>
      <w:r>
        <w:t xml:space="preserve"> kapittel 13.</w:t>
      </w:r>
    </w:p>
    <w:p w:rsidR="00000000" w:rsidRDefault="00D718D0" w:rsidP="00BA3E8B">
      <w:r>
        <w:t>Eksempler på mulige tiltak kan være:</w:t>
      </w:r>
    </w:p>
    <w:p w:rsidR="00000000" w:rsidRDefault="00D718D0" w:rsidP="00BA3E8B">
      <w:pPr>
        <w:pStyle w:val="Liste"/>
      </w:pPr>
      <w:r>
        <w:t>Øke bevissthet om sammensatt diskriminering.</w:t>
      </w:r>
    </w:p>
    <w:p w:rsidR="00000000" w:rsidRDefault="00D718D0" w:rsidP="00BA3E8B">
      <w:pPr>
        <w:pStyle w:val="Liste"/>
      </w:pPr>
      <w:r>
        <w:t>Øke kompetanse om å jobbe forebyggende mot sammensatt diskriminering, herunder å skaffe og nytti</w:t>
      </w:r>
      <w:r>
        <w:t>g</w:t>
      </w:r>
      <w:r>
        <w:t>gjøre seg eksisterende kunnskapsgrunnlag, statistikk og</w:t>
      </w:r>
      <w:r>
        <w:t xml:space="preserve"> forskning om forhold knyttet til alle diskrimin</w:t>
      </w:r>
      <w:r>
        <w:t>e</w:t>
      </w:r>
      <w:r>
        <w:t>ringsgrunnlagene.</w:t>
      </w:r>
    </w:p>
    <w:p w:rsidR="00000000" w:rsidRDefault="00D718D0" w:rsidP="00BA3E8B">
      <w:pPr>
        <w:pStyle w:val="Liste"/>
      </w:pPr>
      <w:r>
        <w:t>Utarbeide og iverksette handlingsplaner veiledere og strategier for arbeidet mot sammensatt diskr</w:t>
      </w:r>
      <w:r>
        <w:t>i</w:t>
      </w:r>
      <w:r>
        <w:t>min</w:t>
      </w:r>
      <w:r>
        <w:t>e</w:t>
      </w:r>
      <w:r>
        <w:t>ring.</w:t>
      </w:r>
    </w:p>
    <w:p w:rsidR="00000000" w:rsidRDefault="00D718D0" w:rsidP="00BA3E8B">
      <w:pPr>
        <w:pStyle w:val="Liste"/>
      </w:pPr>
      <w:r>
        <w:t>Samordne og koordinere tjenestetilbudet, slik at sår</w:t>
      </w:r>
      <w:r>
        <w:t>bare brukere ikke faller «mellom to stoler».</w:t>
      </w:r>
    </w:p>
    <w:p w:rsidR="00000000" w:rsidRDefault="00D718D0" w:rsidP="00BA3E8B">
      <w:pPr>
        <w:pStyle w:val="Liste"/>
      </w:pPr>
      <w:r>
        <w:t>Iverksette tiltak for likestilling i minoritetsmiljøer, herunder bl.a. språkopplæring for at kvinner med minoritetsbakgrunn kan delta i arbeidslivet.</w:t>
      </w:r>
    </w:p>
    <w:p w:rsidR="00000000" w:rsidRDefault="00D718D0" w:rsidP="00BA3E8B">
      <w:pPr>
        <w:pStyle w:val="Liste"/>
      </w:pPr>
      <w:r>
        <w:t>Styrke frivillige organisasjoner som bidrar til integ</w:t>
      </w:r>
      <w:r>
        <w:t>rering av minoritetskvinner.</w:t>
      </w:r>
    </w:p>
    <w:p w:rsidR="00000000" w:rsidRDefault="00D718D0" w:rsidP="00BA3E8B">
      <w:pPr>
        <w:pStyle w:val="Liste"/>
      </w:pPr>
      <w:r>
        <w:t>Styrke frivillige sertifiseringsordninger om likestilling.</w:t>
      </w:r>
    </w:p>
    <w:p w:rsidR="00000000" w:rsidRDefault="00D718D0" w:rsidP="00BA3E8B">
      <w:pPr>
        <w:pStyle w:val="Liste"/>
      </w:pPr>
      <w:r>
        <w:t>Øke kulturforståelsen blant tjenesteytere med samiske brukere.</w:t>
      </w:r>
    </w:p>
    <w:p w:rsidR="00000000" w:rsidRDefault="00D718D0" w:rsidP="00BA3E8B">
      <w:pPr>
        <w:pStyle w:val="Liste"/>
      </w:pPr>
      <w:r>
        <w:t>Kartlegge levekårene til personer med utviklingshemming i samiske områder, og styrke hjelpeti</w:t>
      </w:r>
      <w:r>
        <w:t>ltak for voldsutsatte samiske kvinner.</w:t>
      </w:r>
    </w:p>
    <w:p w:rsidR="00000000" w:rsidRDefault="00D718D0" w:rsidP="00BA3E8B">
      <w:pPr>
        <w:pStyle w:val="avsnitt-tittel"/>
      </w:pPr>
      <w:r>
        <w:t>Trakassering og seksuell trakassering</w:t>
      </w:r>
    </w:p>
    <w:p w:rsidR="00000000" w:rsidRDefault="00D718D0" w:rsidP="00BA3E8B">
      <w:r>
        <w:t>Departementet opprettholder forslaget om at offentlige myndigheters plikt til å forebygge tr</w:t>
      </w:r>
      <w:r>
        <w:t>a</w:t>
      </w:r>
      <w:r>
        <w:t>kassering og seksuell trakassering fremheves i loven. Forslaget innebærer en viderefør</w:t>
      </w:r>
      <w:r>
        <w:t>ing og tydeliggjøring av gje</w:t>
      </w:r>
      <w:r>
        <w:t>l</w:t>
      </w:r>
      <w:r>
        <w:t>dende rett.</w:t>
      </w:r>
    </w:p>
    <w:p w:rsidR="00000000" w:rsidRDefault="00D718D0" w:rsidP="00BA3E8B">
      <w:r>
        <w:lastRenderedPageBreak/>
        <w:t>Forslaget er en oppfølging av Skjeie-utvalgets anbefaling om konkretisering av aktivitetsplikten. Skjeie-utvalget foreslo at myndighetenes ansvar for å forebygge trakassering og seksuell tr</w:t>
      </w:r>
      <w:r>
        <w:t>a</w:t>
      </w:r>
      <w:r>
        <w:t xml:space="preserve">kassering gjennom aktive </w:t>
      </w:r>
      <w:r>
        <w:t>tiltak, skal lovfestes som en del av aktivitetsplikten, jf. NOU 2011: 18 side 57.</w:t>
      </w:r>
    </w:p>
    <w:p w:rsidR="00000000" w:rsidRDefault="00D718D0" w:rsidP="00BA3E8B">
      <w:r>
        <w:t>Offentlige myndigheters aktivitetsplikt etter gjeldende rett omfatter trakassering og seksuell trakass</w:t>
      </w:r>
      <w:r>
        <w:t>e</w:t>
      </w:r>
      <w:r>
        <w:t xml:space="preserve">ring, jf. § 24, jf. § 1, og jf. Prop. 81 L (2016–2017) kapittel 24.2.9 </w:t>
      </w:r>
      <w:r>
        <w:t>og merknader til § 24. Forbudet mot å trakassere omfatter trakassering på grunn av de diskrimineringsgrunnlagene som er nevnt i likestillings- og diskrimin</w:t>
      </w:r>
      <w:r>
        <w:t>e</w:t>
      </w:r>
      <w:r>
        <w:t>ringsloven § 6 første ledd, og seksuell trakassering. Det nærmere meningsinnholdet av begrepet «trak</w:t>
      </w:r>
      <w:r>
        <w:t>ass</w:t>
      </w:r>
      <w:r>
        <w:t>e</w:t>
      </w:r>
      <w:r>
        <w:t>ring» er beskrevet i lovens § 13, jf. Prop. 81 L (2016–2017) merknader til § 13 og k</w:t>
      </w:r>
      <w:r>
        <w:t>a</w:t>
      </w:r>
      <w:r>
        <w:t>pittel 18.9.</w:t>
      </w:r>
    </w:p>
    <w:p w:rsidR="00000000" w:rsidRDefault="00D718D0" w:rsidP="00BA3E8B">
      <w:r>
        <w:t>Aktivitetsplikten vil bidra til kunnskapsutvikling og drive forebyggende arbeid mot denne typen di</w:t>
      </w:r>
      <w:r>
        <w:t>s</w:t>
      </w:r>
      <w:r>
        <w:t>krimin</w:t>
      </w:r>
      <w:r>
        <w:t>e</w:t>
      </w:r>
      <w:r>
        <w:t>ring. Mulige tiltak kan være:</w:t>
      </w:r>
    </w:p>
    <w:p w:rsidR="00000000" w:rsidRDefault="00D718D0" w:rsidP="00BA3E8B">
      <w:pPr>
        <w:pStyle w:val="Liste"/>
      </w:pPr>
      <w:r>
        <w:t>Kompetansehevi</w:t>
      </w:r>
      <w:r>
        <w:t>ng og kunnskapsutvikling om seksuell trakassering for ulike samfunnsa</w:t>
      </w:r>
      <w:r>
        <w:t>k</w:t>
      </w:r>
      <w:r>
        <w:t>tører.</w:t>
      </w:r>
    </w:p>
    <w:p w:rsidR="00000000" w:rsidRDefault="00D718D0" w:rsidP="00BA3E8B">
      <w:pPr>
        <w:pStyle w:val="Liste"/>
      </w:pPr>
      <w:r>
        <w:t>Styrking av hjelpeapparatet.</w:t>
      </w:r>
    </w:p>
    <w:p w:rsidR="00000000" w:rsidRDefault="00D718D0" w:rsidP="00BA3E8B">
      <w:pPr>
        <w:pStyle w:val="Liste"/>
      </w:pPr>
      <w:r>
        <w:t>Samordning og koordinering av arbeidet mot seksuell trakassering.</w:t>
      </w:r>
    </w:p>
    <w:p w:rsidR="00000000" w:rsidRDefault="00D718D0" w:rsidP="00BA3E8B">
      <w:pPr>
        <w:pStyle w:val="Liste"/>
      </w:pPr>
      <w:r>
        <w:t>Seksualundervisning, herunder undervisning om grensesetting og respekt f</w:t>
      </w:r>
      <w:r>
        <w:t>or egne og andres grenser, i grunnskolen.</w:t>
      </w:r>
    </w:p>
    <w:p w:rsidR="00000000" w:rsidRDefault="00D718D0" w:rsidP="00BA3E8B">
      <w:pPr>
        <w:pStyle w:val="avsnitt-tittel"/>
      </w:pPr>
      <w:r>
        <w:t>Kjønnsbasert vold</w:t>
      </w:r>
    </w:p>
    <w:p w:rsidR="00000000" w:rsidRDefault="00D718D0" w:rsidP="00BA3E8B">
      <w:r>
        <w:t>Departementet opprettholder forslaget om at offentlige myndigheters plikt til å forebygge kjønnsrelatert vold fremheves i loven, men begrepsbruken endres til kjønnsbasert vold. Forslaget er en opp</w:t>
      </w:r>
      <w:r>
        <w:t>følging av Skjeie-utvalgets anbefaling om konkretisering av aktivitetsplikten. Skjeie-utvalget foreslo at myndighetenes ansvar for å forebygge og hindre kjønnsrelatert vold gjennom aktive tiltak, tydeliggjøres i loven, jf. NOU 2011: 18 side 57.</w:t>
      </w:r>
    </w:p>
    <w:p w:rsidR="00000000" w:rsidRDefault="00D718D0" w:rsidP="00BA3E8B">
      <w:r>
        <w:t xml:space="preserve">Offentlige </w:t>
      </w:r>
      <w:r>
        <w:t>myndigheter har allerede i dag en plikt til å forebygge kjønnsbasert vold som en form for kjønn</w:t>
      </w:r>
      <w:r>
        <w:t>s</w:t>
      </w:r>
      <w:r>
        <w:t>diskriminering. Departementet mener at offentlige myndigheter skal prioritere arbeidet for å for</w:t>
      </w:r>
      <w:r>
        <w:t>e</w:t>
      </w:r>
      <w:r>
        <w:t>bygge og hindre vold og overgrep høyt. Dette forutsetter også I</w:t>
      </w:r>
      <w:r>
        <w:t>stanbul-konvensjonen, som Norge er bundet av. D</w:t>
      </w:r>
      <w:r>
        <w:t>e</w:t>
      </w:r>
      <w:r>
        <w:t>partementet vil i denne proposisjonen følge opp Skjeie-utvalgets anbefaling om å konkret</w:t>
      </w:r>
      <w:r>
        <w:t>i</w:t>
      </w:r>
      <w:r>
        <w:t>sere myndigheters ansvar når det gjelder kjønnsrelatert vold.</w:t>
      </w:r>
    </w:p>
    <w:p w:rsidR="00000000" w:rsidRDefault="00D718D0" w:rsidP="00BA3E8B">
      <w:r>
        <w:t xml:space="preserve">En særskilt kjønnsbasert dynamikk knytter seg til volden </w:t>
      </w:r>
      <w:r>
        <w:t>som utøves i nære relasjoner. Offentlige myndi</w:t>
      </w:r>
      <w:r>
        <w:t>g</w:t>
      </w:r>
      <w:r>
        <w:t>heters aktivitetsplikt knyttet til kjønnsbasert vold gjelder alle samfunnsområder, selv om kjønn</w:t>
      </w:r>
      <w:r>
        <w:t>s</w:t>
      </w:r>
      <w:r>
        <w:t>basert vold ofte forekommer i nære relasjoner, som i familieliv. Diskrimineringsnemnda håndhever ikke forbudet m</w:t>
      </w:r>
      <w:r>
        <w:t>ot diskriminering i familieliv og andre rent personlige forhold etter likestillings- og diskrimin</w:t>
      </w:r>
      <w:r>
        <w:t>e</w:t>
      </w:r>
      <w:r>
        <w:t>ringsloven, jf. diskrimineringsombudsloven §§ 2 og 7 andre ledd. Det nevnes, for ordens skyld, at omb</w:t>
      </w:r>
      <w:r>
        <w:t>u</w:t>
      </w:r>
      <w:r>
        <w:t>dets veiledning og oppfølging av oppfyllelsen av aktivit</w:t>
      </w:r>
      <w:r>
        <w:t>et</w:t>
      </w:r>
      <w:r>
        <w:t>s</w:t>
      </w:r>
      <w:r>
        <w:t>plikten for myndighetene omfatter også arbeidet mot kjønnsbasert vold i familieliv og i andre rent personlige forhold.</w:t>
      </w:r>
    </w:p>
    <w:p w:rsidR="00000000" w:rsidRDefault="00D718D0" w:rsidP="00BA3E8B">
      <w:r>
        <w:t>Mulige tiltak i arbeidet for å kjempe imot kjønnsbasert vold kan være:</w:t>
      </w:r>
    </w:p>
    <w:p w:rsidR="00000000" w:rsidRDefault="00D718D0" w:rsidP="00BA3E8B">
      <w:pPr>
        <w:pStyle w:val="Liste"/>
      </w:pPr>
      <w:r>
        <w:t>Øke politiets og håndhevingsapparatets kompetanse på kjønns</w:t>
      </w:r>
      <w:r>
        <w:t>basert vold.</w:t>
      </w:r>
    </w:p>
    <w:p w:rsidR="00000000" w:rsidRDefault="00D718D0" w:rsidP="00BA3E8B">
      <w:pPr>
        <w:pStyle w:val="Liste"/>
      </w:pPr>
      <w:r>
        <w:t>Endre lover, utarbeide handlingsplaner, strategier og retningslinjer for å styrke arbeidet mot kjønn</w:t>
      </w:r>
      <w:r>
        <w:t>s</w:t>
      </w:r>
      <w:r>
        <w:t>relatert vold.</w:t>
      </w:r>
    </w:p>
    <w:p w:rsidR="00000000" w:rsidRDefault="00D718D0" w:rsidP="00BA3E8B">
      <w:pPr>
        <w:pStyle w:val="Liste"/>
      </w:pPr>
      <w:r>
        <w:lastRenderedPageBreak/>
        <w:t>Styrke hjelpeapparatet for voldsutsatte.</w:t>
      </w:r>
    </w:p>
    <w:p w:rsidR="00000000" w:rsidRDefault="00D718D0" w:rsidP="00BA3E8B">
      <w:pPr>
        <w:pStyle w:val="Liste"/>
      </w:pPr>
      <w:r>
        <w:t>Styrke kompetansen i hjelpeapparatet.</w:t>
      </w:r>
    </w:p>
    <w:p w:rsidR="00000000" w:rsidRDefault="00D718D0" w:rsidP="00BA3E8B">
      <w:pPr>
        <w:pStyle w:val="Liste"/>
      </w:pPr>
      <w:r>
        <w:t>Bedre koordineringen av arbeidet mot vold og tvang i nære relasjoner.</w:t>
      </w:r>
    </w:p>
    <w:p w:rsidR="00000000" w:rsidRDefault="00D718D0" w:rsidP="00BA3E8B">
      <w:pPr>
        <w:pStyle w:val="Liste"/>
      </w:pPr>
      <w:r>
        <w:t>Iverksette familie- og nettverksstøttende tiltak.</w:t>
      </w:r>
    </w:p>
    <w:p w:rsidR="00000000" w:rsidRDefault="00D718D0" w:rsidP="00BA3E8B">
      <w:pPr>
        <w:pStyle w:val="Liste"/>
      </w:pPr>
      <w:r>
        <w:t>Gjennomføre skolebaserte undervisningsprogram.</w:t>
      </w:r>
    </w:p>
    <w:p w:rsidR="00000000" w:rsidRDefault="00D718D0" w:rsidP="00BA3E8B">
      <w:pPr>
        <w:pStyle w:val="Liste"/>
      </w:pPr>
      <w:r>
        <w:t>Gi informasjon og støtte i barnehager.</w:t>
      </w:r>
    </w:p>
    <w:p w:rsidR="00000000" w:rsidRDefault="00D718D0" w:rsidP="00BA3E8B">
      <w:pPr>
        <w:pStyle w:val="Liste"/>
      </w:pPr>
      <w:r>
        <w:t>Utvikle digitale helsetjenester og</w:t>
      </w:r>
      <w:r>
        <w:t xml:space="preserve"> hjemmebesøksprogrammer hos småbarnsfamilier.</w:t>
      </w:r>
    </w:p>
    <w:p w:rsidR="00000000" w:rsidRDefault="00D718D0" w:rsidP="00BA3E8B">
      <w:pPr>
        <w:pStyle w:val="Liste"/>
      </w:pPr>
      <w:r>
        <w:t>Iverksette tiltak gjennom helsestasjon- og skolehelsetjenesten, bruke økonomiske støtt</w:t>
      </w:r>
      <w:r>
        <w:t>e</w:t>
      </w:r>
      <w:r>
        <w:t>ordninger for å styrke innsatsen mot kjønnsbasert vold, f.eks. i arbeidslivet.</w:t>
      </w:r>
    </w:p>
    <w:p w:rsidR="00000000" w:rsidRDefault="00D718D0" w:rsidP="00BA3E8B">
      <w:pPr>
        <w:pStyle w:val="avsnitt-tittel"/>
      </w:pPr>
      <w:r>
        <w:t>Stereotypisering</w:t>
      </w:r>
    </w:p>
    <w:p w:rsidR="00000000" w:rsidRDefault="00D718D0" w:rsidP="00BA3E8B">
      <w:r>
        <w:t>Departementet er enig med KVIBALD som i sitt høringsinnspill sier at arbeidet mot negativ stereotypis</w:t>
      </w:r>
      <w:r>
        <w:t>e</w:t>
      </w:r>
      <w:r>
        <w:t>ring er en viktig del av forebyggende arbeid mot diskriminering. Departementet fremmer i denne lovpr</w:t>
      </w:r>
      <w:r>
        <w:t>o</w:t>
      </w:r>
      <w:r>
        <w:t xml:space="preserve">posisjonen et forslag om at stereotypisering, som en </w:t>
      </w:r>
      <w:r>
        <w:t>holdning eller atferd som knytter seg til diskrimin</w:t>
      </w:r>
      <w:r>
        <w:t>e</w:t>
      </w:r>
      <w:r>
        <w:t>ring, fremheves i bestemmelsen om myndighetenes aktivitetsplikt. Skjeie-utvalget foreslo også at det pr</w:t>
      </w:r>
      <w:r>
        <w:t>e</w:t>
      </w:r>
      <w:r>
        <w:t>siseres i lovteksten at offentlige myndigheter skal mota</w:t>
      </w:r>
      <w:r>
        <w:t>r</w:t>
      </w:r>
      <w:r>
        <w:t>beide og bekjempe fordommer og stereotypier</w:t>
      </w:r>
      <w:r>
        <w:t>.</w:t>
      </w:r>
    </w:p>
    <w:p w:rsidR="00000000" w:rsidRDefault="00D718D0" w:rsidP="00BA3E8B">
      <w:r>
        <w:t>En stereotypi er en generalisert, intuitiv oppfatning om hvordan en bestemt gruppe mennesker er. Stereot</w:t>
      </w:r>
      <w:r>
        <w:t>y</w:t>
      </w:r>
      <w:r>
        <w:t>piske forestillinger kan føre til at en person havner i en imaginær identitetskategori, der han eller hun ikke ønsker å være. Stereotypiseringen skje</w:t>
      </w:r>
      <w:r>
        <w:t>r ofte uten at det reflekteres over om den aktuelle pers</w:t>
      </w:r>
      <w:r>
        <w:t>o</w:t>
      </w:r>
      <w:r>
        <w:t>nens egenskaper stemmer overens med stereotypien. Som KVIBALD påpeker i sitt høringssvar kan neg</w:t>
      </w:r>
      <w:r>
        <w:t>a</w:t>
      </w:r>
      <w:r>
        <w:t>tive stereotypiseringer om en persons kjønn, seksuell orientering, etnisitet, funksjonsevne eller alde</w:t>
      </w:r>
      <w:r>
        <w:t>r føre til diskriminering, f.eks. i forbindelse med ansettelse.</w:t>
      </w:r>
    </w:p>
    <w:p w:rsidR="00000000" w:rsidRDefault="00D718D0" w:rsidP="00BA3E8B">
      <w:r>
        <w:t>De internasjonale konvensjonene Norge er bundet av, forplikter medlemsstatene til å iverksette aktive tiltak mot stereotypisering. Det vises til CEDAW artikkel 5 bokstav a. CEDAW artikkel 10 b</w:t>
      </w:r>
      <w:r>
        <w:t>okstav c sta</w:t>
      </w:r>
      <w:r>
        <w:t>d</w:t>
      </w:r>
      <w:r>
        <w:t>fester at det skal iverksettes aktive tiltak for å avskaffe stereotypiske foresti</w:t>
      </w:r>
      <w:r>
        <w:t>l</w:t>
      </w:r>
      <w:r>
        <w:t>linger om menn og kvinner. Dette gjelder for alle typer undervisning. CRPD artikkel 8 nr. 1 forplikter statene til å treffe aktive tiltak for å bekjempe stereoty</w:t>
      </w:r>
      <w:r>
        <w:t>pier, fordommer og skadelig praksis knyttet til mennesker med nedsatt funksjonsevne «på alle livets områder». CERD artikkel 7 stadfester at medlemsstatene skal gjennomføre effektive tiltak for å bekjempe fordommer som fører til rasediskriminering. Dette gj</w:t>
      </w:r>
      <w:r>
        <w:t>elder blant annet på områdene undervi</w:t>
      </w:r>
      <w:r>
        <w:t>s</w:t>
      </w:r>
      <w:r>
        <w:t>ning og utda</w:t>
      </w:r>
      <w:r>
        <w:t>n</w:t>
      </w:r>
      <w:r>
        <w:t>ning.</w:t>
      </w:r>
    </w:p>
    <w:p w:rsidR="00000000" w:rsidRDefault="00D718D0" w:rsidP="00BA3E8B">
      <w:r>
        <w:t xml:space="preserve">Forarbeidene til likestillings- og diskrimineringsloven fremhever stereotypisering som et forhold som kan føre til diskriminering. Trakassering innebærer for eksempel at den trakasserende handlingen </w:t>
      </w:r>
      <w:r>
        <w:t>må være knyttet til et diskrimineringsgrunnlag. Dette innebærer at det må være å</w:t>
      </w:r>
      <w:r>
        <w:t>r</w:t>
      </w:r>
      <w:r>
        <w:t>sakssammenheng mellom atferden, dvs. den trakasserende handlingen, og et diskriminering</w:t>
      </w:r>
      <w:r>
        <w:t>s</w:t>
      </w:r>
      <w:r>
        <w:t>grunnlag, f.eks. nedsatt funksjonsevne. Det fremgår av lovens forarbeider at et vurderi</w:t>
      </w:r>
      <w:r>
        <w:t>ngstema er om handlingen anses å være basert på «negative stereotypier, fordommer eller forakt» mot fo</w:t>
      </w:r>
      <w:r>
        <w:t>r</w:t>
      </w:r>
      <w:r>
        <w:t>hold som f.eks. nedsatt funksjonsevne, jf. Prop. 81 L (2016–2017) kapittel 18.2.1. Et annet e</w:t>
      </w:r>
      <w:r>
        <w:t>k</w:t>
      </w:r>
      <w:r>
        <w:t xml:space="preserve">sempel er religiøst begrunnet forskjellsbehandling i tros- </w:t>
      </w:r>
      <w:r>
        <w:t>og livssyn</w:t>
      </w:r>
      <w:r>
        <w:t>s</w:t>
      </w:r>
      <w:r>
        <w:t>samfunn. En slik fo</w:t>
      </w:r>
      <w:r>
        <w:t>r</w:t>
      </w:r>
      <w:r>
        <w:t>skjellsbehandling oppfyller kravet til saklig formål, jf. likestillings- og diskrimin</w:t>
      </w:r>
      <w:r>
        <w:t>e</w:t>
      </w:r>
      <w:r>
        <w:t>ringsloven § 9, jf. Prop. 81 L (2016–2017) kapittel 14.2.5. Departementet uttaler samme sted at:</w:t>
      </w:r>
    </w:p>
    <w:p w:rsidR="00000000" w:rsidRDefault="00D718D0" w:rsidP="00BA3E8B">
      <w:pPr>
        <w:pStyle w:val="blokksit"/>
      </w:pPr>
      <w:r>
        <w:lastRenderedPageBreak/>
        <w:t>«Forskjellsbehandling som er begrunnet i f</w:t>
      </w:r>
      <w:r>
        <w:t>ordommer og stereotype oppfatninger eller praksis, kultur eller tradisjon i tros- og livssynssamfunnet – og som ikke er religiøst forankret – utgjør ikke lovlig fo</w:t>
      </w:r>
      <w:r>
        <w:t>r</w:t>
      </w:r>
      <w:r>
        <w:t>skjellsbehandling.»</w:t>
      </w:r>
    </w:p>
    <w:p w:rsidR="00000000" w:rsidRDefault="00D718D0" w:rsidP="00BA3E8B">
      <w:r>
        <w:t>Et tiltak for å motarbeide negative stereotypiseringer i myndighetsutøve</w:t>
      </w:r>
      <w:r>
        <w:t>lse og tjenesteyting, er refleksjon. Offentlige myndigheter bør derfor vurdere blant annet følgende spørsmål:</w:t>
      </w:r>
    </w:p>
    <w:p w:rsidR="00000000" w:rsidRDefault="00D718D0" w:rsidP="00BA3E8B">
      <w:pPr>
        <w:pStyle w:val="Liste"/>
      </w:pPr>
      <w:r>
        <w:t>Finnes det stereotypier om bestemte grupper mennesker (brukere) som kan påvirke tjene</w:t>
      </w:r>
      <w:r>
        <w:t>s</w:t>
      </w:r>
      <w:r>
        <w:t>tene vir</w:t>
      </w:r>
      <w:r>
        <w:t>k</w:t>
      </w:r>
      <w:r>
        <w:t>so</w:t>
      </w:r>
      <w:r>
        <w:t>m</w:t>
      </w:r>
      <w:r>
        <w:t xml:space="preserve">heten gir? Hvilke konsekvenser kan disse ha </w:t>
      </w:r>
      <w:r>
        <w:t>for tjenestene?</w:t>
      </w:r>
    </w:p>
    <w:p w:rsidR="00000000" w:rsidRDefault="00D718D0" w:rsidP="00BA3E8B">
      <w:pPr>
        <w:pStyle w:val="Liste"/>
      </w:pPr>
      <w:r>
        <w:t>Forekommer det fordommer eller stereotypier som hindrer likestilling, eller som fører til diskrimin</w:t>
      </w:r>
      <w:r>
        <w:t>e</w:t>
      </w:r>
      <w:r>
        <w:t>ring, i myndighetsutøvelse eller i tjenesteyting?</w:t>
      </w:r>
    </w:p>
    <w:p w:rsidR="00000000" w:rsidRDefault="00D718D0" w:rsidP="00BA3E8B">
      <w:pPr>
        <w:pStyle w:val="Liste"/>
      </w:pPr>
      <w:r>
        <w:t>Stilles det saklige vilkår for at en person får eller ikke får en tjeneste?</w:t>
      </w:r>
    </w:p>
    <w:p w:rsidR="00000000" w:rsidRDefault="00D718D0" w:rsidP="00BA3E8B">
      <w:pPr>
        <w:pStyle w:val="Liste"/>
      </w:pPr>
      <w:r>
        <w:t>Fo</w:t>
      </w:r>
      <w:r>
        <w:t>rekommer det at negative stereotypier eller fordommer påvirker vurderingen av hva som anses som relevant faktum? Kan dette påvirke myndighetsutøvelse eller tjenesteyting?</w:t>
      </w:r>
    </w:p>
    <w:p w:rsidR="00000000" w:rsidRDefault="00D718D0" w:rsidP="00BA3E8B">
      <w:pPr>
        <w:pStyle w:val="Liste"/>
      </w:pPr>
      <w:r>
        <w:t>Det vises til Likestillings- og diskrimineringsombudets håndbok for tjenesteytere</w:t>
      </w:r>
      <w:r>
        <w:t xml:space="preserve"> «Lik</w:t>
      </w:r>
      <w:r>
        <w:t>e</w:t>
      </w:r>
      <w:r>
        <w:t>verdige tj</w:t>
      </w:r>
      <w:r>
        <w:t>e</w:t>
      </w:r>
      <w:r>
        <w:t>nester for alle» og refleksjonsheftet «Likeverdige tjenester i praksis».</w:t>
      </w:r>
    </w:p>
    <w:p w:rsidR="00000000" w:rsidRDefault="00D718D0" w:rsidP="00BA3E8B">
      <w:pPr>
        <w:pStyle w:val="Overskrift3"/>
      </w:pPr>
      <w:r>
        <w:t>Redegjørelsesplikt</w:t>
      </w:r>
    </w:p>
    <w:p w:rsidR="00000000" w:rsidRDefault="00D718D0" w:rsidP="00BA3E8B">
      <w:pPr>
        <w:pStyle w:val="Overskrift4"/>
      </w:pPr>
      <w:r>
        <w:t>Innledning</w:t>
      </w:r>
    </w:p>
    <w:p w:rsidR="00000000" w:rsidRDefault="00D718D0" w:rsidP="00BA3E8B">
      <w:r>
        <w:t>Skjeie-utvalget vurderte spørsmålet om offentlige myndigheter skal ha en plikt til å redegjør</w:t>
      </w:r>
      <w:r>
        <w:t>e for sitt arbeid med likestilling. Ifølge utvalget hadde myndighetene lagt til grunn at det gjaldt en slik plikt, men at det i lys av forarbeidene til de tidligere likestillings- og diskrimineringslovene var uklart om myndighetene i sin myndighetsutøvelse</w:t>
      </w:r>
      <w:r>
        <w:t xml:space="preserve"> og tjenesteyting hadde en redegjørelsesplikt. Justisdepartementets Lovavdeling tok også stilling til spørsmålet og kom frem til, under adskillig tvil, at myndighetene trolig ikke hadde en r</w:t>
      </w:r>
      <w:r>
        <w:t>e</w:t>
      </w:r>
      <w:r>
        <w:t>degjørelsesplikt, jf. Lovavdelingens uttalelse 15. september 2010</w:t>
      </w:r>
      <w:r>
        <w:t>. Likestillings- og diskrimineringsloven ble vedtatt uten en redegjørelsesplikt for myndighetene.</w:t>
      </w:r>
    </w:p>
    <w:p w:rsidR="00000000" w:rsidRDefault="00D718D0" w:rsidP="00BA3E8B">
      <w:r>
        <w:t>Skjeie-utvalget viste til at en redegjørelsesplikt for offentlige myndigheter burde vurderes opp mot behovet for kontroll. Myndighetene hadde ofte et bredt an</w:t>
      </w:r>
      <w:r>
        <w:t>svarsområde, noe som kunne medføre en o</w:t>
      </w:r>
      <w:r>
        <w:t>m</w:t>
      </w:r>
      <w:r>
        <w:t>fattende redegj</w:t>
      </w:r>
      <w:r>
        <w:t>ø</w:t>
      </w:r>
      <w:r>
        <w:t>relsesplikt. Skjeie-utvalget foreslo følgelig at offentlige my</w:t>
      </w:r>
      <w:r>
        <w:t>n</w:t>
      </w:r>
      <w:r>
        <w:t>digheter skulle ilegges en plikt til å dokumentere tiltakene som følger av bestemmelsene om myndighetenes aktivitetsplikt. Dokument</w:t>
      </w:r>
      <w:r>
        <w:t>a</w:t>
      </w:r>
      <w:r>
        <w:t>sjons</w:t>
      </w:r>
      <w:r>
        <w:t>plikten skulle erstatte en redegjørelsesplikt. Dokumentasjonen skulle være grunnlaget for oppfølging av virksomhetene, med veiledning og kontroll.</w:t>
      </w:r>
    </w:p>
    <w:p w:rsidR="00000000" w:rsidRDefault="00D718D0" w:rsidP="00BA3E8B">
      <w:r>
        <w:t>I likhet med Skjeie-utvalget, mener departementet at offentlige myndigheter, i rollen som my</w:t>
      </w:r>
      <w:r>
        <w:t>n</w:t>
      </w:r>
      <w:r>
        <w:t>d</w:t>
      </w:r>
      <w:r>
        <w:t>i</w:t>
      </w:r>
      <w:r>
        <w:t>ghetsutøver og</w:t>
      </w:r>
      <w:r>
        <w:t xml:space="preserve"> tjenesteyter, skal dokumentere arbeidet med likestilling. Departementet mener samtidig at åpenhet i form av offentliggjøring av dokumentasjonen, også er et viktig virkemiddel for å fremme likesti</w:t>
      </w:r>
      <w:r>
        <w:t>l</w:t>
      </w:r>
      <w:r>
        <w:t>ling. Dette taler for en redegjørelsesplikt for myndigheten</w:t>
      </w:r>
      <w:r>
        <w:t>e.</w:t>
      </w:r>
    </w:p>
    <w:p w:rsidR="00000000" w:rsidRDefault="00D718D0" w:rsidP="00BA3E8B">
      <w:pPr>
        <w:pStyle w:val="Overskrift4"/>
      </w:pPr>
      <w:r>
        <w:t>Gjeldende rett</w:t>
      </w:r>
    </w:p>
    <w:p w:rsidR="00000000" w:rsidRDefault="00D718D0" w:rsidP="00BA3E8B">
      <w:r>
        <w:t>Offentlige myndigheter i rollen som myndighetsutøver og tjenesteyter har etter gjeldende rett ingen r</w:t>
      </w:r>
      <w:r>
        <w:t>e</w:t>
      </w:r>
      <w:r>
        <w:t>degjørelsesplikt.</w:t>
      </w:r>
    </w:p>
    <w:p w:rsidR="00000000" w:rsidRDefault="00D718D0" w:rsidP="00BA3E8B">
      <w:pPr>
        <w:pStyle w:val="Overskrift4"/>
      </w:pPr>
      <w:r>
        <w:t>Forslag i høringsnotatet</w:t>
      </w:r>
    </w:p>
    <w:p w:rsidR="00000000" w:rsidRDefault="00D718D0" w:rsidP="00BA3E8B">
      <w:r>
        <w:t>Departementet foreslo i hør</w:t>
      </w:r>
      <w:r>
        <w:t>ingsnotatet at myndighetene skal være pålagt redegjørelsesplikt. Depart</w:t>
      </w:r>
      <w:r>
        <w:t>e</w:t>
      </w:r>
      <w:r>
        <w:t xml:space="preserve">mentet foreslo at redegjørelsesplikten bygges over samme lest som bestemmelsen om foretaks plikt til å rapportere om samfunnsansvar. Dette innebærer at offentlige myndigheter skal </w:t>
      </w:r>
      <w:r>
        <w:lastRenderedPageBreak/>
        <w:t>rede</w:t>
      </w:r>
      <w:r>
        <w:t>gjøre for hva de gjør for å integrere hensynet til likestilling i sitt arbeid, i sin daglige drift og i forholdet til sine interessenter og samarbeidspartnere. Offentlige myndigheter skal redegjøre for hvordan de arbeider med å omsette pri</w:t>
      </w:r>
      <w:r>
        <w:t>n</w:t>
      </w:r>
      <w:r>
        <w:t>sipper, prosedyr</w:t>
      </w:r>
      <w:r>
        <w:t>er og standarder for likestilling til handling. Myndighetene skal vurdere resultatene som er oppnådd og opplyse hvilke forven</w:t>
      </w:r>
      <w:r>
        <w:t>t</w:t>
      </w:r>
      <w:r>
        <w:t>ninger de har til dette arbeidet fremover.</w:t>
      </w:r>
    </w:p>
    <w:p w:rsidR="00000000" w:rsidRDefault="00D718D0" w:rsidP="00BA3E8B">
      <w:r>
        <w:t>Departementet foreslo i høringsnotatet at redegjørelsen skal offentliggjøres i årsbudsj</w:t>
      </w:r>
      <w:r>
        <w:t>ettet eller i år</w:t>
      </w:r>
      <w:r>
        <w:t>s</w:t>
      </w:r>
      <w:r>
        <w:t>bere</w:t>
      </w:r>
      <w:r>
        <w:t>t</w:t>
      </w:r>
      <w:r>
        <w:t>ningen. Offentlige myndigheter som ikke er pålagt å utarbeide årsberetning, skal ta r</w:t>
      </w:r>
      <w:r>
        <w:t>e</w:t>
      </w:r>
      <w:r>
        <w:t>degjørelsen inn i år</w:t>
      </w:r>
      <w:r>
        <w:t>s</w:t>
      </w:r>
      <w:r>
        <w:t>budsjettet.</w:t>
      </w:r>
    </w:p>
    <w:p w:rsidR="00000000" w:rsidRDefault="00D718D0" w:rsidP="00BA3E8B">
      <w:pPr>
        <w:pStyle w:val="Overskrift4"/>
      </w:pPr>
      <w:r>
        <w:t>Høringsinstansenes syn</w:t>
      </w:r>
    </w:p>
    <w:p w:rsidR="00000000" w:rsidRDefault="00D718D0" w:rsidP="00BA3E8B">
      <w:r>
        <w:t xml:space="preserve">Flere høringsinstanser, herunder </w:t>
      </w:r>
      <w:r>
        <w:rPr>
          <w:rStyle w:val="kursiv"/>
          <w:sz w:val="21"/>
          <w:szCs w:val="21"/>
        </w:rPr>
        <w:t>Bufdir</w:t>
      </w:r>
      <w:r>
        <w:t xml:space="preserve">, </w:t>
      </w:r>
      <w:r>
        <w:rPr>
          <w:rStyle w:val="kursiv"/>
          <w:sz w:val="21"/>
          <w:szCs w:val="21"/>
        </w:rPr>
        <w:t>Likestillingssenteret</w:t>
      </w:r>
      <w:r>
        <w:t xml:space="preserve">, </w:t>
      </w:r>
      <w:r>
        <w:rPr>
          <w:rStyle w:val="kursiv"/>
          <w:sz w:val="21"/>
          <w:szCs w:val="21"/>
        </w:rPr>
        <w:t xml:space="preserve">JURK </w:t>
      </w:r>
      <w:r>
        <w:t xml:space="preserve">og </w:t>
      </w:r>
      <w:r>
        <w:rPr>
          <w:rStyle w:val="kursiv"/>
          <w:sz w:val="21"/>
          <w:szCs w:val="21"/>
        </w:rPr>
        <w:t>KV</w:t>
      </w:r>
      <w:r>
        <w:rPr>
          <w:rStyle w:val="kursiv"/>
          <w:sz w:val="21"/>
          <w:szCs w:val="21"/>
        </w:rPr>
        <w:t>IBALD</w:t>
      </w:r>
      <w:r>
        <w:t xml:space="preserve"> stiller seg positivt til at myndighetene, i rollen som myndighetsutøver og tjenesteyter, skal få en redegjørelsesplikt. </w:t>
      </w:r>
      <w:r>
        <w:rPr>
          <w:rStyle w:val="kursiv"/>
          <w:sz w:val="21"/>
          <w:szCs w:val="21"/>
        </w:rPr>
        <w:t xml:space="preserve">Likestillings- og diskrimineringsombudet </w:t>
      </w:r>
      <w:r>
        <w:t>støtter også forslaget om at det innføres en redegjørelse</w:t>
      </w:r>
      <w:r>
        <w:t>s</w:t>
      </w:r>
      <w:r>
        <w:t>plikt knyttet til aktiv</w:t>
      </w:r>
      <w:r>
        <w:t>i</w:t>
      </w:r>
      <w:r>
        <w:t>tetspli</w:t>
      </w:r>
      <w:r>
        <w:t xml:space="preserve">kten, men mener at den foreslåtte lovteksten bør justeres. </w:t>
      </w:r>
      <w:r>
        <w:rPr>
          <w:rStyle w:val="kursiv"/>
          <w:sz w:val="21"/>
          <w:szCs w:val="21"/>
        </w:rPr>
        <w:t>Ombudet</w:t>
      </w:r>
      <w:r>
        <w:t xml:space="preserve"> mener at formuleringene i lo</w:t>
      </w:r>
      <w:r>
        <w:t>v</w:t>
      </w:r>
      <w:r>
        <w:t>bestemmelsen, som har store likhetstrekk med § 3–3 c i regn</w:t>
      </w:r>
      <w:r>
        <w:t>s</w:t>
      </w:r>
      <w:r>
        <w:t>kapsloven, ikke nødvendigvis passer godt for offentlige myndigheter.</w:t>
      </w:r>
    </w:p>
    <w:p w:rsidR="00000000" w:rsidRDefault="00D718D0" w:rsidP="00BA3E8B">
      <w:r>
        <w:t xml:space="preserve">Videre anfører </w:t>
      </w:r>
      <w:r>
        <w:rPr>
          <w:rStyle w:val="kursiv"/>
          <w:sz w:val="21"/>
          <w:szCs w:val="21"/>
        </w:rPr>
        <w:t>Likestillings- o</w:t>
      </w:r>
      <w:r>
        <w:rPr>
          <w:rStyle w:val="kursiv"/>
          <w:sz w:val="21"/>
          <w:szCs w:val="21"/>
        </w:rPr>
        <w:t>g diskrimineringsombudet</w:t>
      </w:r>
      <w:r>
        <w:t xml:space="preserve"> at det bør fremheves at offentlige myndi</w:t>
      </w:r>
      <w:r>
        <w:t>g</w:t>
      </w:r>
      <w:r>
        <w:t>heter ikke bare skal kartlegge likestillingsutfordringer, men også bør kartlegge og undersøke risiko for diskr</w:t>
      </w:r>
      <w:r>
        <w:t>i</w:t>
      </w:r>
      <w:r>
        <w:t>minering.</w:t>
      </w:r>
    </w:p>
    <w:p w:rsidR="00000000" w:rsidRPr="009445FD" w:rsidRDefault="00D718D0" w:rsidP="00BA3E8B">
      <w:pPr>
        <w:rPr>
          <w:rStyle w:val="kursiv"/>
        </w:rPr>
      </w:pPr>
      <w:r>
        <w:rPr>
          <w:rStyle w:val="kursiv"/>
          <w:sz w:val="21"/>
          <w:szCs w:val="21"/>
        </w:rPr>
        <w:t xml:space="preserve">KS </w:t>
      </w:r>
      <w:r>
        <w:t>støtter verken forslaget om å konkretisere aktivitetsplikten, elle</w:t>
      </w:r>
      <w:r>
        <w:t>r en redegjørelsesplikt for my</w:t>
      </w:r>
      <w:r>
        <w:t>n</w:t>
      </w:r>
      <w:r>
        <w:t xml:space="preserve">dighetene. </w:t>
      </w:r>
      <w:r>
        <w:rPr>
          <w:rStyle w:val="kursiv"/>
          <w:sz w:val="21"/>
          <w:szCs w:val="21"/>
        </w:rPr>
        <w:t>KS</w:t>
      </w:r>
      <w:r>
        <w:t xml:space="preserve"> foreslår isteden en dokumentasjonsplikt for myndighetene.</w:t>
      </w:r>
    </w:p>
    <w:p w:rsidR="00000000" w:rsidRDefault="00D718D0" w:rsidP="00BA3E8B">
      <w:pPr>
        <w:pStyle w:val="Overskrift4"/>
      </w:pPr>
      <w:r>
        <w:t>Departementets vurderinger</w:t>
      </w:r>
    </w:p>
    <w:p w:rsidR="00000000" w:rsidRDefault="00D718D0" w:rsidP="00BA3E8B">
      <w:r>
        <w:t>Departementet opprettholder forslaget om at offentlige myndigheter skal redegjøre for hva de gjør for å inte</w:t>
      </w:r>
      <w:r>
        <w:t>grere hensynet til likestilling og ikke-diskriminering i sitt arbeid. Departementet foreslår at redegj</w:t>
      </w:r>
      <w:r>
        <w:t>ø</w:t>
      </w:r>
      <w:r>
        <w:t>relsen skal gis i årsrapport, årsberetning, eller i et annet offentlig tilgjengelig dokument. Dette på bakgrunn av at statlige virksomheter ikke offentli</w:t>
      </w:r>
      <w:r>
        <w:t>ggjør sine budsjetter, men er pålagt å avgi en årsrapport, se omtale av arbeidsgivers redegjørelsesplikt i kapittel 3.8.15.</w:t>
      </w:r>
    </w:p>
    <w:p w:rsidR="00000000" w:rsidRDefault="00D718D0" w:rsidP="00BA3E8B">
      <w:r>
        <w:t>Som Likestillings- og diskrimineringsombudet og Justis- og beredskapsdepartementet påpeker i sine h</w:t>
      </w:r>
      <w:r>
        <w:t>ø</w:t>
      </w:r>
      <w:r>
        <w:t>ringsinnspill, er det viktig å s</w:t>
      </w:r>
      <w:r>
        <w:t>ikre en god sammenheng mellom aktivitets- og redegjøre</w:t>
      </w:r>
      <w:r>
        <w:t>l</w:t>
      </w:r>
      <w:r>
        <w:t>sesplikten, og passende begrepsbruk i lovteksten. Departementet foreslår derfor at det gjøres noen terminologiske ti</w:t>
      </w:r>
      <w:r>
        <w:t>l</w:t>
      </w:r>
      <w:r>
        <w:t>pasninger i or</w:t>
      </w:r>
      <w:r>
        <w:t>d</w:t>
      </w:r>
      <w:r>
        <w:t>lyden av lovforslaget, sammenlignet med departementets forslag i høri</w:t>
      </w:r>
      <w:r>
        <w:t>ngsnotatet.</w:t>
      </w:r>
    </w:p>
    <w:p w:rsidR="00000000" w:rsidRDefault="00D718D0" w:rsidP="00BA3E8B">
      <w:r>
        <w:t>Departementet har vurdert om den foreslåtte redegjørelsesplikten skal erstattes med en dok</w:t>
      </w:r>
      <w:r>
        <w:t>u</w:t>
      </w:r>
      <w:r>
        <w:t>ment</w:t>
      </w:r>
      <w:r>
        <w:t>a</w:t>
      </w:r>
      <w:r>
        <w:t>sjonsplikt, som er foreslått av KS. Departementet har valgt å opprettholde forslaget om å innføre redegj</w:t>
      </w:r>
      <w:r>
        <w:t>ø</w:t>
      </w:r>
      <w:r>
        <w:t>relsesplikt for myndighetene. Departementet</w:t>
      </w:r>
      <w:r>
        <w:t xml:space="preserve"> mener at en redegjørelsesplikt vil kunne bidra til åpenhet om myndighetenes likestillingsarbeid på en bedre måte enn en eventuell dokumentasjonsplikt. En redegj</w:t>
      </w:r>
      <w:r>
        <w:t>ø</w:t>
      </w:r>
      <w:r>
        <w:t>relsesplikt vil også kunne styrke kontrollen med at aktivitet</w:t>
      </w:r>
      <w:r>
        <w:t>s</w:t>
      </w:r>
      <w:r>
        <w:t>plikten overholdes. Den foreslåt</w:t>
      </w:r>
      <w:r>
        <w:t>te plikten dreier seg om redegjørelse for arbeidet etter den f</w:t>
      </w:r>
      <w:r>
        <w:t>o</w:t>
      </w:r>
      <w:r>
        <w:t>reslåtte aktivitetsplikten beskrevet i likestillings- og diskrimineringsloven.</w:t>
      </w:r>
    </w:p>
    <w:p w:rsidR="00000000" w:rsidRDefault="00D718D0" w:rsidP="00BA3E8B">
      <w:r>
        <w:t>Formuleringene i den foreslåtte bestemmelsen om offentlige myndigheters redegjør</w:t>
      </w:r>
      <w:r>
        <w:t>elsesplikt er h</w:t>
      </w:r>
      <w:r>
        <w:t>o</w:t>
      </w:r>
      <w:r>
        <w:t>vedsakelig inspirert av redegjørelsesplikten etter regnskapsloven § 3–3 c. Det samme gjelder formul</w:t>
      </w:r>
      <w:r>
        <w:t>e</w:t>
      </w:r>
      <w:r>
        <w:t xml:space="preserve">ringen av den foreslåtte bestemmelsen om arbeidsgivers redegjørelesplikt, jf. forslag til </w:t>
      </w:r>
      <w:r>
        <w:lastRenderedPageBreak/>
        <w:t>ny § 26 a. For</w:t>
      </w:r>
      <w:r>
        <w:t>m</w:t>
      </w:r>
      <w:r>
        <w:t>ålet med denne sammenligningen er å</w:t>
      </w:r>
      <w:r>
        <w:t xml:space="preserve"> poengtere at aktivt likestillingsarbeid er et felles samfunnsansvar, som forplikter ikke bare næringslivet (store foretak) og arbeidsgivere, men også offentlige myndigheter. Utarbeidelse av et he</w:t>
      </w:r>
      <w:r>
        <w:t>l</w:t>
      </w:r>
      <w:r>
        <w:t>hetlig redegjørelsesregime på likesti</w:t>
      </w:r>
      <w:r>
        <w:t>l</w:t>
      </w:r>
      <w:r>
        <w:t>lingsområdet, dvs. en</w:t>
      </w:r>
      <w:r>
        <w:t xml:space="preserve"> redegjørelse som baserer seg på en overordnet, felles metodisk tilnærming, vil kunne bidra til utvikling av «best praksis» i vir</w:t>
      </w:r>
      <w:r>
        <w:t>k</w:t>
      </w:r>
      <w:r>
        <w:t>somhetens likestillingsarbeid. Det vil etter departementets vurdering også kunne bidra til at Likestillings- og diskriminering</w:t>
      </w:r>
      <w:r>
        <w:t>sombudets arbeid med veiledning og oppfølging av arbeidsgiveres og myndigheters redegjørelsesplikt, blir mer effektivt.</w:t>
      </w:r>
    </w:p>
    <w:p w:rsidR="00000000" w:rsidRDefault="00D718D0" w:rsidP="00BA3E8B">
      <w:r>
        <w:t>Selv om det er store likhetstrekk mellom offentlige myndigheters og andre foretaks redegjøre</w:t>
      </w:r>
      <w:r>
        <w:t>l</w:t>
      </w:r>
      <w:r>
        <w:t>sesplikt, er forpliktelsene likevel ikke he</w:t>
      </w:r>
      <w:r>
        <w:t>lt like. Departementets forslag innebærer at offentlige myndigheters r</w:t>
      </w:r>
      <w:r>
        <w:t>e</w:t>
      </w:r>
      <w:r>
        <w:t>degj</w:t>
      </w:r>
      <w:r>
        <w:t>ø</w:t>
      </w:r>
      <w:r>
        <w:t>relsesplikt vil være mer forpliktende enn for store foretaks redegjørelse</w:t>
      </w:r>
      <w:r>
        <w:t>s</w:t>
      </w:r>
      <w:r>
        <w:t>plikt etter regnskapsloven § 3–3 c. På lik linje med arbeidsgivere som er pålagt en redegjøre</w:t>
      </w:r>
      <w:r>
        <w:t>l</w:t>
      </w:r>
      <w:r>
        <w:t>sesplikt ett</w:t>
      </w:r>
      <w:r>
        <w:t>er den foreslåtte likestillings- og diskrim</w:t>
      </w:r>
      <w:r>
        <w:t>i</w:t>
      </w:r>
      <w:r>
        <w:t>neringsloven § 26 a, skal offentlige my</w:t>
      </w:r>
      <w:r>
        <w:t>n</w:t>
      </w:r>
      <w:r>
        <w:t>digheter utarbeide en gjennomtenkt «likestillingsp</w:t>
      </w:r>
      <w:r>
        <w:t>o</w:t>
      </w:r>
      <w:r>
        <w:t xml:space="preserve">licy» på sitt forvaltningsområde. Denne «likestillingspolicyen» innebærer at myndighetene skal utarbeide retningslinjer, </w:t>
      </w:r>
      <w:r>
        <w:t>prinsipper, prosedyrer og standarder for sitt arbeid, og omsette disse til konkret handling i praksis. Offentlige myndigheters redegjørelsesplikt knytter seg til aktivitetsplikten beskrevet i likestillings- og diskrimin</w:t>
      </w:r>
      <w:r>
        <w:t>e</w:t>
      </w:r>
      <w:r>
        <w:t>ringsloven, og plikten har dermed et</w:t>
      </w:r>
      <w:r>
        <w:t xml:space="preserve"> mer avgrenset saklig og geografisk virkeområde enn rapporteringsplikten etter regnskapsloven § 3–3 c, jf. Prop. 48 L (2012–2013), kapittel 2.</w:t>
      </w:r>
    </w:p>
    <w:p w:rsidR="00000000" w:rsidRDefault="00D718D0" w:rsidP="00BA3E8B">
      <w:r>
        <w:t>Etter departementets forslag skal redegjørelsen offentliggjøres i årsrapport eller i årsberetning. O</w:t>
      </w:r>
      <w:r>
        <w:t>f</w:t>
      </w:r>
      <w:r>
        <w:t>fentlige myn</w:t>
      </w:r>
      <w:r>
        <w:t>digheter som ikke er pålagt å utarbeide årsberetning skal ta redegjørelsen inn i årsrapporten.</w:t>
      </w:r>
    </w:p>
    <w:p w:rsidR="00000000" w:rsidRDefault="00D718D0" w:rsidP="00BA3E8B">
      <w:pPr>
        <w:pStyle w:val="Overskrift2"/>
      </w:pPr>
      <w:r>
        <w:t>Veiledning og håndheving</w:t>
      </w:r>
    </w:p>
    <w:p w:rsidR="00000000" w:rsidRDefault="00D718D0" w:rsidP="00BA3E8B">
      <w:pPr>
        <w:pStyle w:val="Overskrift3"/>
      </w:pPr>
      <w:r>
        <w:t>Gjeldende rett</w:t>
      </w:r>
    </w:p>
    <w:p w:rsidR="00000000" w:rsidRDefault="00D718D0" w:rsidP="00BA3E8B">
      <w:r>
        <w:t>Det fremgår av diskrimineringsombudsloven § 5 at Likestillings- og diskrimineringsombudet skal ar</w:t>
      </w:r>
      <w:r>
        <w:t>beide for å fremme reell likestilling og hindre diskriminering på alle samfunnsområder på grunn av kjønn, gr</w:t>
      </w:r>
      <w:r>
        <w:t>a</w:t>
      </w:r>
      <w:r>
        <w:t>viditet, permisjon ved fødsel og adopsjon, omsorgsoppgaver, etnisitet, rel</w:t>
      </w:r>
      <w:r>
        <w:t>i</w:t>
      </w:r>
      <w:r>
        <w:t>gion, livssyn, funksjonsnedse</w:t>
      </w:r>
      <w:r>
        <w:t>t</w:t>
      </w:r>
      <w:r>
        <w:t>telse, seksuell orientering, kjønnsidentit</w:t>
      </w:r>
      <w:r>
        <w:t>et, kjønnsuttrykk og alder. Ombudet skal også arbeide for å fremme likebehandling i arbeidslivet, uavhengig av politisk syn, medlemskap i arbeidstakerorganisasjon, og alder, jf. arbeidsmiljøloven kapittel 13 og diskr</w:t>
      </w:r>
      <w:r>
        <w:t>i</w:t>
      </w:r>
      <w:r>
        <w:t xml:space="preserve">mineringsombudsloven § 1 annet ledd og </w:t>
      </w:r>
      <w:r>
        <w:t>§ 5 første ledd.</w:t>
      </w:r>
    </w:p>
    <w:p w:rsidR="00000000" w:rsidRDefault="00D718D0" w:rsidP="00BA3E8B">
      <w:r>
        <w:t>Likestillings- og diskrimineringsombudet skal være en aktiv pådriver for mer likestilling i samfunnet. Dette innebærer bl.a. at ombudet skal ha oversikt over tilstanden for likestilling og omfanget av diskrim</w:t>
      </w:r>
      <w:r>
        <w:t>i</w:t>
      </w:r>
      <w:r>
        <w:t>nering. Likestillings- og disk</w:t>
      </w:r>
      <w:r>
        <w:t>rimineringsombudet skal bidra til bevisstgj</w:t>
      </w:r>
      <w:r>
        <w:t>ø</w:t>
      </w:r>
      <w:r>
        <w:t>ring, spre kunnskap om likesti</w:t>
      </w:r>
      <w:r>
        <w:t>l</w:t>
      </w:r>
      <w:r>
        <w:t>lingstilstand og utfordringer, samt til å utvikle kompetanse på og dokumentasjon om likestilling. Likesti</w:t>
      </w:r>
      <w:r>
        <w:t>l</w:t>
      </w:r>
      <w:r>
        <w:t>lings- og di</w:t>
      </w:r>
      <w:r>
        <w:t>s</w:t>
      </w:r>
      <w:r>
        <w:t xml:space="preserve">krimineringsombudet skal jobbe både for å endre holdninger og </w:t>
      </w:r>
      <w:r>
        <w:t>diskriminerende atferd.</w:t>
      </w:r>
    </w:p>
    <w:p w:rsidR="00000000" w:rsidRDefault="00D718D0" w:rsidP="00BA3E8B">
      <w:r>
        <w:t>Ombudet skal motarbeide diskriminering på et mer overordnet nivå, f.eks. når det gjelder måten samfunnet er bygget opp, i og gjennom regelverk, institusjoner, myndighetspraksis mv. Ombudet har et ansvar for å ide</w:t>
      </w:r>
      <w:r>
        <w:t>n</w:t>
      </w:r>
      <w:r>
        <w:t>tifisere diskrimine</w:t>
      </w:r>
      <w:r>
        <w:t xml:space="preserve">rende barrierer enkeltindivider kan oppleve i møte med </w:t>
      </w:r>
      <w:r>
        <w:lastRenderedPageBreak/>
        <w:t>ulike sa</w:t>
      </w:r>
      <w:r>
        <w:t>m</w:t>
      </w:r>
      <w:r>
        <w:t>funnsaktører og instit</w:t>
      </w:r>
      <w:r>
        <w:t>u</w:t>
      </w:r>
      <w:r>
        <w:t>sjoner. Loven regulerer ikke hvordan pådriverfunksjonen skal utøves i praksis, eller hvilke områder ombudet til enhver tid skal prioritere. Ombudet står derfor fritt til</w:t>
      </w:r>
      <w:r>
        <w:t xml:space="preserve"> å bestemme hvordan denne funksjonen utøves, jf. Prop. L 80 (2016–2017) merknader til § 5 ombudets oppgaver.</w:t>
      </w:r>
    </w:p>
    <w:p w:rsidR="00000000" w:rsidRDefault="00D718D0" w:rsidP="00BA3E8B">
      <w:r>
        <w:t>Ombudet skal videre gi veiledning om bestemmelsene i likestillings- og diskrimineringsloven § 1 annet ledd. Veiledningsoppgaven omfatter likestilli</w:t>
      </w:r>
      <w:r>
        <w:t>ngs- og diskrimineringslovens bestemmelser og bestemme</w:t>
      </w:r>
      <w:r>
        <w:t>l</w:t>
      </w:r>
      <w:r>
        <w:t>ser om diskriminering i annen lovgivning. Alle kan henvende seg til ombudet for veiledning, jf. diskrim</w:t>
      </w:r>
      <w:r>
        <w:t>i</w:t>
      </w:r>
      <w:r>
        <w:t>nering</w:t>
      </w:r>
      <w:r>
        <w:t>s</w:t>
      </w:r>
      <w:r>
        <w:t>ombudsloven § 5 annet ledd. Ombudet skal gi informasjon, støtte og veiledning i arbeidet f</w:t>
      </w:r>
      <w:r>
        <w:t>or å fremme lik</w:t>
      </w:r>
      <w:r>
        <w:t>e</w:t>
      </w:r>
      <w:r>
        <w:t>stilling, både i offentlig, privat og frivillig sektor, jf. Prop. 80 L (2016–2017) kapittel 6.5.2.3 og merknader til § 5.</w:t>
      </w:r>
    </w:p>
    <w:p w:rsidR="00000000" w:rsidRDefault="00D718D0" w:rsidP="00BA3E8B">
      <w:r>
        <w:t>Ombudet skal også gi veiledning om arbeidsgivers aktivitetsplikt. Ombudet skal spre kunnskap om hvordan arbeidsgiver k</w:t>
      </w:r>
      <w:r>
        <w:t>an jobbe for likestilling og mangfold i virksomheten. Ombudet har ikke oppgaver knyttet til håndheving av likestillings- og diskrimineringsloven eller av beste</w:t>
      </w:r>
      <w:r>
        <w:t>m</w:t>
      </w:r>
      <w:r>
        <w:t>melser om diskriminering i annen lo</w:t>
      </w:r>
      <w:r>
        <w:t>v</w:t>
      </w:r>
      <w:r>
        <w:t>givning. Ombudet kontrollerer heller ikke oppfyllelsen av ak</w:t>
      </w:r>
      <w:r>
        <w:t>tivitets- og redegjørelsesplikten.</w:t>
      </w:r>
    </w:p>
    <w:p w:rsidR="00000000" w:rsidRDefault="00D718D0" w:rsidP="00BA3E8B">
      <w:pPr>
        <w:pStyle w:val="Overskrift3"/>
      </w:pPr>
      <w:r>
        <w:t>Forslag i høringsnotatet</w:t>
      </w:r>
    </w:p>
    <w:p w:rsidR="00000000" w:rsidRDefault="00D718D0" w:rsidP="00BA3E8B">
      <w:r>
        <w:t>Departementet foreslo i høringsnotatet at Likestillings- og diskrimineringsombudet skal veilede og kon</w:t>
      </w:r>
      <w:r>
        <w:t>t</w:t>
      </w:r>
      <w:r>
        <w:t>rollere aktivitets- og redegjørelsesplikten.</w:t>
      </w:r>
    </w:p>
    <w:p w:rsidR="00000000" w:rsidRDefault="00D718D0" w:rsidP="00BA3E8B">
      <w:r>
        <w:t>Med «kontroll»</w:t>
      </w:r>
      <w:r>
        <w:t xml:space="preserve"> menes at ombudet aktivt skal følge opp at pliktsubjektene overholder de fo</w:t>
      </w:r>
      <w:r>
        <w:t>r</w:t>
      </w:r>
      <w:r>
        <w:t>pliktelsene som fremgår av de foreslåtte bestemmelsene i likestillings- og diskrimineringsloven §§ 24, 24 a, 26 og 26, jf. forslag til lovbestemmelsene i høringsnotatet, og som fre</w:t>
      </w:r>
      <w:r>
        <w:t>mgår av gjeldende § 25 om arbeidslivets o</w:t>
      </w:r>
      <w:r>
        <w:t>r</w:t>
      </w:r>
      <w:r>
        <w:t>ganis</w:t>
      </w:r>
      <w:r>
        <w:t>a</w:t>
      </w:r>
      <w:r>
        <w:t>sjoners aktivitetsplikt.</w:t>
      </w:r>
    </w:p>
    <w:p w:rsidR="00000000" w:rsidRDefault="00D718D0" w:rsidP="00BA3E8B">
      <w:r>
        <w:t>Departementet foreslo i høringsnotatet at aktivitets- og redegjørelsesplikten ikke skal håndheves u</w:t>
      </w:r>
      <w:r>
        <w:t>t</w:t>
      </w:r>
      <w:r>
        <w:t>over den oppfølgingen som ombudet foretar. Departementet foreslo derfor at nemnda i</w:t>
      </w:r>
      <w:r>
        <w:t>kke lenger skal håndheve b</w:t>
      </w:r>
      <w:r>
        <w:t>e</w:t>
      </w:r>
      <w:r>
        <w:t>stemmelsen om arbeidsgivers redegjørelsesplikt, og diskriminering</w:t>
      </w:r>
      <w:r>
        <w:t>s</w:t>
      </w:r>
      <w:r>
        <w:t>ombudsloven § 7 ble foreslått endret.</w:t>
      </w:r>
    </w:p>
    <w:p w:rsidR="00000000" w:rsidRDefault="00D718D0" w:rsidP="00BA3E8B">
      <w:pPr>
        <w:pStyle w:val="Overskrift3"/>
      </w:pPr>
      <w:r>
        <w:t>Høringsinstansenes syn</w:t>
      </w:r>
    </w:p>
    <w:p w:rsidR="00000000" w:rsidRDefault="00D718D0" w:rsidP="00BA3E8B">
      <w:r>
        <w:t xml:space="preserve">Mange høringsinstanser, herunder </w:t>
      </w:r>
      <w:r>
        <w:rPr>
          <w:rStyle w:val="kursiv"/>
          <w:sz w:val="21"/>
          <w:szCs w:val="21"/>
        </w:rPr>
        <w:t>Likestillings- og diskrimineringsombudet</w:t>
      </w:r>
      <w:r>
        <w:t xml:space="preserve">, </w:t>
      </w:r>
      <w:r>
        <w:rPr>
          <w:rStyle w:val="kursiv"/>
          <w:sz w:val="21"/>
          <w:szCs w:val="21"/>
        </w:rPr>
        <w:t>KVIBALD</w:t>
      </w:r>
      <w:r>
        <w:t xml:space="preserve">, </w:t>
      </w:r>
      <w:r>
        <w:rPr>
          <w:rStyle w:val="kursiv"/>
          <w:sz w:val="21"/>
          <w:szCs w:val="21"/>
        </w:rPr>
        <w:t>Likestilling</w:t>
      </w:r>
      <w:r>
        <w:rPr>
          <w:rStyle w:val="kursiv"/>
          <w:sz w:val="21"/>
          <w:szCs w:val="21"/>
        </w:rPr>
        <w:t>s</w:t>
      </w:r>
      <w:r>
        <w:rPr>
          <w:rStyle w:val="kursiv"/>
          <w:sz w:val="21"/>
          <w:szCs w:val="21"/>
        </w:rPr>
        <w:t>senteret</w:t>
      </w:r>
      <w:r>
        <w:t xml:space="preserve">, </w:t>
      </w:r>
      <w:r>
        <w:rPr>
          <w:rStyle w:val="kursiv"/>
          <w:sz w:val="21"/>
          <w:szCs w:val="21"/>
        </w:rPr>
        <w:t>Senter for likestilling</w:t>
      </w:r>
      <w:r>
        <w:t xml:space="preserve">, </w:t>
      </w:r>
      <w:r>
        <w:rPr>
          <w:rStyle w:val="kursiv"/>
          <w:sz w:val="21"/>
          <w:szCs w:val="21"/>
        </w:rPr>
        <w:t>Bufdir</w:t>
      </w:r>
      <w:r>
        <w:t xml:space="preserve">, </w:t>
      </w:r>
      <w:r>
        <w:rPr>
          <w:rStyle w:val="kursiv"/>
          <w:sz w:val="21"/>
          <w:szCs w:val="21"/>
        </w:rPr>
        <w:t xml:space="preserve">Fagforbundet </w:t>
      </w:r>
      <w:r>
        <w:t xml:space="preserve">og </w:t>
      </w:r>
      <w:r>
        <w:rPr>
          <w:rStyle w:val="kursiv"/>
          <w:sz w:val="21"/>
          <w:szCs w:val="21"/>
        </w:rPr>
        <w:t>LO</w:t>
      </w:r>
      <w:r>
        <w:t>, støtter rollen knyttet til veiledning og kontroll som d</w:t>
      </w:r>
      <w:r>
        <w:t>e</w:t>
      </w:r>
      <w:r>
        <w:t>partementet foreslo at ombudet skal ha.</w:t>
      </w:r>
    </w:p>
    <w:p w:rsidR="00000000" w:rsidRPr="009445FD" w:rsidRDefault="00D718D0" w:rsidP="00BA3E8B">
      <w:pPr>
        <w:rPr>
          <w:rStyle w:val="kursiv"/>
        </w:rPr>
      </w:pPr>
      <w:r>
        <w:rPr>
          <w:rStyle w:val="kursiv"/>
          <w:sz w:val="21"/>
          <w:szCs w:val="21"/>
        </w:rPr>
        <w:t>NHO</w:t>
      </w:r>
      <w:r>
        <w:t xml:space="preserve"> mener at:</w:t>
      </w:r>
    </w:p>
    <w:p w:rsidR="00000000" w:rsidRDefault="00D718D0" w:rsidP="00BA3E8B">
      <w:pPr>
        <w:pStyle w:val="blokksit"/>
      </w:pPr>
      <w:r>
        <w:t>«dersom oppfølgingen fra myndighetene er basert på god veiledning frem</w:t>
      </w:r>
      <w:r>
        <w:t>for trusler om sanksj</w:t>
      </w:r>
      <w:r>
        <w:t>o</w:t>
      </w:r>
      <w:r>
        <w:t>ner, så vil det utvilsomt føre til bedre etterlevelse av reglene og dermed et mer likestilt arbeid</w:t>
      </w:r>
      <w:r>
        <w:t>s</w:t>
      </w:r>
      <w:r>
        <w:t>liv.»</w:t>
      </w:r>
    </w:p>
    <w:p w:rsidR="00000000" w:rsidRDefault="00D718D0" w:rsidP="00BA3E8B">
      <w:r>
        <w:t xml:space="preserve">Mange høringsinstanser, herunder </w:t>
      </w:r>
      <w:r>
        <w:rPr>
          <w:rStyle w:val="kursiv"/>
          <w:sz w:val="21"/>
          <w:szCs w:val="21"/>
        </w:rPr>
        <w:t>Likestillings- og diskrimineringsombudet</w:t>
      </w:r>
      <w:r>
        <w:t>, presiserer at ombudet må sikres tilstrekkelig ressurse</w:t>
      </w:r>
      <w:r>
        <w:t>r for å kunne ivareta de oppgavene som departementet har foreslått skal legges til ombudet.</w:t>
      </w:r>
    </w:p>
    <w:p w:rsidR="00000000" w:rsidRPr="009445FD" w:rsidRDefault="00D718D0" w:rsidP="00BA3E8B">
      <w:pPr>
        <w:rPr>
          <w:rStyle w:val="kursiv"/>
        </w:rPr>
      </w:pPr>
      <w:r>
        <w:rPr>
          <w:rStyle w:val="kursiv"/>
          <w:sz w:val="21"/>
          <w:szCs w:val="21"/>
        </w:rPr>
        <w:t xml:space="preserve">Likestillings- og diskrimineringsombudet </w:t>
      </w:r>
      <w:r>
        <w:t>mener at den skisserte rollen til ombudet er god, og støtter forslaget om at ombudet skal gi veiledning og føre kontroll me</w:t>
      </w:r>
      <w:r>
        <w:t xml:space="preserve">d at myndighetene overholder sine </w:t>
      </w:r>
      <w:r>
        <w:lastRenderedPageBreak/>
        <w:t>forpli</w:t>
      </w:r>
      <w:r>
        <w:t>k</w:t>
      </w:r>
      <w:r>
        <w:t>telser. De er enig med departementet i at dialogbasert tilsyn er fornuftig og effektivt for å fremme likesti</w:t>
      </w:r>
      <w:r>
        <w:t>l</w:t>
      </w:r>
      <w:r>
        <w:t>ling. De er imidlertid likevel bekymret for om aktivitets- og redegjørelsesplikten vil få det tiltenkte gj</w:t>
      </w:r>
      <w:r>
        <w:t>e</w:t>
      </w:r>
      <w:r>
        <w:t>n</w:t>
      </w:r>
      <w:r>
        <w:t>nomslag uten at det finnes noen mulighet for sanksjonering. De presiserer videre:</w:t>
      </w:r>
    </w:p>
    <w:p w:rsidR="00000000" w:rsidRDefault="00D718D0" w:rsidP="00BA3E8B">
      <w:pPr>
        <w:pStyle w:val="blokksit"/>
      </w:pPr>
      <w:r>
        <w:t>«…selv om aktivt likestillingsarbeid er svært viktig av mange årsaker, er det rimelig å anta at mange arbeidsgivere av ressurshensyn vil prioritere ned slikt arbeid og hell</w:t>
      </w:r>
      <w:r>
        <w:t>er prioritere oppfø</w:t>
      </w:r>
      <w:r>
        <w:t>l</w:t>
      </w:r>
      <w:r>
        <w:t>ging av rege</w:t>
      </w:r>
      <w:r>
        <w:t>l</w:t>
      </w:r>
      <w:r>
        <w:t>verk som blir direkte sanksjonert.»</w:t>
      </w:r>
    </w:p>
    <w:p w:rsidR="00000000" w:rsidRPr="009445FD" w:rsidRDefault="00D718D0" w:rsidP="00BA3E8B">
      <w:pPr>
        <w:rPr>
          <w:rStyle w:val="kursiv"/>
        </w:rPr>
      </w:pPr>
      <w:r>
        <w:rPr>
          <w:rStyle w:val="kursiv"/>
          <w:sz w:val="21"/>
          <w:szCs w:val="21"/>
        </w:rPr>
        <w:t>Advokatforeningen</w:t>
      </w:r>
      <w:r>
        <w:t xml:space="preserve"> viser til at ansvaret for veiledning og kontroll/tilsyn er av svært ulik karakter, og mener at det prinsipielt kan stilles spørsmål ved om ombudet bør ha kontrollmyndigh</w:t>
      </w:r>
      <w:r>
        <w:t xml:space="preserve">et. </w:t>
      </w:r>
      <w:r>
        <w:rPr>
          <w:rStyle w:val="kursiv"/>
          <w:sz w:val="21"/>
          <w:szCs w:val="21"/>
        </w:rPr>
        <w:t>Adv</w:t>
      </w:r>
      <w:r>
        <w:rPr>
          <w:rStyle w:val="kursiv"/>
          <w:sz w:val="21"/>
          <w:szCs w:val="21"/>
        </w:rPr>
        <w:t>o</w:t>
      </w:r>
      <w:r>
        <w:rPr>
          <w:rStyle w:val="kursiv"/>
          <w:sz w:val="21"/>
          <w:szCs w:val="21"/>
        </w:rPr>
        <w:t>katforeningen</w:t>
      </w:r>
      <w:r>
        <w:t xml:space="preserve"> b</w:t>
      </w:r>
      <w:r>
        <w:t>e</w:t>
      </w:r>
      <w:r>
        <w:t xml:space="preserve">merker imidlertid at ombudet tidligere har hatt slik myndighet og at spørsmålet i denne saken egentlig dreier seg om en utvidelse ombudets myndighet. </w:t>
      </w:r>
      <w:r>
        <w:rPr>
          <w:rStyle w:val="kursiv"/>
          <w:sz w:val="21"/>
          <w:szCs w:val="21"/>
        </w:rPr>
        <w:t xml:space="preserve">Advokatforeningen </w:t>
      </w:r>
      <w:r>
        <w:t>mener at begrepsbruken i diskrim</w:t>
      </w:r>
      <w:r>
        <w:t>i</w:t>
      </w:r>
      <w:r>
        <w:t>neringsombudsloven § 5 bør tyde</w:t>
      </w:r>
      <w:r>
        <w:t xml:space="preserve">liggjøres, og viser til at det dels tales om «tilsyn» og dels om «kontroll» i denne bestemmelsen. </w:t>
      </w:r>
      <w:r>
        <w:rPr>
          <w:rStyle w:val="kursiv"/>
          <w:sz w:val="21"/>
          <w:szCs w:val="21"/>
        </w:rPr>
        <w:t>Advokatforeningen</w:t>
      </w:r>
      <w:r>
        <w:t xml:space="preserve"> mener videre at det bør avklares hva som ligger i ombudets kontrollmyndighet og at denne kompetansen er så sentral at den bør tydeligere for</w:t>
      </w:r>
      <w:r>
        <w:t>ankres i loven.</w:t>
      </w:r>
    </w:p>
    <w:p w:rsidR="00000000" w:rsidRPr="009445FD" w:rsidRDefault="00D718D0" w:rsidP="00BA3E8B">
      <w:pPr>
        <w:rPr>
          <w:rStyle w:val="kursiv"/>
        </w:rPr>
      </w:pPr>
      <w:r>
        <w:rPr>
          <w:rStyle w:val="kursiv"/>
          <w:sz w:val="21"/>
          <w:szCs w:val="21"/>
        </w:rPr>
        <w:t xml:space="preserve">Diskrimineringsnemnda </w:t>
      </w:r>
      <w:r>
        <w:t xml:space="preserve">støtter forslaget om å videreføre ombudets rolle som pådriver- og veileder på dette feltet. </w:t>
      </w:r>
      <w:r>
        <w:rPr>
          <w:rStyle w:val="kursiv"/>
          <w:sz w:val="21"/>
          <w:szCs w:val="21"/>
        </w:rPr>
        <w:t xml:space="preserve">Nemnda </w:t>
      </w:r>
      <w:r>
        <w:t>mener imidlertid at det er uheldig hvis ombudet både skal veilede (være pådriver) og kon</w:t>
      </w:r>
      <w:r>
        <w:t>t</w:t>
      </w:r>
      <w:r>
        <w:t>rollere (håndheve) aktivitets-</w:t>
      </w:r>
      <w:r>
        <w:t xml:space="preserve"> og redegjørelsesplikten. </w:t>
      </w:r>
      <w:r>
        <w:rPr>
          <w:rStyle w:val="kursiv"/>
          <w:sz w:val="21"/>
          <w:szCs w:val="21"/>
        </w:rPr>
        <w:t>Nemnda</w:t>
      </w:r>
      <w:r>
        <w:t xml:space="preserve"> viser til at en slik dobbeltrolle vil være u</w:t>
      </w:r>
      <w:r>
        <w:t>t</w:t>
      </w:r>
      <w:r>
        <w:t>fordrende både for partene som omfattes av reguleringen og for ombudet selv. De mener også at:</w:t>
      </w:r>
    </w:p>
    <w:p w:rsidR="00000000" w:rsidRDefault="00D718D0" w:rsidP="00BA3E8B">
      <w:pPr>
        <w:pStyle w:val="blokksit"/>
      </w:pPr>
      <w:r>
        <w:t>«…partene vil kunne ha betenkeligheter med å be om veiledning fra ombudet når opply</w:t>
      </w:r>
      <w:r>
        <w:t>sningene som deles kan føre til kontrolltiltak fra det samme organet. Dette kan også medføre svekket tillit til omb</w:t>
      </w:r>
      <w:r>
        <w:t>u</w:t>
      </w:r>
      <w:r>
        <w:t>dets objektivitet, upartiskhet og nøytralitet.»</w:t>
      </w:r>
    </w:p>
    <w:p w:rsidR="00000000" w:rsidRPr="009445FD" w:rsidRDefault="00D718D0" w:rsidP="00BA3E8B">
      <w:pPr>
        <w:rPr>
          <w:rStyle w:val="kursiv"/>
        </w:rPr>
      </w:pPr>
      <w:r>
        <w:rPr>
          <w:rStyle w:val="kursiv"/>
          <w:sz w:val="21"/>
          <w:szCs w:val="21"/>
        </w:rPr>
        <w:t>Diskrimineringsnemnda</w:t>
      </w:r>
      <w:r>
        <w:t xml:space="preserve"> viser til at det at veiledning og kontroll skilles fra hverandre, sams</w:t>
      </w:r>
      <w:r>
        <w:t xml:space="preserve">varer med den organiseringen og rollefordelingen som nylig er iverksatt mellom ombudet og nemnda. </w:t>
      </w:r>
      <w:r>
        <w:rPr>
          <w:rStyle w:val="kursiv"/>
          <w:sz w:val="21"/>
          <w:szCs w:val="21"/>
        </w:rPr>
        <w:t>Diskriminering</w:t>
      </w:r>
      <w:r>
        <w:rPr>
          <w:rStyle w:val="kursiv"/>
          <w:sz w:val="21"/>
          <w:szCs w:val="21"/>
        </w:rPr>
        <w:t>s</w:t>
      </w:r>
      <w:r>
        <w:rPr>
          <w:rStyle w:val="kursiv"/>
          <w:sz w:val="21"/>
          <w:szCs w:val="21"/>
        </w:rPr>
        <w:t xml:space="preserve">nemnda </w:t>
      </w:r>
      <w:r>
        <w:t>mener at ansvaret for håndhevingen bør deles, slik at nemnda håndhever brudd på aktivitet</w:t>
      </w:r>
      <w:r>
        <w:t>s</w:t>
      </w:r>
      <w:r>
        <w:t xml:space="preserve">plikten for arbeidsgivere i likestillings- og </w:t>
      </w:r>
      <w:r>
        <w:t>diskrimineringsloven § 13 sjette ledd (plikt å forebygge og forhindre trakassering og seksuell trakassering), og Arbeidstilsynet håndhever saker om brudd på de øvrige bestemmelsene om aktivitets- og redegjørelsesplikten.</w:t>
      </w:r>
    </w:p>
    <w:p w:rsidR="00000000" w:rsidRDefault="00D718D0" w:rsidP="00BA3E8B">
      <w:r>
        <w:t>De aller fleste høringsinstansene s</w:t>
      </w:r>
      <w:r>
        <w:t>om har uttalt seg om håndheving av pliktene, mener at di</w:t>
      </w:r>
      <w:r>
        <w:t>s</w:t>
      </w:r>
      <w:r>
        <w:t>krimin</w:t>
      </w:r>
      <w:r>
        <w:t>e</w:t>
      </w:r>
      <w:r>
        <w:t>ring</w:t>
      </w:r>
      <w:r>
        <w:t>s</w:t>
      </w:r>
      <w:r>
        <w:t>nemnda, for å sikre etterlevelsen av regelverket, skal håndheve aktivitets- og red</w:t>
      </w:r>
      <w:r>
        <w:t>e</w:t>
      </w:r>
      <w:r>
        <w:t>gjørelsesplikten, eller (mer spesifikt) at nemndas myndighet til å håndheve bestemmelsen om arbeidsgiver</w:t>
      </w:r>
      <w:r>
        <w:t>s redegjøre</w:t>
      </w:r>
      <w:r>
        <w:t>l</w:t>
      </w:r>
      <w:r>
        <w:t xml:space="preserve">sesplikt videreføres. </w:t>
      </w:r>
      <w:r>
        <w:rPr>
          <w:rStyle w:val="kursiv"/>
          <w:sz w:val="21"/>
          <w:szCs w:val="21"/>
        </w:rPr>
        <w:t>Ombudet</w:t>
      </w:r>
      <w:r>
        <w:t xml:space="preserve"> og </w:t>
      </w:r>
      <w:r>
        <w:rPr>
          <w:rStyle w:val="kursiv"/>
          <w:sz w:val="21"/>
          <w:szCs w:val="21"/>
        </w:rPr>
        <w:t>Fagforbundet</w:t>
      </w:r>
      <w:r>
        <w:t xml:space="preserve"> mener for eksempel at arbeidsgivers redegjørelsesplikt bør håndheves av nemnda, og presiserer at det også bør være sanksjonsmuligheter, herunder en mulighet til å ilegge tvangsmulkt ved mangelfull o</w:t>
      </w:r>
      <w:r>
        <w:t>ppfyllelse av pliktene.</w:t>
      </w:r>
    </w:p>
    <w:p w:rsidR="00000000" w:rsidRPr="009445FD" w:rsidRDefault="00D718D0" w:rsidP="00BA3E8B">
      <w:pPr>
        <w:rPr>
          <w:rStyle w:val="halvfet"/>
        </w:rPr>
      </w:pPr>
      <w:r>
        <w:rPr>
          <w:rStyle w:val="kursiv"/>
          <w:sz w:val="21"/>
          <w:szCs w:val="21"/>
        </w:rPr>
        <w:t xml:space="preserve">Justis- og beredskapsdepartementet </w:t>
      </w:r>
      <w:r>
        <w:t>mener at innholdet den foreslåtte bestemmelsen i diskrimin</w:t>
      </w:r>
      <w:r>
        <w:t>e</w:t>
      </w:r>
      <w:r>
        <w:t>ring</w:t>
      </w:r>
      <w:r>
        <w:t>s</w:t>
      </w:r>
      <w:r>
        <w:t>o</w:t>
      </w:r>
      <w:r>
        <w:t>m</w:t>
      </w:r>
      <w:r>
        <w:t>budsloven § 5 fjerde ledd i liten grad er omtalt i høringsnotatet. De mener for eksempel at det er uklart hvordan «kontroll» eventu</w:t>
      </w:r>
      <w:r>
        <w:t>elt skiller seg fra en tradisjonell tilsynsfunksjon.</w:t>
      </w:r>
    </w:p>
    <w:p w:rsidR="00000000" w:rsidRDefault="00D718D0" w:rsidP="00BA3E8B">
      <w:pPr>
        <w:pStyle w:val="Overskrift3"/>
      </w:pPr>
      <w:r>
        <w:lastRenderedPageBreak/>
        <w:t>Departementets vurderinger</w:t>
      </w:r>
    </w:p>
    <w:p w:rsidR="00000000" w:rsidRDefault="00D718D0" w:rsidP="00BA3E8B">
      <w:pPr>
        <w:pStyle w:val="Overskrift4"/>
      </w:pPr>
      <w:r>
        <w:t>Likestillings- og diskrimineringsombudets veiledning og oppfølging</w:t>
      </w:r>
    </w:p>
    <w:p w:rsidR="00000000" w:rsidRDefault="00D718D0" w:rsidP="00BA3E8B">
      <w:r>
        <w:t>Departem</w:t>
      </w:r>
      <w:r>
        <w:t>entet opprettholder forslaget om at Likestillings- og diskrimineringsombudet skal veilede og kontrollere arbeidsgiveres, arbeidslivets organisasjoners og offentlige myndigheters oppfyllelse av aktiv</w:t>
      </w:r>
      <w:r>
        <w:t>i</w:t>
      </w:r>
      <w:r>
        <w:t>tets- og redegjørelsesplikten.</w:t>
      </w:r>
    </w:p>
    <w:p w:rsidR="00000000" w:rsidRDefault="00D718D0" w:rsidP="00BA3E8B">
      <w:r>
        <w:t xml:space="preserve">Departementet foreslår at </w:t>
      </w:r>
      <w:r>
        <w:t>begrepet «kontroll» erstattes med begrepet «oppfølging», uten at m</w:t>
      </w:r>
      <w:r>
        <w:t>e</w:t>
      </w:r>
      <w:r>
        <w:t>ning</w:t>
      </w:r>
      <w:r>
        <w:t>s</w:t>
      </w:r>
      <w:r>
        <w:t>innholdet endres. Begrepet oppfølging vil i motsetning til kontroll, indikerer en mykere innretning for kontroll-/og oppfølgingsoppgaven, noe også Skjeie-utvalget anbefalte som et utga</w:t>
      </w:r>
      <w:r>
        <w:t>ngspunkt for offentlige myndigheters tilsyn med aktivitetsplikten.</w:t>
      </w:r>
    </w:p>
    <w:p w:rsidR="00000000" w:rsidRDefault="00D718D0" w:rsidP="00BA3E8B">
      <w:r>
        <w:t>Departementets forslag innebærer at arbeidsgivere i de minste virksomhetene (under 20 ansatte) skal dok</w:t>
      </w:r>
      <w:r>
        <w:t>u</w:t>
      </w:r>
      <w:r>
        <w:t>mentere sitt likestillingsarbeid etter likestillings- og diskrimineringsloven § 26 fø</w:t>
      </w:r>
      <w:r>
        <w:t>rste ledd, jf. forslag til ny § 26 fjerde ledd første punktum i likestillings- og diskrimineringsloven. Departementet foreslår at denne dokumentasjonsplikten også skal omfattes av ombudets op</w:t>
      </w:r>
      <w:r>
        <w:t>p</w:t>
      </w:r>
      <w:r>
        <w:t>følging.</w:t>
      </w:r>
    </w:p>
    <w:p w:rsidR="00000000" w:rsidRDefault="00D718D0" w:rsidP="00BA3E8B">
      <w:r>
        <w:t>Departementet opprettholder videre forslaget om at ombu</w:t>
      </w:r>
      <w:r>
        <w:t>det skal veilede og følge opp red</w:t>
      </w:r>
      <w:r>
        <w:t>e</w:t>
      </w:r>
      <w:r>
        <w:t>gjørelse</w:t>
      </w:r>
      <w:r>
        <w:t>s</w:t>
      </w:r>
      <w:r>
        <w:t>plikten om likestilling etter regnskapsloven § 3–3 c. Denne redegjørelsesplikten vil bare gjelde for store regnskap</w:t>
      </w:r>
      <w:r>
        <w:t>s</w:t>
      </w:r>
      <w:r>
        <w:t>pliktige foretak.</w:t>
      </w:r>
    </w:p>
    <w:p w:rsidR="00000000" w:rsidRDefault="00D718D0" w:rsidP="00BA3E8B">
      <w:pPr>
        <w:pStyle w:val="Undertittel"/>
      </w:pPr>
      <w:r>
        <w:t>Hva innebærer oppfølging av aktivitets- og redegjørelsesplikten</w:t>
      </w:r>
    </w:p>
    <w:p w:rsidR="00000000" w:rsidRDefault="00D718D0" w:rsidP="00BA3E8B">
      <w:r>
        <w:t>Formålet med en</w:t>
      </w:r>
      <w:r>
        <w:t xml:space="preserve"> oppfølging av aktivitets- og redegjørelsesplikten er først og fremst å sikre at virksomh</w:t>
      </w:r>
      <w:r>
        <w:t>e</w:t>
      </w:r>
      <w:r>
        <w:t>tene faktisk jobber med likestilling. Formålet er videre å heve kvaliteten i virkso</w:t>
      </w:r>
      <w:r>
        <w:t>m</w:t>
      </w:r>
      <w:r>
        <w:t>hetenes likestillingsa</w:t>
      </w:r>
      <w:r>
        <w:t>r</w:t>
      </w:r>
      <w:r>
        <w:t xml:space="preserve">beid. I tillegg har oppfølgingen også en kontrollfunksjon, </w:t>
      </w:r>
      <w:r>
        <w:t>ved at ombudet, dersom virksomheten ikke overholder sine forpliktelser, kan bringe en sak om brudd på a</w:t>
      </w:r>
      <w:r>
        <w:t>r</w:t>
      </w:r>
      <w:r>
        <w:t>beidsgivers redegjørelsesplikt inn for Diskrimineringsnemnda til behandling, jf. diskrimin</w:t>
      </w:r>
      <w:r>
        <w:t>e</w:t>
      </w:r>
      <w:r>
        <w:t>ringsombudsloven § 8.</w:t>
      </w:r>
    </w:p>
    <w:p w:rsidR="00000000" w:rsidRDefault="00D718D0" w:rsidP="00BA3E8B">
      <w:r>
        <w:t>Veiledningsrollen er en videreføring av</w:t>
      </w:r>
      <w:r>
        <w:t xml:space="preserve"> gjeldende rett, jf. diskrimineringsombudsloven § 5, jf. Prop. 80 L (2016–2017). Dette innebærer at ombudet, som i dag, selv skal vurdere hvordan den vil gje</w:t>
      </w:r>
      <w:r>
        <w:t>n</w:t>
      </w:r>
      <w:r>
        <w:t>nomføre veile</w:t>
      </w:r>
      <w:r>
        <w:t>d</w:t>
      </w:r>
      <w:r>
        <w:t>ningen. Ombudet vil f. eks. kunne gi opplæring i lovens krav om aktivt likestillings</w:t>
      </w:r>
      <w:r>
        <w:t>arbeid og om redegjøre</w:t>
      </w:r>
      <w:r>
        <w:t>l</w:t>
      </w:r>
      <w:r>
        <w:t>sesplikten. Ombudet vil også kunne bistå arbeidsgivere med å identifisere likestillingsu</w:t>
      </w:r>
      <w:r>
        <w:t>t</w:t>
      </w:r>
      <w:r>
        <w:t>fordringer og å iverksette relevante tiltak. Ombudet kan også gi ve</w:t>
      </w:r>
      <w:r>
        <w:t>i</w:t>
      </w:r>
      <w:r>
        <w:t>ledning om utarbeidelse av rutiner og retningslinjer, samt gi veiledning ved</w:t>
      </w:r>
      <w:r>
        <w:t xml:space="preserve"> håndtering av avvik i virksomheter. Formålet med ombudets veile</w:t>
      </w:r>
      <w:r>
        <w:t>d</w:t>
      </w:r>
      <w:r>
        <w:t>ningsarbeid er å formidle kunnskap, gi støtte og bidra til kompetanseutvikling.</w:t>
      </w:r>
    </w:p>
    <w:p w:rsidR="00000000" w:rsidRDefault="00D718D0" w:rsidP="00BA3E8B">
      <w:r>
        <w:t>Med «oppfølging» av aktivitetsplikten menes at ombudet og arbeidsgiver i den aktuelle vir</w:t>
      </w:r>
      <w:r>
        <w:t>k</w:t>
      </w:r>
      <w:r>
        <w:t>somheten skal lage en</w:t>
      </w:r>
      <w:r>
        <w:t xml:space="preserve"> felles tilnærming til hvordan aktivitetsplikten i den aktuelle virksomheten følges opp. Med felles tilnæ</w:t>
      </w:r>
      <w:r>
        <w:t>r</w:t>
      </w:r>
      <w:r>
        <w:t>ming menes at ombudet og arbeidsgiver utarbeider en felles pr</w:t>
      </w:r>
      <w:r>
        <w:t>o</w:t>
      </w:r>
      <w:r>
        <w:t>blemforståe</w:t>
      </w:r>
      <w:r>
        <w:t>l</w:t>
      </w:r>
      <w:r>
        <w:t>se/utfordringsbilde for vir</w:t>
      </w:r>
      <w:r>
        <w:t>k</w:t>
      </w:r>
      <w:r>
        <w:t xml:space="preserve">somheten, og lager en overordnet fremdriftsplan </w:t>
      </w:r>
      <w:r>
        <w:t>for hvordan dette kan følges opp. Formålet med dette er at ombudet, gjennom oppfølging av utvalgte virksomheter eller bransjer, kan bistå arbeidsgivere med å ident</w:t>
      </w:r>
      <w:r>
        <w:t>i</w:t>
      </w:r>
      <w:r>
        <w:t>fisere likestillingsutfordringer og å vurdere hvilke tiltak som kan være aktuelle i virksomh</w:t>
      </w:r>
      <w:r>
        <w:t>eten. En gje</w:t>
      </w:r>
      <w:r>
        <w:t>n</w:t>
      </w:r>
      <w:r>
        <w:t xml:space="preserve">nomgang (oppfølging) av dokumentasjonsplikten vil bidra til at denne oppgaven utføres. Ombudet skal, på eget initiativ, </w:t>
      </w:r>
      <w:r>
        <w:lastRenderedPageBreak/>
        <w:t>følge opp at årsberetningen/likestillingsredegjørelsen i et annet offentlig dokument tilfredsstiller lovens krav. Ombudet s</w:t>
      </w:r>
      <w:r>
        <w:t>kal følge opp at virksomhetene faktisk har en redegjørelse for likestilling, og at in</w:t>
      </w:r>
      <w:r>
        <w:t>n</w:t>
      </w:r>
      <w:r>
        <w:t>holdet i redegjørelsen oppfyller lovens krav.</w:t>
      </w:r>
    </w:p>
    <w:p w:rsidR="00000000" w:rsidRDefault="00D718D0" w:rsidP="00BA3E8B">
      <w:r>
        <w:t>Med «oppfølging» av redegjørelsesplikten menes at ombudet skal gjennomgå likestillingsred</w:t>
      </w:r>
      <w:r>
        <w:t>e</w:t>
      </w:r>
      <w:r>
        <w:t>gjøre</w:t>
      </w:r>
      <w:r>
        <w:t>l</w:t>
      </w:r>
      <w:r>
        <w:t>sene og vurdere disse. Ombud</w:t>
      </w:r>
      <w:r>
        <w:t>et skal analysere funnene, og komme med forslag til fo</w:t>
      </w:r>
      <w:r>
        <w:t>r</w:t>
      </w:r>
      <w:r>
        <w:t>bedringstiltak og styrket innsats på likestillingsarbeid, jf. Skjeie-utvalgets anbefaling om op</w:t>
      </w:r>
      <w:r>
        <w:t>p</w:t>
      </w:r>
      <w:r>
        <w:t>gaver for et nytt direktorat for likestilling i NOU 2011: 18 kapittel 6.2.3. Ombudet skal gje</w:t>
      </w:r>
      <w:r>
        <w:t>n</w:t>
      </w:r>
      <w:r>
        <w:t>nomføre opp</w:t>
      </w:r>
      <w:r>
        <w:t>følgingen på en måte som bidrar til virksomhetenes utviklings- og kvalitetsforbe</w:t>
      </w:r>
      <w:r>
        <w:t>d</w:t>
      </w:r>
      <w:r>
        <w:t>ringsarbeid og støtter dynamisk næringslivsutvikling.</w:t>
      </w:r>
    </w:p>
    <w:p w:rsidR="00000000" w:rsidRDefault="00D718D0" w:rsidP="00BA3E8B">
      <w:pPr>
        <w:pStyle w:val="Undertittel"/>
      </w:pPr>
      <w:r>
        <w:t>Oppfølging skiller seg fra tilsyn</w:t>
      </w:r>
    </w:p>
    <w:p w:rsidR="00000000" w:rsidRDefault="00D718D0" w:rsidP="00BA3E8B">
      <w:r>
        <w:t xml:space="preserve">Diskrimineringsnemnda og Advokatforeningen har begge stilt spørsmål ved om et og samme </w:t>
      </w:r>
      <w:r>
        <w:t>organ bør gi veiledning om aktivitets- og redegjørelsesplikten og kontrollere oppfyllelsen av disse. Diskriminering</w:t>
      </w:r>
      <w:r>
        <w:t>s</w:t>
      </w:r>
      <w:r>
        <w:t>nemnda er kritisk til forslaget og viser blant annet til et behov for å sikre objektivitet og upartiskhet i lo</w:t>
      </w:r>
      <w:r>
        <w:t>v</w:t>
      </w:r>
      <w:r>
        <w:t>håndheving, og til en uheldig</w:t>
      </w:r>
      <w:r>
        <w:t xml:space="preserve"> sammenblanding av ombudets roller.</w:t>
      </w:r>
    </w:p>
    <w:p w:rsidR="00000000" w:rsidRDefault="00D718D0" w:rsidP="00BA3E8B">
      <w:r>
        <w:t>Departementet er ikke enig med Diskrimineringsnemnda og viser til at ombudets rolle skiller seg fra en tr</w:t>
      </w:r>
      <w:r>
        <w:t>a</w:t>
      </w:r>
      <w:r>
        <w:t>disjonell tilsynsfunksjon i det at ombudet bl.a. ikke skal fatte forvaltningsvedtak eller pålegge san</w:t>
      </w:r>
      <w:r>
        <w:t>k</w:t>
      </w:r>
      <w:r>
        <w:t>sjoner ved e</w:t>
      </w:r>
      <w:r>
        <w:t>ventuelle brudd på pliktene. Departementet viser videre til at forholdet mellom kontroll med oppfyllelse av lovpålagte krav og veiledning utført i forbindelse med tilsyn har blitt drøftet bl.a. i Tilsyn</w:t>
      </w:r>
      <w:r>
        <w:t>s</w:t>
      </w:r>
      <w:r>
        <w:t>utvalgets utredning NOU 2004: 17 Statlig tilsyn med k</w:t>
      </w:r>
      <w:r>
        <w:t>ommun</w:t>
      </w:r>
      <w:r>
        <w:t>e</w:t>
      </w:r>
      <w:r>
        <w:t>sektoren og forarbeidene til kommuneloven (Ot.prp. nr. 97 (2005–2006), jf. også Tilsynsme</w:t>
      </w:r>
      <w:r>
        <w:t>l</w:t>
      </w:r>
      <w:r>
        <w:t>dingen (St.meld. nr. 17 (2002–2003)).</w:t>
      </w:r>
    </w:p>
    <w:p w:rsidR="00000000" w:rsidRDefault="00D718D0" w:rsidP="00BA3E8B">
      <w:r>
        <w:t>Direktoratet for forvaltning og IKT (Difi) har også gjennomført en kartlegging av Fylkesma</w:t>
      </w:r>
      <w:r>
        <w:t>n</w:t>
      </w:r>
      <w:r>
        <w:t>nens tilsyn med kommuner, og vu</w:t>
      </w:r>
      <w:r>
        <w:t>rdert hvordan tilsyn har utviklet seg, jf. Difi-notat 2015:3. Difi konkluderer bl.a. med at et av de viktigste utviklingstrekkene med tilsyn med kommuner er at det utvikles metoder for læring</w:t>
      </w:r>
      <w:r>
        <w:t>s</w:t>
      </w:r>
      <w:r>
        <w:t xml:space="preserve">basert tilsyn på alle fagområder og at det utvikles metoder for </w:t>
      </w:r>
      <w:r>
        <w:t>å gi veiledning om regelverk før og etter tilsynet. Forskning (Engestrøm 1995, jf. også Fintland, Østebo og Braut 2017) tyder videre på at tilsyn</w:t>
      </w:r>
      <w:r>
        <w:t>s</w:t>
      </w:r>
      <w:r>
        <w:t>modeller som oppleves som dialogbaserte av deltagerne og som er basert på involvering, stimulerer til læring o</w:t>
      </w:r>
      <w:r>
        <w:t>g faglig refleksjon.</w:t>
      </w:r>
    </w:p>
    <w:p w:rsidR="00000000" w:rsidRDefault="00D718D0" w:rsidP="00BA3E8B">
      <w:r>
        <w:t>Departementets forslag innebærer ikke sanksjonering av eventuelle brudd på aktivitetspliktene. D</w:t>
      </w:r>
      <w:r>
        <w:t>e</w:t>
      </w:r>
      <w:r>
        <w:t>partementet mener derfor at den økte involveringen av pliktsubjektet og dialogpreget ti</w:t>
      </w:r>
      <w:r>
        <w:t>l</w:t>
      </w:r>
      <w:r>
        <w:t>nærming i veile</w:t>
      </w:r>
      <w:r>
        <w:t>d</w:t>
      </w:r>
      <w:r>
        <w:t>ning, utforming av felles forståel</w:t>
      </w:r>
      <w:r>
        <w:t>se av tilstand, utfordringer og mulige løsninger, derfor ikke kommer i konflikt med ombudets oppfølging. Departementet vil med dette legge frem et forslag som i størst mulig grad bidrar til kvalitetsu</w:t>
      </w:r>
      <w:r>
        <w:t>t</w:t>
      </w:r>
      <w:r>
        <w:t>vikling i pliktsubjektenes arbeid med l</w:t>
      </w:r>
      <w:r>
        <w:t>i</w:t>
      </w:r>
      <w:r>
        <w:t>kestilling.</w:t>
      </w:r>
    </w:p>
    <w:p w:rsidR="00000000" w:rsidRDefault="00D718D0" w:rsidP="00BA3E8B">
      <w:r>
        <w:t>Departementet viser også til Stortingsmelding om statlige tilsyn (St.meld. nr. 17 (2002–2003), der u</w:t>
      </w:r>
      <w:r>
        <w:t>t</w:t>
      </w:r>
      <w:r>
        <w:t>fordringer ved ulike tilsynsorganiseringer ble vurdert. Selv om ombudets oppfølging skiller seg fra et tradisjonelt tilsyn, kan det trekkes noen parallelle</w:t>
      </w:r>
      <w:r>
        <w:t>r mellom disse to funksjonene. I Stortingsmeldingen ble det blant annet uttalt at statlige tilsyn ikke bør oppfatte sin rolle:</w:t>
      </w:r>
    </w:p>
    <w:p w:rsidR="00000000" w:rsidRDefault="00D718D0" w:rsidP="00BA3E8B">
      <w:pPr>
        <w:pStyle w:val="blokksit"/>
      </w:pPr>
      <w:r>
        <w:lastRenderedPageBreak/>
        <w:t>«…som en fjern og opphøyet instans som kun skal vurdere om avvik fra regelverket foreligger eller ikke. Tilsynene bør ikke nøye s</w:t>
      </w:r>
      <w:r>
        <w:t>eg med en påpekning av at et gitt forhold ikke er i ove</w:t>
      </w:r>
      <w:r>
        <w:t>r</w:t>
      </w:r>
      <w:r>
        <w:t>ensstemmelse med regelverket. Tilsynene bør i sin tilnærming til sakene tilstrebe å være lø</w:t>
      </w:r>
      <w:r>
        <w:t>s</w:t>
      </w:r>
      <w:r>
        <w:t>ningsorienterte ved å komme med forslag til hvordan en virksomhet kan finne en løsning som er i overensstemm</w:t>
      </w:r>
      <w:r>
        <w:t>else med regelverkets krav. Dette stiller nye krav til tilsynenes kompetanse.»</w:t>
      </w:r>
    </w:p>
    <w:p w:rsidR="00000000" w:rsidRDefault="00D718D0" w:rsidP="00BA3E8B">
      <w:pPr>
        <w:pStyle w:val="Undertittel"/>
      </w:pPr>
      <w:r>
        <w:t>Forholdet til forvaltningsloven</w:t>
      </w:r>
    </w:p>
    <w:p w:rsidR="00000000" w:rsidRDefault="00D718D0" w:rsidP="00BA3E8B">
      <w:r>
        <w:t>Ombudets oppfølgingsfunksjon skiller seg fra en tradisjonell tilsynsfunksjon ved at ombudet ikke er gitt myndighet til å ilegge sanksjoner ved ev</w:t>
      </w:r>
      <w:r>
        <w:t>entuelle brudd på pliktene.</w:t>
      </w:r>
    </w:p>
    <w:p w:rsidR="00000000" w:rsidRDefault="00D718D0" w:rsidP="00BA3E8B">
      <w:r>
        <w:t>Det fremgår av diskrimineringsombudsloven § 2 at forvaltningsloven gjelder for ombudets virkso</w:t>
      </w:r>
      <w:r>
        <w:t>m</w:t>
      </w:r>
      <w:r>
        <w:t>het, de</w:t>
      </w:r>
      <w:r>
        <w:t>r</w:t>
      </w:r>
      <w:r>
        <w:t>som ikke annet er bestemt. Ombudets oppfølging, herunder eventuelle anbef</w:t>
      </w:r>
      <w:r>
        <w:t>a</w:t>
      </w:r>
      <w:r>
        <w:t>linger om forbe</w:t>
      </w:r>
      <w:r>
        <w:t>d</w:t>
      </w:r>
      <w:r>
        <w:t>ringstiltak etter en gjennomgang av</w:t>
      </w:r>
      <w:r>
        <w:t xml:space="preserve"> likestillingsredegjørelsen, vil ikke være et enkeltvedtak i forval</w:t>
      </w:r>
      <w:r>
        <w:t>t</w:t>
      </w:r>
      <w:r>
        <w:t>ningslovens forstand. Det vil således ikke være adgang til å klage på gjennomført oppfølging eller omb</w:t>
      </w:r>
      <w:r>
        <w:t>u</w:t>
      </w:r>
      <w:r>
        <w:t>dets forslag til forbedringstiltak.</w:t>
      </w:r>
    </w:p>
    <w:p w:rsidR="00000000" w:rsidRDefault="00D718D0" w:rsidP="00BA3E8B">
      <w:r>
        <w:t>Ombudet skal heller ikke fatte forvaltningsvedtak</w:t>
      </w:r>
      <w:r>
        <w:t>, gi pålegg eller ilegge tvangsmulkt, eller andre sanksjoner, i forbindelse med oppfølgingen.</w:t>
      </w:r>
    </w:p>
    <w:p w:rsidR="00000000" w:rsidRDefault="00D718D0" w:rsidP="00BA3E8B">
      <w:pPr>
        <w:pStyle w:val="Undertittel"/>
      </w:pPr>
      <w:r>
        <w:t>Ombudets rett til å gjennomføre oppfølgingsbesøk og rett til innsyn</w:t>
      </w:r>
    </w:p>
    <w:p w:rsidR="00000000" w:rsidRDefault="00D718D0" w:rsidP="00BA3E8B">
      <w:r>
        <w:t>I likhet med Justis- og beredskapsdepartementet og Advokatforeningen, mener departementet at o</w:t>
      </w:r>
      <w:r>
        <w:t>mb</w:t>
      </w:r>
      <w:r>
        <w:t>u</w:t>
      </w:r>
      <w:r>
        <w:t>dets nye oppgave bør reguleres i lov.</w:t>
      </w:r>
    </w:p>
    <w:p w:rsidR="00000000" w:rsidRDefault="00D718D0" w:rsidP="00BA3E8B">
      <w:r>
        <w:t>Departementet foreslår derfor at ombudet skal gis en lovfestet rett til å gjennomføre oppfø</w:t>
      </w:r>
      <w:r>
        <w:t>l</w:t>
      </w:r>
      <w:r>
        <w:t>gingsbesøk i virksomhetene.</w:t>
      </w:r>
    </w:p>
    <w:p w:rsidR="00000000" w:rsidRDefault="00D718D0" w:rsidP="00BA3E8B">
      <w:r>
        <w:t xml:space="preserve">Departementet foreslår videre at ombudet skal gis rett til innsyn i den dokumentasjonen som er </w:t>
      </w:r>
      <w:r>
        <w:t>nø</w:t>
      </w:r>
      <w:r>
        <w:t>d</w:t>
      </w:r>
      <w:r>
        <w:t>vendig for oppfølgingen av aktivitets- og dokumentasjonsplikten, og at innsynsretten skal fremgå av loven. Innsyn skal gis innen rimelig tid. Fristen for fremleggelse av dokumentasjonen fastsettes av ombudet.</w:t>
      </w:r>
    </w:p>
    <w:p w:rsidR="00000000" w:rsidRDefault="00D718D0" w:rsidP="00BA3E8B">
      <w:pPr>
        <w:pStyle w:val="Overskrift4"/>
      </w:pPr>
      <w:r>
        <w:t>Diskrimineringsnemnda skal</w:t>
      </w:r>
      <w:r>
        <w:t xml:space="preserve"> håndheve arbeidsgivers redegjørelsesplikt</w:t>
      </w:r>
    </w:p>
    <w:p w:rsidR="00000000" w:rsidRDefault="00D718D0" w:rsidP="00BA3E8B">
      <w:r>
        <w:t>Departementet viderefører ikke forslag om at aktivitets- og redegjørelsesplikten ikke håndheves utover den veiledningsbaserte oppfølgingen som ombudet skal utføre.</w:t>
      </w:r>
    </w:p>
    <w:p w:rsidR="00000000" w:rsidRDefault="00D718D0" w:rsidP="00BA3E8B">
      <w:r>
        <w:t>Departementet foreslår at Diskrimineringsnemnda f</w:t>
      </w:r>
      <w:r>
        <w:t>remdeles skal håndheve bestemmelsen om a</w:t>
      </w:r>
      <w:r>
        <w:t>r</w:t>
      </w:r>
      <w:r>
        <w:t>beidsgivers, organisasjoners og utdanningsinstitusjoners plikt til å forebygge trakassering og seksuell trakassering etter likestillings- og diskrimineringsloven § 13.</w:t>
      </w:r>
    </w:p>
    <w:p w:rsidR="00000000" w:rsidRDefault="00D718D0" w:rsidP="00BA3E8B">
      <w:r>
        <w:t>Departementet foreslår videre at Diskriminering</w:t>
      </w:r>
      <w:r>
        <w:t>snemnda skal håndheve bestemmelsen om a</w:t>
      </w:r>
      <w:r>
        <w:t>r</w:t>
      </w:r>
      <w:r>
        <w:t>beid</w:t>
      </w:r>
      <w:r>
        <w:t>s</w:t>
      </w:r>
      <w:r>
        <w:t>givers redegjørelsesplikt etter likestillings- og diskrimineringsloven § 26 a, jf. diskrimin</w:t>
      </w:r>
      <w:r>
        <w:t>e</w:t>
      </w:r>
      <w:r>
        <w:t>ringsombudsl</w:t>
      </w:r>
      <w:r>
        <w:t>o</w:t>
      </w:r>
      <w:r>
        <w:t>ven § 7.</w:t>
      </w:r>
    </w:p>
    <w:p w:rsidR="00000000" w:rsidRDefault="00D718D0" w:rsidP="00BA3E8B">
      <w:r>
        <w:t>Diskrimineringsnemnda har myndighet til å fatte vedtak og pålegge retting/stansing, og andre til</w:t>
      </w:r>
      <w:r>
        <w:t>tak, for å sikre oppfyllelsen av redegjørelsesplikten. Nemnda kan sette en tidsfrist for op</w:t>
      </w:r>
      <w:r>
        <w:t>p</w:t>
      </w:r>
      <w:r>
        <w:t>fyllelsen av redegj</w:t>
      </w:r>
      <w:r>
        <w:t>ø</w:t>
      </w:r>
      <w:r>
        <w:t>relsesplikten. Videre har nemnda myndighet til treffe vedtak om tvangsmulkt dersom det foreligger brudd på likestillings- og diskrimineringslove</w:t>
      </w:r>
      <w:r>
        <w:t>n § 26 a.</w:t>
      </w:r>
    </w:p>
    <w:p w:rsidR="00000000" w:rsidRDefault="00D718D0" w:rsidP="00BA3E8B">
      <w:r>
        <w:lastRenderedPageBreak/>
        <w:t>Diskrimineringsnemnda mener at ansvaret for lovhåndheving av aktivitets- og redegjørelse</w:t>
      </w:r>
      <w:r>
        <w:t>s</w:t>
      </w:r>
      <w:r>
        <w:t>plikten skal deles, slik at nemnda skal håndheve brudd på aktivitetsplikten for arbeidsgivere etter likestillings- og diskrimin</w:t>
      </w:r>
      <w:r>
        <w:t>e</w:t>
      </w:r>
      <w:r>
        <w:t>ringsloven § 13 sjette ledd o</w:t>
      </w:r>
      <w:r>
        <w:t>m arbeidsgivers plikt å forebygge og forhindre trakassering og seksuell traka</w:t>
      </w:r>
      <w:r>
        <w:t>s</w:t>
      </w:r>
      <w:r>
        <w:t>sering, og at Arbeidstilsynet skal håndheve de øvrige bestemmelsene om aktivitets- og redegjørelsesplikten. Departementet deler ikke Diskrimin</w:t>
      </w:r>
      <w:r>
        <w:t>e</w:t>
      </w:r>
      <w:r>
        <w:t>ringsnemndas syn på dette. Departem</w:t>
      </w:r>
      <w:r>
        <w:t>entet mener at det ikke er he</w:t>
      </w:r>
      <w:r>
        <w:t>n</w:t>
      </w:r>
      <w:r>
        <w:t>siktsmessig å involvere A</w:t>
      </w:r>
      <w:r>
        <w:t>r</w:t>
      </w:r>
      <w:r>
        <w:t>beidstilsynet i oppfølgingen av aktivitets- og redegj</w:t>
      </w:r>
      <w:r>
        <w:t>ø</w:t>
      </w:r>
      <w:r>
        <w:t>relsesplikten. Departementet viser også til at forslaget om å knytte plikten til virksomhetenes HMS-arbeid, og å legge tilsynsansvaret til A</w:t>
      </w:r>
      <w:r>
        <w:t>r</w:t>
      </w:r>
      <w:r>
        <w:t>beids</w:t>
      </w:r>
      <w:r>
        <w:t>tilsynet, møtte motstand da Graver-utvalgets utredning, jf. NOU 2009: 14, ble sendt på høring. Blant de høringsinstansene som gikk imot forslaget om å legge tilsynsansvaret til A</w:t>
      </w:r>
      <w:r>
        <w:t>r</w:t>
      </w:r>
      <w:r>
        <w:t>beidstilsynet var ASD og Arbeidstilsynet selv.</w:t>
      </w:r>
    </w:p>
    <w:p w:rsidR="00000000" w:rsidRDefault="00D718D0" w:rsidP="00BA3E8B">
      <w:r>
        <w:t>Departementet viderefører gjel</w:t>
      </w:r>
      <w:r>
        <w:t>dende rett, slik at Diskrimineringsnemnda skal håndheve lik</w:t>
      </w:r>
      <w:r>
        <w:t>e</w:t>
      </w:r>
      <w:r>
        <w:t>stillings og di</w:t>
      </w:r>
      <w:r>
        <w:t>s</w:t>
      </w:r>
      <w:r>
        <w:t>krimineringsloven § 13, sjette ledd. Det presiseres likevel at Diskriminering</w:t>
      </w:r>
      <w:r>
        <w:t>s</w:t>
      </w:r>
      <w:r>
        <w:t>nemnda ikke skal håndheve § 24 første ledd og § 26 første ledd, se kapitlene 3.5.3 og 3.10.1.</w:t>
      </w:r>
    </w:p>
    <w:p w:rsidR="00000000" w:rsidRDefault="00D718D0" w:rsidP="00BA3E8B">
      <w:r>
        <w:t>Departem</w:t>
      </w:r>
      <w:r>
        <w:t>entet viser også til direktiv om universell utforming av nettsteder og mobilapplik</w:t>
      </w:r>
      <w:r>
        <w:t>a</w:t>
      </w:r>
      <w:r>
        <w:t>sjoner (WAD), som stiller krav om at offentlige organer skal avgi en tilgjengelighetserklæring (en form for red</w:t>
      </w:r>
      <w:r>
        <w:t>e</w:t>
      </w:r>
      <w:r>
        <w:t>gjørelse</w:t>
      </w:r>
      <w:r>
        <w:t>s</w:t>
      </w:r>
      <w:r>
        <w:t>plikt). Direktivet stiller videre krav om at det ska</w:t>
      </w:r>
      <w:r>
        <w:t>l være et håndh</w:t>
      </w:r>
      <w:r>
        <w:t>e</w:t>
      </w:r>
      <w:r>
        <w:t>vingsorgan som behandler klager fra brukere over brudd på redegjørelsesplikten. EØS-retten utvikler seg derved i retning av at r</w:t>
      </w:r>
      <w:r>
        <w:t>e</w:t>
      </w:r>
      <w:r>
        <w:t>degjørelsesplikten skal håndheves slik at det sikres en kl</w:t>
      </w:r>
      <w:r>
        <w:t>a</w:t>
      </w:r>
      <w:r>
        <w:t>gemulighet for enkeltpersoner på diskrimin</w:t>
      </w:r>
      <w:r>
        <w:t>e</w:t>
      </w:r>
      <w:r>
        <w:t>ringsfelt</w:t>
      </w:r>
      <w:r>
        <w:t>et, og en effektiv behandling av klager. Departementet jobber for tiden med gjennomføringen av WAD direktivet i norsk rett.</w:t>
      </w:r>
    </w:p>
    <w:p w:rsidR="00000000" w:rsidRDefault="00D718D0" w:rsidP="00BA3E8B">
      <w:pPr>
        <w:pStyle w:val="Overskrift1"/>
      </w:pPr>
      <w:r>
        <w:t>Økonomiske og administrative konsekvenser</w:t>
      </w:r>
    </w:p>
    <w:p w:rsidR="00000000" w:rsidRDefault="00D718D0" w:rsidP="00BA3E8B">
      <w:pPr>
        <w:pStyle w:val="Overskrift2"/>
      </w:pPr>
      <w:r>
        <w:t>Innledning</w:t>
      </w:r>
    </w:p>
    <w:p w:rsidR="00000000" w:rsidRDefault="00D718D0" w:rsidP="00BA3E8B">
      <w:r>
        <w:t>De her foreslåtte endringene vil innebær</w:t>
      </w:r>
      <w:r>
        <w:t>e en merbelastning for Likestillings- og diskrimin</w:t>
      </w:r>
      <w:r>
        <w:t>e</w:t>
      </w:r>
      <w:r>
        <w:t>ringsombudet og Diskrimineringsnemnda. Diskrimineringsnemnda er lokalisert i Bergen, mens Likestillings- og di</w:t>
      </w:r>
      <w:r>
        <w:t>s</w:t>
      </w:r>
      <w:r>
        <w:t>krimineringsombudet er lokalisert i Oslo.</w:t>
      </w:r>
    </w:p>
    <w:p w:rsidR="00000000" w:rsidRDefault="00D718D0" w:rsidP="00BA3E8B">
      <w:r>
        <w:t>Departementet tar sikte på at lovforslagene skal tre</w:t>
      </w:r>
      <w:r>
        <w:t xml:space="preserve"> i kraft fra 1. januar 2020. Endringene vil medføre noe økt saksmengde både for ombud og nemnd. Departementet ser i utgangspunktet for seg at dette kan dekkes i</w:t>
      </w:r>
      <w:r>
        <w:t>n</w:t>
      </w:r>
      <w:r>
        <w:t>nenfor de til enhver tid gjeldende budsjettrammer, men vil følge u</w:t>
      </w:r>
      <w:r>
        <w:t>t</w:t>
      </w:r>
      <w:r>
        <w:t>viklingen nøye.</w:t>
      </w:r>
    </w:p>
    <w:p w:rsidR="00000000" w:rsidRDefault="00D718D0" w:rsidP="00BA3E8B">
      <w:pPr>
        <w:pStyle w:val="Overskrift3"/>
      </w:pPr>
      <w:r>
        <w:t>Etablere et lavterskeltilbud for behandling av saker om seksuell trakassering</w:t>
      </w:r>
    </w:p>
    <w:p w:rsidR="00000000" w:rsidRDefault="00D718D0" w:rsidP="00BA3E8B">
      <w:r>
        <w:t>Departementet foreslår å etablere et lavterskeltilbud for behandling av saker om seksuell tr</w:t>
      </w:r>
      <w:r>
        <w:t>a</w:t>
      </w:r>
      <w:r>
        <w:t xml:space="preserve">kassering. Formålet er at lovendringen skal virke preventivt og at færre blir utsatt </w:t>
      </w:r>
      <w:r>
        <w:t>for seksuell trakassering. Videre er det et mål å bidra til at flere som utsettes for seksuell trakassering får adekvat veiledning.</w:t>
      </w:r>
    </w:p>
    <w:p w:rsidR="00000000" w:rsidRDefault="00D718D0" w:rsidP="00BA3E8B">
      <w:r>
        <w:t>Departementet foreslår at Diskrimineringsnemnda skal gis myndighet til å håndheve forbudet mot seksuell trakassering i likes</w:t>
      </w:r>
      <w:r>
        <w:t>tillings- og diskrimineringsloven. Videre foreslås det å gi Di</w:t>
      </w:r>
      <w:r>
        <w:t>s</w:t>
      </w:r>
      <w:r>
        <w:t>kriminering</w:t>
      </w:r>
      <w:r>
        <w:t>s</w:t>
      </w:r>
      <w:r>
        <w:t>nemnda my</w:t>
      </w:r>
      <w:r>
        <w:t>n</w:t>
      </w:r>
      <w:r>
        <w:t>dighet til å ilegge oppreisning i saker innenfor arbeidslivet og ersta</w:t>
      </w:r>
      <w:r>
        <w:t>t</w:t>
      </w:r>
      <w:r>
        <w:lastRenderedPageBreak/>
        <w:t>ning i enkle saksforhold i saker om se</w:t>
      </w:r>
      <w:r>
        <w:t>k</w:t>
      </w:r>
      <w:r>
        <w:t>suell trakassering. Departementet foreslår med bakgrunn i det</w:t>
      </w:r>
      <w:r>
        <w:t>te å utvide antall avdelinger i nemnda fra tre til fire, og å styrke nemndas sekretariat. Det vises til omtale av budsjettmessige kons</w:t>
      </w:r>
      <w:r>
        <w:t>e</w:t>
      </w:r>
      <w:r>
        <w:t>kvenser for Diskrimin</w:t>
      </w:r>
      <w:r>
        <w:t>e</w:t>
      </w:r>
      <w:r>
        <w:t>ringsnemnda under punkt 4.3.3.</w:t>
      </w:r>
    </w:p>
    <w:p w:rsidR="00000000" w:rsidRDefault="00D718D0" w:rsidP="00BA3E8B">
      <w:r>
        <w:t>Departementet foreslår videre å legge til rette for et godt veiledni</w:t>
      </w:r>
      <w:r>
        <w:t>ngs- og hjelpetilbud til personer som utsettes for seksuell trakassering og foreslår derfor å styrke Likestillings- og diskrimin</w:t>
      </w:r>
      <w:r>
        <w:t>e</w:t>
      </w:r>
      <w:r>
        <w:t>ringsombudets veiledning</w:t>
      </w:r>
      <w:r>
        <w:t>s</w:t>
      </w:r>
      <w:r>
        <w:t>rolle. Det vises til omtale av budsjettmessige konsekvenser for Lik</w:t>
      </w:r>
      <w:r>
        <w:t>e</w:t>
      </w:r>
      <w:r>
        <w:t>stillings- og diskrimin</w:t>
      </w:r>
      <w:r>
        <w:t>e</w:t>
      </w:r>
      <w:r>
        <w:t>ringsombud</w:t>
      </w:r>
      <w:r>
        <w:t>et under punkt 4.3.2.1.</w:t>
      </w:r>
    </w:p>
    <w:p w:rsidR="00000000" w:rsidRDefault="00D718D0" w:rsidP="00BA3E8B">
      <w:r>
        <w:t>Forslagene vil ikke medføre vesentlige kostnader for privatpersoner, næringslivet, fylkesko</w:t>
      </w:r>
      <w:r>
        <w:t>m</w:t>
      </w:r>
      <w:r>
        <w:t>muner eller kommuner.</w:t>
      </w:r>
    </w:p>
    <w:p w:rsidR="00000000" w:rsidRDefault="00D718D0" w:rsidP="00BA3E8B">
      <w:pPr>
        <w:pStyle w:val="Overskrift3"/>
      </w:pPr>
      <w:r>
        <w:t>Styrke aktivitets- og redegjørelsesplikten</w:t>
      </w:r>
    </w:p>
    <w:p w:rsidR="00000000" w:rsidRDefault="00D718D0" w:rsidP="00BA3E8B">
      <w:r>
        <w:t>Departementet foreslår</w:t>
      </w:r>
      <w:r>
        <w:t xml:space="preserve"> endringer i offentlige myndigheters og arbeidsgiveres aktivitets- og redegjøre</w:t>
      </w:r>
      <w:r>
        <w:t>l</w:t>
      </w:r>
      <w:r>
        <w:t>sesplikt. Formålet med forslaget er å bidra til mer likestilling i samfunnet ved å bevare og styrke likesti</w:t>
      </w:r>
      <w:r>
        <w:t>l</w:t>
      </w:r>
      <w:r>
        <w:t>lings- og diskrimineringslovens regler om aktivt likestillingsarbeid</w:t>
      </w:r>
      <w:r>
        <w:t>.</w:t>
      </w:r>
    </w:p>
    <w:p w:rsidR="00000000" w:rsidRDefault="00D718D0" w:rsidP="00BA3E8B">
      <w:r>
        <w:t>I proposisjonen tematiseres aktivt likestillingsarbeid i form av tre alternative modeller:</w:t>
      </w:r>
    </w:p>
    <w:p w:rsidR="00000000" w:rsidRDefault="00D718D0" w:rsidP="00BA3E8B">
      <w:pPr>
        <w:pStyle w:val="Liste"/>
      </w:pPr>
      <w:r>
        <w:t>Modell 1 – Likestillingsarbeid som en del av virksomheters samfunnsansvar</w:t>
      </w:r>
    </w:p>
    <w:p w:rsidR="00000000" w:rsidRDefault="00D718D0" w:rsidP="00BA3E8B">
      <w:pPr>
        <w:pStyle w:val="Liste"/>
      </w:pPr>
      <w:r>
        <w:t>Modell 2 – Likestillingsarbeid som en del av HMS-arbeidet</w:t>
      </w:r>
    </w:p>
    <w:p w:rsidR="00000000" w:rsidRDefault="00D718D0" w:rsidP="00BA3E8B">
      <w:pPr>
        <w:pStyle w:val="Liste"/>
      </w:pPr>
      <w:r>
        <w:t>Modell 3 – Likestil</w:t>
      </w:r>
      <w:r>
        <w:t>lingsutvalg i virksomheter</w:t>
      </w:r>
    </w:p>
    <w:p w:rsidR="00000000" w:rsidRDefault="00D718D0" w:rsidP="00BA3E8B">
      <w:r>
        <w:t>Departementet foreslår endringer der aktivt likestillingsarbeid forstås som en del av virkso</w:t>
      </w:r>
      <w:r>
        <w:t>m</w:t>
      </w:r>
      <w:r>
        <w:t>heters sa</w:t>
      </w:r>
      <w:r>
        <w:t>m</w:t>
      </w:r>
      <w:r>
        <w:t>funnsansvar. Det vises til omtalen av budsjettmessige konsekvenser for Likestillings- og diskrimin</w:t>
      </w:r>
      <w:r>
        <w:t>e</w:t>
      </w:r>
      <w:r>
        <w:t>ringsombudet i punkt 4.3.2.</w:t>
      </w:r>
      <w:r>
        <w:t>2.</w:t>
      </w:r>
    </w:p>
    <w:p w:rsidR="00000000" w:rsidRDefault="00D718D0" w:rsidP="00BA3E8B">
      <w:r>
        <w:t>I den grad forslagene innebærer en videreføring av gjeldende rett, vil forslagene ikke gi øk</w:t>
      </w:r>
      <w:r>
        <w:t>o</w:t>
      </w:r>
      <w:r>
        <w:t>nomiske eller administrative konsekvenser.</w:t>
      </w:r>
    </w:p>
    <w:p w:rsidR="00000000" w:rsidRDefault="00D718D0" w:rsidP="00BA3E8B">
      <w:pPr>
        <w:pStyle w:val="Overskrift2"/>
      </w:pPr>
      <w:r>
        <w:t>Kostnader ved eksisterende håndhevingsapparat</w:t>
      </w:r>
    </w:p>
    <w:p w:rsidR="00000000" w:rsidRDefault="00D718D0" w:rsidP="00BA3E8B">
      <w:r>
        <w:t xml:space="preserve">Håndhevingsapparatet på diskrimineringsområdet har for 2019 et </w:t>
      </w:r>
      <w:r>
        <w:t>budsjett på til sammen 62,849 mill. kroner, fordelt med 43,843 mill. kroner på Likestillings- og diskrimineringsombudet og 19,006 mill. kroner på Sekretariatet for Diskrimineringsnemnda.</w:t>
      </w:r>
    </w:p>
    <w:p w:rsidR="00000000" w:rsidRDefault="00D718D0" w:rsidP="00BA3E8B">
      <w:pPr>
        <w:pStyle w:val="Overskrift2"/>
      </w:pPr>
      <w:r>
        <w:t>Departementets vurdering av nytte og kostnader</w:t>
      </w:r>
    </w:p>
    <w:p w:rsidR="00000000" w:rsidRDefault="00D718D0" w:rsidP="00BA3E8B">
      <w:pPr>
        <w:pStyle w:val="Overskrift3"/>
      </w:pPr>
      <w:r>
        <w:t>Samfunnsøkonomiske konsekvenser – nytteeffekt</w:t>
      </w:r>
    </w:p>
    <w:p w:rsidR="00000000" w:rsidRDefault="00D718D0" w:rsidP="00BA3E8B">
      <w:r>
        <w:t>Departementet legger til grunn at forslaget om å innføre et lavterskeltilbud for behandling av saker om seksuell trakassering og om å styrke aktivitets- og redegjørelsesplikten på likesti</w:t>
      </w:r>
      <w:r>
        <w:t>l</w:t>
      </w:r>
      <w:r>
        <w:t>lingsområdet vil kunne</w:t>
      </w:r>
      <w:r>
        <w:t xml:space="preserve"> gi nytteeffekter for samfunnet.</w:t>
      </w:r>
    </w:p>
    <w:p w:rsidR="00000000" w:rsidRDefault="00D718D0" w:rsidP="00BA3E8B">
      <w:r>
        <w:t>Det er imidlertid vanskelig å måle den konkrete samfunnsøkonomiske nytteeffekten av forslaget. I kost-nytteanalyser rangeres tiltak etter samfunnsmessig lønnsomhet, og alle effekter omregnes til kron</w:t>
      </w:r>
      <w:r>
        <w:t>e</w:t>
      </w:r>
      <w:r>
        <w:t xml:space="preserve">verdi. Hovedprinsippet </w:t>
      </w:r>
      <w:r>
        <w:t>for den verdsetting som vanligvis brukes, er at nytten settes lik det befolkningen er villig til å betale for å oppnå et gode. Den samfunnsøkonomiske lønnso</w:t>
      </w:r>
      <w:r>
        <w:t>m</w:t>
      </w:r>
      <w:r>
        <w:lastRenderedPageBreak/>
        <w:t>heten inngår kun som en del av et samlet beslutningsgrunnlag, og i praksis vil andre hensyn veie tu</w:t>
      </w:r>
      <w:r>
        <w:t>ngt i den samlede vurderingen av en sak.</w:t>
      </w:r>
    </w:p>
    <w:p w:rsidR="00000000" w:rsidRDefault="00D718D0" w:rsidP="00BA3E8B">
      <w:r>
        <w:t>Når det gjelder nytten av å innføre et lavterskeltilbud for saker om seksuell trakassering, og å styrke aktivitets- og redegjørelsesplikten vil nytteeffektene være vanskelig å tallfeste. Nyttee</w:t>
      </w:r>
      <w:r>
        <w:t>f</w:t>
      </w:r>
      <w:r>
        <w:t>fektene er derfor kva</w:t>
      </w:r>
      <w:r>
        <w:t>litativt beskrevet i avsnittene nedenfor.</w:t>
      </w:r>
    </w:p>
    <w:p w:rsidR="00000000" w:rsidRDefault="00D718D0" w:rsidP="00BA3E8B">
      <w:pPr>
        <w:pStyle w:val="Overskrift4"/>
      </w:pPr>
      <w:r>
        <w:t>Lavterskeltilbud for behandling av saker om seksuell trakassering</w:t>
      </w:r>
    </w:p>
    <w:p w:rsidR="00000000" w:rsidRDefault="00D718D0" w:rsidP="00BA3E8B">
      <w:r>
        <w:t>Departementet antar likevel at innføringen av et lavterskeltilbud vil ha flere nytteeffekter fordi det må antas å kunne:</w:t>
      </w:r>
    </w:p>
    <w:p w:rsidR="00000000" w:rsidRDefault="00D718D0" w:rsidP="00BA3E8B">
      <w:pPr>
        <w:pStyle w:val="Liste"/>
      </w:pPr>
      <w:r>
        <w:t>være et</w:t>
      </w:r>
      <w:r>
        <w:t xml:space="preserve"> reelt alternativ til domstolsbehandling.</w:t>
      </w:r>
    </w:p>
    <w:p w:rsidR="00000000" w:rsidRDefault="00D718D0" w:rsidP="00BA3E8B">
      <w:pPr>
        <w:pStyle w:val="Liste"/>
      </w:pPr>
      <w:r>
        <w:t>gi en nytteeffekt for enkeltpersoner som utsettes for seksuell trakassering ved at man kan tilkjennes op</w:t>
      </w:r>
      <w:r>
        <w:t>p</w:t>
      </w:r>
      <w:r>
        <w:t>reisning eller erstatning i enkle saksforhold gjennom et lavterskeltilbud, og ikke lenger må gå</w:t>
      </w:r>
      <w:r>
        <w:t xml:space="preserve"> veien om en langvarig og kostbar domstolsbehandling.</w:t>
      </w:r>
    </w:p>
    <w:p w:rsidR="00000000" w:rsidRDefault="00D718D0" w:rsidP="00BA3E8B">
      <w:pPr>
        <w:pStyle w:val="Liste"/>
      </w:pPr>
      <w:r>
        <w:t>virke preventivt ved at færre utsettes for seksuell trakassering. Det må antas at arbeidsgivere allerede gjør sitt ytterste for ikke å bryte med gjeldende lovverk om seksuell trakassering, men depar</w:t>
      </w:r>
      <w:r>
        <w:t>tementet mener likevel at faren for å bli ilagt oppreisning vil kunne gi et insitament til å innarbeide bedre rutiner på a</w:t>
      </w:r>
      <w:r>
        <w:t>r</w:t>
      </w:r>
      <w:r>
        <w:t>beidsplassen som kan bidra til å forebygge diskriminering. Et styrket veilednings- og hjelpetilbud hos ombudet vil også bidra til fær</w:t>
      </w:r>
      <w:r>
        <w:t>re saker.</w:t>
      </w:r>
    </w:p>
    <w:p w:rsidR="00000000" w:rsidRDefault="00D718D0" w:rsidP="00BA3E8B">
      <w:pPr>
        <w:pStyle w:val="Overskrift4"/>
      </w:pPr>
      <w:r>
        <w:t>Styrking av aktivitets- og redegjørelsesplikten</w:t>
      </w:r>
    </w:p>
    <w:p w:rsidR="00000000" w:rsidRDefault="00D718D0" w:rsidP="00BA3E8B">
      <w:r>
        <w:t>Departementet antar at en styrket aktivitets- og redegjørelsesplikt vil innebære nytteeffekt for:</w:t>
      </w:r>
    </w:p>
    <w:p w:rsidR="00000000" w:rsidRDefault="00D718D0" w:rsidP="00BA3E8B">
      <w:pPr>
        <w:pStyle w:val="Liste"/>
      </w:pPr>
      <w:r>
        <w:t>enkeltpersoner ved at et bedre strukturelt diskrimineringsvern kan føre til mind</w:t>
      </w:r>
      <w:r>
        <w:t>re diskrim</w:t>
      </w:r>
      <w:r>
        <w:t>i</w:t>
      </w:r>
      <w:r>
        <w:t>nering og mer likestilling på individnivå.</w:t>
      </w:r>
    </w:p>
    <w:p w:rsidR="00000000" w:rsidRDefault="00D718D0" w:rsidP="00BA3E8B">
      <w:pPr>
        <w:pStyle w:val="Liste"/>
      </w:pPr>
      <w:r>
        <w:t>samfunnet gjennom å endre holdninger, avskaffe fordommer og diskriminerende stereot</w:t>
      </w:r>
      <w:r>
        <w:t>y</w:t>
      </w:r>
      <w:r>
        <w:t>pier, og dermed ha en preventiv effekt på sikt. En annen nytteeffekt for samfunnet er at forslaget vil bidra til å</w:t>
      </w:r>
      <w:r>
        <w:t xml:space="preserve"> forebygge vold i arbeidslivet.</w:t>
      </w:r>
    </w:p>
    <w:p w:rsidR="00000000" w:rsidRDefault="00D718D0" w:rsidP="00BA3E8B">
      <w:pPr>
        <w:pStyle w:val="Liste"/>
      </w:pPr>
      <w:r>
        <w:t>arbeidslivet ved at de konkretiserte pliktene kan gi endringer i personal- og rekruttering</w:t>
      </w:r>
      <w:r>
        <w:t>s</w:t>
      </w:r>
      <w:r>
        <w:t>politikk og derfor på sikt bidra til et mer likestilt og mangfoldig arbeidsliv, med bedre kjønnsbalanse og likelønn. En p</w:t>
      </w:r>
      <w:r>
        <w:t>o</w:t>
      </w:r>
      <w:r>
        <w:t>tensiel</w:t>
      </w:r>
      <w:r>
        <w:t>l gevinst kan være reduksjon i ufrivillig deltid.</w:t>
      </w:r>
    </w:p>
    <w:p w:rsidR="00000000" w:rsidRDefault="00D718D0" w:rsidP="00BA3E8B">
      <w:pPr>
        <w:pStyle w:val="Overskrift3"/>
      </w:pPr>
      <w:r>
        <w:t>Konsekvenser for Likestillings- og diskrimineringsombudet</w:t>
      </w:r>
    </w:p>
    <w:p w:rsidR="00000000" w:rsidRDefault="00D718D0" w:rsidP="00BA3E8B">
      <w:pPr>
        <w:pStyle w:val="Overskrift4"/>
      </w:pPr>
      <w:r>
        <w:t>Lavterskeltilbud for behandling av saker om seksuell trakassering</w:t>
      </w:r>
    </w:p>
    <w:p w:rsidR="00000000" w:rsidRDefault="00D718D0" w:rsidP="00BA3E8B">
      <w:r>
        <w:t>Departementet foreslår å</w:t>
      </w:r>
      <w:r>
        <w:t xml:space="preserve"> styrke Likestillings- og diskrimineringsombudets veilednings- og hjelpetilbud til personer som utsettes for seksuell trakassering. Det er viktig at saker om seksuell trakassering løses på et lavest mulig nivå, og det er derfor helt avgjørende at det finne</w:t>
      </w:r>
      <w:r>
        <w:t>s et ve</w:t>
      </w:r>
      <w:r>
        <w:t>i</w:t>
      </w:r>
      <w:r>
        <w:t>ledningstilbud som er lett tilgjengelig. Likestillings- og diskrimineringsombudet har i dag en sentral rolle som rettighetsveileder på diskrimin</w:t>
      </w:r>
      <w:r>
        <w:t>e</w:t>
      </w:r>
      <w:r>
        <w:t>ringsområdet, både for enkeltpersoner og virksomheter. Denne veiledningsrollen bør utvikles og styrkes,</w:t>
      </w:r>
      <w:r>
        <w:t xml:space="preserve"> slik at tilbudet kan profesjon</w:t>
      </w:r>
      <w:r>
        <w:t>a</w:t>
      </w:r>
      <w:r>
        <w:t>liseres og følges opp på en enda bedre måte. Likestillings- og diskrimin</w:t>
      </w:r>
      <w:r>
        <w:t>e</w:t>
      </w:r>
      <w:r>
        <w:t>ringsombudet har de siste årene opplevd en jevn økning i antall veiledningssaker.</w:t>
      </w:r>
    </w:p>
    <w:p w:rsidR="00000000" w:rsidRDefault="00D718D0" w:rsidP="00BA3E8B">
      <w:r>
        <w:t>Forslaget vil medføre noe økt saksmengde for ombudet. Departementet s</w:t>
      </w:r>
      <w:r>
        <w:t>er i utgangspunktet for seg at dette kan dekkes innenfor de til enhver tid gjeldende budsjettrammer, men vil følge u</w:t>
      </w:r>
      <w:r>
        <w:t>t</w:t>
      </w:r>
      <w:r>
        <w:t>viklingen nøye.</w:t>
      </w:r>
    </w:p>
    <w:p w:rsidR="00000000" w:rsidRDefault="00D718D0" w:rsidP="00BA3E8B">
      <w:pPr>
        <w:pStyle w:val="Overskrift4"/>
      </w:pPr>
      <w:r>
        <w:lastRenderedPageBreak/>
        <w:t>Styrking av aktivitets- og redegjørelsesplikten</w:t>
      </w:r>
    </w:p>
    <w:p w:rsidR="00000000" w:rsidRDefault="00D718D0" w:rsidP="00BA3E8B">
      <w:r>
        <w:t>Departementet foreslår å styrke Likestillings- og diskrimin</w:t>
      </w:r>
      <w:r>
        <w:t>eringsombudets ansvar for veiledning om akt</w:t>
      </w:r>
      <w:r>
        <w:t>i</w:t>
      </w:r>
      <w:r>
        <w:t>vitetsplikten.</w:t>
      </w:r>
    </w:p>
    <w:p w:rsidR="00000000" w:rsidRDefault="00D718D0" w:rsidP="00BA3E8B">
      <w:r>
        <w:t>Ombudets ansvarsområde utvides ved at det foreslås å etablere en oppfølgingsfunksjon knyttet til a</w:t>
      </w:r>
      <w:r>
        <w:t>k</w:t>
      </w:r>
      <w:r>
        <w:t>tivitets- og redegjørelsesplikten, både for private og offentlige aktører. Det legges til grunn at</w:t>
      </w:r>
      <w:r>
        <w:t xml:space="preserve"> oppfølgingen kan basere seg på stikkprøver og/eller bransjekontroller etter ombudets vurdering. En reell styrking av aktivitets- og redegjørelsesplikten forutsetter likevel at oppfyllelsen av pliktene følges opp og kontrolleres effektivt.</w:t>
      </w:r>
    </w:p>
    <w:p w:rsidR="00000000" w:rsidRDefault="00D718D0" w:rsidP="00BA3E8B">
      <w:r>
        <w:t>Forslaget vil me</w:t>
      </w:r>
      <w:r>
        <w:t>dføre noe økt saksmengde for ombudet. Departementet ser i utgangspunktet for seg at dette kan dekkes innenfor de til enhver tid gjeldende budsjettrammer, men vil følge u</w:t>
      </w:r>
      <w:r>
        <w:t>t</w:t>
      </w:r>
      <w:r>
        <w:t>viklingen nøye.</w:t>
      </w:r>
    </w:p>
    <w:p w:rsidR="00000000" w:rsidRDefault="00D718D0" w:rsidP="00BA3E8B">
      <w:pPr>
        <w:pStyle w:val="Overskrift3"/>
      </w:pPr>
      <w:r>
        <w:t>Konsekvenser for Diskrimineringsnemnda</w:t>
      </w:r>
    </w:p>
    <w:p w:rsidR="00000000" w:rsidRDefault="00D718D0" w:rsidP="00BA3E8B">
      <w:r>
        <w:t>Departementet fores</w:t>
      </w:r>
      <w:r>
        <w:t>lår at Diskrimineringsnemnda gis myndighet til å behandle saker om seksuell tr</w:t>
      </w:r>
      <w:r>
        <w:t>a</w:t>
      </w:r>
      <w:r>
        <w:t>kassering og myndighet til å ilegge oppreisning i saker innenfor arbeidslivet og erstatning i enkle sak</w:t>
      </w:r>
      <w:r>
        <w:t>s</w:t>
      </w:r>
      <w:r>
        <w:t>forhold. Forslaget vil dermed gi personer som utsettes for seksuell traka</w:t>
      </w:r>
      <w:r>
        <w:t>ssering et kostnadsfritt alternativ til domstolsbehandling.</w:t>
      </w:r>
    </w:p>
    <w:p w:rsidR="00000000" w:rsidRDefault="00D718D0" w:rsidP="00BA3E8B">
      <w:r>
        <w:t>Saker om seksuell trakassering må i dag fremmes for domstolene. Det foreligger ikke noe eksakt st</w:t>
      </w:r>
      <w:r>
        <w:t>a</w:t>
      </w:r>
      <w:r>
        <w:t>tistisk grunnlag, men det er likevel klart at få saker om seksuell trakassering bringes inn for do</w:t>
      </w:r>
      <w:r>
        <w:t>mstolene. Det er uklart hva dette skyldes, men departementet antar at det har sammenheng med at kostnadene ved domstolsbehandling er svært høye, at prosessene tar lang tid og at det å ta en sak inn for domstolene i</w:t>
      </w:r>
      <w:r>
        <w:t>n</w:t>
      </w:r>
      <w:r>
        <w:t>nebærer en betydelig økonomisk risiko. Om</w:t>
      </w:r>
      <w:r>
        <w:t>fanget av saker vedrørende seksuell trakassering vil således ikke gjenspeiles i antall saker som bringes inn for domstolene i dag.</w:t>
      </w:r>
    </w:p>
    <w:p w:rsidR="00000000" w:rsidRDefault="00D718D0" w:rsidP="00BA3E8B">
      <w:r>
        <w:t>Nemnda skal, som i dag, håndheve bestemmelsen om arbeidsgivers redegjørelsesplikt. Forslaget om en sty</w:t>
      </w:r>
      <w:r>
        <w:t>r</w:t>
      </w:r>
      <w:r>
        <w:t>king av aktivitets- og</w:t>
      </w:r>
      <w:r>
        <w:t xml:space="preserve"> redegjørelsesplikten får således ingen vesentlige konsekvenser for nemnda.</w:t>
      </w:r>
    </w:p>
    <w:p w:rsidR="00000000" w:rsidRDefault="00D718D0" w:rsidP="00BA3E8B">
      <w:r>
        <w:t>Forslaget vil medføre noe økt saksmengde for nemnda. Departementet ser i utgangspunktet for seg at dette kan dekkes innenfor de til enhver tid gjeldende budsjettrammer, men vil føl</w:t>
      </w:r>
      <w:r>
        <w:t>ge u</w:t>
      </w:r>
      <w:r>
        <w:t>t</w:t>
      </w:r>
      <w:r>
        <w:t>viklingen nøye.</w:t>
      </w:r>
    </w:p>
    <w:p w:rsidR="00000000" w:rsidRDefault="00D718D0" w:rsidP="00BA3E8B">
      <w:pPr>
        <w:pStyle w:val="Overskrift3"/>
      </w:pPr>
      <w:r>
        <w:t>Konsekvenser for arbeidsgivere</w:t>
      </w:r>
    </w:p>
    <w:p w:rsidR="00000000" w:rsidRDefault="00D718D0" w:rsidP="00BA3E8B">
      <w:pPr>
        <w:pStyle w:val="Overskrift4"/>
      </w:pPr>
      <w:r>
        <w:t>Lavterskeltilbud for behandling av saker om seksuell trakassering</w:t>
      </w:r>
    </w:p>
    <w:p w:rsidR="00000000" w:rsidRDefault="00D718D0" w:rsidP="00BA3E8B">
      <w:r>
        <w:t>For private og offentlige arbeidsgivere vil forslaget få konsekvenser dersom forbudet mot se</w:t>
      </w:r>
      <w:r>
        <w:t>k</w:t>
      </w:r>
      <w:r>
        <w:t>suell tr</w:t>
      </w:r>
      <w:r>
        <w:t>a</w:t>
      </w:r>
      <w:r>
        <w:t>kasserin</w:t>
      </w:r>
      <w:r>
        <w:t>g overtres.</w:t>
      </w:r>
    </w:p>
    <w:p w:rsidR="00000000" w:rsidRDefault="00D718D0" w:rsidP="00BA3E8B">
      <w:r>
        <w:t>Diskrimineringsnemnda vil kunne pålegge arbeidsgiver å betale oppreisning i saker om seksuell tr</w:t>
      </w:r>
      <w:r>
        <w:t>a</w:t>
      </w:r>
      <w:r>
        <w:t>kassering innenfor arbeidslivet og erstatning for økonomisk tap i enkle saksforhold både innenfor og utenfor arbeid</w:t>
      </w:r>
      <w:r>
        <w:t>s</w:t>
      </w:r>
      <w:r>
        <w:t>livet.</w:t>
      </w:r>
    </w:p>
    <w:p w:rsidR="00000000" w:rsidRDefault="00D718D0" w:rsidP="00BA3E8B">
      <w:r>
        <w:lastRenderedPageBreak/>
        <w:t>Det kan likevel ikke utl</w:t>
      </w:r>
      <w:r>
        <w:t>edes et rent objektivt ansvar for arbeidsgiver i saker om seksuell tr</w:t>
      </w:r>
      <w:r>
        <w:t>a</w:t>
      </w:r>
      <w:r>
        <w:t>kassering. A</w:t>
      </w:r>
      <w:r>
        <w:t>r</w:t>
      </w:r>
      <w:r>
        <w:t>beidsgiver kan derfor ikke holdes objektivt ansvarlig for en ansatt som trakasserer en kollega.</w:t>
      </w:r>
    </w:p>
    <w:p w:rsidR="00000000" w:rsidRDefault="00D718D0" w:rsidP="00BA3E8B">
      <w:r>
        <w:t>For næringslivet for øvrig påregnes ingen vesentlige konsekvenser, plikter el</w:t>
      </w:r>
      <w:r>
        <w:t>ler rettigheter.</w:t>
      </w:r>
    </w:p>
    <w:p w:rsidR="00000000" w:rsidRDefault="00D718D0" w:rsidP="00BA3E8B">
      <w:r>
        <w:t>Departementet legger til grunn at utmålingen av oppreisning i størst mulig grad standardiseres. Dette vil gi bedre forutsigbarhet og en enklere saksgang. Departementet forutsetter at opprei</w:t>
      </w:r>
      <w:r>
        <w:t>s</w:t>
      </w:r>
      <w:r>
        <w:t>ningsbeløpene som hove</w:t>
      </w:r>
      <w:r>
        <w:t>d</w:t>
      </w:r>
      <w:r>
        <w:t xml:space="preserve">regel vil ligge et sted i </w:t>
      </w:r>
      <w:r>
        <w:t>sjiktet mellom 20 000 og 80 000 kroner, med mulighet for å gå høyere i særlig gr</w:t>
      </w:r>
      <w:r>
        <w:t>a</w:t>
      </w:r>
      <w:r>
        <w:t>verende tilfeller.</w:t>
      </w:r>
    </w:p>
    <w:p w:rsidR="00000000" w:rsidRDefault="00D718D0" w:rsidP="00BA3E8B">
      <w:r>
        <w:t>Når det gjelder erstatning for økonomisk tap i enkle saksforhold legger departementet til grunn at dette vil dreie seg om beskjedne beløp med en øvre grense</w:t>
      </w:r>
      <w:r>
        <w:t xml:space="preserve"> på 10 000 kroner.</w:t>
      </w:r>
    </w:p>
    <w:p w:rsidR="00000000" w:rsidRDefault="00D718D0" w:rsidP="00BA3E8B">
      <w:pPr>
        <w:pStyle w:val="Overskrift4"/>
      </w:pPr>
      <w:r>
        <w:t>Styrking av aktivitetsplikten</w:t>
      </w:r>
    </w:p>
    <w:p w:rsidR="00000000" w:rsidRDefault="00D718D0" w:rsidP="00BA3E8B">
      <w:pPr>
        <w:pStyle w:val="Undertittel"/>
      </w:pPr>
      <w:r>
        <w:t>Tydeliggjøring av aktivitetsplikten for alle arbeidsgivere – seksuell trakassering og kjønnsbasert vold</w:t>
      </w:r>
    </w:p>
    <w:p w:rsidR="00000000" w:rsidRDefault="00D718D0" w:rsidP="00BA3E8B">
      <w:r>
        <w:t>Departementet foreslår at aktivitetsplikten for alle arbeidsgivere tydeliggjør</w:t>
      </w:r>
      <w:r>
        <w:t>es slik at plikten til å mota</w:t>
      </w:r>
      <w:r>
        <w:t>r</w:t>
      </w:r>
      <w:r>
        <w:t>beide seksuell trakassering og kjønnsbasert vold fremheves. I tillegg foreslås det en plikt for arbeidsgivere til å motarbeide sammensatt diskriminering. Sammensatt diskriminering skyldes samvirke av flere di</w:t>
      </w:r>
      <w:r>
        <w:t>s</w:t>
      </w:r>
      <w:r>
        <w:t>krimineringsgrunn</w:t>
      </w:r>
      <w:r>
        <w:t>lag. Aktivitetsplikten innebærer at arbeidsgivere skal rette oppmerksomhet mot sa</w:t>
      </w:r>
      <w:r>
        <w:t>m</w:t>
      </w:r>
      <w:r>
        <w:t>mensatte former for diskriminering, og den vil først og fremst være et analytisk verktøy for virksomhet</w:t>
      </w:r>
      <w:r>
        <w:t>e</w:t>
      </w:r>
      <w:r>
        <w:t>nes likestillingsarbeid. Hvorvidt de foreslåtte en</w:t>
      </w:r>
      <w:r>
        <w:t>d</w:t>
      </w:r>
      <w:r>
        <w:t>ringene i aktivitet</w:t>
      </w:r>
      <w:r>
        <w:t>splikten for alle arbeidsgivere medfører merkostnader, vil avhenge av hvilke konkrete tiltak virksomheten velger å iverksette. Den foreslåtte r</w:t>
      </w:r>
      <w:r>
        <w:t>e</w:t>
      </w:r>
      <w:r>
        <w:t>guleringen innebærer at a</w:t>
      </w:r>
      <w:r>
        <w:t>r</w:t>
      </w:r>
      <w:r>
        <w:t>beidsgiveren, etter en analyse av situasjonen, selv kan bestemme hvilke tiltak som ska</w:t>
      </w:r>
      <w:r>
        <w:t>l iver</w:t>
      </w:r>
      <w:r>
        <w:t>k</w:t>
      </w:r>
      <w:r>
        <w:t>settes. Departementet antar at forslaget ikke vil medføre vesentlige administrative eller økon</w:t>
      </w:r>
      <w:r>
        <w:t>o</w:t>
      </w:r>
      <w:r>
        <w:t>miske konsekvenser.</w:t>
      </w:r>
    </w:p>
    <w:p w:rsidR="00000000" w:rsidRDefault="00D718D0" w:rsidP="00BA3E8B">
      <w:pPr>
        <w:pStyle w:val="Undertittel"/>
      </w:pPr>
      <w:r>
        <w:t>Utvidelse av virkeområdet for den lovbestemte arbeidsmetoden</w:t>
      </w:r>
    </w:p>
    <w:p w:rsidR="00000000" w:rsidRDefault="00D718D0" w:rsidP="00BA3E8B">
      <w:r>
        <w:t xml:space="preserve">Forslaget til lovendring innebærer at den konkretiserte arbeidsmetoden i </w:t>
      </w:r>
      <w:r>
        <w:t>gjeldende likestillings- og di</w:t>
      </w:r>
      <w:r>
        <w:t>s</w:t>
      </w:r>
      <w:r>
        <w:t>krimineringslov § 26 andre ledd også skal gjelde for arbeidsgivere med hhv. minst 50 eller 20 ansatte. I de skisserte modellene vil en styrket aktivitetsplikt skille mellom hvordan lovb</w:t>
      </w:r>
      <w:r>
        <w:t>e</w:t>
      </w:r>
      <w:r>
        <w:t>stemmelsene i praksis kan følges opp av</w:t>
      </w:r>
      <w:r>
        <w:t xml:space="preserve"> arbeidsgiver. I modell 1 (samfunnsansvarsmodellen) er dette ikke regulert utover at a</w:t>
      </w:r>
      <w:r>
        <w:t>r</w:t>
      </w:r>
      <w:r>
        <w:t xml:space="preserve">beidsgivere med hhv. minst 50 eller 20 ansatte skal følge den lovbestemte arbeidsmetoden, mens i modell 2 vil den lovbestemte arbeidsmetoden følges opp av virksomhetens </w:t>
      </w:r>
      <w:r>
        <w:t>arbeidsmiljøutvalg. I modell 3 vil vir</w:t>
      </w:r>
      <w:r>
        <w:t>k</w:t>
      </w:r>
      <w:r>
        <w:t>somhetens likestillingsutvalg følge opp lovbestemmelsene om arbeidsmetoden.</w:t>
      </w:r>
    </w:p>
    <w:p w:rsidR="00000000" w:rsidRDefault="00D718D0" w:rsidP="00BA3E8B">
      <w:r>
        <w:t>Den konkrete arbeidsmetoden i § 26 andre ledd ble innført i forbindelse med at likestillings- og di</w:t>
      </w:r>
      <w:r>
        <w:t>s</w:t>
      </w:r>
      <w:r>
        <w:t>krimin</w:t>
      </w:r>
      <w:r>
        <w:t>e</w:t>
      </w:r>
      <w:r>
        <w:t>ringsloven ble vedtatt. I forarbei</w:t>
      </w:r>
      <w:r>
        <w:t>dene til likestillings- og diskrimineringsloven, jf. Prop. L 81 (2016–2017) kapittel 29.4 vurderte departementet kostnadene knyttet til endringer i arbeidsgiveres aktivitetsplikt. Depa</w:t>
      </w:r>
      <w:r>
        <w:t>r</w:t>
      </w:r>
      <w:r>
        <w:t>tementet konstaterte at kostnadene for arbeidsgivere vil avhenge av hvi</w:t>
      </w:r>
      <w:r>
        <w:t xml:space="preserve">lke tiltak som iverksettes som følge av aktivitetsplikten, og viste til at det er virksomheten selv som bestemmer hvilke tiltak som skal iverksettes. I Prop. L 81 (2016–2017) </w:t>
      </w:r>
      <w:r>
        <w:lastRenderedPageBreak/>
        <w:t>kapittel 29.4 viste departementet videre til eksempler om mulige tiltak som ble i</w:t>
      </w:r>
      <w:r>
        <w:t>llustrert i Econ-rapporten 2007–027 Aktivitetsplikt mot diskriminering:</w:t>
      </w:r>
    </w:p>
    <w:p w:rsidR="00000000" w:rsidRDefault="00D718D0" w:rsidP="00BA3E8B">
      <w:pPr>
        <w:pStyle w:val="blokksit"/>
      </w:pPr>
      <w:r>
        <w:t>«For eksempel anslo rapporten at et tiltak om å innkalle minst én kvalifisert innvandrer ved alle anse</w:t>
      </w:r>
      <w:r>
        <w:t>t</w:t>
      </w:r>
      <w:r>
        <w:t>telser i en virksomhet kunne ha en tiltakskostnad for hele økonomien på 3,8 milli</w:t>
      </w:r>
      <w:r>
        <w:t>oner kr</w:t>
      </w:r>
      <w:r>
        <w:t>o</w:t>
      </w:r>
      <w:r>
        <w:t>ner. Econ forutsatte da at dette fører til at det ved hvert intervju kalles inn en ekstra søker sa</w:t>
      </w:r>
      <w:r>
        <w:t>m</w:t>
      </w:r>
      <w:r>
        <w:t>menlignet med hva som ellers ville vært tilfelle. Econ la også til grunn for utregningen at gje</w:t>
      </w:r>
      <w:r>
        <w:t>n</w:t>
      </w:r>
      <w:r>
        <w:t>nomsnittlig turnover er på 5 prosent, at det er en kv</w:t>
      </w:r>
      <w:r>
        <w:t>alifisert innvandrer som søker på 10 prosent av jobbene, hvert intervju tar ha</w:t>
      </w:r>
      <w:r>
        <w:t>l</w:t>
      </w:r>
      <w:r>
        <w:t>vannen time og timekostnaden er på 500 kroner.»</w:t>
      </w:r>
    </w:p>
    <w:p w:rsidR="00000000" w:rsidRDefault="00D718D0" w:rsidP="00BA3E8B">
      <w:r>
        <w:t>Et annet eksempel Econ brukte, var språkkurs for innvandrere:</w:t>
      </w:r>
    </w:p>
    <w:p w:rsidR="00000000" w:rsidRDefault="00D718D0" w:rsidP="00BA3E8B">
      <w:pPr>
        <w:pStyle w:val="blokksit"/>
      </w:pPr>
      <w:r>
        <w:t>«Forutsetninger: Bedrift med 1000 ansatte, 10 nyansatte innvandrere</w:t>
      </w:r>
      <w:r>
        <w:t>, 2 ukers introduksjonskurs i språk. De får lønn under kurset. I tillegg kommer utgifter til lærer. Tiltakskostnad for bedriften: 144.000 kroner eller 144 kroner per ansatt.»</w:t>
      </w:r>
    </w:p>
    <w:p w:rsidR="00000000" w:rsidRDefault="00D718D0" w:rsidP="00BA3E8B">
      <w:r>
        <w:t xml:space="preserve">Departementet viste til at Econ ikke beregnet samlede kostnader, men illustrerte </w:t>
      </w:r>
      <w:r>
        <w:t>mulige tiltak og ga grove anslag på kostnadene knyttet til disse. På bakgrunn av dette mente departementet at det er et åpent spørsmål hvor mye ressurser som brukes til tiltak for å fremme likestilling knyttet til de ulike diskrimin</w:t>
      </w:r>
      <w:r>
        <w:t>e</w:t>
      </w:r>
      <w:r>
        <w:t>ringsgrunnlagene, jf. P</w:t>
      </w:r>
      <w:r>
        <w:t>rop. L 81 (2016–2017) kapittel 29.4. Departementet antar at dette også vil gjelde utvidelsen av den konkretiserte aktivitetsplikten til å omfatte private virksomheter med mellom 20 og 50 ansatte når en av arbeidslivets parter krever dette.</w:t>
      </w:r>
    </w:p>
    <w:p w:rsidR="00000000" w:rsidRDefault="00D718D0" w:rsidP="00BA3E8B">
      <w:r>
        <w:t xml:space="preserve">Når det gjelder </w:t>
      </w:r>
      <w:r>
        <w:t>kostnadene for Likestillings- og diskrimineringsombudet knyttet til innføring av den konkr</w:t>
      </w:r>
      <w:r>
        <w:t>e</w:t>
      </w:r>
      <w:r>
        <w:t>tiserte plikten, uttalte departementet i Prop. L 81 (2016–2017) kapittel 29.4 følgende:</w:t>
      </w:r>
    </w:p>
    <w:p w:rsidR="00000000" w:rsidRDefault="00D718D0" w:rsidP="00BA3E8B">
      <w:pPr>
        <w:pStyle w:val="blokksit"/>
      </w:pPr>
      <w:r>
        <w:t>«LDO skal gi veiledning om aktivitetsplikten. Departementet antar at en utvid</w:t>
      </w:r>
      <w:r>
        <w:t>else og konkretis</w:t>
      </w:r>
      <w:r>
        <w:t>e</w:t>
      </w:r>
      <w:r>
        <w:t>ring av aktivitetsplikten ikke vil gi et økt ressursbehov hos LDO. En eventuell økning eller en</w:t>
      </w:r>
      <w:r>
        <w:t>d</w:t>
      </w:r>
      <w:r>
        <w:t>ring i ombudets veiledning kan håndteres innenfor gjeldende budsjettrammer. Det må antas at en konkretisering også vil kunne lette LDOs veiled</w:t>
      </w:r>
      <w:r>
        <w:t>ning og være noe ressursbesparende.»</w:t>
      </w:r>
    </w:p>
    <w:p w:rsidR="00000000" w:rsidRDefault="00D718D0" w:rsidP="00BA3E8B">
      <w:r>
        <w:t>Departementet antar at utvidelsen kan håndteres innenfor ombudets gjeldende budsjettrammer.</w:t>
      </w:r>
    </w:p>
    <w:p w:rsidR="00000000" w:rsidRDefault="00D718D0" w:rsidP="00BA3E8B">
      <w:pPr>
        <w:pStyle w:val="Undertittel"/>
      </w:pPr>
      <w:r>
        <w:t>Plikt til å gjennomføre lønnskartlegging og kartlegge bruken av ufr</w:t>
      </w:r>
      <w:r>
        <w:t>i</w:t>
      </w:r>
      <w:r>
        <w:t>villig deltidsarbeid</w:t>
      </w:r>
    </w:p>
    <w:p w:rsidR="00000000" w:rsidRDefault="00D718D0" w:rsidP="00BA3E8B">
      <w:r>
        <w:t>Lovforslaget innebærer flere temaer so</w:t>
      </w:r>
      <w:r>
        <w:t>m bestemte arbeidsgivere skal jobbe med. Gjennomføring av lønnskartlegging er en av disse. Forslaget innebærer en plikt for arbeidsgivere med hhv. minst 50 eller 20 ansatte til å gjennomføre lønnskartlegging og dokumentere denne. Plikten vil ant</w:t>
      </w:r>
      <w:r>
        <w:t>a</w:t>
      </w:r>
      <w:r>
        <w:t>kelig inne</w:t>
      </w:r>
      <w:r>
        <w:t>bære adm</w:t>
      </w:r>
      <w:r>
        <w:t>i</w:t>
      </w:r>
      <w:r>
        <w:t>nistrative kostnader for de berørte arbeidsgiverne, men det vil være van</w:t>
      </w:r>
      <w:r>
        <w:t>s</w:t>
      </w:r>
      <w:r>
        <w:t>kelig å anslå hvor store disse kostnadene vil bli.</w:t>
      </w:r>
    </w:p>
    <w:p w:rsidR="00000000" w:rsidRDefault="00D718D0" w:rsidP="00BA3E8B">
      <w:r>
        <w:t>Mange virksomheter gjennomfører allerede lønnskartlegginger og utarbeider kjønnsfordelte lønn</w:t>
      </w:r>
      <w:r>
        <w:t>s</w:t>
      </w:r>
      <w:r>
        <w:t>statistikker. Alle arbeidsgiv</w:t>
      </w:r>
      <w:r>
        <w:t>ere har i dag en aktivitetsplikt som også omfatter arbeidet med lønnsvilkår. Alle arbeidsgivere i offentlige virksomheter og arbeidsgivere i private virksomheter med mer enn 50 ansatte, skal arbeide aktivt for å fremme likestilling knyttet til lønn, og und</w:t>
      </w:r>
      <w:r>
        <w:t>e</w:t>
      </w:r>
      <w:r>
        <w:t>r</w:t>
      </w:r>
      <w:r>
        <w:t>søke risiko for lønnsdiskriminering og analysere årsakene til identifiserte risikoer i henhold til den lovbestemte arbeidsmetoden, jf. likestillings- og diskrimineringsloven § 26 andre ledd.</w:t>
      </w:r>
    </w:p>
    <w:p w:rsidR="00000000" w:rsidRDefault="00D718D0" w:rsidP="00BA3E8B">
      <w:r>
        <w:t>Virksomheter rapporterer elektronisk, gjennom a-ordningen, oppl</w:t>
      </w:r>
      <w:r>
        <w:t>ysninger om bl.a. ansettelser og lønn, til flere etater. Virksomhetene har dermed opplysningene lett tilgjengelig for lønn</w:t>
      </w:r>
      <w:r>
        <w:t>s</w:t>
      </w:r>
      <w:r>
        <w:lastRenderedPageBreak/>
        <w:t>kartleggingen. Det antas derfor at merarbeidet knyttet til dokumentasjon av dette arbeidet vil være begrenset.</w:t>
      </w:r>
    </w:p>
    <w:p w:rsidR="00000000" w:rsidRDefault="00D718D0" w:rsidP="00BA3E8B">
      <w:r>
        <w:t>Samtidig kan forslaget</w:t>
      </w:r>
      <w:r>
        <w:t xml:space="preserve"> medføre en økning i andre typer personalkostnader. Barne-, likestillings- og i</w:t>
      </w:r>
      <w:r>
        <w:t>n</w:t>
      </w:r>
      <w:r>
        <w:t>klud</w:t>
      </w:r>
      <w:r>
        <w:t>e</w:t>
      </w:r>
      <w:r>
        <w:t>ringsdepartementet uttalte i høringsnotatet «Åpenhet om lønn – forslag om lønnsst</w:t>
      </w:r>
      <w:r>
        <w:t>a</w:t>
      </w:r>
      <w:r>
        <w:t>tistikker og opplysning</w:t>
      </w:r>
      <w:r>
        <w:t>s</w:t>
      </w:r>
      <w:r>
        <w:t>plikt i diskrimineringslovene» (2012) kapittel 4.1 følgende:</w:t>
      </w:r>
    </w:p>
    <w:p w:rsidR="00000000" w:rsidRDefault="00D718D0" w:rsidP="00BA3E8B">
      <w:pPr>
        <w:pStyle w:val="blokksit"/>
      </w:pPr>
      <w:r>
        <w:t>«Kjø</w:t>
      </w:r>
      <w:r>
        <w:t>nnsdelt lønnsstatistikk skal være et verktøy i likelønnsarbeidet og kan få konsekvenser for kvi</w:t>
      </w:r>
      <w:r>
        <w:t>n</w:t>
      </w:r>
      <w:r>
        <w:t>ners lønnsutvikling. Forslaget kan derfor innebære økte personalkostnader for arbeidsgiver dersom det fremmes nye lønnskrav eller det viser seg at avlønningen e</w:t>
      </w:r>
      <w:r>
        <w:t>r i strid med retten til lik</w:t>
      </w:r>
      <w:r>
        <w:t>e</w:t>
      </w:r>
      <w:r>
        <w:t>lønn. A</w:t>
      </w:r>
      <w:r>
        <w:t>r</w:t>
      </w:r>
      <w:r>
        <w:t>beidsgiver kan velge flere måter å møte nye lønnskrav på, enten ved å øke personalkos</w:t>
      </w:r>
      <w:r>
        <w:t>t</w:t>
      </w:r>
      <w:r>
        <w:t>nadene eller ved omdisponering innen eksisterende budsjettrammer. Det lar seg ikke gjøre å a</w:t>
      </w:r>
      <w:r>
        <w:t>n</w:t>
      </w:r>
      <w:r>
        <w:t>slå størrelsen på eve</w:t>
      </w:r>
      <w:r>
        <w:t>n</w:t>
      </w:r>
      <w:r>
        <w:t>tuelle økte person</w:t>
      </w:r>
      <w:r>
        <w:t>alkostnader.</w:t>
      </w:r>
    </w:p>
    <w:p w:rsidR="00000000" w:rsidRDefault="00D718D0" w:rsidP="00BA3E8B">
      <w:pPr>
        <w:pStyle w:val="blokksit"/>
      </w:pPr>
      <w:r>
        <w:t>Det vil fortsatt være partene i forhandlinger som bestemmer lønn, og ikke domstoler og jurister. Utarbeidelse av kjønnsdelte lønnsstatistikker er et verktøy for aktivitets- og redegjørelsesplikten slik den i dag er hjemlet i likestillingsloven</w:t>
      </w:r>
      <w:r>
        <w:t>. En ny plikt til å utarbeide statistikker vil derfor ikke endre b</w:t>
      </w:r>
      <w:r>
        <w:t>a</w:t>
      </w:r>
      <w:r>
        <w:t>lansen mellom retten til lik</w:t>
      </w:r>
      <w:r>
        <w:t>e</w:t>
      </w:r>
      <w:r>
        <w:t>lønn og retten til frie forhandlinger og det norske systemet for lønnsda</w:t>
      </w:r>
      <w:r>
        <w:t>n</w:t>
      </w:r>
      <w:r>
        <w:t>nelse.</w:t>
      </w:r>
    </w:p>
    <w:p w:rsidR="00000000" w:rsidRDefault="00D718D0" w:rsidP="00BA3E8B">
      <w:pPr>
        <w:pStyle w:val="blokksit"/>
      </w:pPr>
      <w:r>
        <w:t xml:space="preserve">Lønnsstatistikken kan gi kvinner en sterkere rolle i lokale lønnsforhandlinger. </w:t>
      </w:r>
      <w:r>
        <w:t>Med åpenhet og kunnskap om egen og andres lønn blir det lettere å argumentere og å oppnå resultater gjennom fo</w:t>
      </w:r>
      <w:r>
        <w:t>r</w:t>
      </w:r>
      <w:r>
        <w:t>handlinger. Dette er en helt legitim konsekvens og i tråd med prinsippene for fri lønnsdannelse gje</w:t>
      </w:r>
      <w:r>
        <w:t>n</w:t>
      </w:r>
      <w:r>
        <w:t>nom forhandlinger. Lønnsstatistikken gir alle</w:t>
      </w:r>
      <w:r>
        <w:t xml:space="preserve"> ansatte et felles og likestilt grunnlag for å føre forhan</w:t>
      </w:r>
      <w:r>
        <w:t>d</w:t>
      </w:r>
      <w:r>
        <w:t>linger.»</w:t>
      </w:r>
    </w:p>
    <w:p w:rsidR="00000000" w:rsidRDefault="00D718D0" w:rsidP="00BA3E8B">
      <w:r>
        <w:t>Disse vurderingene gjør seg gjeldende også for det foreliggende lovforslaget.</w:t>
      </w:r>
    </w:p>
    <w:p w:rsidR="00000000" w:rsidRDefault="00D718D0" w:rsidP="00BA3E8B">
      <w:r>
        <w:t>I tillegg pålegges arbeidsgivere med hhv. minst 50 eller 20 ansatte en plikt til å</w:t>
      </w:r>
      <w:r>
        <w:t xml:space="preserve"> kartlegge andelen av ufrivillig deltidsarbeid i virksomheten. Kartleggingen i seg selv vil ikke føre til økte kos</w:t>
      </w:r>
      <w:r>
        <w:t>t</w:t>
      </w:r>
      <w:r>
        <w:t>nader, da dette enkelt kan gjennomføres i forbindelse med f.eks. en medarbeidersamtale, turnus, utlysning av stillinger mv. Kartle</w:t>
      </w:r>
      <w:r>
        <w:t>g</w:t>
      </w:r>
      <w:r>
        <w:t>gingen vil</w:t>
      </w:r>
      <w:r>
        <w:t xml:space="preserve"> være en integrert del av arbeidsmetoden i fire trinn. Eventuelt merarbeid knyttet til oppfølgingen vil igjen avhenge av hvilke tiltak som utføres. Mulige tiltak kan være endring av bema</w:t>
      </w:r>
      <w:r>
        <w:t>n</w:t>
      </w:r>
      <w:r>
        <w:t>ningsplaner og turnu</w:t>
      </w:r>
      <w:r>
        <w:t>s</w:t>
      </w:r>
      <w:r>
        <w:t>ordninger, sammenslåing av små deltidsstillinger</w:t>
      </w:r>
      <w:r>
        <w:t>, utlysning av hele stillinger mv. jf. oppregningen av mulige tiltak som kan b</w:t>
      </w:r>
      <w:r>
        <w:t>e</w:t>
      </w:r>
      <w:r>
        <w:t>nyttes i kapittel 3.7.3.4.</w:t>
      </w:r>
    </w:p>
    <w:p w:rsidR="00000000" w:rsidRDefault="00D718D0" w:rsidP="00BA3E8B">
      <w:pPr>
        <w:pStyle w:val="Undertittel"/>
      </w:pPr>
      <w:r>
        <w:t>Aktivitetsplikten forankres i selskapers styre</w:t>
      </w:r>
    </w:p>
    <w:p w:rsidR="00000000" w:rsidRDefault="00D718D0" w:rsidP="00BA3E8B">
      <w:r>
        <w:t>Lovforslaget innebærer at ansvaret for et aktivt likestillingsarbeid skal forankres i selskapers styre.</w:t>
      </w:r>
      <w:r>
        <w:t xml:space="preserve"> Dette forslaget antas ikke å ha noen økonomiske og administrative konsekvenser av b</w:t>
      </w:r>
      <w:r>
        <w:t>e</w:t>
      </w:r>
      <w:r>
        <w:t>tydning for næringslivet eller det offentlige, utover de positive konsekvensene som er beskrevet i denne proposisjonen.</w:t>
      </w:r>
    </w:p>
    <w:p w:rsidR="00000000" w:rsidRDefault="00D718D0" w:rsidP="00BA3E8B">
      <w:pPr>
        <w:pStyle w:val="Overskrift4"/>
      </w:pPr>
      <w:r>
        <w:t>Styrking av redegjørelsesplikten</w:t>
      </w:r>
    </w:p>
    <w:p w:rsidR="00000000" w:rsidRDefault="00D718D0" w:rsidP="00BA3E8B">
      <w:r>
        <w:t>Mo</w:t>
      </w:r>
      <w:r>
        <w:t>dell 1 innebærer som nevnt at aktivitets- og redegjørelsesplikten skal forstås som en del av ulike sa</w:t>
      </w:r>
      <w:r>
        <w:t>m</w:t>
      </w:r>
      <w:r>
        <w:t>funnsaktørers bidrag til et bærekraftig samfunn.</w:t>
      </w:r>
    </w:p>
    <w:p w:rsidR="00000000" w:rsidRDefault="00D718D0" w:rsidP="00BA3E8B">
      <w:r>
        <w:t>Forslaget innebærer at arbeidsgivere i alle offentlige virksomheter, og arbeidsgivere i private vir</w:t>
      </w:r>
      <w:r>
        <w:t>k</w:t>
      </w:r>
      <w:r>
        <w:t>somhe</w:t>
      </w:r>
      <w:r>
        <w:t>ter som har minst 50 ansatte, skal redegjøre for den faktiske tilstanden når det gjelder kjønnslik</w:t>
      </w:r>
      <w:r>
        <w:t>e</w:t>
      </w:r>
      <w:r>
        <w:t>stilling i vir</w:t>
      </w:r>
      <w:r>
        <w:t>k</w:t>
      </w:r>
      <w:r>
        <w:t>somheten. Det samme gjelder arbeidsgivere i private virksomheter med mellom 20 og 50 ansatte når en av arbeidslivets parter i virksomheten kre</w:t>
      </w:r>
      <w:r>
        <w:t>ver det. Forslaget i</w:t>
      </w:r>
      <w:r>
        <w:t>n</w:t>
      </w:r>
      <w:r>
        <w:lastRenderedPageBreak/>
        <w:t>nebærer at disse arbeidsgivere også skal redegjøre for hva de gjør for å oppfylle aktivitetsplikten etter § 26. Plikten innebærer oppfølging av regelverksetterl</w:t>
      </w:r>
      <w:r>
        <w:t>e</w:t>
      </w:r>
      <w:r>
        <w:t>velse, jf. forslaget til § 26 a. A</w:t>
      </w:r>
      <w:r>
        <w:t>r</w:t>
      </w:r>
      <w:r>
        <w:t xml:space="preserve">beidsgivere i private virksomheter med </w:t>
      </w:r>
      <w:r>
        <w:t>færre enn 20 ansatte får en dok</w:t>
      </w:r>
      <w:r>
        <w:t>u</w:t>
      </w:r>
      <w:r>
        <w:t>mentasjonsplikt, ist</w:t>
      </w:r>
      <w:r>
        <w:t>e</w:t>
      </w:r>
      <w:r>
        <w:t>denfor en mer byrdefull redegjørelsesplikt.</w:t>
      </w:r>
    </w:p>
    <w:p w:rsidR="00000000" w:rsidRDefault="00D718D0" w:rsidP="00BA3E8B">
      <w:r>
        <w:t>Arbeidsgivere i offentlige virksomheter og arbeidsgivere i private virksomheter som har en plikt til å gi årsberetning, dvs. store regnskapspliktige foretak, h</w:t>
      </w:r>
      <w:r>
        <w:t>ar etter gjeldende rett en redegjøre</w:t>
      </w:r>
      <w:r>
        <w:t>l</w:t>
      </w:r>
      <w:r>
        <w:t>sesplikt.</w:t>
      </w:r>
    </w:p>
    <w:p w:rsidR="00000000" w:rsidRDefault="00D718D0" w:rsidP="00BA3E8B">
      <w:r>
        <w:t>Offentlige myndigheter og offentlige virksomheter har i rollen som arbeidsgiver altså allerede en r</w:t>
      </w:r>
      <w:r>
        <w:t>e</w:t>
      </w:r>
      <w:r>
        <w:t>degj</w:t>
      </w:r>
      <w:r>
        <w:t>ø</w:t>
      </w:r>
      <w:r>
        <w:t>relsesplikt. Disse virksomhetene vil derfor ikke få vesentlige merkostnader ved dette. I offentlig forva</w:t>
      </w:r>
      <w:r>
        <w:t>ltning kreves det i dag anslagsvis ca. ett dagsverk for å utarbeide en standardisert likestillingsred</w:t>
      </w:r>
      <w:r>
        <w:t>e</w:t>
      </w:r>
      <w:r>
        <w:t>gjørelse for den faktiske tilstanden for kjønn og for iverksatte og planlagte tiltak.</w:t>
      </w:r>
    </w:p>
    <w:p w:rsidR="00000000" w:rsidRDefault="00D718D0" w:rsidP="00BA3E8B">
      <w:r>
        <w:t>Effekten av de reviderte forslagene, sammenlignet med nullalternativ</w:t>
      </w:r>
      <w:r>
        <w:t>et antas ikke å være bet</w:t>
      </w:r>
      <w:r>
        <w:t>y</w:t>
      </w:r>
      <w:r>
        <w:t>delig for private virksomheter med færre enn 20 ansatte, som ifølge forslaget skal få en dok</w:t>
      </w:r>
      <w:r>
        <w:t>u</w:t>
      </w:r>
      <w:r>
        <w:t xml:space="preserve">mentasjonsplikt. Mer enn 90 % av små foretak har 20 eller færre ansatte. Arbeidsgivere i små private virksomheter under 20 ansatte får en </w:t>
      </w:r>
      <w:r>
        <w:t>g</w:t>
      </w:r>
      <w:r>
        <w:t>e</w:t>
      </w:r>
      <w:r>
        <w:t>nerell aktivitetsplikt og de kan, ut fra en analyse av situasjonen i den enkelte virksomhet, selv vurdere hvilke tiltak som skal iverksettes.</w:t>
      </w:r>
    </w:p>
    <w:p w:rsidR="00000000" w:rsidRDefault="00D718D0" w:rsidP="00BA3E8B">
      <w:r>
        <w:t>Virkningene av å innføre en redegjørelsesplikt for arbeidsgivere i private virksomheter med mellom 20 og 50 ansa</w:t>
      </w:r>
      <w:r>
        <w:t xml:space="preserve">tte (når en av arbeidslivets parter i virksomheten krever det) vil også i stor grad avhenge av hvilke tiltak som iverksettes. Og videre:»[h]vor omfattende omtalen skal være må tilpasses virksomhetens størrelse, slik at jo større virksomhet det er tale om, </w:t>
      </w:r>
      <w:r>
        <w:t>dess mer kan en forvente av omtalen», jf. Ot.prp. nr. 77 (2000–2001) kapittel 5.6.3. Dette utgangspunktet skal gjelde også for den her foreslåtte redegjørelsespli</w:t>
      </w:r>
      <w:r>
        <w:t>k</w:t>
      </w:r>
      <w:r>
        <w:t>ten. En redegj</w:t>
      </w:r>
      <w:r>
        <w:t>ø</w:t>
      </w:r>
      <w:r>
        <w:t>relse for lønnskartleggingen vil omfatte arbeidsgivere med ned mot 20 ansatte,</w:t>
      </w:r>
      <w:r>
        <w:t xml:space="preserve"> og det vil antakelig innebære administrative merkostnader for arbeidsgivere som ennå ikke utfører en slik kartle</w:t>
      </w:r>
      <w:r>
        <w:t>g</w:t>
      </w:r>
      <w:r>
        <w:t>ging.</w:t>
      </w:r>
    </w:p>
    <w:p w:rsidR="00000000" w:rsidRDefault="00D718D0" w:rsidP="00BA3E8B">
      <w:r>
        <w:t>Econ vurderte i 2007 kostnadsvirkninger av utvidelsen av den dagjeldende aktivitets- og red</w:t>
      </w:r>
      <w:r>
        <w:t>e</w:t>
      </w:r>
      <w:r>
        <w:t>gjøre</w:t>
      </w:r>
      <w:r>
        <w:t>l</w:t>
      </w:r>
      <w:r>
        <w:t>sesplikten til å gjelde ett nytt/nye d</w:t>
      </w:r>
      <w:r>
        <w:t>iskrimineringsgrunnlag, i tillegg til kjønn. Ifølge Econ kunne me</w:t>
      </w:r>
      <w:r>
        <w:t>r</w:t>
      </w:r>
      <w:r>
        <w:t>kostnadene på varig basis ligge mellom 48–58 mill. 2007-kroner for næringslivet. Estimert tidsbruk i private virksomheter med 20–49 ansatte ville være 4,5 timer (administrativ kostnad per an</w:t>
      </w:r>
      <w:r>
        <w:t>satt 67 2007-kroner) og for private virksomheter med mellom 50–99 ansatte 8 timer (administrativ kostnad per ansatt 50 2007-kroner). Alle arbeidsgivere har imidlertid all</w:t>
      </w:r>
      <w:r>
        <w:t>e</w:t>
      </w:r>
      <w:r>
        <w:t>rede en generell aktivitetsplikt, og merkostnader vil være begrenset til innføring av</w:t>
      </w:r>
      <w:r>
        <w:t xml:space="preserve"> en red</w:t>
      </w:r>
      <w:r>
        <w:t>e</w:t>
      </w:r>
      <w:r>
        <w:t>gj</w:t>
      </w:r>
      <w:r>
        <w:t>ø</w:t>
      </w:r>
      <w:r>
        <w:t>relsesplikt for private virksomheter som ikke har plikt til å levere inn årsberetning. Arbeidsgivere i foretak som ikke er små foretak har en redegjørelsesplikt etter gjeldende rett. Forslaget vil således ikke innebære vesentlige merkostnader fo</w:t>
      </w:r>
      <w:r>
        <w:t>r disse foretakene.</w:t>
      </w:r>
    </w:p>
    <w:p w:rsidR="00000000" w:rsidRDefault="00D718D0" w:rsidP="00BA3E8B">
      <w:r>
        <w:t>Modell 2 og 3 innebærer at arbeidsgiver pålegges en dokumentasjonsplikt, istedenfor en plikt til å r</w:t>
      </w:r>
      <w:r>
        <w:t>e</w:t>
      </w:r>
      <w:r>
        <w:t>degjøre for arbeidet etter nærmere bestemte regler og til å offentliggjøre redegjørelsen. Dokument</w:t>
      </w:r>
      <w:r>
        <w:t>a</w:t>
      </w:r>
      <w:r>
        <w:t>sjonsplikten antas ikke å medføre ve</w:t>
      </w:r>
      <w:r>
        <w:t>sentlige merkostnader for virksomhetene.</w:t>
      </w:r>
    </w:p>
    <w:p w:rsidR="00000000" w:rsidRDefault="00D718D0" w:rsidP="00BA3E8B">
      <w:pPr>
        <w:pStyle w:val="Overskrift3"/>
      </w:pPr>
      <w:r>
        <w:lastRenderedPageBreak/>
        <w:t>Konsekvenser for private</w:t>
      </w:r>
    </w:p>
    <w:p w:rsidR="00000000" w:rsidRDefault="00D718D0" w:rsidP="00BA3E8B">
      <w:pPr>
        <w:pStyle w:val="Overskrift4"/>
      </w:pPr>
      <w:r>
        <w:t>Lavterskeltilbud for behandling av saker om seksuell trakassering</w:t>
      </w:r>
    </w:p>
    <w:p w:rsidR="00000000" w:rsidRDefault="00D718D0" w:rsidP="00BA3E8B">
      <w:r>
        <w:t>Diskrimineringsnemndas myndighet til å fastsette oppreisning vil få</w:t>
      </w:r>
      <w:r>
        <w:t xml:space="preserve"> konsekvenser for priva</w:t>
      </w:r>
      <w:r>
        <w:t>t</w:t>
      </w:r>
      <w:r>
        <w:t>personer dersom gjeldende lovverk mot seksuell trakassering overtres.</w:t>
      </w:r>
    </w:p>
    <w:p w:rsidR="00000000" w:rsidRDefault="00D718D0" w:rsidP="00BA3E8B">
      <w:r>
        <w:t>Diskrimineringsnemnda vil kunne pålegge private å betale oppreisning i saker innenfor a</w:t>
      </w:r>
      <w:r>
        <w:t>r</w:t>
      </w:r>
      <w:r>
        <w:t>beidslivet. Op</w:t>
      </w:r>
      <w:r>
        <w:t>p</w:t>
      </w:r>
      <w:r>
        <w:t>reisningsbeløpet forutsettes holdt på et nivå mellom 20 000</w:t>
      </w:r>
      <w:r>
        <w:t xml:space="preserve"> og 80 000 kroner.</w:t>
      </w:r>
    </w:p>
    <w:p w:rsidR="00000000" w:rsidRDefault="00D718D0" w:rsidP="00BA3E8B">
      <w:r>
        <w:t>Diskrimineringsnemnda vil videre kunne pålegge private å betale erstatning for økonomisk tap i enkle sak</w:t>
      </w:r>
      <w:r>
        <w:t>s</w:t>
      </w:r>
      <w:r>
        <w:t>forhold både innenfor og utenfor arbeidslivet. Departementet legger til grunn at dette vil dreie seg om b</w:t>
      </w:r>
      <w:r>
        <w:t>e</w:t>
      </w:r>
      <w:r>
        <w:t xml:space="preserve">skjedne beløp med en øvre </w:t>
      </w:r>
      <w:r>
        <w:t>grense på 10 000 kroner.</w:t>
      </w:r>
    </w:p>
    <w:p w:rsidR="00000000" w:rsidRDefault="00D718D0" w:rsidP="00BA3E8B">
      <w:pPr>
        <w:pStyle w:val="Overskrift4"/>
      </w:pPr>
      <w:r>
        <w:t>Styrking av aktivitets- og redegjørelsesplikten</w:t>
      </w:r>
    </w:p>
    <w:p w:rsidR="00000000" w:rsidRDefault="00D718D0" w:rsidP="00BA3E8B">
      <w:r>
        <w:t>Styrket aktivitets- og redegjørelsesplikt for arbeidsgivere vil ikke få konsekvenser for private, utover en nytteeffekt for enkeltpersoner ved at aktivt arbeid kan vir</w:t>
      </w:r>
      <w:r>
        <w:t>ke forebyggende og føre til mindre diskrimin</w:t>
      </w:r>
      <w:r>
        <w:t>e</w:t>
      </w:r>
      <w:r>
        <w:t>ring og mer likestilling på individnivå.</w:t>
      </w:r>
    </w:p>
    <w:p w:rsidR="00000000" w:rsidRDefault="00D718D0" w:rsidP="00BA3E8B">
      <w:pPr>
        <w:pStyle w:val="Overskrift3"/>
      </w:pPr>
      <w:r>
        <w:t>Konsekvenser for offentlige myndigheter</w:t>
      </w:r>
    </w:p>
    <w:p w:rsidR="00000000" w:rsidRDefault="00D718D0" w:rsidP="00BA3E8B">
      <w:pPr>
        <w:pStyle w:val="Overskrift4"/>
      </w:pPr>
      <w:r>
        <w:t>Lavterskeltilbud for behandling av saker om seksuell trakassering</w:t>
      </w:r>
    </w:p>
    <w:p w:rsidR="00000000" w:rsidRDefault="00D718D0" w:rsidP="00BA3E8B">
      <w:r>
        <w:t>Forslaget innebær</w:t>
      </w:r>
      <w:r>
        <w:t>er utvidede oppgaver i Likestillings- og diskrimineringsombudet og Sekret</w:t>
      </w:r>
      <w:r>
        <w:t>a</w:t>
      </w:r>
      <w:r>
        <w:t>riatet for Diskrimineringsnemnda.</w:t>
      </w:r>
    </w:p>
    <w:p w:rsidR="00000000" w:rsidRDefault="00D718D0" w:rsidP="00BA3E8B">
      <w:r>
        <w:t>Forslaget innebærer at de sakene om seksuell trakassering som i dag bringes inn for domstolene vil kunne behandles i Diskrimineringsnemnda. Forslage</w:t>
      </w:r>
      <w:r>
        <w:t>t vil således avlaste domstolene. Do</w:t>
      </w:r>
      <w:r>
        <w:t>m</w:t>
      </w:r>
      <w:r>
        <w:t>stolene b</w:t>
      </w:r>
      <w:r>
        <w:t>e</w:t>
      </w:r>
      <w:r>
        <w:t>handler i dag svært få saker om seksuell trakassering, og avlastningen av domstolene vil derfor trolig være begrenset. Videre innebærer forslaget at nemndas avgjørelser kan ove</w:t>
      </w:r>
      <w:r>
        <w:t>r</w:t>
      </w:r>
      <w:r>
        <w:t>prøves av domstolene, og således</w:t>
      </w:r>
      <w:r>
        <w:t xml:space="preserve"> belaste domstolene. Det er vanskelig å anslå hvor mange saker som vil bringes inn for domstolene for overprøving, og dermed også hva den totale belastningen for domstolene vil være. Departementet antar imidlertid at det vil være få saker som bringes inn f</w:t>
      </w:r>
      <w:r>
        <w:t>or domstolene, og legger derfor til grunn at den totale belastningen på domstolene ikke vil i</w:t>
      </w:r>
      <w:r>
        <w:t>n</w:t>
      </w:r>
      <w:r>
        <w:t>nebære vesentlig økonomiske eller administrative konsekvenser.</w:t>
      </w:r>
    </w:p>
    <w:p w:rsidR="00000000" w:rsidRDefault="00D718D0" w:rsidP="00BA3E8B">
      <w:pPr>
        <w:pStyle w:val="Overskrift4"/>
      </w:pPr>
      <w:r>
        <w:t>Styrking av aktivitets- og redegjørelsesplikten</w:t>
      </w:r>
    </w:p>
    <w:p w:rsidR="00000000" w:rsidRDefault="00D718D0" w:rsidP="00BA3E8B">
      <w:r>
        <w:t>Forslaget innebærer utvidede oppgav</w:t>
      </w:r>
      <w:r>
        <w:t>er i Likestillings- og diskrimineringsombudet.</w:t>
      </w:r>
    </w:p>
    <w:p w:rsidR="00000000" w:rsidRDefault="00D718D0" w:rsidP="00BA3E8B">
      <w:r>
        <w:t>Myndighetenes aktivitetsplikt blir konkretisert. I tillegg pålegges myndighetene å redegjøre for a</w:t>
      </w:r>
      <w:r>
        <w:t>r</w:t>
      </w:r>
      <w:r>
        <w:t>beidet med likestilling. Offentlige myndigheter, i rollen som myndighetsutøver og tjenesteyter, har all</w:t>
      </w:r>
      <w:r>
        <w:t>e</w:t>
      </w:r>
      <w:r>
        <w:t>rede e</w:t>
      </w:r>
      <w:r>
        <w:t>n generell plikt til å arbeide aktivt, målrettet og planmessig for å oppfylle likesti</w:t>
      </w:r>
      <w:r>
        <w:t>l</w:t>
      </w:r>
      <w:r>
        <w:t>lings- og diskrim</w:t>
      </w:r>
      <w:r>
        <w:t>i</w:t>
      </w:r>
      <w:r>
        <w:t>neringslovens formål. Lovforslaget innebærer en tydeliggjøring av aktivitet</w:t>
      </w:r>
      <w:r>
        <w:t>s</w:t>
      </w:r>
      <w:r>
        <w:t>plikten myndighetene har etter gjeldende rett.</w:t>
      </w:r>
    </w:p>
    <w:p w:rsidR="00000000" w:rsidRDefault="00D718D0" w:rsidP="00BA3E8B">
      <w:r>
        <w:t>Redegjørelsesplikten kan anse</w:t>
      </w:r>
      <w:r>
        <w:t>s som en ny plikt for myndighetene, i sin rolle som myndighet</w:t>
      </w:r>
      <w:r>
        <w:t>s</w:t>
      </w:r>
      <w:r>
        <w:t>utøver og tj</w:t>
      </w:r>
      <w:r>
        <w:t>e</w:t>
      </w:r>
      <w:r>
        <w:t>nesteyter. Departementet foreslår at myndighetene skal offentliggjøre dokument</w:t>
      </w:r>
      <w:r>
        <w:t>a</w:t>
      </w:r>
      <w:r>
        <w:t>sjonen i årsrapporten (sta</w:t>
      </w:r>
      <w:r>
        <w:t>t</w:t>
      </w:r>
      <w:r>
        <w:t>lige myndigheter) eller i årsberetningen (fylkeskommunale og ko</w:t>
      </w:r>
      <w:r>
        <w:t>m</w:t>
      </w:r>
      <w:r>
        <w:t>munale mynd</w:t>
      </w:r>
      <w:r>
        <w:t>igheter).</w:t>
      </w:r>
    </w:p>
    <w:p w:rsidR="00000000" w:rsidRDefault="00D718D0" w:rsidP="00BA3E8B">
      <w:r>
        <w:t>Skjeie-utvalget foretok ikke noen kostnadsberegninger knyttet til sine anbefalinger for offentlige my</w:t>
      </w:r>
      <w:r>
        <w:t>n</w:t>
      </w:r>
      <w:r>
        <w:t>digheter. Utvalget uttalte at dette vil:</w:t>
      </w:r>
    </w:p>
    <w:p w:rsidR="00000000" w:rsidRDefault="00D718D0" w:rsidP="00BA3E8B">
      <w:pPr>
        <w:pStyle w:val="blokksit"/>
      </w:pPr>
      <w:r>
        <w:lastRenderedPageBreak/>
        <w:t>«langt på vei dreie seg om kostnader knyttet til å drive et systematisk arbeid»</w:t>
      </w:r>
    </w:p>
    <w:p w:rsidR="00000000" w:rsidRDefault="00D718D0" w:rsidP="00BA3E8B">
      <w:r>
        <w:t>og henviste til vurderi</w:t>
      </w:r>
      <w:r>
        <w:t>nger i Econ-rapporten om at det ikke var mulig å estimere hvor store kostnader tiltak etter aktivitetsplikten for arbeidsgivere vil få. Utvalget understreket samtidig at enkeltpersoner kan ha stor nytte av det systematiske likestillingsarbeidet myndigheten</w:t>
      </w:r>
      <w:r>
        <w:t>e utfører.</w:t>
      </w:r>
    </w:p>
    <w:p w:rsidR="00000000" w:rsidRDefault="00D718D0" w:rsidP="00BA3E8B">
      <w:r>
        <w:t>Departementets forslag innebærer at offentlige myndigheters redegjørelsesplikt vil være mer forpli</w:t>
      </w:r>
      <w:r>
        <w:t>k</w:t>
      </w:r>
      <w:r>
        <w:t>tende enn for store foretaks redegjørelsesplikt etter regnskapsloven § 3–3 c. På lik linje med arbeidsgivere som pålegges en redegjørelsesplikt et</w:t>
      </w:r>
      <w:r>
        <w:t>ter den foreslåtte likestillings- og di</w:t>
      </w:r>
      <w:r>
        <w:t>s</w:t>
      </w:r>
      <w:r>
        <w:t>krimineringsloven § 26 a, skal offentlige my</w:t>
      </w:r>
      <w:r>
        <w:t>n</w:t>
      </w:r>
      <w:r>
        <w:t>digheter utarbeide en gjennomtenkt «likesti</w:t>
      </w:r>
      <w:r>
        <w:t>l</w:t>
      </w:r>
      <w:r>
        <w:t>lingspolicy» på sitt forvaltningsområde. Denne «likestillingsp</w:t>
      </w:r>
      <w:r>
        <w:t>o</w:t>
      </w:r>
      <w:r>
        <w:t>licyen» innebærer at myndigh</w:t>
      </w:r>
      <w:r>
        <w:t>e</w:t>
      </w:r>
      <w:r>
        <w:t>tene skal utarbeide retningslinjer,</w:t>
      </w:r>
      <w:r>
        <w:t xml:space="preserve"> prinsipper, prosedyrer og standarder for sitt arbeid, og omsette disse til konkret handling i praksis.</w:t>
      </w:r>
    </w:p>
    <w:p w:rsidR="00000000" w:rsidRDefault="00D718D0" w:rsidP="00BA3E8B">
      <w:r>
        <w:t>Departementet legger til grunn at forslaget om en styrket aktivitetsplikt for offentlige myndi</w:t>
      </w:r>
      <w:r>
        <w:t>g</w:t>
      </w:r>
      <w:r>
        <w:t>heter ikke vil innebære vesentlige økonomiske eller admin</w:t>
      </w:r>
      <w:r>
        <w:t>istrative konsekvenser. Redegjøre</w:t>
      </w:r>
      <w:r>
        <w:t>l</w:t>
      </w:r>
      <w:r>
        <w:t>sesplikten vil derimot inn</w:t>
      </w:r>
      <w:r>
        <w:t>e</w:t>
      </w:r>
      <w:r>
        <w:t>bære merkostnader, både for statens egen virksomhet og kommunale virksomheter. Det vil imidlertid være vanskelig å tallfeste merkostnadene, men de kan bli særlig merkbare for små kommuner.</w:t>
      </w:r>
    </w:p>
    <w:p w:rsidR="00000000" w:rsidRDefault="00D718D0" w:rsidP="00BA3E8B">
      <w:r>
        <w:t>Depart</w:t>
      </w:r>
      <w:r>
        <w:t>ementet påpeker imidlertid at det skal utarbeides maler og skjemaer for likestillingsr</w:t>
      </w:r>
      <w:r>
        <w:t>e</w:t>
      </w:r>
      <w:r>
        <w:t>degj</w:t>
      </w:r>
      <w:r>
        <w:t>ø</w:t>
      </w:r>
      <w:r>
        <w:t>relsen og lønnskartleggingen. Dette skal sikre at oppfølgingen blir enkel å gjennomføre for de ulike vir</w:t>
      </w:r>
      <w:r>
        <w:t>k</w:t>
      </w:r>
      <w:r>
        <w:t>somhetene, slik at kostnadsnivået holdes nede.</w:t>
      </w:r>
    </w:p>
    <w:p w:rsidR="00000000" w:rsidRDefault="00D718D0" w:rsidP="00BA3E8B">
      <w:r>
        <w:t>De største k</w:t>
      </w:r>
      <w:r>
        <w:t>ostnadene vil påløpe hovedsakelig det første året, i forbindelse med implementering av nye rutiner for å dokumentere arbeidet med likestilling. Små kommuner har mindre ressurser og administr</w:t>
      </w:r>
      <w:r>
        <w:t>a</w:t>
      </w:r>
      <w:r>
        <w:t>sjon ti</w:t>
      </w:r>
      <w:r>
        <w:t>l</w:t>
      </w:r>
      <w:r>
        <w:t>gjengelig og vil kunne oppleve redegjørelsesplikten som r</w:t>
      </w:r>
      <w:r>
        <w:t>elativt sett mer ressurskrevende enn større ko</w:t>
      </w:r>
      <w:r>
        <w:t>m</w:t>
      </w:r>
      <w:r>
        <w:t>muner. I tillegg er det ofte kompetanseutfordringer i små ko</w:t>
      </w:r>
      <w:r>
        <w:t>m</w:t>
      </w:r>
      <w:r>
        <w:t>muner.</w:t>
      </w:r>
    </w:p>
    <w:p w:rsidR="00000000" w:rsidRDefault="00D718D0" w:rsidP="00BA3E8B">
      <w:r>
        <w:t>Nytteeffektene av en styrket aktivitets- og redegjørelsesplikt kan være at pliktene kan gi en</w:t>
      </w:r>
      <w:r>
        <w:t>d</w:t>
      </w:r>
      <w:r>
        <w:t xml:space="preserve">ringer i personal- og rekrutteringspolitikk og </w:t>
      </w:r>
      <w:r>
        <w:t>derfor på sikt bidra til et mer likestilt arbeidsliv, med bedre kjønn</w:t>
      </w:r>
      <w:r>
        <w:t>s</w:t>
      </w:r>
      <w:r>
        <w:t>balanse og likelønn. Aktivitets- og redegjørelsesplikten etter likestillings- og diskrimineringsloven er et viktig verktøy for å nå målet om reell likestilling.</w:t>
      </w:r>
    </w:p>
    <w:p w:rsidR="00000000" w:rsidRDefault="00D718D0" w:rsidP="00BA3E8B">
      <w:r>
        <w:t>At arbeidsgivere får en p</w:t>
      </w:r>
      <w:r>
        <w:t>likt til å motarbeide sammensatt diskriminering, bidrar til mer man</w:t>
      </w:r>
      <w:r>
        <w:t>g</w:t>
      </w:r>
      <w:r>
        <w:t>foldig arbeidsliv. Tydeliggjøring av aktivitetsplikten knyttet til forebygging av seksuell traka</w:t>
      </w:r>
      <w:r>
        <w:t>s</w:t>
      </w:r>
      <w:r>
        <w:t>sering og kjønn</w:t>
      </w:r>
      <w:r>
        <w:t>s</w:t>
      </w:r>
      <w:r>
        <w:t>basert vold, styrker det strukturelle diskrimineringsvernet, særlig for kvi</w:t>
      </w:r>
      <w:r>
        <w:t>nner. Det bidrar til større b</w:t>
      </w:r>
      <w:r>
        <w:t>e</w:t>
      </w:r>
      <w:r>
        <w:t>vissthet om at kjønnsbasert vold er å anse som diskriminering, og dermed forbedre diskrimineringsvernet også på indivi</w:t>
      </w:r>
      <w:r>
        <w:t>d</w:t>
      </w:r>
      <w:r>
        <w:t>nivå. At arbeidsgivere i mindre private vir</w:t>
      </w:r>
      <w:r>
        <w:t>k</w:t>
      </w:r>
      <w:r>
        <w:t>somheter blir omfattet av den lovbestemte a</w:t>
      </w:r>
      <w:r>
        <w:t>r</w:t>
      </w:r>
      <w:r>
        <w:t>beidsmetoden som er</w:t>
      </w:r>
      <w:r>
        <w:t xml:space="preserve"> beskrevet i likestillings- og diskrimineringsloven § 26 annet ledd, innebærer at flere virksomheter jobber mer systematisk og kontinuerlig med likestilling. Dette bidrar til måloppnåelsen, dvs. mer likestilling. Videre vil kartlegging av lønnsforskjeller </w:t>
      </w:r>
      <w:r>
        <w:t>mellom kvinner og menn bidra til mer åpenhet om lønn, noe som vil kunne minske risikoen for diskriminering ved lønnsfastsettelsen og bidra til likelønn. Det er grunnleggende for likestilling å kunne forsørge seg selv. Kartlegging av bruken av ufrivillig de</w:t>
      </w:r>
      <w:r>
        <w:t>l</w:t>
      </w:r>
      <w:r>
        <w:t>tidsarbeid fremmer heltidsarbeid, og dermed likestilling. At forpliktelsen til å jobbe aktivt for likestilling tydelig forankres i aksjeselskapers og allmenaksjeselskapers styre innebærer at disse sakene skal styr</w:t>
      </w:r>
      <w:r>
        <w:t>e</w:t>
      </w:r>
      <w:r>
        <w:t>behandles. Det antas at dette øker innsat</w:t>
      </w:r>
      <w:r>
        <w:t>sen for aktivt likestilling i næringslivet.</w:t>
      </w:r>
    </w:p>
    <w:p w:rsidR="00000000" w:rsidRDefault="00D718D0" w:rsidP="00BA3E8B">
      <w:r>
        <w:lastRenderedPageBreak/>
        <w:t>Arbeidsgivere i de minste private virksomhetene med under 20 ansatte får en dokumentasjon</w:t>
      </w:r>
      <w:r>
        <w:t>s</w:t>
      </w:r>
      <w:r>
        <w:t>plikt. Arbeid</w:t>
      </w:r>
      <w:r>
        <w:t>s</w:t>
      </w:r>
      <w:r>
        <w:t>givere i alle offentlige virksomheter og i private virksomheter med minst 50 a</w:t>
      </w:r>
      <w:r>
        <w:t>n</w:t>
      </w:r>
      <w:r>
        <w:t>satte, pålegges redegjørelse</w:t>
      </w:r>
      <w:r>
        <w:t>s</w:t>
      </w:r>
      <w:r>
        <w:t>plikt. Virksomheter med mellom 20 og 50 ansatte får dokument</w:t>
      </w:r>
      <w:r>
        <w:t>a</w:t>
      </w:r>
      <w:r>
        <w:t>sjonsplikt, men dersom en av partene i a</w:t>
      </w:r>
      <w:r>
        <w:t>r</w:t>
      </w:r>
      <w:r>
        <w:t>beidslivet krever det, får de full redegjørelsesplikt. Dokumentasjons- og redegjørelsesplikten bidrar til gode rammevilkår for små og mellomstore bedrifte</w:t>
      </w:r>
      <w:r>
        <w:t>r i tråd med Granavolden-erklæringen. Red</w:t>
      </w:r>
      <w:r>
        <w:t>e</w:t>
      </w:r>
      <w:r>
        <w:t>gjørelsesplikten, sammen med Likestillings- og diskrimineringsombudets oppfølging og Diskrimin</w:t>
      </w:r>
      <w:r>
        <w:t>e</w:t>
      </w:r>
      <w:r>
        <w:t>ringsnemndas håndheving, sikrer en god måloppnåelse og nytte-effekter, i form av styrket likestilling i samfunnet. Offe</w:t>
      </w:r>
      <w:r>
        <w:t>ntlige myndi</w:t>
      </w:r>
      <w:r>
        <w:t>g</w:t>
      </w:r>
      <w:r>
        <w:t>heters aktivitetsplikt styrkes ved at det gjennom lovendringer blir tydeligere og klargjort hva virksomhetenes aktivitetsplikt omfatter. Videre vil det at tjenestene skal utformes slik at alle kan nyttiggjøre seg tjenestene antas å bidra til b</w:t>
      </w:r>
      <w:r>
        <w:t>edre ressursutnyttelse. Redegjørelsesplikten for my</w:t>
      </w:r>
      <w:r>
        <w:t>n</w:t>
      </w:r>
      <w:r>
        <w:t>dighetene bidrar til større åpenhet, bedre oppfølging, og øker dermed måloppnåelsen.</w:t>
      </w:r>
    </w:p>
    <w:p w:rsidR="00000000" w:rsidRDefault="00D718D0" w:rsidP="00BA3E8B">
      <w:pPr>
        <w:pStyle w:val="Overskrift1"/>
      </w:pPr>
      <w:r>
        <w:t>Merknader til lovforslaget</w:t>
      </w:r>
    </w:p>
    <w:p w:rsidR="00000000" w:rsidRDefault="00D718D0" w:rsidP="00BA3E8B">
      <w:pPr>
        <w:pStyle w:val="Overskrift2"/>
      </w:pPr>
      <w:r>
        <w:t>Til endringene i diskrimineringsombudsloven</w:t>
      </w:r>
    </w:p>
    <w:p w:rsidR="00000000" w:rsidRDefault="00D718D0" w:rsidP="00BA3E8B">
      <w:pPr>
        <w:pStyle w:val="avsnitt-undertittel"/>
      </w:pPr>
      <w:r>
        <w:t>Til § 1 Virkeområde</w:t>
      </w:r>
    </w:p>
    <w:p w:rsidR="00000000" w:rsidRDefault="00D718D0" w:rsidP="00BA3E8B">
      <w:r>
        <w:t xml:space="preserve">Bestemmelsens </w:t>
      </w:r>
      <w:r>
        <w:rPr>
          <w:rStyle w:val="kursiv"/>
          <w:sz w:val="21"/>
          <w:szCs w:val="21"/>
        </w:rPr>
        <w:t xml:space="preserve">annet ledd bokstav c </w:t>
      </w:r>
      <w:r>
        <w:t>er endret for å rette opp en inkurie. Ved vedtakelse av ny diskrimin</w:t>
      </w:r>
      <w:r>
        <w:t>e</w:t>
      </w:r>
      <w:r>
        <w:t>ringsombudslov i juni 2017 ble det vist til den gamle eierseksjonsloven, som er opphevet. Ny eierse</w:t>
      </w:r>
      <w:r>
        <w:t>k</w:t>
      </w:r>
      <w:r>
        <w:t>sjonslov ble vedtatt 16. juni 2017. Bestemmelsen end</w:t>
      </w:r>
      <w:r>
        <w:t>res, slik at det nå vises til ny eierseksjonslov § 6.</w:t>
      </w:r>
    </w:p>
    <w:p w:rsidR="00000000" w:rsidRDefault="00D718D0" w:rsidP="00BA3E8B">
      <w:r>
        <w:t xml:space="preserve">Bestemmelsen har fått et </w:t>
      </w:r>
      <w:r>
        <w:rPr>
          <w:rStyle w:val="kursiv"/>
          <w:sz w:val="21"/>
          <w:szCs w:val="21"/>
        </w:rPr>
        <w:t>nytt tredje led</w:t>
      </w:r>
      <w:r>
        <w:t>d som fastslår at ombudets virksomhet, dvs. veiledning og oppfølging, omfatter foretaks rapportering om likestilling og ikke-diskriminering etter regn</w:t>
      </w:r>
      <w:r>
        <w:t>s</w:t>
      </w:r>
      <w:r>
        <w:t>kapsloven §</w:t>
      </w:r>
      <w:r>
        <w:t> 3–3 c. Ombudets oppgaver knyttet til oppfølgingen av aktivitets- og redegjørelse</w:t>
      </w:r>
      <w:r>
        <w:t>s</w:t>
      </w:r>
      <w:r>
        <w:t>plikten fremgår av § 5 nytt fjerde ledd.</w:t>
      </w:r>
    </w:p>
    <w:p w:rsidR="00000000" w:rsidRDefault="00D718D0" w:rsidP="00BA3E8B">
      <w:r>
        <w:t>Bestemmelsens nåværende tredje ledd blir nytt fjerde ledd.</w:t>
      </w:r>
    </w:p>
    <w:p w:rsidR="00000000" w:rsidRDefault="00D718D0" w:rsidP="00BA3E8B">
      <w:pPr>
        <w:pStyle w:val="avsnitt-undertittel"/>
      </w:pPr>
      <w:r>
        <w:t>Til § 5 Ombudets oppgaver</w:t>
      </w:r>
    </w:p>
    <w:p w:rsidR="00000000" w:rsidRDefault="00D718D0" w:rsidP="00BA3E8B">
      <w:r>
        <w:t xml:space="preserve">Bestemmelsens </w:t>
      </w:r>
      <w:r>
        <w:rPr>
          <w:rStyle w:val="kursiv"/>
          <w:sz w:val="21"/>
          <w:szCs w:val="21"/>
        </w:rPr>
        <w:t xml:space="preserve">annet ledd </w:t>
      </w:r>
      <w:r>
        <w:t>er endret slik at det n</w:t>
      </w:r>
      <w:r>
        <w:t>å klart fremgår at ombudet også skal gi veiledning i e</w:t>
      </w:r>
      <w:r>
        <w:t>n</w:t>
      </w:r>
      <w:r>
        <w:t>keltsaker.</w:t>
      </w:r>
    </w:p>
    <w:p w:rsidR="00000000" w:rsidRDefault="00D718D0" w:rsidP="00BA3E8B">
      <w:r>
        <w:t>Praksis ved ombudet er at alle henvendelser om veiledning behandles. Ingen saker avvises. Depart</w:t>
      </w:r>
      <w:r>
        <w:t>e</w:t>
      </w:r>
      <w:r>
        <w:t>mentet ønsker å sikre at den som opplever seksuell trakassering skal ha et sted å he</w:t>
      </w:r>
      <w:r>
        <w:t>n</w:t>
      </w:r>
      <w:r>
        <w:t>vende se</w:t>
      </w:r>
      <w:r>
        <w:t>g – enten muntlig eller skriftlig. Ikke alle vet med sikkerhet om det de har blitt utsatt for er ulovlig, eller om det er mulighet for å gjøre noe med det. Å ivareta de som blir utsatt for seksuell trakassering og eventuelle andre varslere, og å finne frem</w:t>
      </w:r>
      <w:r>
        <w:t xml:space="preserve"> til gode løsninger i sakene, er viktig.</w:t>
      </w:r>
    </w:p>
    <w:p w:rsidR="00000000" w:rsidRDefault="00D718D0" w:rsidP="00BA3E8B">
      <w:r>
        <w:t xml:space="preserve">Bestemmelsen har fått et </w:t>
      </w:r>
      <w:r>
        <w:rPr>
          <w:rStyle w:val="kursiv"/>
          <w:sz w:val="21"/>
          <w:szCs w:val="21"/>
        </w:rPr>
        <w:t xml:space="preserve">nytt fjerde ledd </w:t>
      </w:r>
      <w:r>
        <w:t>som fastslår at ombudet, i tillegg til veiledning, også skal følge opp aktivitets- og redegjørelsesplikten etter likestillings- og diskrimineringsloven §§ 24, 25, 26 og 26a.</w:t>
      </w:r>
      <w:r>
        <w:t xml:space="preserve"> Ombudets veiledning og oppfølging omfatter videre rapporteringsplikten om </w:t>
      </w:r>
      <w:r>
        <w:lastRenderedPageBreak/>
        <w:t>likestilling og i</w:t>
      </w:r>
      <w:r>
        <w:t>k</w:t>
      </w:r>
      <w:r>
        <w:t>ke-diskriminering etter regnskapsloven § 3–3 c, som store regnskapspliktige foretak er pålagt å oppfylle, jf. omtalen av ombudets oppgaver i kapittel 3.11.3.1.</w:t>
      </w:r>
    </w:p>
    <w:p w:rsidR="00000000" w:rsidRDefault="00D718D0" w:rsidP="00BA3E8B">
      <w:r>
        <w:t>Omb</w:t>
      </w:r>
      <w:r>
        <w:t>udet skal gi veiledning om aktivitets- og redegjørelsesplikten til alle, jf. annet ledd som stadfester at enhver kan henvende seg til ombudet for veiledning.</w:t>
      </w:r>
    </w:p>
    <w:p w:rsidR="00000000" w:rsidRDefault="00D718D0" w:rsidP="00BA3E8B">
      <w:r>
        <w:t>Ombudets oppfølging kan innebære for eksempel at ombudet og arbeidsg</w:t>
      </w:r>
      <w:r>
        <w:t>i</w:t>
      </w:r>
      <w:r>
        <w:t>ver/virksomhetsledelsen i fel</w:t>
      </w:r>
      <w:r>
        <w:t>lesskap utarbeider en felles tilnærming til hvordan aktivitetsplikten følges opp i virksomheten. Dette betyr at Ombudet og arbeidsgiver opparbeider felles forståelse av likestillingsutfordringer i virksomheten. Virksomheten lager, på bakgrunn av dette sama</w:t>
      </w:r>
      <w:r>
        <w:t>r</w:t>
      </w:r>
      <w:r>
        <w:t>beidet, en overordnet plan for hvordan likestillingsa</w:t>
      </w:r>
      <w:r>
        <w:t>r</w:t>
      </w:r>
      <w:r>
        <w:t>beidet følges opp. Ombudet kan også gjennomgå virksomhetens dokumentasjon for å vurdere hvilke r</w:t>
      </w:r>
      <w:r>
        <w:t>e</w:t>
      </w:r>
      <w:r>
        <w:t>sultater som er oppnådd og for å avklare hvilke forventninger virksomheten har for dette arbeidet fre</w:t>
      </w:r>
      <w:r>
        <w:t>m</w:t>
      </w:r>
      <w:r>
        <w:t>ov</w:t>
      </w:r>
      <w:r>
        <w:t>er. Ombudets oppfølging vil basere seg på bransjekontroller og stikkprøver.</w:t>
      </w:r>
    </w:p>
    <w:p w:rsidR="00000000" w:rsidRDefault="00D718D0" w:rsidP="00BA3E8B">
      <w:r>
        <w:t>Likestillings- og diskrimineringsombudet kan videre, på eget initiativ, gjennomgå virksomhe</w:t>
      </w:r>
      <w:r>
        <w:t>t</w:t>
      </w:r>
      <w:r>
        <w:t>enes l</w:t>
      </w:r>
      <w:r>
        <w:t>i</w:t>
      </w:r>
      <w:r>
        <w:t>kesti</w:t>
      </w:r>
      <w:r>
        <w:t>l</w:t>
      </w:r>
      <w:r>
        <w:t xml:space="preserve">lingsredegjørelser og sikre at redegjørelsene tilfredsstiller lovens krav. </w:t>
      </w:r>
      <w:r>
        <w:t>Ombudet kan følge opp at virkso</w:t>
      </w:r>
      <w:r>
        <w:t>m</w:t>
      </w:r>
      <w:r>
        <w:t>hetene faktisk har en redegjørelse og også vurdere disse. Ombudet kan, i samarbeid med den aktuelle vir</w:t>
      </w:r>
      <w:r>
        <w:t>k</w:t>
      </w:r>
      <w:r>
        <w:t xml:space="preserve">somheten, analysere funnene, og komme med et forslag til forbedringstiltak, jf. Skjeie-utvalgets anbefaling om oppgaver </w:t>
      </w:r>
      <w:r>
        <w:t>for et nytt direktorat for likesti</w:t>
      </w:r>
      <w:r>
        <w:t>l</w:t>
      </w:r>
      <w:r>
        <w:t>ling i NOU 2011: 18 kapittel 6.2.3.</w:t>
      </w:r>
    </w:p>
    <w:p w:rsidR="00000000" w:rsidRDefault="00D718D0" w:rsidP="00BA3E8B">
      <w:r>
        <w:t>Ombudet har adgang til å gjennomføre oppfølgingsbesøk i virksomheten. Dersom arbeidsg</w:t>
      </w:r>
      <w:r>
        <w:t>i</w:t>
      </w:r>
      <w:r>
        <w:t>ver/virksomheten ikke oppfyller lovens krav, kan ombudet bringe en sak om brudd på arbeid</w:t>
      </w:r>
      <w:r>
        <w:t>s</w:t>
      </w:r>
      <w:r>
        <w:t>givers r</w:t>
      </w:r>
      <w:r>
        <w:t>e</w:t>
      </w:r>
      <w:r>
        <w:t>degjørelsesplikt inn for nemnda, jf. diskrimineringsombudsloven § 8, jf. § 7.</w:t>
      </w:r>
    </w:p>
    <w:p w:rsidR="00000000" w:rsidRDefault="00D718D0" w:rsidP="00BA3E8B">
      <w:pPr>
        <w:pStyle w:val="avsnitt-undertittel"/>
      </w:pPr>
      <w:r>
        <w:t>Til § 6 Nemndas organisering</w:t>
      </w:r>
    </w:p>
    <w:p w:rsidR="00000000" w:rsidRDefault="00D718D0" w:rsidP="00BA3E8B">
      <w:r>
        <w:t xml:space="preserve">Bestemmelsens </w:t>
      </w:r>
      <w:r>
        <w:rPr>
          <w:rStyle w:val="kursiv"/>
          <w:sz w:val="21"/>
          <w:szCs w:val="21"/>
        </w:rPr>
        <w:t xml:space="preserve">annet ledd </w:t>
      </w:r>
      <w:r>
        <w:t>er endret slik at reglene om sammensetning ikke tallfestes.</w:t>
      </w:r>
    </w:p>
    <w:p w:rsidR="00000000" w:rsidRDefault="00D718D0" w:rsidP="00BA3E8B">
      <w:r>
        <w:t>Dette vil gjøre det lettere å regulere nemndas kapasitet i tråd</w:t>
      </w:r>
      <w:r>
        <w:t xml:space="preserve"> med eventuelle endringer i re</w:t>
      </w:r>
      <w:r>
        <w:t>s</w:t>
      </w:r>
      <w:r>
        <w:t>sursbehov. Det presiseres likevel at eventuelle justeringer i budsjettbevilgningene må behandles i de ordinære bu</w:t>
      </w:r>
      <w:r>
        <w:t>d</w:t>
      </w:r>
      <w:r>
        <w:t>sjettpr</w:t>
      </w:r>
      <w:r>
        <w:t>o</w:t>
      </w:r>
      <w:r>
        <w:t>sesser, og at tiltak ikke kan gjennomføres før det er budsjettmessig dekning.</w:t>
      </w:r>
    </w:p>
    <w:p w:rsidR="00000000" w:rsidRDefault="00D718D0" w:rsidP="00BA3E8B">
      <w:r>
        <w:t>Nemndas ledere deltar i h</w:t>
      </w:r>
      <w:r>
        <w:t>ver sin avdeling, og en leder skal oppnevnes som administrativ leder. Den adm</w:t>
      </w:r>
      <w:r>
        <w:t>i</w:t>
      </w:r>
      <w:r>
        <w:t>nistrative lederen gis et overordnet ansvar for koordinering og organiseringen av a</w:t>
      </w:r>
      <w:r>
        <w:t>r</w:t>
      </w:r>
      <w:r>
        <w:t>beidet inn mot de øvrige lederne i nemnda. Rollen innebærer i hovedsak å være nemndas ko</w:t>
      </w:r>
      <w:r>
        <w:t>n</w:t>
      </w:r>
      <w:r>
        <w:t>taktp</w:t>
      </w:r>
      <w:r>
        <w:t>erson for Sekretariatet, men lederen skal også fordele oppgaver til de andre nemndslederne ved behov. Det presiseres at rollen som administrativ leder ikke innebærer et overordnet ansvar for å utføre alle administrative oppgaver.</w:t>
      </w:r>
    </w:p>
    <w:p w:rsidR="00000000" w:rsidRDefault="00D718D0" w:rsidP="00BA3E8B">
      <w:pPr>
        <w:pStyle w:val="avsnitt-undertittel"/>
      </w:pPr>
      <w:r>
        <w:t>Til § 7 Nemndas ansvarsomr</w:t>
      </w:r>
      <w:r>
        <w:t>åde</w:t>
      </w:r>
    </w:p>
    <w:p w:rsidR="00000000" w:rsidRDefault="00D718D0" w:rsidP="00BA3E8B">
      <w:r>
        <w:t xml:space="preserve">Bestemmelsen er endret slik at </w:t>
      </w:r>
      <w:r>
        <w:rPr>
          <w:rStyle w:val="kursiv"/>
          <w:sz w:val="21"/>
          <w:szCs w:val="21"/>
        </w:rPr>
        <w:t>første ledd bokstav a</w:t>
      </w:r>
      <w:r>
        <w:t>, der håndhevingen av forbudet mot seksuell trakass</w:t>
      </w:r>
      <w:r>
        <w:t>e</w:t>
      </w:r>
      <w:r>
        <w:t>ring etter likestillings- og diskrimineringsloven er unntatt fra nemndas myndighetso</w:t>
      </w:r>
      <w:r>
        <w:t>m</w:t>
      </w:r>
      <w:r>
        <w:t>råde, er opphevet. Opplisting i paragrafen er som følge av dett</w:t>
      </w:r>
      <w:r>
        <w:t>e endret (a-h).</w:t>
      </w:r>
    </w:p>
    <w:p w:rsidR="00000000" w:rsidRDefault="00D718D0" w:rsidP="00BA3E8B">
      <w:r>
        <w:t>Videre er arbeidsgivers opplysningsplikt etter likestillings- og diskrimineringsloven § 26 b unntatt fra nemndas håndhevingsmyndighet, jf. bokstav e.</w:t>
      </w:r>
    </w:p>
    <w:p w:rsidR="00000000" w:rsidRDefault="00D718D0" w:rsidP="00BA3E8B">
      <w:pPr>
        <w:pStyle w:val="avsnitt-undertittel"/>
      </w:pPr>
      <w:r>
        <w:lastRenderedPageBreak/>
        <w:t>Til § 9 Skriftlig og muntlig behandling av saken</w:t>
      </w:r>
    </w:p>
    <w:p w:rsidR="00000000" w:rsidRDefault="00D718D0" w:rsidP="00BA3E8B">
      <w:r>
        <w:t xml:space="preserve">Bestemmelsens </w:t>
      </w:r>
      <w:r>
        <w:rPr>
          <w:rStyle w:val="kursiv"/>
          <w:sz w:val="21"/>
          <w:szCs w:val="21"/>
        </w:rPr>
        <w:t xml:space="preserve">fjerde punktum </w:t>
      </w:r>
      <w:r>
        <w:t>er endret sl</w:t>
      </w:r>
      <w:r>
        <w:t>ik at partene gis en ubetinget rett til å kreve muntlige forhan</w:t>
      </w:r>
      <w:r>
        <w:t>d</w:t>
      </w:r>
      <w:r>
        <w:t>linger i saker om seksuell trakassering. Det presiseres at dette også vil gjelde for saker etter likestillings- og diskrimineringsloven § 13 sjette ledd og §§ 14, 15 og 16.</w:t>
      </w:r>
    </w:p>
    <w:p w:rsidR="00000000" w:rsidRDefault="00D718D0" w:rsidP="00BA3E8B">
      <w:r>
        <w:t>Nemndleder gis imid</w:t>
      </w:r>
      <w:r>
        <w:t>lertid også i disse sakene myndighet til å vurdere omfanget av den muntlige b</w:t>
      </w:r>
      <w:r>
        <w:t>e</w:t>
      </w:r>
      <w:r>
        <w:t>han</w:t>
      </w:r>
      <w:r>
        <w:t>d</w:t>
      </w:r>
      <w:r>
        <w:t>lingen.</w:t>
      </w:r>
    </w:p>
    <w:p w:rsidR="00000000" w:rsidRDefault="00D718D0" w:rsidP="00BA3E8B">
      <w:r>
        <w:t>Muntlig behandling vil blant annet legge til rette for avhør av parter og vitner. Muntlig behan</w:t>
      </w:r>
      <w:r>
        <w:t>d</w:t>
      </w:r>
      <w:r>
        <w:t>ling vil gjøre det enklere for partene å få fremmet sitt syn, og nemnd</w:t>
      </w:r>
      <w:r>
        <w:t>as medlemmer vil bedre kunne vurdere pa</w:t>
      </w:r>
      <w:r>
        <w:t>r</w:t>
      </w:r>
      <w:r>
        <w:t>tenes trove</w:t>
      </w:r>
      <w:r>
        <w:t>r</w:t>
      </w:r>
      <w:r>
        <w:t>dighet og eventuelle vitners forklaringer. Partene sikres en m</w:t>
      </w:r>
      <w:r>
        <w:t>u</w:t>
      </w:r>
      <w:r>
        <w:t>lighet til umiddelbart å imøtegå motpartens fremstilling.</w:t>
      </w:r>
    </w:p>
    <w:p w:rsidR="00000000" w:rsidRDefault="00D718D0" w:rsidP="00BA3E8B">
      <w:r>
        <w:t>Det kan, med moderne informasjons- og kommunikasjonsteknologi, legges til rette for</w:t>
      </w:r>
      <w:r>
        <w:t xml:space="preserve"> å gje</w:t>
      </w:r>
      <w:r>
        <w:t>n</w:t>
      </w:r>
      <w:r>
        <w:t>nomføre mun</w:t>
      </w:r>
      <w:r>
        <w:t>t</w:t>
      </w:r>
      <w:r>
        <w:t>lighet uten at parter og vitner nødvendigvis er fysisk til stede i møtelokalet dersom dette viser seg vanskelig. Muntlighet kan for eksempel gjennomføres via alternative kanaler, som telefon, videokonf</w:t>
      </w:r>
      <w:r>
        <w:t>e</w:t>
      </w:r>
      <w:r>
        <w:t>ranser eller li</w:t>
      </w:r>
      <w:r>
        <w:t>g</w:t>
      </w:r>
      <w:r>
        <w:t>nende.</w:t>
      </w:r>
    </w:p>
    <w:p w:rsidR="00000000" w:rsidRDefault="00D718D0" w:rsidP="00BA3E8B">
      <w:pPr>
        <w:pStyle w:val="avsnitt-undertittel"/>
      </w:pPr>
      <w:r>
        <w:t>Til § 10 Avv</w:t>
      </w:r>
      <w:r>
        <w:t>isning og henleggelse</w:t>
      </w:r>
    </w:p>
    <w:p w:rsidR="00000000" w:rsidRDefault="00D718D0" w:rsidP="00BA3E8B">
      <w:r>
        <w:t xml:space="preserve">Bestemmelsens </w:t>
      </w:r>
      <w:r>
        <w:rPr>
          <w:rStyle w:val="kursiv"/>
          <w:sz w:val="21"/>
          <w:szCs w:val="21"/>
        </w:rPr>
        <w:t xml:space="preserve">første ledd </w:t>
      </w:r>
      <w:r>
        <w:t>er endret slik at nemnda plikter å avvise en sak som etterforskes av påtal</w:t>
      </w:r>
      <w:r>
        <w:t>e</w:t>
      </w:r>
      <w:r>
        <w:t>myndigheten. Det innledende i etterforskningsstadiet er regulert i straffeprosessloven kap. 18. Ette</w:t>
      </w:r>
      <w:r>
        <w:t>r</w:t>
      </w:r>
      <w:r>
        <w:t>forskning foretas etter straffep</w:t>
      </w:r>
      <w:r>
        <w:t>rosessloven § 224, når det som følge av anmeldelse eller andre omste</w:t>
      </w:r>
      <w:r>
        <w:t>n</w:t>
      </w:r>
      <w:r>
        <w:t>digheter er rimelig grunn til å undersøke om det foreligger straffbart forhold som forfølges av det offen</w:t>
      </w:r>
      <w:r>
        <w:t>t</w:t>
      </w:r>
      <w:r>
        <w:t>lige. Departementet mener at dersom det er igangsatt etterforskning i en straffes</w:t>
      </w:r>
      <w:r>
        <w:t>ak, så bør det straff</w:t>
      </w:r>
      <w:r>
        <w:t>e</w:t>
      </w:r>
      <w:r>
        <w:t>rettslige forholdet etterforskes ferdig før man eventuelt går i gang med et sivilrettslig løp.</w:t>
      </w:r>
    </w:p>
    <w:p w:rsidR="00000000" w:rsidRDefault="00D718D0" w:rsidP="00BA3E8B">
      <w:r>
        <w:t>Nemnda skal videre avvise saker der den som er anklaget for trakassering har anmeldt fornæ</w:t>
      </w:r>
      <w:r>
        <w:t>r</w:t>
      </w:r>
      <w:r>
        <w:t>mede i samme sak for uriktig forklaring (se stra</w:t>
      </w:r>
      <w:r>
        <w:t>ffeloven kapittel 22 Uriktig forklaring og anklage, og eventuelt andre sæ</w:t>
      </w:r>
      <w:r>
        <w:t>r</w:t>
      </w:r>
      <w:r>
        <w:t>bestemmelser om straff i spesiallovgivningen).</w:t>
      </w:r>
    </w:p>
    <w:p w:rsidR="00000000" w:rsidRDefault="00D718D0" w:rsidP="00BA3E8B">
      <w:r>
        <w:t>Plikten til avvisning gjøres gjeldende i trakasseringssaker generelt, og skal således ikke a</w:t>
      </w:r>
      <w:r>
        <w:t>v</w:t>
      </w:r>
      <w:r>
        <w:t>grenses til saker om seksuell trakassering</w:t>
      </w:r>
      <w:r>
        <w:t>.</w:t>
      </w:r>
    </w:p>
    <w:p w:rsidR="00000000" w:rsidRDefault="00D718D0" w:rsidP="00BA3E8B">
      <w:r>
        <w:t>Bestemmelsens første ledd tredje punktum, blir nytt annet ledd.</w:t>
      </w:r>
    </w:p>
    <w:p w:rsidR="00000000" w:rsidRDefault="00D718D0" w:rsidP="00BA3E8B">
      <w:r>
        <w:t>Bestemmelsens nåværende annet og tredje ledd blir nytt tredje og fjerde ledd.</w:t>
      </w:r>
    </w:p>
    <w:p w:rsidR="00000000" w:rsidRDefault="00D718D0" w:rsidP="00BA3E8B">
      <w:pPr>
        <w:pStyle w:val="Overskrift2"/>
      </w:pPr>
      <w:r>
        <w:t>Til endringene i likestillings- og diskrimineringsloven</w:t>
      </w:r>
    </w:p>
    <w:p w:rsidR="00000000" w:rsidRDefault="00D718D0" w:rsidP="00BA3E8B">
      <w:pPr>
        <w:pStyle w:val="avsnitt-undertittel"/>
      </w:pPr>
      <w:r>
        <w:t>Til § 13 Forbud mot å trakassere</w:t>
      </w:r>
    </w:p>
    <w:p w:rsidR="00000000" w:rsidRDefault="00D718D0" w:rsidP="00BA3E8B">
      <w:r>
        <w:t>Departementet f</w:t>
      </w:r>
      <w:r>
        <w:t xml:space="preserve">oreslår her å rette opp en ren inkurie i bestemmelsens </w:t>
      </w:r>
      <w:r>
        <w:rPr>
          <w:rStyle w:val="kursiv"/>
          <w:sz w:val="21"/>
          <w:szCs w:val="21"/>
        </w:rPr>
        <w:t>sjette ledd</w:t>
      </w:r>
      <w:r>
        <w:t>. I forbindelse med ve</w:t>
      </w:r>
      <w:r>
        <w:t>d</w:t>
      </w:r>
      <w:r>
        <w:t>takelsen av ny likestillings- og diskrimineringslov var intensjonen å videreføre gje</w:t>
      </w:r>
      <w:r>
        <w:t>l</w:t>
      </w:r>
      <w:r>
        <w:t>dende rett hva gjelder organisasjoners og utdanningsinstitusjoners plikt til å for</w:t>
      </w:r>
      <w:r>
        <w:t>ebygge og fo</w:t>
      </w:r>
      <w:r>
        <w:t>r</w:t>
      </w:r>
      <w:r>
        <w:t>hindre trakassering og seksuell trakassering, se Prop. 81 L (2016–2017) Lov om likestilling og forbud mot diskriminering kapittel 18.9.4.1.</w:t>
      </w:r>
    </w:p>
    <w:p w:rsidR="00000000" w:rsidRDefault="00D718D0" w:rsidP="00BA3E8B">
      <w:r>
        <w:lastRenderedPageBreak/>
        <w:t>Bestemmelsen fikk likevel, ved en inkurie,  en utforming som ikke var i tråd med lovgivers intensj</w:t>
      </w:r>
      <w:r>
        <w:t>o</w:t>
      </w:r>
      <w:r>
        <w:t>ner.</w:t>
      </w:r>
      <w:r>
        <w:t xml:space="preserve"> Departementet foreslår derfor en endring av bestemmelsen, slik at «forebygge og forhindre» endres til  «f</w:t>
      </w:r>
      <w:r>
        <w:t>o</w:t>
      </w:r>
      <w:r>
        <w:t>rebygge og søke å hindre».</w:t>
      </w:r>
    </w:p>
    <w:p w:rsidR="00000000" w:rsidRDefault="00D718D0" w:rsidP="00BA3E8B">
      <w:r>
        <w:t>Feilen innebar at arbeidsgivere og ledelsen i organisasjoner og utdanningsinstitusjoner tilsyn</w:t>
      </w:r>
      <w:r>
        <w:t>e</w:t>
      </w:r>
      <w:r>
        <w:t>latende ble pålagt en plikt</w:t>
      </w:r>
      <w:r>
        <w:t xml:space="preserve"> til å forebygge og forhindre, og dette var ikke i tråd med lovgivers intensjoner. Det er ti</w:t>
      </w:r>
      <w:r>
        <w:t>l</w:t>
      </w:r>
      <w:r>
        <w:t>strekkelig at disse forebygger og søker å hindre trakassering og seksuell trakassering.</w:t>
      </w:r>
    </w:p>
    <w:p w:rsidR="00000000" w:rsidRDefault="00D718D0" w:rsidP="00BA3E8B">
      <w:r>
        <w:t>Bestemmelsen vil med dette få en utforming som er i tråd med lovgivers inte</w:t>
      </w:r>
      <w:r>
        <w:t>nsjoner, slik det fremgår av Prop. 81 L.</w:t>
      </w:r>
    </w:p>
    <w:p w:rsidR="00000000" w:rsidRDefault="00D718D0" w:rsidP="00BA3E8B">
      <w:pPr>
        <w:pStyle w:val="avsnitt-undertittel"/>
      </w:pPr>
      <w:r>
        <w:t>Til § 24 offentlige myndigheters aktivitets- og redegjørelsesplikt</w:t>
      </w:r>
    </w:p>
    <w:p w:rsidR="00000000" w:rsidRDefault="00D718D0" w:rsidP="00BA3E8B">
      <w:r>
        <w:t xml:space="preserve">Bestemmelsens </w:t>
      </w:r>
      <w:r>
        <w:rPr>
          <w:rStyle w:val="kursiv"/>
          <w:sz w:val="21"/>
          <w:szCs w:val="21"/>
        </w:rPr>
        <w:t xml:space="preserve">første ledd </w:t>
      </w:r>
      <w:r>
        <w:t>fastslår en konkretisering av offentlige myndigheters aktivitetsplikt. Forslaget innebærer, med noen unntak, en oppføl</w:t>
      </w:r>
      <w:r>
        <w:t>ging av Skjeie-utvalgets anbefalinger i NOU 2011: 18, se kapittel 3.5.2 og 3.5.3.</w:t>
      </w:r>
    </w:p>
    <w:p w:rsidR="00000000" w:rsidRDefault="00D718D0" w:rsidP="00BA3E8B">
      <w:r>
        <w:t>Den generelle aktivitetsplikten, som fremgår av første ledd første punktum konkretiseres. Akt</w:t>
      </w:r>
      <w:r>
        <w:t>i</w:t>
      </w:r>
      <w:r>
        <w:t>vitetsplikten vil omfatte diskriminering og trakassering på grunnlag av kjønn, g</w:t>
      </w:r>
      <w:r>
        <w:t>raviditet, pe</w:t>
      </w:r>
      <w:r>
        <w:t>r</w:t>
      </w:r>
      <w:r>
        <w:t>misjon ved fødsel eller adopsjon, omsorgsoppgaver, etnisitet, religion, livssyn, funksjonsne</w:t>
      </w:r>
      <w:r>
        <w:t>d</w:t>
      </w:r>
      <w:r>
        <w:t>settelse, seksuell orientering, kjønnsidentitet, kjønnsuttrykk og alder, samt kombinasjoner av disse grunnlagene. Det presiseres at bestemmelsen ikke</w:t>
      </w:r>
      <w:r>
        <w:t xml:space="preserve"> o</w:t>
      </w:r>
      <w:r>
        <w:t>m</w:t>
      </w:r>
      <w:r>
        <w:t>fatter lovens samlekategori, dvs. «andre lignende, vesentlige forhold ved en person».</w:t>
      </w:r>
    </w:p>
    <w:p w:rsidR="00000000" w:rsidRDefault="00D718D0" w:rsidP="00BA3E8B">
      <w:r>
        <w:t>Aktivitetsplikten omfatter all virksomhet til offentlige myndigheter. Aktivitetsplikten tydeli</w:t>
      </w:r>
      <w:r>
        <w:t>g</w:t>
      </w:r>
      <w:r>
        <w:t>gjøres ved å fremheve at motarbeidelse av sammensatt diskriminering og s</w:t>
      </w:r>
      <w:r>
        <w:t>tereotypisering, samt trakassering, seksuell trakassering og kjønnsbasert vold er omfattet av plikten. Offentlige my</w:t>
      </w:r>
      <w:r>
        <w:t>n</w:t>
      </w:r>
      <w:r>
        <w:t>digheters arbeid for likestilling skal være aktivt, målrettet og planmessig. Plikten gjelder som i dag all virksomhet til offentlige myndig</w:t>
      </w:r>
      <w:r>
        <w:t>heter, og omfatter således all myndighetsutøvelse og all tjenesteyting. Plikten omfatter for eksempel utforming og tildeling av tjenester, regelverksu</w:t>
      </w:r>
      <w:r>
        <w:t>t</w:t>
      </w:r>
      <w:r>
        <w:t>forming, budsjettering og samfunnsplanlegging. Offentlige myndigheter skal ut fra en analyse av situasjon</w:t>
      </w:r>
      <w:r>
        <w:t>en vurdere hvilke tiltak som er relevante.</w:t>
      </w:r>
    </w:p>
    <w:p w:rsidR="00000000" w:rsidRDefault="00D718D0" w:rsidP="00BA3E8B">
      <w:r>
        <w:t>En situasjonsanalyse innebærer at myndighetene skal skaffe kunnskap om likestillingssituasj</w:t>
      </w:r>
      <w:r>
        <w:t>o</w:t>
      </w:r>
      <w:r>
        <w:t>nen på eget forvaltningsområde og for alle diskrimineringsgrunnlag. Situasjonsanalysen skal brukes til egen virkso</w:t>
      </w:r>
      <w:r>
        <w:t>m</w:t>
      </w:r>
      <w:r>
        <w:t>hetsst</w:t>
      </w:r>
      <w:r>
        <w:t>yring, i forbindelse med myndighetsutøvelse og for bedring av kvalitet i tjenester. Dette omfatter blant annet at myndighetene innhenter informasjon om br</w:t>
      </w:r>
      <w:r>
        <w:t>u</w:t>
      </w:r>
      <w:r>
        <w:t>kernes utfordringer og behov på eget forvaltningsområde, og vurderer risiko for at diskriminering for</w:t>
      </w:r>
      <w:r>
        <w:t>ekommer.</w:t>
      </w:r>
    </w:p>
    <w:p w:rsidR="00000000" w:rsidRDefault="00D718D0" w:rsidP="00BA3E8B">
      <w:r>
        <w:t>En nærmere omtale av aktivitetspliktens rekkevidde, og hva myndighetene skal gjøre for å oppfylle aktiv</w:t>
      </w:r>
      <w:r>
        <w:t>i</w:t>
      </w:r>
      <w:r>
        <w:t>tetsplikten fremgår av kapittel 3.10.1.</w:t>
      </w:r>
    </w:p>
    <w:p w:rsidR="00000000" w:rsidRDefault="00D718D0" w:rsidP="00BA3E8B">
      <w:r>
        <w:t>Arbeidet mot negativ stereotypisering er en viktig del av det forebyggende arbeidet mot di</w:t>
      </w:r>
      <w:r>
        <w:t>s</w:t>
      </w:r>
      <w:r>
        <w:t>kriminering.</w:t>
      </w:r>
      <w:r>
        <w:t xml:space="preserve"> Departementet fremmer i denne lovproposisjonen et forslag om at stereotypisering, som en holdning eller atferd som knytter seg til diskriminering, fremheves i bestemmelsen om myndighetenes aktivitetsplikt. Dette fremgår av bestemmelsens første ledd siste </w:t>
      </w:r>
      <w:r>
        <w:t>punktum.</w:t>
      </w:r>
    </w:p>
    <w:p w:rsidR="00000000" w:rsidRDefault="00D718D0" w:rsidP="00BA3E8B">
      <w:r>
        <w:lastRenderedPageBreak/>
        <w:t>En stereotypi er en generalisert, intuitiv oppfatning om hvordan en bestemt gruppe mennesker er. Stereot</w:t>
      </w:r>
      <w:r>
        <w:t>y</w:t>
      </w:r>
      <w:r>
        <w:t>piske forestillinger kan føre til at en person havner i en imaginær identitetskategori, der han eller hun ikke ønsker å være. Stereotypisering</w:t>
      </w:r>
      <w:r>
        <w:t xml:space="preserve"> skjer ofte uten at det reflekteres over om den aktuelle personens egenskaper stemmer overens med stereotypien. Negative stereotypisering om en persons kjønn, seksuell orientering, etnisitet, funksjonsevne eller alder kan føre til diskr</w:t>
      </w:r>
      <w:r>
        <w:t>i</w:t>
      </w:r>
      <w:r>
        <w:t xml:space="preserve">minering, f.eks. i </w:t>
      </w:r>
      <w:r>
        <w:t>forbindelse med ansettelse, tjenesteyting eller myndighetsutøvelse.</w:t>
      </w:r>
    </w:p>
    <w:p w:rsidR="00000000" w:rsidRDefault="00D718D0" w:rsidP="00BA3E8B">
      <w:r>
        <w:t>Forarbeidene til likestillings- og diskrimineringsloven fremhever stereotypisering som et forhold som kan føre til diskriminering eller trakassering. Trakassering innebærer for eksempel at</w:t>
      </w:r>
      <w:r>
        <w:t xml:space="preserve"> den trakasserende handlingen må være knyttet til et diskrimineringsgrunnlag. Dette innebærer at det må være årsakssammenheng mellom atferden, dvs. den trakasserende handlingen, og et diskr</w:t>
      </w:r>
      <w:r>
        <w:t>i</w:t>
      </w:r>
      <w:r>
        <w:t>mineringsgrunnlag, f.eks. nedsatt funksjonsevne. Det fremgår av lo</w:t>
      </w:r>
      <w:r>
        <w:t>vens forarbeider at et vu</w:t>
      </w:r>
      <w:r>
        <w:t>r</w:t>
      </w:r>
      <w:r>
        <w:t>deringstema er om handlingen anses å være basert på «negative st</w:t>
      </w:r>
      <w:r>
        <w:t>e</w:t>
      </w:r>
      <w:r>
        <w:t>reotypier, fordommer eller forakt» mot forhold som f.eks. nedsatt funksjonsevne, jf. Prop. 81 L (2016–2017) kapittel 18.2.1. Et annet eksempel er religiøst begrunnet</w:t>
      </w:r>
      <w:r>
        <w:t xml:space="preserve"> forskjellsbehandling i tros- og livssynssamfunn. En slik forskjellsbehandling oppfyller kravet til saklig formål, jf. likestillings- og diskrimineringsloven § 9, jf. Prop. 81 L (2016–2017) kapittel 3.10.2.5.</w:t>
      </w:r>
    </w:p>
    <w:p w:rsidR="00000000" w:rsidRDefault="00D718D0" w:rsidP="00BA3E8B">
      <w:r>
        <w:t>Når det gjelder tiltak for å motarbeide stereot</w:t>
      </w:r>
      <w:r>
        <w:t>ypisering, vises det til omtale i kapittel 3.10.1.5.</w:t>
      </w:r>
    </w:p>
    <w:p w:rsidR="00000000" w:rsidRDefault="00D718D0" w:rsidP="00BA3E8B">
      <w:r>
        <w:t xml:space="preserve">Bestemmelsens </w:t>
      </w:r>
      <w:r>
        <w:rPr>
          <w:rStyle w:val="kursiv"/>
          <w:sz w:val="21"/>
          <w:szCs w:val="21"/>
        </w:rPr>
        <w:t>annet ledd</w:t>
      </w:r>
      <w:r>
        <w:t xml:space="preserve"> stadfester at offentlige myndigheter skal redegjøre for det de gjør for å integrere arbeidet med likestilling i sitt arbeid. Regelen gjelder for offentlige virksomheter som ikke </w:t>
      </w:r>
      <w:r>
        <w:t>er regnskapspli</w:t>
      </w:r>
      <w:r>
        <w:t>k</w:t>
      </w:r>
      <w:r>
        <w:t>tige etter regnskapsloven, og som derved ikke er omfattet av samfunn</w:t>
      </w:r>
      <w:r>
        <w:t>s</w:t>
      </w:r>
      <w:r>
        <w:t>ansvarsrapporteringsplikten etter § 3–3 c i regnskapsloven. Bestemmelsens annet ledd og regnskapsloven § 3–3 c har flere likhetstrekk. Dette understreker at aktivt likesti</w:t>
      </w:r>
      <w:r>
        <w:t>llingsarbeid likevel skal anses som en del av pliktsubjektenes felles samfunn</w:t>
      </w:r>
      <w:r>
        <w:t>s</w:t>
      </w:r>
      <w:r>
        <w:t>ansvar. Offentlige myndigheters redegjørelsesplikt innebærer at myndighetene skal utarbeide en «likesti</w:t>
      </w:r>
      <w:r>
        <w:t>l</w:t>
      </w:r>
      <w:r>
        <w:t xml:space="preserve">lingspolicy» på sitt forvaltningsområde, dvs. retningslinjer, prinsipper, </w:t>
      </w:r>
      <w:r>
        <w:t>prosedyrer og standarder for sitt arbeid, som skal omsettes til handling. Offentlige myndigheter skal redegjøre for sitt arbeid etter beste</w:t>
      </w:r>
      <w:r>
        <w:t>m</w:t>
      </w:r>
      <w:r>
        <w:t>melsens første ledd, jf. omtalen av innholdet i redegjørelsesplikten i kapittel 3.10.2.5.</w:t>
      </w:r>
    </w:p>
    <w:p w:rsidR="00000000" w:rsidRDefault="00D718D0" w:rsidP="00BA3E8B">
      <w:pPr>
        <w:pStyle w:val="avsnitt-undertittel"/>
      </w:pPr>
      <w:r>
        <w:t>Til § 26 Arbeidsgivers akt</w:t>
      </w:r>
      <w:r>
        <w:t>ivitetsplikt</w:t>
      </w:r>
    </w:p>
    <w:p w:rsidR="00000000" w:rsidRDefault="00D718D0" w:rsidP="00BA3E8B">
      <w:r>
        <w:t xml:space="preserve">Bestemmelsens </w:t>
      </w:r>
      <w:r>
        <w:rPr>
          <w:rStyle w:val="kursiv"/>
          <w:sz w:val="21"/>
          <w:szCs w:val="21"/>
        </w:rPr>
        <w:t xml:space="preserve">første ledd første punktum </w:t>
      </w:r>
      <w:r>
        <w:t>fastslår at arbeidsgiver ved utførelsen av pliktene etter denne paragrafen skal rette oppmerksomhet mot sammensatt diskriminering, i tillegg til de andre diskrimin</w:t>
      </w:r>
      <w:r>
        <w:t>e</w:t>
      </w:r>
      <w:r>
        <w:t>ringsgrunnlagene som fremgår av bestem</w:t>
      </w:r>
      <w:r>
        <w:t>melsen. Bestemmelsens første ledd første punktum er forøvrig en videreføring av gjeldende rett. Det foreslås tatt inn en presisering i første ledd første punktum som innebærer at seksuell trakassering og kjønnsbasert vold nevnes u</w:t>
      </w:r>
      <w:r>
        <w:t>t</w:t>
      </w:r>
      <w:r>
        <w:t>trykkelig blant de temaen</w:t>
      </w:r>
      <w:r>
        <w:t>e alle a</w:t>
      </w:r>
      <w:r>
        <w:t>r</w:t>
      </w:r>
      <w:r>
        <w:t>beidsgivere skal jobbe med.</w:t>
      </w:r>
    </w:p>
    <w:p w:rsidR="00000000" w:rsidRDefault="00D718D0" w:rsidP="00BA3E8B">
      <w:r>
        <w:t xml:space="preserve">Bestemmelsens </w:t>
      </w:r>
      <w:r>
        <w:rPr>
          <w:rStyle w:val="kursiv"/>
          <w:sz w:val="21"/>
          <w:szCs w:val="21"/>
        </w:rPr>
        <w:t xml:space="preserve">annet ledd </w:t>
      </w:r>
      <w:r>
        <w:t>viderefører gjeldende rett når det gjelder beskrivelsen av arbeidsm</w:t>
      </w:r>
      <w:r>
        <w:t>e</w:t>
      </w:r>
      <w:r>
        <w:t>toden som offentlige virksomheter og større private virksomheter skal følge i likestillingsa</w:t>
      </w:r>
      <w:r>
        <w:t>r</w:t>
      </w:r>
      <w:r>
        <w:t>beidet. Men likevel slik at arbei</w:t>
      </w:r>
      <w:r>
        <w:t>dsområdet for arbeidsmetoden utvides til å omfatte arbeidsgivere i private virksomheter med mellom 20 og 50 ansatte, når en av partene i virksomheten krever det, jf. annet ledd annet punktum. Med dette menes at det kreves enighet blant flertallet av de ans</w:t>
      </w:r>
      <w:r>
        <w:t>atte for at virksomheten skal omfattes av plikten til å følge metoden, på samme måte som arbeid</w:t>
      </w:r>
      <w:r>
        <w:t>s</w:t>
      </w:r>
      <w:r>
        <w:t>miljølovens bestemmelse om opprettelse av arbeidsmiljøutvalg forstås i dag, jf. arbeidsmilj</w:t>
      </w:r>
      <w:r>
        <w:t>ø</w:t>
      </w:r>
      <w:r>
        <w:lastRenderedPageBreak/>
        <w:t>loven § 7–1. Dette innebærer også at en arbeidsgiver ikke kan motset</w:t>
      </w:r>
      <w:r>
        <w:t>te seg at arbeidsmetoden skal følges dersom de tillitsvalgte krever dette. Se mer om dette i kapittel 3.6.</w:t>
      </w:r>
    </w:p>
    <w:p w:rsidR="00000000" w:rsidRDefault="00D718D0" w:rsidP="00BA3E8B">
      <w:r>
        <w:t>Det foreslås likevel en endring i annet ledd som innebærer at offentlige virksomheter og private virksomheter med mer enn henholdsvis 50 eller 20 ans</w:t>
      </w:r>
      <w:r>
        <w:t>atte, i tillegg til at de skal jobbe etter den konkrete arbeidsmetoden, også skal gjennomføre lønnskartlegging annethvert år fordelt etter kjønn og kartlegge ufrivillig deltidsarbeid i virksomheten. Det vises til nytt annet ledd første punktum bokstav a.</w:t>
      </w:r>
    </w:p>
    <w:p w:rsidR="00000000" w:rsidRDefault="00D718D0" w:rsidP="00BA3E8B">
      <w:r>
        <w:t>K</w:t>
      </w:r>
      <w:r>
        <w:t>artleggingen vil være en del av arbeidsmetoden i fire trinn. Det betyr at lønnsforhold og bruken av ufrivillig deltidsarbeid i egen virksomhet skal kartlegges, og der det forekommer lønnsfo</w:t>
      </w:r>
      <w:r>
        <w:t>r</w:t>
      </w:r>
      <w:r>
        <w:t>skjeller mellom kjønn</w:t>
      </w:r>
      <w:r>
        <w:t>e</w:t>
      </w:r>
      <w:r>
        <w:t>ne/ufrivillig deltidsarbeid, skal arbeidsgiv</w:t>
      </w:r>
      <w:r>
        <w:t>er finne årsakene til dette og iverksette tiltak og i tillegg evaluere resultatene. Kravene til kartlegging av lønnsforhold og ufrivillig deltidsarbeid fremgår av kapitlene 3.7.2 og 3.7.3.</w:t>
      </w:r>
    </w:p>
    <w:p w:rsidR="00000000" w:rsidRDefault="00D718D0" w:rsidP="00BA3E8B">
      <w:r>
        <w:t xml:space="preserve">Bestemmelsens </w:t>
      </w:r>
      <w:r>
        <w:rPr>
          <w:rStyle w:val="kursiv"/>
          <w:sz w:val="21"/>
          <w:szCs w:val="21"/>
        </w:rPr>
        <w:t xml:space="preserve">tredje ledd </w:t>
      </w:r>
      <w:r>
        <w:t>gir en definisjon av ufrivillig deltidsar</w:t>
      </w:r>
      <w:r>
        <w:t>beid. Det fremgår av beste</w:t>
      </w:r>
      <w:r>
        <w:t>m</w:t>
      </w:r>
      <w:r>
        <w:t>melsen at det med ufrivillig deltidsarbeid menes deltidsarbeid der stillingsinnehaveren ønsker og er tilgjengelig for mer arbeid. Det å være «tilgjengelig for å jobbe mer» skal fortolkes vidt. En deltidsarbeider kan være tilgjeng</w:t>
      </w:r>
      <w:r>
        <w:t>elig for mer arbeid gjennom tilrettelegging, som f.eks. fleksibel arbeidstidsordning, alternative kontorløsninger, arbeidstidsordninger eller alternative oppgaver.</w:t>
      </w:r>
    </w:p>
    <w:p w:rsidR="00000000" w:rsidRDefault="00D718D0" w:rsidP="00BA3E8B">
      <w:r>
        <w:t xml:space="preserve">Bestemmelsens </w:t>
      </w:r>
      <w:r>
        <w:rPr>
          <w:rStyle w:val="kursiv"/>
          <w:sz w:val="21"/>
          <w:szCs w:val="21"/>
        </w:rPr>
        <w:t xml:space="preserve">fjerde ledd første punktum </w:t>
      </w:r>
      <w:r>
        <w:t>fastslår en dokumentasjonsplikt for alle arbeidsgiv</w:t>
      </w:r>
      <w:r>
        <w:t>ere. Dette i</w:t>
      </w:r>
      <w:r>
        <w:t>n</w:t>
      </w:r>
      <w:r>
        <w:t>nebærer en plikt til å skriftliggjøre eller på annen måte dokumentere likestillingsarbeidet etter § 26. Det pålegges også en plikt til å oppbevare denne dokumentasjonen, slik at Likesti</w:t>
      </w:r>
      <w:r>
        <w:t>l</w:t>
      </w:r>
      <w:r>
        <w:t>lings- og diskrimineringso</w:t>
      </w:r>
      <w:r>
        <w:t>m</w:t>
      </w:r>
      <w:r>
        <w:t>budet og andre som har innsyns</w:t>
      </w:r>
      <w:r>
        <w:t>rett kan få dette utlevert.</w:t>
      </w:r>
    </w:p>
    <w:p w:rsidR="00000000" w:rsidRDefault="00D718D0" w:rsidP="00BA3E8B">
      <w:r>
        <w:t xml:space="preserve">Bestemmelsens </w:t>
      </w:r>
      <w:r>
        <w:rPr>
          <w:rStyle w:val="kursiv"/>
          <w:sz w:val="21"/>
          <w:szCs w:val="21"/>
        </w:rPr>
        <w:t xml:space="preserve">fjerde ledd annet punktum </w:t>
      </w:r>
      <w:r>
        <w:t>fastslår at arbeidet som nevnt i annet ledd skal skje fortløpende og i samarbeid med de ansattes representanter. Det understrekes at de ansattes r</w:t>
      </w:r>
      <w:r>
        <w:t>e</w:t>
      </w:r>
      <w:r>
        <w:t>presentanter skal sikres mulighet til å d</w:t>
      </w:r>
      <w:r>
        <w:t>elta og påvirke også ved planlegging og evaluering av lønnskartleggingen. For å kunne belyse lønn</w:t>
      </w:r>
      <w:r>
        <w:t>s</w:t>
      </w:r>
      <w:r>
        <w:t>forskjeller knyttet til arbeid av lik verdi skal de ansatte kunne delta i vurderingen av hvilke stillinger som skal inngå i de respektive kategoriene. Forslag</w:t>
      </w:r>
      <w:r>
        <w:t>et innebærer derfor en presisering av at de ansatte skal sikres en mulighet for deltakelse og påvirkning ved planlegging og evaluering av lønnskartleggingen.</w:t>
      </w:r>
    </w:p>
    <w:p w:rsidR="00000000" w:rsidRDefault="00D718D0" w:rsidP="00BA3E8B">
      <w:r>
        <w:t xml:space="preserve">Bestemmelsens </w:t>
      </w:r>
      <w:r>
        <w:rPr>
          <w:rStyle w:val="kursiv"/>
          <w:sz w:val="21"/>
          <w:szCs w:val="21"/>
        </w:rPr>
        <w:t xml:space="preserve">femte ledd </w:t>
      </w:r>
      <w:r>
        <w:t>er en forskriftshjemmel.</w:t>
      </w:r>
    </w:p>
    <w:p w:rsidR="00000000" w:rsidRDefault="00D718D0" w:rsidP="00BA3E8B">
      <w:pPr>
        <w:pStyle w:val="avsnitt-undertittel"/>
      </w:pPr>
      <w:r>
        <w:t>Til § 26 a arbeidsgivers redegjørelsesplikt</w:t>
      </w:r>
    </w:p>
    <w:p w:rsidR="00000000" w:rsidRDefault="00D718D0" w:rsidP="00BA3E8B">
      <w:r>
        <w:t>I de</w:t>
      </w:r>
      <w:r>
        <w:t>nne bestemmelsen foreslås nye regler om redegjørelsesplikten for arbeidsgivere.</w:t>
      </w:r>
    </w:p>
    <w:p w:rsidR="00000000" w:rsidRDefault="00D718D0" w:rsidP="00BA3E8B">
      <w:r>
        <w:t xml:space="preserve">Bestemmelsens </w:t>
      </w:r>
      <w:r>
        <w:rPr>
          <w:rStyle w:val="kursiv"/>
          <w:sz w:val="21"/>
          <w:szCs w:val="21"/>
        </w:rPr>
        <w:t xml:space="preserve">første ledd første punktum </w:t>
      </w:r>
      <w:r>
        <w:t>fastslår at arbeidsgivere i alle offentlige virksomheter og arbeid</w:t>
      </w:r>
      <w:r>
        <w:t>s</w:t>
      </w:r>
      <w:r>
        <w:t>givere i private virksomheter med mer enn 50 ansatte pålegges redegj</w:t>
      </w:r>
      <w:r>
        <w:t>ørelsesplikt. Virksomheter med mellom 20 og 50 ansatte får dokumentasjonsplikt etter § 26, men dersom en av arbeidslivets parter i virksomheten krever det, får de redegjørelsesplikt. Dette innebærer at de skal redegjøre for den faktiske tilstanden for kjøn</w:t>
      </w:r>
      <w:r>
        <w:t>nslikestilling i virksomheten og for arbeidet med å oppfylle aktivitetsplikten.</w:t>
      </w:r>
    </w:p>
    <w:p w:rsidR="00000000" w:rsidRDefault="00D718D0" w:rsidP="00BA3E8B">
      <w:r>
        <w:t xml:space="preserve">Bestemmelsens </w:t>
      </w:r>
      <w:r>
        <w:rPr>
          <w:rStyle w:val="kursiv"/>
          <w:sz w:val="21"/>
          <w:szCs w:val="21"/>
        </w:rPr>
        <w:t xml:space="preserve">annet ledd </w:t>
      </w:r>
      <w:r>
        <w:t xml:space="preserve">fastslår at redegjørelsen skal gis i årsberetningen eller i annet offentlig tilgjengelig dokument. Små regnskapspliktige foretak har ikke en plikt til </w:t>
      </w:r>
      <w:r>
        <w:t>å levere årsberetning, og skal derfor gi red</w:t>
      </w:r>
      <w:r>
        <w:t>e</w:t>
      </w:r>
      <w:r>
        <w:t>gjørelsen i et annet offentlig tilgjengelig dokument. Med offentlig ti</w:t>
      </w:r>
      <w:r>
        <w:t>l</w:t>
      </w:r>
      <w:r>
        <w:lastRenderedPageBreak/>
        <w:t>gjengelig dokument menes et dokument som er tilgjengelig på bedriftens hjemmeside, eller på annen måte dersom bedriften ikke har en hjemmesi</w:t>
      </w:r>
      <w:r>
        <w:t>de. Arbeidsgivere i offentlige virksomheter som ikke behøver å utarbeide årsberetning, skal gi likestillingsred</w:t>
      </w:r>
      <w:r>
        <w:t>e</w:t>
      </w:r>
      <w:r>
        <w:t>gjørelsen i årsrapport eller i et annet offentlig tilgjengelig dokument. Dette fremgår av bestemmelsens annet ledd siste punktum.</w:t>
      </w:r>
    </w:p>
    <w:p w:rsidR="00000000" w:rsidRDefault="00D718D0" w:rsidP="00BA3E8B">
      <w:r>
        <w:t xml:space="preserve">Bestemmelsens </w:t>
      </w:r>
      <w:r>
        <w:rPr>
          <w:rStyle w:val="kursiv"/>
          <w:sz w:val="21"/>
          <w:szCs w:val="21"/>
        </w:rPr>
        <w:t xml:space="preserve">tredje ledd </w:t>
      </w:r>
      <w:r>
        <w:t>fastslår at opplysninger om enkeltansattes personlige forhold ikke skal gjøres offentlig tilgjengelig. Innholdet i begrepet «personlige forhold» er sammenfallende med det tilsvarende u</w:t>
      </w:r>
      <w:r>
        <w:t>t</w:t>
      </w:r>
      <w:r>
        <w:t>trykket i forvaltningsloven § 13 første ledd nr. 1. Formåle</w:t>
      </w:r>
      <w:r>
        <w:t>t med reguleringen er å ivareta personvernhensyn. Bestemmelsens tredje ledd fastslår videre at resultatene etter lønnskartleggingen skal fremgå av likesti</w:t>
      </w:r>
      <w:r>
        <w:t>l</w:t>
      </w:r>
      <w:r>
        <w:t>lingsredegjørelsen, men likevel slik at enkeltansattes lønnsopplysninger anonymiseres i redegjørelsen</w:t>
      </w:r>
      <w:r>
        <w:t xml:space="preserve"> som er gjort offentlig tilgjengelig. Dersom man ikke klarer å anonymisere den enkelte ansattes lønnsopplysninger, skal resultatene etter gje</w:t>
      </w:r>
      <w:r>
        <w:t>n</w:t>
      </w:r>
      <w:r>
        <w:t>nomført lønnskartlegging ikke offentliggjøres. Resultatene etter lønnskartleggingen skal kunne brukes aktivt og fo</w:t>
      </w:r>
      <w:r>
        <w:t>rebyggende i virksomhetens likestillingsarbeid, slik at det kan vurderes e</w:t>
      </w:r>
      <w:r>
        <w:t>g</w:t>
      </w:r>
      <w:r>
        <w:t xml:space="preserve">nede tiltak for å unngå at lønnsdiskriminering forekommer. Lønnsoversikten kan også brukes av ansatte for å styrke deres posisjon ved lokale lønnsforhandlinger. Forskere som ønsker </w:t>
      </w:r>
      <w:r>
        <w:t>å bruke opplysninger i forskningsøyemed har som utgangspunkt en saklig interesse.</w:t>
      </w:r>
    </w:p>
    <w:p w:rsidR="00000000" w:rsidRDefault="00D718D0" w:rsidP="00BA3E8B">
      <w:r>
        <w:t xml:space="preserve">Arbeidsgiver skal, etter bestemmelsens </w:t>
      </w:r>
      <w:r>
        <w:rPr>
          <w:rStyle w:val="kursiv"/>
          <w:sz w:val="21"/>
          <w:szCs w:val="21"/>
        </w:rPr>
        <w:t>fjerde ledd</w:t>
      </w:r>
      <w:r>
        <w:t>, likevel gi innsyn i resultatene etter lønn</w:t>
      </w:r>
      <w:r>
        <w:t>s</w:t>
      </w:r>
      <w:r>
        <w:t>kartleggingen, til egne ansatte og deres representanter, forskere, Likestilling</w:t>
      </w:r>
      <w:r>
        <w:t>s- og diskrimin</w:t>
      </w:r>
      <w:r>
        <w:t>e</w:t>
      </w:r>
      <w:r>
        <w:t>ringsombudet og Diskrimin</w:t>
      </w:r>
      <w:r>
        <w:t>e</w:t>
      </w:r>
      <w:r>
        <w:t xml:space="preserve">ringsnemnda. Dette gjelder også når lønnsopplysningene kan knyttes til enkeltansattes lønnsforhold. Dette innebærer at en begjæring om innsyn må begrunnes, og at mottatte opplysninger kun kan brukes for et bestemt </w:t>
      </w:r>
      <w:r>
        <w:t>og saklig formål. Opplysningene kan bare gis i den utstrekning det er nødvendig for å undersøke om det foreligger ulovlig fo</w:t>
      </w:r>
      <w:r>
        <w:t>r</w:t>
      </w:r>
      <w:r>
        <w:t>skjellsbehandling ved lønnsfastsettelsen. Det er virksomhetens ledelse som skal vurdere dette. Utgangspunktet er at åpenhet i størs</w:t>
      </w:r>
      <w:r>
        <w:t>t mulig grad skal brukes for å fremme likestilling. Vurd</w:t>
      </w:r>
      <w:r>
        <w:t>e</w:t>
      </w:r>
      <w:r>
        <w:t xml:space="preserve">ringstemaet «om det foreligger ulovlig forskjellsbehandling ved lønnsfastsettelsen» skal tolkes vidt, og terskelen for å innvilge innsynsbegjæring skal ikke være for høy. Forskere som ønsker å bruke </w:t>
      </w:r>
      <w:r>
        <w:t>opplysninger i forskning</w:t>
      </w:r>
      <w:r>
        <w:t>s</w:t>
      </w:r>
      <w:r>
        <w:t>øyemed har som utgangspunkt en saklig interesse. Bestemme</w:t>
      </w:r>
      <w:r>
        <w:t>l</w:t>
      </w:r>
      <w:r>
        <w:t>sens fjerde ledd fastslår videre at Likestillings- og diskrimineringsombudet skal ha tilgang på opplysningene for å kunne følge opp at aktivitets- og redegj</w:t>
      </w:r>
      <w:r>
        <w:t>ø</w:t>
      </w:r>
      <w:r>
        <w:t>relsesplikten et</w:t>
      </w:r>
      <w:r>
        <w:t>terleves.</w:t>
      </w:r>
    </w:p>
    <w:p w:rsidR="00000000" w:rsidRDefault="00D718D0" w:rsidP="00BA3E8B">
      <w:r>
        <w:t>Likestillings- og diskrimineringsombudet og Diskrimineringsnemnda kan sette frist for innsyn. Likestillings- og diskrimineringsombudet og Diskrimineringsnemnda avgjør hvilke opplysninger som kreves for å avklare saksforholdet, innenfor sine myndi</w:t>
      </w:r>
      <w:r>
        <w:t>ghetsområder. Likestillings- og diskrimineringsombudet og Diskrimin</w:t>
      </w:r>
      <w:r>
        <w:t>e</w:t>
      </w:r>
      <w:r>
        <w:t>ringsnemnda kan innhente de opplysninger som er nø</w:t>
      </w:r>
      <w:r>
        <w:t>d</w:t>
      </w:r>
      <w:r>
        <w:t>vendige i henhold til § 26 a. Ordningen i sivilo</w:t>
      </w:r>
      <w:r>
        <w:t>m</w:t>
      </w:r>
      <w:r>
        <w:t>budsmannsloven § 7, jf. instruksen 19. februar 1980 § 6 annet ledd kan tjene til veiledn</w:t>
      </w:r>
      <w:r>
        <w:t>ing her.</w:t>
      </w:r>
    </w:p>
    <w:p w:rsidR="00000000" w:rsidRDefault="00D718D0" w:rsidP="00BA3E8B">
      <w:r>
        <w:t>Det presiseres at bestemmelsen om innsyn i likestillings- og diskrimineringslovens § 32 om arbeidsgivers opplysningsplikt om lønn ikke er sammenfallende med denne bestemmelsen. B</w:t>
      </w:r>
      <w:r>
        <w:t>e</w:t>
      </w:r>
      <w:r>
        <w:t>stemmelsen i § 32 omhandler arbeidstakers rett til opplysninger om l</w:t>
      </w:r>
      <w:r>
        <w:t>ønnsfastsettelsen, og gjelder opplysninger om navngitte kollegaer.</w:t>
      </w:r>
    </w:p>
    <w:p w:rsidR="00000000" w:rsidRDefault="00D718D0" w:rsidP="00BA3E8B">
      <w:r>
        <w:t xml:space="preserve">Bestemmelsens </w:t>
      </w:r>
      <w:r>
        <w:rPr>
          <w:rStyle w:val="kursiv"/>
          <w:sz w:val="21"/>
          <w:szCs w:val="21"/>
        </w:rPr>
        <w:t xml:space="preserve">femte ledd første punktum </w:t>
      </w:r>
      <w:r>
        <w:t>fastslår at dersom innsynsretten i lønnsopplysninger røper e</w:t>
      </w:r>
      <w:r>
        <w:t>n</w:t>
      </w:r>
      <w:r>
        <w:t xml:space="preserve">keltansattes lønn, skal innsynsretten kombineres med taushetsplikt. Bestemmelsens </w:t>
      </w:r>
      <w:r>
        <w:rPr>
          <w:rStyle w:val="kursiv"/>
          <w:sz w:val="21"/>
          <w:szCs w:val="21"/>
        </w:rPr>
        <w:t xml:space="preserve">femte </w:t>
      </w:r>
      <w:r>
        <w:rPr>
          <w:rStyle w:val="kursiv"/>
          <w:sz w:val="21"/>
          <w:szCs w:val="21"/>
        </w:rPr>
        <w:t>ledd annet punktum</w:t>
      </w:r>
      <w:r>
        <w:t xml:space="preserve"> stadfester at organer som er underlagt offentleglova, skal følge reglene om in</w:t>
      </w:r>
      <w:r>
        <w:t>n</w:t>
      </w:r>
      <w:r>
        <w:lastRenderedPageBreak/>
        <w:t>synsrett i denne loven. Den som mottar lønnsopplysninger etter fjerde ledd har taushetsplikt og skal underskrive en taushetserklæring. Brudd på denne taushets</w:t>
      </w:r>
      <w:r>
        <w:t>plikten vil være straffbart etter straffeloven § 209. Det vises for øvrig til Prop. 81 L (2016–2017) og særmerknadene til § 32.</w:t>
      </w:r>
    </w:p>
    <w:p w:rsidR="00000000" w:rsidRDefault="00D718D0" w:rsidP="00BA3E8B">
      <w:r>
        <w:t>Lønnsopplysninger i offentlig sektor er i utgangspunktet offentlige. Dette innebær</w:t>
      </w:r>
      <w:r>
        <w:t>er at enhver kan kreve innsyn i dokumentene som inneholder opplysninger om den ansattes lønn, i vir</w:t>
      </w:r>
      <w:r>
        <w:t>k</w:t>
      </w:r>
      <w:r>
        <w:t>somheter som er underlagt offentleglova. I de sistnevnte virksomhetene skal ikke de ansattes lønnsopplysninger offentliggjøres i lik</w:t>
      </w:r>
      <w:r>
        <w:t>e</w:t>
      </w:r>
      <w:r>
        <w:t>stillingsredegjørelsen,</w:t>
      </w:r>
      <w:r>
        <w:t xml:space="preserve"> som er offentlig tilgjengelig på internett, jf. offentlegforskrifta § 7 bokstav e.</w:t>
      </w:r>
    </w:p>
    <w:p w:rsidR="00000000" w:rsidRDefault="00D718D0" w:rsidP="00BA3E8B">
      <w:r>
        <w:t xml:space="preserve">Bestemmelsens </w:t>
      </w:r>
      <w:r>
        <w:rPr>
          <w:rStyle w:val="kursiv"/>
          <w:sz w:val="21"/>
          <w:szCs w:val="21"/>
        </w:rPr>
        <w:t xml:space="preserve">sjette ledd </w:t>
      </w:r>
      <w:r>
        <w:t>fastslår at det i forskrift kan gis bestemmelser om standardisering av redegjøre</w:t>
      </w:r>
      <w:r>
        <w:t>l</w:t>
      </w:r>
      <w:r>
        <w:t>sesplikten på likestillingsområdet.</w:t>
      </w:r>
    </w:p>
    <w:p w:rsidR="00000000" w:rsidRDefault="00D718D0" w:rsidP="00BA3E8B">
      <w:r>
        <w:t>Arbeidsgiver som utleverer pe</w:t>
      </w:r>
      <w:r>
        <w:t>rsonopplysninger som nevnt i denne bestemmelsen skal samtidig informere vedkommende ansatte om hvilke opplysninger som er utlevert og til hvem. Arbeid</w:t>
      </w:r>
      <w:r>
        <w:t>s</w:t>
      </w:r>
      <w:r>
        <w:t>giver skal også informere vedkommende om at opplysningene er utlevert med hjemmel i b</w:t>
      </w:r>
      <w:r>
        <w:t>e</w:t>
      </w:r>
      <w:r>
        <w:t>stemmelsene om arbe</w:t>
      </w:r>
      <w:r>
        <w:t>idsgivers redegjøre</w:t>
      </w:r>
      <w:r>
        <w:t>l</w:t>
      </w:r>
      <w:r>
        <w:t>sesplikt etter § 26 a.</w:t>
      </w:r>
    </w:p>
    <w:p w:rsidR="00000000" w:rsidRDefault="00D718D0" w:rsidP="00BA3E8B">
      <w:pPr>
        <w:pStyle w:val="avsnitt-undertittel"/>
      </w:pPr>
      <w:r>
        <w:t>Til § 26 b Arbeidsgivers opplysningsplikt om likestillingsarbeid</w:t>
      </w:r>
    </w:p>
    <w:p w:rsidR="00000000" w:rsidRDefault="00D718D0" w:rsidP="00BA3E8B">
      <w:r>
        <w:t xml:space="preserve">Bestemmelsens </w:t>
      </w:r>
      <w:r>
        <w:rPr>
          <w:rStyle w:val="kursiv"/>
          <w:sz w:val="21"/>
          <w:szCs w:val="21"/>
        </w:rPr>
        <w:t xml:space="preserve">første ledd </w:t>
      </w:r>
      <w:r>
        <w:t>stadfester retten til innsyn i dokumentasjon som knytter seg til lik</w:t>
      </w:r>
      <w:r>
        <w:t>e</w:t>
      </w:r>
      <w:r>
        <w:t>stillingsa</w:t>
      </w:r>
      <w:r>
        <w:t>r</w:t>
      </w:r>
      <w:r>
        <w:t>beidet i virksomheten, jf. § 26. Bestemmel</w:t>
      </w:r>
      <w:r>
        <w:t>sen skal sees i sammenheng med § 26 som fastslår en dok</w:t>
      </w:r>
      <w:r>
        <w:t>u</w:t>
      </w:r>
      <w:r>
        <w:t>mentasjonsplikt for alle arbeidsgivere. Bestemmelsen fastslår videre en in</w:t>
      </w:r>
      <w:r>
        <w:t>n</w:t>
      </w:r>
      <w:r>
        <w:t>synsrett for virksomhetens ansatte og deres representanter, Diskrimineringsnemnda, Likesti</w:t>
      </w:r>
      <w:r>
        <w:t>l</w:t>
      </w:r>
      <w:r>
        <w:t>lings- og diskrimineringsombudet o</w:t>
      </w:r>
      <w:r>
        <w:t>g forskere. Det presiseres at retten til innsyn også omfatter en rett til innsyn i redegjørelsen. Likestillings- og diskrimineringsombudet og Diskriminering</w:t>
      </w:r>
      <w:r>
        <w:t>s</w:t>
      </w:r>
      <w:r>
        <w:t>nemnda kan sette frist for innsyn, jf. spesialmerknadene til § 26 a.</w:t>
      </w:r>
    </w:p>
    <w:p w:rsidR="00000000" w:rsidRDefault="00D718D0" w:rsidP="00BA3E8B">
      <w:r>
        <w:t xml:space="preserve">Bestemmelsen fastslår også at </w:t>
      </w:r>
      <w:r>
        <w:t>den som mottar opplysninger om enkeltansattes lønn, etnisitet, religion, livssyn, nedsatt funksjonsevne, seksuell orientering, kjønnsidentitet eller kjønnsuttrykk har taushetsplikt. Denne reguleringen harmonerer med de reglene som gjelder for arbeidsgivers</w:t>
      </w:r>
      <w:r>
        <w:t xml:space="preserve"> opplysningsplikt om lønn etter lovens § 32. Begge bestemmelsene pålegger en taushetsplikt og en plikt til å undertegne taushetserklæring for den som mottar opplysninger om lønn.</w:t>
      </w:r>
    </w:p>
    <w:p w:rsidR="00000000" w:rsidRDefault="00D718D0" w:rsidP="00BA3E8B">
      <w:r>
        <w:t xml:space="preserve">Bestemmelsens </w:t>
      </w:r>
      <w:r>
        <w:rPr>
          <w:rStyle w:val="kursiv"/>
          <w:sz w:val="21"/>
          <w:szCs w:val="21"/>
        </w:rPr>
        <w:t>første ledd</w:t>
      </w:r>
      <w:r>
        <w:t xml:space="preserve"> </w:t>
      </w:r>
      <w:r>
        <w:rPr>
          <w:rStyle w:val="kursiv"/>
          <w:sz w:val="21"/>
          <w:szCs w:val="21"/>
        </w:rPr>
        <w:t>tredje punktum</w:t>
      </w:r>
      <w:r>
        <w:t xml:space="preserve"> fastslår</w:t>
      </w:r>
      <w:r>
        <w:t xml:space="preserve"> videre at taushetsplikten ikke gjelder for op</w:t>
      </w:r>
      <w:r>
        <w:t>p</w:t>
      </w:r>
      <w:r>
        <w:t>lysninger som er offentlige etter offentleglova.</w:t>
      </w:r>
    </w:p>
    <w:p w:rsidR="00000000" w:rsidRDefault="00D718D0" w:rsidP="00BA3E8B">
      <w:r>
        <w:t xml:space="preserve">Arbeidsgiver som utleverer personopplysninger som nevnt i denne bestemmelsen skal samtidig informere vedkommende ansatte om hvilke opplysninger som er utlevert </w:t>
      </w:r>
      <w:r>
        <w:t>og til hvem. Arbeid</w:t>
      </w:r>
      <w:r>
        <w:t>s</w:t>
      </w:r>
      <w:r>
        <w:t>giver skal også informere vedkommende om at opplysningene er utlevert med hjemmel i b</w:t>
      </w:r>
      <w:r>
        <w:t>e</w:t>
      </w:r>
      <w:r>
        <w:t>stemmelsene om arbeidsgivers aktivitetsplikt etter § 26, jf. § 26b.</w:t>
      </w:r>
    </w:p>
    <w:p w:rsidR="00000000" w:rsidRDefault="00D718D0" w:rsidP="00BA3E8B">
      <w:r>
        <w:t xml:space="preserve">Bestemmelsens </w:t>
      </w:r>
      <w:r>
        <w:rPr>
          <w:rStyle w:val="kursiv"/>
          <w:sz w:val="21"/>
          <w:szCs w:val="21"/>
        </w:rPr>
        <w:t xml:space="preserve">annet ledd </w:t>
      </w:r>
      <w:r>
        <w:t>fastslår vilkår som skal være oppfylt for at opplysningen</w:t>
      </w:r>
      <w:r>
        <w:t>e kan utl</w:t>
      </w:r>
      <w:r>
        <w:t>e</w:t>
      </w:r>
      <w:r>
        <w:t>veres. Det er virksomhetens ledelse som vurderer om vilkårene er oppfylt. Det understrekes at vilkårene skal fortolkes vidt og at åpenhet i størst mulig grad skal brukes for å fremme likesti</w:t>
      </w:r>
      <w:r>
        <w:t>l</w:t>
      </w:r>
      <w:r>
        <w:t>ling.</w:t>
      </w:r>
    </w:p>
    <w:p w:rsidR="00000000" w:rsidRDefault="00D718D0" w:rsidP="00BA3E8B">
      <w:pPr>
        <w:pStyle w:val="avsnitt-undertittel"/>
      </w:pPr>
      <w:r>
        <w:lastRenderedPageBreak/>
        <w:t>Til 26 c Forankring i selskapers styre</w:t>
      </w:r>
    </w:p>
    <w:p w:rsidR="00000000" w:rsidRDefault="00D718D0" w:rsidP="00BA3E8B">
      <w:r>
        <w:t>Likestilli</w:t>
      </w:r>
      <w:r>
        <w:t>ngs- og diskrimineringsloven får en ny bestemmelse, § 26c, som presiserer styrets ansvar for å sørge for at aktivitets- og redegjørelsesplikten blir oppfylt.</w:t>
      </w:r>
    </w:p>
    <w:p w:rsidR="00000000" w:rsidRDefault="00D718D0" w:rsidP="00BA3E8B">
      <w:r>
        <w:t>Saker som gjelder aktivitets- og redegjørelsesplikten etter likestillings- og diskrimineringsloven</w:t>
      </w:r>
      <w:r>
        <w:t xml:space="preserve"> hører inn under styret, jf. hhv. aksjeloven og allmennaksjeloven § 6–20 annet ledd. Det er st</w:t>
      </w:r>
      <w:r>
        <w:t>y</w:t>
      </w:r>
      <w:r>
        <w:t>relederens ansvar å sørge for styrebehandling av aktuelle saker for å fremme likestilling og hindre diskriminering. Dette begrenser likevel ikke styremedlemmenes</w:t>
      </w:r>
      <w:r>
        <w:t xml:space="preserve"> og daglig leders rett til å kreve styrebehandling av saker om aktivt likesti</w:t>
      </w:r>
      <w:r>
        <w:t>l</w:t>
      </w:r>
      <w:r>
        <w:t>lingsarbeid, jf. hhv. aksjeloven og allmenna</w:t>
      </w:r>
      <w:r>
        <w:t>k</w:t>
      </w:r>
      <w:r>
        <w:t>sjeloven § 6–20 annet ledd.</w:t>
      </w:r>
    </w:p>
    <w:p w:rsidR="00000000" w:rsidRDefault="00D718D0" w:rsidP="00BA3E8B">
      <w:pPr>
        <w:pStyle w:val="avsnitt-undertittel"/>
      </w:pPr>
      <w:r>
        <w:t>Til § 38 Oppreisning og erstatning</w:t>
      </w:r>
    </w:p>
    <w:p w:rsidR="00000000" w:rsidRDefault="00D718D0" w:rsidP="00BA3E8B">
      <w:r>
        <w:t xml:space="preserve">Bestemmelsens </w:t>
      </w:r>
      <w:r w:rsidRPr="009445FD">
        <w:rPr>
          <w:rStyle w:val="kursiv"/>
        </w:rPr>
        <w:t xml:space="preserve">annet ledd annet punktum </w:t>
      </w:r>
      <w:r>
        <w:t xml:space="preserve"> er endret for å tydeliggjøre s</w:t>
      </w:r>
      <w:r>
        <w:t>killet mellom diskr</w:t>
      </w:r>
      <w:r>
        <w:t>i</w:t>
      </w:r>
      <w:r>
        <w:t>min</w:t>
      </w:r>
      <w:r>
        <w:t>e</w:t>
      </w:r>
      <w:r>
        <w:t>ring</w:t>
      </w:r>
      <w:r>
        <w:t>s</w:t>
      </w:r>
      <w:r>
        <w:t>saker der arbeidsgiver har et objektivt ansvar og trakasseringssaker som retter seg mot enkeltpersoner der arbeidsgivers ansvar avhenger av skyld. Presiseringen bidrar til å tydeliggjøre grensene for arbeid</w:t>
      </w:r>
      <w:r>
        <w:t>s</w:t>
      </w:r>
      <w:r>
        <w:t>givers objektive ans</w:t>
      </w:r>
      <w:r>
        <w:t>var.</w:t>
      </w:r>
    </w:p>
    <w:p w:rsidR="00000000" w:rsidRDefault="00D718D0" w:rsidP="00BA3E8B">
      <w:r>
        <w:t>Det kan ikke utledes et rent objektivt ansvar for arbeidsgiver i saker om seksuell trakassering. Arbeidsgiver kan for eksempel ikke holdes objektivt ansvarlig for en ansatt som trakasserer en kollega. Dette innebærer at oppreisningsansvaret for den so</w:t>
      </w:r>
      <w:r>
        <w:t>m diskriminerer skal avhenge av skyld, dvs. at vedkommende har opptrådt uaktsomt.</w:t>
      </w:r>
    </w:p>
    <w:p w:rsidR="00000000" w:rsidRDefault="00D718D0" w:rsidP="00BA3E8B">
      <w:r>
        <w:t>Det presiseres at det i diskrimineringssaker, herunder trakasseringssaker, gjelder regler om delt bevisbyrde, jf. likestillings- og diskrimineringsloven § 37. Delt bevisbyrde</w:t>
      </w:r>
      <w:r>
        <w:t xml:space="preserve"> innebærer at dersom det foreligger omstendi</w:t>
      </w:r>
      <w:r>
        <w:t>g</w:t>
      </w:r>
      <w:r>
        <w:t>heter som gir grunn til å tro at det har skjedd diskriminering og den ansvarlige ikke sannsynliggjør at di</w:t>
      </w:r>
      <w:r>
        <w:t>s</w:t>
      </w:r>
      <w:r>
        <w:t>kriminering likevel ikke har funnet sted, skal det legges til grunn at diskriminering har funnet sted. D</w:t>
      </w:r>
      <w:r>
        <w:t>elt bevisbyrde betyr altså ikke at kravene til skyld er lavere i diskrimineringssaker, men at bevisbyrden ligger på den som anklages for diskriminering. Beviskravet i diskrimineringssaker er like fullt alminnelig sannsy</w:t>
      </w:r>
      <w:r>
        <w:t>n</w:t>
      </w:r>
      <w:r>
        <w:t>lighetsovervekt, jf. Rt. 2014 s. 402</w:t>
      </w:r>
      <w:r>
        <w:t>.</w:t>
      </w:r>
    </w:p>
    <w:p w:rsidR="00000000" w:rsidRDefault="00D718D0" w:rsidP="00BA3E8B">
      <w:r>
        <w:t>Reglene om erstatning i denne loven, begrenser ikke en persons rett til å kreve oppreisning og erstatning etter alminnelige erstatningsregler.</w:t>
      </w:r>
      <w:r>
        <w:rPr>
          <w:rFonts w:cs="Times New Roman"/>
        </w:rPr>
        <w:t>​</w:t>
      </w:r>
    </w:p>
    <w:p w:rsidR="00000000" w:rsidRDefault="00D718D0" w:rsidP="00BA3E8B">
      <w:pPr>
        <w:pStyle w:val="Overskrift2"/>
      </w:pPr>
      <w:r>
        <w:t>Til endringene i serveringsloven</w:t>
      </w:r>
    </w:p>
    <w:p w:rsidR="00000000" w:rsidRDefault="00D718D0" w:rsidP="00BA3E8B">
      <w:pPr>
        <w:pStyle w:val="avsnitt-undertittel"/>
      </w:pPr>
      <w:r>
        <w:t>Til § 6 Krav til vandel</w:t>
      </w:r>
    </w:p>
    <w:p w:rsidR="00000000" w:rsidRDefault="00D718D0" w:rsidP="00BA3E8B">
      <w:r>
        <w:t xml:space="preserve">Det fremgår av </w:t>
      </w:r>
      <w:r>
        <w:rPr>
          <w:rStyle w:val="kursiv"/>
          <w:sz w:val="21"/>
          <w:szCs w:val="21"/>
        </w:rPr>
        <w:t xml:space="preserve">første ledd </w:t>
      </w:r>
      <w:r>
        <w:t>at bevillingshaver</w:t>
      </w:r>
      <w:r>
        <w:t>, daglig leder og personer som har vesentlig innfl</w:t>
      </w:r>
      <w:r>
        <w:t>y</w:t>
      </w:r>
      <w:r>
        <w:t>telse på virksomheten, må ha utvist uklanderlig vandel i forhold til lov om forbud mot diskr</w:t>
      </w:r>
      <w:r>
        <w:t>i</w:t>
      </w:r>
      <w:r>
        <w:t>minering på grunnlag av etnisitet, religion mv. Diskrimineringsloven om etnisitet er opphevet og erstattet med l</w:t>
      </w:r>
      <w:r>
        <w:t xml:space="preserve">ikestillings- og diskrimineringsloven fra januar 2018. Diskrimineringsloven om etnisitet ga et vern mot diskriminering på grunn av etnisitet, religion eller livssyn. Likestillings- og diskrimineringsloven gir derimot et vern mot diskriminering på grunn av </w:t>
      </w:r>
      <w:r>
        <w:t>kjønn, graviditet, permisjon ved fødsel eller adopsjon, omsorgsoppgaver, etn</w:t>
      </w:r>
      <w:r>
        <w:t>i</w:t>
      </w:r>
      <w:r>
        <w:t>sitet, religion, livssyn, funksjon</w:t>
      </w:r>
      <w:r>
        <w:t>s</w:t>
      </w:r>
      <w:r>
        <w:t>nedsettelse, seksuell orientering, kjønnsidentitet, kjønnsuttrykk, alder eller kombinasjoner av disse grunnlagene.</w:t>
      </w:r>
    </w:p>
    <w:p w:rsidR="00000000" w:rsidRDefault="00D718D0" w:rsidP="00BA3E8B">
      <w:r>
        <w:lastRenderedPageBreak/>
        <w:t>Departementet mener at vandel</w:t>
      </w:r>
      <w:r>
        <w:t>skravet bør knyttes til alle diskrimineringsgrunnlag som er vernet i likesti</w:t>
      </w:r>
      <w:r>
        <w:t>l</w:t>
      </w:r>
      <w:r>
        <w:t>lings- og diskrimineringsloven, og ikke bare til diskrimineringsgrunnlagene etnisitet, religion eller livssyn. Departementet kan ikke se at det er faglige grunner for at det bør s</w:t>
      </w:r>
      <w:r>
        <w:t>killes mellom diskrimineringsgrunnlagene i denne sammenhengen. Departementet foreslår derfor at bestemmelsen endres slik at henvisningen til di</w:t>
      </w:r>
      <w:r>
        <w:t>s</w:t>
      </w:r>
      <w:r>
        <w:t>krimineringsloven om etnisitet erstattes med en henvisning til likestillings- og diskrimineringsloven. Dette inn</w:t>
      </w:r>
      <w:r>
        <w:t>ebærer at bevillingshaver, daglig leder og personer som har vesentlig innflytelse på virksomheten, må, for å få en tillatelse til å etablere et serveringssted, ha utvist uklanderlig vandel i forhold til alle diskrimin</w:t>
      </w:r>
      <w:r>
        <w:t>e</w:t>
      </w:r>
      <w:r>
        <w:t>ringsgrun</w:t>
      </w:r>
      <w:r>
        <w:t>n</w:t>
      </w:r>
      <w:r>
        <w:t>lagene som er gitt et vern e</w:t>
      </w:r>
      <w:r>
        <w:t>tter likestillings- og diskrimineringsloven.</w:t>
      </w:r>
    </w:p>
    <w:p w:rsidR="00000000" w:rsidRDefault="00D718D0" w:rsidP="00BA3E8B">
      <w:pPr>
        <w:pStyle w:val="avsnitt-undertittel"/>
      </w:pPr>
      <w:r>
        <w:t>Til § 11 Opplysnings- og meldeplikt</w:t>
      </w:r>
    </w:p>
    <w:p w:rsidR="00000000" w:rsidRDefault="00D718D0" w:rsidP="00BA3E8B">
      <w:r>
        <w:t>Bestemmelsen gir regler om opplysnings- og meldeplikt.</w:t>
      </w:r>
    </w:p>
    <w:p w:rsidR="00000000" w:rsidRDefault="00D718D0" w:rsidP="00BA3E8B">
      <w:r>
        <w:t xml:space="preserve">Det fremgår av </w:t>
      </w:r>
      <w:r>
        <w:rPr>
          <w:rStyle w:val="kursiv"/>
          <w:sz w:val="21"/>
          <w:szCs w:val="21"/>
        </w:rPr>
        <w:t xml:space="preserve">første ledd </w:t>
      </w:r>
      <w:r>
        <w:t>at bestemte offentlige myndigheter har en plikt å gi de opplysninger som kommunen anser nød</w:t>
      </w:r>
      <w:r>
        <w:t>vendige for behandling av saker etter serveringsloven. Opplysning</w:t>
      </w:r>
      <w:r>
        <w:t>s</w:t>
      </w:r>
      <w:r>
        <w:t>plikten gjelder uten hinder av taushetsplikt. Etter bestemmelsen, slik den lyder i dag, skal Lik</w:t>
      </w:r>
      <w:r>
        <w:t>e</w:t>
      </w:r>
      <w:r>
        <w:t>stillings- og diskrimineringsnemnda gi opplysninger til kommunen. Diskrimineringsombud</w:t>
      </w:r>
      <w:r>
        <w:t>s</w:t>
      </w:r>
      <w:r>
        <w:t>loven,</w:t>
      </w:r>
      <w:r>
        <w:t xml:space="preserve"> som trådte i kraft 1. januar 2018, innebærer at det er gjort endringer i håndhevingsapp</w:t>
      </w:r>
      <w:r>
        <w:t>a</w:t>
      </w:r>
      <w:r>
        <w:t>ratet på likestillingsområdet. I forbindelse med dette er Likestillings- og diskrimineringsnemnda avviklet, og Diskrimineringsnemnda er opprettet. Departementet foresl</w:t>
      </w:r>
      <w:r>
        <w:t>år at første ledd rettes opp, slik at henvisningen til Likestillings- og diskrimineringsnemnda erstattes med en tilsvarende henvisning til Diskrimineringsnemnda.</w:t>
      </w:r>
    </w:p>
    <w:p w:rsidR="00000000" w:rsidRDefault="00D718D0" w:rsidP="00BA3E8B">
      <w:r>
        <w:t xml:space="preserve">Det foreslås dessuten en endring i </w:t>
      </w:r>
      <w:r>
        <w:rPr>
          <w:rStyle w:val="kursiv"/>
          <w:sz w:val="21"/>
          <w:szCs w:val="21"/>
        </w:rPr>
        <w:t>andre ledd</w:t>
      </w:r>
      <w:r>
        <w:t>. Det fremgår av denne bestemmelsen at dersom bl.</w:t>
      </w:r>
      <w:r>
        <w:t>a. Likesti</w:t>
      </w:r>
      <w:r>
        <w:t>l</w:t>
      </w:r>
      <w:r>
        <w:t>lings- og diskrimineringsnemnda avdekker forhold som de har grunn til å anta har v</w:t>
      </w:r>
      <w:r>
        <w:t>e</w:t>
      </w:r>
      <w:r>
        <w:t>sentlig betydning for bevillingsspørsmålet eller i vurderingen av om stedet bør stenges etter §§ 18 eller 19, plikter de av eget tiltak og uten hinder av taushets</w:t>
      </w:r>
      <w:r>
        <w:t>plikt, å informere kommunen om dette. Departementet mener at det er nødvendig å gjøre en tilsvarende endring i bestemmelsens andre ledd og erstatte henvisningen til Likestillings- og di</w:t>
      </w:r>
      <w:r>
        <w:t>s</w:t>
      </w:r>
      <w:r>
        <w:t>krimineringsnemnda med Diskrim</w:t>
      </w:r>
      <w:r>
        <w:t>i</w:t>
      </w:r>
      <w:r>
        <w:t>neringsnemnda.</w:t>
      </w:r>
    </w:p>
    <w:p w:rsidR="00000000" w:rsidRDefault="00D718D0" w:rsidP="00BA3E8B">
      <w:pPr>
        <w:pStyle w:val="Overskrift2"/>
      </w:pPr>
      <w:r>
        <w:t>Til endringene i</w:t>
      </w:r>
      <w:r>
        <w:t xml:space="preserve"> Regnskapsloven</w:t>
      </w:r>
    </w:p>
    <w:p w:rsidR="00000000" w:rsidRDefault="00D718D0" w:rsidP="00BA3E8B">
      <w:pPr>
        <w:pStyle w:val="avsnitt-undertittel"/>
      </w:pPr>
      <w:r>
        <w:t>Til § 3–3 a Årsberetningens innhold for regnskapspliktige som ikke er små foretak</w:t>
      </w:r>
    </w:p>
    <w:p w:rsidR="00000000" w:rsidRDefault="00D718D0" w:rsidP="00BA3E8B">
      <w:r>
        <w:t xml:space="preserve">Bestemmelsens </w:t>
      </w:r>
      <w:r>
        <w:rPr>
          <w:rStyle w:val="kursiv"/>
          <w:sz w:val="21"/>
          <w:szCs w:val="21"/>
        </w:rPr>
        <w:t>tiende og ellevte ledd</w:t>
      </w:r>
      <w:r>
        <w:t xml:space="preserve"> oppheves. Nåværende tolvte ledd fastslår en opplysningsplikt om forhold ved virksomheten som kan medføre en ikke ubetydel</w:t>
      </w:r>
      <w:r>
        <w:t>ig påvirkning av det ytre miljø. Trettende ledd gir regler om utarbeidelsen av konsernregnskap. Fjortende ledd regulerer op</w:t>
      </w:r>
      <w:r>
        <w:t>p</w:t>
      </w:r>
      <w:r>
        <w:t>lysningsplikten til regn</w:t>
      </w:r>
      <w:r>
        <w:t>s</w:t>
      </w:r>
      <w:r>
        <w:t>kapspliktige som er utstedere med verdipapirer notert på regulert ma</w:t>
      </w:r>
      <w:r>
        <w:t>r</w:t>
      </w:r>
      <w:r>
        <w:t xml:space="preserve">ked. Opphevelsen av tiende og ellevte </w:t>
      </w:r>
      <w:r>
        <w:t>ledd innebærer at nåværende tolvte, trettende og fjortende ledd blir tiende, ellevte og tolvte ledd.</w:t>
      </w:r>
    </w:p>
    <w:p w:rsidR="00000000" w:rsidRDefault="00D718D0" w:rsidP="00BA3E8B">
      <w:pPr>
        <w:pStyle w:val="avsnitt-undertittel"/>
      </w:pPr>
      <w:r>
        <w:t>Til § 3–3 c Redegjørelse om samfunnsansvar</w:t>
      </w:r>
    </w:p>
    <w:p w:rsidR="00000000" w:rsidRDefault="00D718D0" w:rsidP="00BA3E8B">
      <w:r>
        <w:t xml:space="preserve">Bestemmelsens </w:t>
      </w:r>
      <w:r>
        <w:rPr>
          <w:rStyle w:val="kursiv"/>
          <w:sz w:val="21"/>
          <w:szCs w:val="21"/>
        </w:rPr>
        <w:t xml:space="preserve">første ledd </w:t>
      </w:r>
      <w:r>
        <w:t>endres slik at likestilling og ikke-diskriminering fremheves i b</w:t>
      </w:r>
      <w:r>
        <w:t>e</w:t>
      </w:r>
      <w:r>
        <w:t>stemmelsen. Dette vil</w:t>
      </w:r>
      <w:r>
        <w:t xml:space="preserve"> gi en viktig signaleffekt og konkretiserer opplysningskravene om me</w:t>
      </w:r>
      <w:r>
        <w:t>n</w:t>
      </w:r>
      <w:r>
        <w:lastRenderedPageBreak/>
        <w:t>neskerettigheter, arbeid</w:t>
      </w:r>
      <w:r>
        <w:t>s</w:t>
      </w:r>
      <w:r>
        <w:t>takerrettigheter og sosiale forhold. Dette innebærer ingen endring av lovforståelsen, jf. omtalen av foretaks rapporteringsplikt i Prop. 48 L (2012–2013) kapittel</w:t>
      </w:r>
      <w:r>
        <w:t xml:space="preserve"> 9.3, jf. merknader til § 3–3 c. Foretaks rapportering</w:t>
      </w:r>
      <w:r>
        <w:t>s</w:t>
      </w:r>
      <w:r>
        <w:t>plikt om samfunnsansvar omfatter arbeidsgivers redegjørelsesplikt etter likestillings- og diskriminering</w:t>
      </w:r>
      <w:r>
        <w:t>s</w:t>
      </w:r>
      <w:r>
        <w:t>loven § 26 a. Rapporteringsplikten o</w:t>
      </w:r>
      <w:r>
        <w:t>m</w:t>
      </w:r>
      <w:r>
        <w:t>fatter arbeidet med å fremme likestilling og hindre diskrim</w:t>
      </w:r>
      <w:r>
        <w:t>inering. Selv om arbeidet med å f</w:t>
      </w:r>
      <w:r>
        <w:t>o</w:t>
      </w:r>
      <w:r>
        <w:t>rebygge trakassering, herunder seksuell trakassering, ikke er nevnt i den for</w:t>
      </w:r>
      <w:r>
        <w:t>e</w:t>
      </w:r>
      <w:r>
        <w:t>slåtte bestemmelsen i regnskapsloven § 3–3 c, er det klart at også arbeidet mot trakassering er omfattet. Foretaks rapportering om samfunnsansva</w:t>
      </w:r>
      <w:r>
        <w:t>r favner videre enn det virksomhetene er pålagt å gjøre. For</w:t>
      </w:r>
      <w:r>
        <w:t>e</w:t>
      </w:r>
      <w:r>
        <w:t>takene har mulighet til å arbeide for mer likestilling også på frivillig basis, og de skal i så tilfelle også ra</w:t>
      </w:r>
      <w:r>
        <w:t>p</w:t>
      </w:r>
      <w:r>
        <w:t>portere om likestillingsarbeid de velger å gjøre av eget initiativ (frivillig). De</w:t>
      </w:r>
      <w:r>
        <w:t>nne m</w:t>
      </w:r>
      <w:r>
        <w:t>u</w:t>
      </w:r>
      <w:r>
        <w:t>ligheten kan være særlig aktuell for flernasjonale selskaper når de driver sin virksomhet i land der menneskerettighetene ikke nødvendigvis er så godt ivaretatt som i Norge.</w:t>
      </w:r>
    </w:p>
    <w:p w:rsidR="00000000" w:rsidRDefault="00D718D0" w:rsidP="00BA3E8B">
      <w:r>
        <w:t xml:space="preserve">Bestemmelsens </w:t>
      </w:r>
      <w:r>
        <w:rPr>
          <w:rStyle w:val="kursiv"/>
          <w:sz w:val="21"/>
          <w:szCs w:val="21"/>
        </w:rPr>
        <w:t xml:space="preserve">femte ledd </w:t>
      </w:r>
      <w:r>
        <w:t>åpner for at redegjørelsen gis i årsberetningen ell</w:t>
      </w:r>
      <w:r>
        <w:t>er i et annet offentlig tilgjengelig dokument. Det kreves at det opplyses i årsberetningen hvor redegjørelsen er gjort tilgjengelig. Det presiseres i loven at kravet gjelder foretak som har en plikt til å levere årsb</w:t>
      </w:r>
      <w:r>
        <w:t>e</w:t>
      </w:r>
      <w:r>
        <w:t>retning.</w:t>
      </w:r>
    </w:p>
    <w:p w:rsidR="00000000" w:rsidRDefault="00D718D0" w:rsidP="00BA3E8B">
      <w:r>
        <w:t xml:space="preserve">Regnskapsloven § 3-3 a tiende </w:t>
      </w:r>
      <w:r>
        <w:t>og ellevte ledd oppheves, slik at nåværende tolvte, trettende og fjortende ledd blir tiende, ellevte og tolvte ledd. Det gjøres en tilsvarende endring i § 3-3 c sjette ledd.</w:t>
      </w:r>
    </w:p>
    <w:p w:rsidR="00000000" w:rsidRDefault="00D718D0" w:rsidP="00BA3E8B">
      <w:pPr>
        <w:pStyle w:val="Overskrift2"/>
      </w:pPr>
      <w:r>
        <w:t>Til endringen i Kommuneloven</w:t>
      </w:r>
    </w:p>
    <w:p w:rsidR="00000000" w:rsidRDefault="00D718D0" w:rsidP="00BA3E8B">
      <w:pPr>
        <w:pStyle w:val="avsnitt-undertittel"/>
      </w:pPr>
      <w:r>
        <w:t>Til § 14–7 Årsberetning</w:t>
      </w:r>
    </w:p>
    <w:p w:rsidR="00000000" w:rsidRDefault="00D718D0" w:rsidP="00BA3E8B">
      <w:r>
        <w:t>Bestemmelsen endres s</w:t>
      </w:r>
      <w:r>
        <w:t>lik at plikten til å redegjøre for likestilling nå fremgår av § 14–7 bokstav f. Ko</w:t>
      </w:r>
      <w:r>
        <w:t>m</w:t>
      </w:r>
      <w:r>
        <w:t>munale og fylkeskommunale virksomheter skal nå redegjøre for hva kommunen og fy</w:t>
      </w:r>
      <w:r>
        <w:t>l</w:t>
      </w:r>
      <w:r>
        <w:t>keskommunen gjør for å oppfylle arbeidsgivers aktivitetsplikt etter likestillings- og diskrim</w:t>
      </w:r>
      <w:r>
        <w:t>in</w:t>
      </w:r>
      <w:r>
        <w:t>e</w:t>
      </w:r>
      <w:r>
        <w:t>ringsloven § 26.</w:t>
      </w:r>
    </w:p>
    <w:p w:rsidR="00000000" w:rsidRDefault="00D718D0" w:rsidP="00BA3E8B">
      <w:r>
        <w:t>Dette kommer i tillegg til plikten til å redegjøre for den faktiske tilstanden for kjønnslikestilling, jf. bokstav e.</w:t>
      </w:r>
    </w:p>
    <w:p w:rsidR="00000000" w:rsidRDefault="00D718D0" w:rsidP="00BA3E8B">
      <w:r>
        <w:t>Nærmere omtale av arbeidsgivers redegjørelsesplikt fremgår av kapittel 3.8.</w:t>
      </w:r>
    </w:p>
    <w:p w:rsidR="00000000" w:rsidRDefault="00D718D0" w:rsidP="00BA3E8B">
      <w:pPr>
        <w:pStyle w:val="a-tilraar-dep"/>
      </w:pPr>
      <w:r>
        <w:t>Barne- og likestillingsdepartementet</w:t>
      </w:r>
    </w:p>
    <w:p w:rsidR="00000000" w:rsidRDefault="00D718D0" w:rsidP="00BA3E8B">
      <w:pPr>
        <w:pStyle w:val="a-tilraar-tit"/>
      </w:pPr>
      <w:r>
        <w:t>tilrå</w:t>
      </w:r>
      <w:r>
        <w:t>r:</w:t>
      </w:r>
    </w:p>
    <w:p w:rsidR="00000000" w:rsidRDefault="00D718D0" w:rsidP="00BA3E8B">
      <w:r>
        <w:t>At Deres Majestet godkjenner og skriver under et framlagt forslag til proposisjon til Stortinget om endringer i diskrimineringsombudsloven og likestillings- og diskrimineringsloven (etabl</w:t>
      </w:r>
      <w:r>
        <w:t>e</w:t>
      </w:r>
      <w:r>
        <w:t>ring av et lavterskeltilbud for behandling av saker om seksuell t</w:t>
      </w:r>
      <w:r>
        <w:t>rakassering og en styrking av aktivitets- og redegjørelsesplikten).</w:t>
      </w:r>
    </w:p>
    <w:p w:rsidR="00000000" w:rsidRDefault="00D718D0" w:rsidP="00BA3E8B">
      <w:pPr>
        <w:pStyle w:val="a-konge-tekst"/>
      </w:pPr>
      <w:r>
        <w:rPr>
          <w:rStyle w:val="halvfet"/>
          <w:sz w:val="21"/>
          <w:szCs w:val="21"/>
        </w:rPr>
        <w:lastRenderedPageBreak/>
        <w:t>Vi HARALD</w:t>
      </w:r>
      <w:r>
        <w:t>, Norges Konge,</w:t>
      </w:r>
    </w:p>
    <w:p w:rsidR="00000000" w:rsidRDefault="00D718D0" w:rsidP="00BA3E8B">
      <w:pPr>
        <w:pStyle w:val="a-konge-tit"/>
      </w:pPr>
      <w:r>
        <w:t>stadfester:</w:t>
      </w:r>
    </w:p>
    <w:p w:rsidR="00000000" w:rsidRDefault="00D718D0" w:rsidP="00BA3E8B">
      <w:r>
        <w:t>Stortinget blir bedt om å gjøre vedtak til lov om endringer i diskrimineringsombudsloven og likesti</w:t>
      </w:r>
      <w:r>
        <w:t>l</w:t>
      </w:r>
      <w:r>
        <w:t>lings- og diskrimineringsloven (etablering av et la</w:t>
      </w:r>
      <w:r>
        <w:t>vterskeltilbud for behandling av saker om seksuell tr</w:t>
      </w:r>
      <w:r>
        <w:t>a</w:t>
      </w:r>
      <w:r>
        <w:t>kassering og en styrking av aktivitets- og redegjørelsesplikten) i samsvar med et vedlagt forslag.</w:t>
      </w:r>
    </w:p>
    <w:p w:rsidR="00000000" w:rsidRDefault="00D718D0" w:rsidP="00BA3E8B"/>
    <w:p w:rsidR="00000000" w:rsidRDefault="00D718D0" w:rsidP="00BA3E8B">
      <w:pPr>
        <w:pStyle w:val="a-vedtak-tit"/>
      </w:pPr>
      <w:r>
        <w:t>Forslag</w:t>
      </w:r>
    </w:p>
    <w:p w:rsidR="00000000" w:rsidRDefault="00D718D0" w:rsidP="00BA3E8B">
      <w:pPr>
        <w:pStyle w:val="a-vedtak-tit"/>
      </w:pPr>
      <w:r>
        <w:t>til lov om endringer i diskrimineringsombudsloven og likestillings- og di</w:t>
      </w:r>
      <w:r>
        <w:t>s</w:t>
      </w:r>
      <w:r>
        <w:t>krimineringsloven (e</w:t>
      </w:r>
      <w:r>
        <w:t>tablering av et lavterskeltilbud for behandling av saker om seksuell trakassering og en styrking av aktivitets- og redegjørelsesplikten)</w:t>
      </w:r>
    </w:p>
    <w:p w:rsidR="00000000" w:rsidRDefault="00D718D0" w:rsidP="00BA3E8B">
      <w:pPr>
        <w:pStyle w:val="a-vedtak-del"/>
      </w:pPr>
      <w:r>
        <w:t>I</w:t>
      </w:r>
    </w:p>
    <w:p w:rsidR="00000000" w:rsidRDefault="00D718D0" w:rsidP="00BA3E8B">
      <w:pPr>
        <w:pStyle w:val="l-tit-endr-lov"/>
      </w:pPr>
      <w:r>
        <w:t>I lov 16. juni 2017 nr. 50 om Likestillings- og diskrimineringsombudet og Diskrimineringsnemnda gjøres følgende endri</w:t>
      </w:r>
      <w:r>
        <w:t>nger:</w:t>
      </w:r>
    </w:p>
    <w:p w:rsidR="00000000" w:rsidRDefault="00D718D0" w:rsidP="00BA3E8B">
      <w:pPr>
        <w:pStyle w:val="l-tit-endr-paragraf"/>
      </w:pPr>
      <w:r>
        <w:t>§ 1 annet ledd bokstav c skal lyde:</w:t>
      </w:r>
    </w:p>
    <w:p w:rsidR="00000000" w:rsidRDefault="00D718D0" w:rsidP="00BA3E8B">
      <w:pPr>
        <w:pStyle w:val="friliste"/>
      </w:pPr>
      <w:r>
        <w:t>c) eierseksjonsloven § </w:t>
      </w:r>
      <w:r>
        <w:rPr>
          <w:rStyle w:val="kursiv"/>
          <w:sz w:val="21"/>
          <w:szCs w:val="21"/>
        </w:rPr>
        <w:t>6</w:t>
      </w:r>
    </w:p>
    <w:p w:rsidR="00000000" w:rsidRDefault="00D718D0" w:rsidP="00BA3E8B">
      <w:pPr>
        <w:pStyle w:val="l-tit-endr-paragraf"/>
      </w:pPr>
      <w:r>
        <w:t>§ 1 tredje ledd skal lyde:</w:t>
      </w:r>
    </w:p>
    <w:p w:rsidR="00000000" w:rsidRDefault="00D718D0" w:rsidP="00BA3E8B">
      <w:pPr>
        <w:pStyle w:val="l-ledd"/>
      </w:pPr>
      <w:r>
        <w:t>Ombudets virksomhet omfatter også rapporteringen om arbeidet med likestilling og i</w:t>
      </w:r>
      <w:r>
        <w:t>k</w:t>
      </w:r>
      <w:r>
        <w:t>ke-diskriminering etter regnskapsloven § 3-3 c.</w:t>
      </w:r>
    </w:p>
    <w:p w:rsidR="00000000" w:rsidRDefault="00D718D0" w:rsidP="00BA3E8B">
      <w:pPr>
        <w:pStyle w:val="l-tit-endr-ledd"/>
      </w:pPr>
      <w:r>
        <w:t>Nåværende tredje ledd blir nytt</w:t>
      </w:r>
      <w:r>
        <w:t xml:space="preserve"> fjerde ledd.</w:t>
      </w:r>
    </w:p>
    <w:p w:rsidR="00000000" w:rsidRDefault="00D718D0" w:rsidP="00BA3E8B">
      <w:pPr>
        <w:pStyle w:val="l-tit-endr-paragraf"/>
      </w:pPr>
      <w:r>
        <w:t>§ 5 annet ledd skal lyde:</w:t>
      </w:r>
    </w:p>
    <w:p w:rsidR="00000000" w:rsidRDefault="00D718D0" w:rsidP="00BA3E8B">
      <w:pPr>
        <w:pStyle w:val="l-ledd"/>
      </w:pPr>
      <w:r>
        <w:t>Ombudet skal gi veiledning om bestemmelsene nevnt i § 1 annet ledd. Enhver kan henve</w:t>
      </w:r>
      <w:r>
        <w:t>n</w:t>
      </w:r>
      <w:r>
        <w:t xml:space="preserve">de seg til ombudet for veiledning, </w:t>
      </w:r>
      <w:r>
        <w:rPr>
          <w:rStyle w:val="kursiv"/>
          <w:sz w:val="21"/>
          <w:szCs w:val="21"/>
        </w:rPr>
        <w:t>også i enkeltsaker</w:t>
      </w:r>
      <w:r>
        <w:t>.</w:t>
      </w:r>
    </w:p>
    <w:p w:rsidR="00000000" w:rsidRDefault="00D718D0" w:rsidP="00BA3E8B">
      <w:pPr>
        <w:pStyle w:val="l-tit-endr-paragraf"/>
      </w:pPr>
      <w:r>
        <w:t>§ 5 nytt fjerde ledd skal lyde:</w:t>
      </w:r>
    </w:p>
    <w:p w:rsidR="00000000" w:rsidRDefault="00D718D0" w:rsidP="00BA3E8B">
      <w:r>
        <w:rPr>
          <w:rStyle w:val="l-endring"/>
          <w:sz w:val="21"/>
          <w:szCs w:val="21"/>
        </w:rPr>
        <w:t>Ombudet skal følge opp aktivitets- og redegj</w:t>
      </w:r>
      <w:r>
        <w:rPr>
          <w:rStyle w:val="l-endring"/>
          <w:sz w:val="21"/>
          <w:szCs w:val="21"/>
        </w:rPr>
        <w:t>ørelsesplikten etter likestillings- og diskrimineringsloven §§ 24, 25, 26 og 26 a, samt rapporteringsplikten om likestilling og ikke-diskriminering etter regnskapsloven § 3-3 c. Ombudets oppfølging kan blant annet innebære at ombudet og arbeidsgiver utarbe</w:t>
      </w:r>
      <w:r>
        <w:rPr>
          <w:rStyle w:val="l-endring"/>
          <w:sz w:val="21"/>
          <w:szCs w:val="21"/>
        </w:rPr>
        <w:t>ider en felles tilnærming til hvordan aktivitetsplikten følges opp i virksomheten. Ombudet kan videre gjennomgå likestillingsredegjøre</w:t>
      </w:r>
      <w:r>
        <w:rPr>
          <w:rStyle w:val="l-endring"/>
          <w:sz w:val="21"/>
          <w:szCs w:val="21"/>
        </w:rPr>
        <w:t>l</w:t>
      </w:r>
      <w:r>
        <w:rPr>
          <w:rStyle w:val="l-endring"/>
          <w:sz w:val="21"/>
          <w:szCs w:val="21"/>
        </w:rPr>
        <w:t>sene, analysere funnene, og komme med et forslag til forbedringstiltak og styrket innsats på likestillingsa</w:t>
      </w:r>
      <w:r>
        <w:rPr>
          <w:rStyle w:val="l-endring"/>
          <w:sz w:val="21"/>
          <w:szCs w:val="21"/>
        </w:rPr>
        <w:t>r</w:t>
      </w:r>
      <w:r>
        <w:rPr>
          <w:rStyle w:val="l-endring"/>
          <w:sz w:val="21"/>
          <w:szCs w:val="21"/>
        </w:rPr>
        <w:t>beidet i virk</w:t>
      </w:r>
      <w:r>
        <w:rPr>
          <w:rStyle w:val="l-endring"/>
          <w:sz w:val="21"/>
          <w:szCs w:val="21"/>
        </w:rPr>
        <w:t>somheten. Ombudet kan også gjennomføre oppfølgingsbesøk i virksomhetene.</w:t>
      </w:r>
    </w:p>
    <w:p w:rsidR="00000000" w:rsidRDefault="00D718D0" w:rsidP="00BA3E8B">
      <w:pPr>
        <w:pStyle w:val="l-tit-endr-paragraf"/>
      </w:pPr>
      <w:r>
        <w:t>§ 6 annet ledd skal lyde:</w:t>
      </w:r>
    </w:p>
    <w:p w:rsidR="00000000" w:rsidRDefault="00D718D0" w:rsidP="00BA3E8B">
      <w:pPr>
        <w:pStyle w:val="l-ledd"/>
      </w:pPr>
      <w:r>
        <w:t>Nemnda inndeles i avdelinger. Nemndas ledere deltar i hver sin avdeling. En leder op</w:t>
      </w:r>
      <w:r>
        <w:t>p</w:t>
      </w:r>
      <w:r>
        <w:t>nevnes som a</w:t>
      </w:r>
      <w:r>
        <w:t>d</w:t>
      </w:r>
      <w:r>
        <w:t>ministrativ leder.</w:t>
      </w:r>
    </w:p>
    <w:p w:rsidR="00000000" w:rsidRDefault="00D718D0" w:rsidP="00BA3E8B">
      <w:pPr>
        <w:pStyle w:val="l-tit-endr-paragraf"/>
      </w:pPr>
      <w:r>
        <w:t>§ 7 første ledd skal lyde:</w:t>
      </w:r>
    </w:p>
    <w:p w:rsidR="00000000" w:rsidRDefault="00D718D0" w:rsidP="00BA3E8B">
      <w:pPr>
        <w:pStyle w:val="l-ledd"/>
      </w:pPr>
      <w:r>
        <w:t>Nemnda skal h</w:t>
      </w:r>
      <w:r>
        <w:t>åndheve bestemmelsene nevnt i § 1 annet ledd, med unntak av følgende b</w:t>
      </w:r>
      <w:r>
        <w:t>e</w:t>
      </w:r>
      <w:r>
        <w:t xml:space="preserve">stemmelser i </w:t>
      </w:r>
      <w:r>
        <w:rPr>
          <w:rStyle w:val="kursiv"/>
          <w:sz w:val="21"/>
          <w:szCs w:val="21"/>
        </w:rPr>
        <w:t>likestillings- og diskrimineringsloven</w:t>
      </w:r>
      <w:r>
        <w:t>:</w:t>
      </w:r>
    </w:p>
    <w:p w:rsidR="00000000" w:rsidRDefault="00D718D0" w:rsidP="00BA3E8B">
      <w:pPr>
        <w:pStyle w:val="friliste"/>
      </w:pPr>
      <w:r>
        <w:t>a)</w:t>
      </w:r>
      <w:r>
        <w:tab/>
      </w:r>
      <w:r>
        <w:rPr>
          <w:rStyle w:val="kursiv"/>
          <w:sz w:val="21"/>
          <w:szCs w:val="21"/>
        </w:rPr>
        <w:t>§ 18</w:t>
      </w:r>
      <w:r>
        <w:t xml:space="preserve"> om universell utforming av IKT</w:t>
      </w:r>
    </w:p>
    <w:p w:rsidR="00000000" w:rsidRDefault="00D718D0" w:rsidP="00BA3E8B">
      <w:pPr>
        <w:pStyle w:val="friliste"/>
      </w:pPr>
      <w:r>
        <w:lastRenderedPageBreak/>
        <w:t>b)</w:t>
      </w:r>
      <w:r>
        <w:tab/>
        <w:t xml:space="preserve">§ 24 om offentlige myndigheters </w:t>
      </w:r>
      <w:r>
        <w:rPr>
          <w:rStyle w:val="kursiv"/>
          <w:sz w:val="21"/>
          <w:szCs w:val="21"/>
        </w:rPr>
        <w:t>aktivitets- og redegjørelsesplikt</w:t>
      </w:r>
    </w:p>
    <w:p w:rsidR="00000000" w:rsidRDefault="00D718D0" w:rsidP="00BA3E8B">
      <w:pPr>
        <w:pStyle w:val="friliste"/>
      </w:pPr>
      <w:r>
        <w:t>c)</w:t>
      </w:r>
      <w:r>
        <w:tab/>
        <w:t>§ </w:t>
      </w:r>
      <w:r>
        <w:t>25 om arbeidslivets organisasjoners plikt til å arbeide for likestilling</w:t>
      </w:r>
    </w:p>
    <w:p w:rsidR="00000000" w:rsidRDefault="00D718D0" w:rsidP="00BA3E8B">
      <w:pPr>
        <w:pStyle w:val="friliste"/>
      </w:pPr>
      <w:r>
        <w:t>d)</w:t>
      </w:r>
      <w:r>
        <w:tab/>
        <w:t xml:space="preserve">§ 26 om arbeidsgivers </w:t>
      </w:r>
      <w:r>
        <w:rPr>
          <w:rStyle w:val="kursiv"/>
          <w:sz w:val="21"/>
          <w:szCs w:val="21"/>
        </w:rPr>
        <w:t>aktivitetsplikt</w:t>
      </w:r>
    </w:p>
    <w:p w:rsidR="00000000" w:rsidRDefault="00D718D0" w:rsidP="00BA3E8B">
      <w:pPr>
        <w:pStyle w:val="friliste"/>
      </w:pPr>
      <w:r>
        <w:t>e)</w:t>
      </w:r>
      <w:r>
        <w:tab/>
      </w:r>
      <w:r>
        <w:rPr>
          <w:rStyle w:val="kursiv"/>
          <w:sz w:val="21"/>
          <w:szCs w:val="21"/>
        </w:rPr>
        <w:t>§ 26 b</w:t>
      </w:r>
      <w:r>
        <w:t xml:space="preserve"> om arbeidsgivers opplysningsplikt om likestillingsarbeid</w:t>
      </w:r>
    </w:p>
    <w:p w:rsidR="00000000" w:rsidRDefault="00D718D0" w:rsidP="00BA3E8B">
      <w:pPr>
        <w:pStyle w:val="friliste"/>
      </w:pPr>
      <w:r>
        <w:t>f)</w:t>
      </w:r>
      <w:r>
        <w:tab/>
        <w:t>§ 28 om kjønnsbalanse i offentlige utvalg mv.</w:t>
      </w:r>
    </w:p>
    <w:p w:rsidR="00000000" w:rsidRDefault="00D718D0" w:rsidP="00BA3E8B">
      <w:pPr>
        <w:pStyle w:val="friliste"/>
      </w:pPr>
      <w:r>
        <w:t>g)</w:t>
      </w:r>
      <w:r>
        <w:tab/>
        <w:t>§ 32 annet ledd om beha</w:t>
      </w:r>
      <w:r>
        <w:t>ndling av lønnsopplysninger</w:t>
      </w:r>
    </w:p>
    <w:p w:rsidR="00000000" w:rsidRDefault="00D718D0" w:rsidP="00BA3E8B">
      <w:pPr>
        <w:pStyle w:val="friliste"/>
      </w:pPr>
      <w:r>
        <w:t>h)</w:t>
      </w:r>
      <w:r>
        <w:tab/>
        <w:t>§ 39 om straff for grov overtredelse av diskrimineringsforbudet som er begått av flere i felle</w:t>
      </w:r>
      <w:r>
        <w:t>s</w:t>
      </w:r>
      <w:r>
        <w:t>skap.</w:t>
      </w:r>
    </w:p>
    <w:p w:rsidR="00000000" w:rsidRDefault="00D718D0" w:rsidP="00BA3E8B">
      <w:pPr>
        <w:pStyle w:val="l-tit-endr-paragraf"/>
      </w:pPr>
      <w:r>
        <w:t>§ 9 fjerde punktum skal lyde:</w:t>
      </w:r>
    </w:p>
    <w:p w:rsidR="00000000" w:rsidRDefault="00D718D0" w:rsidP="00BA3E8B">
      <w:pPr>
        <w:pStyle w:val="l-ledd"/>
      </w:pPr>
      <w:r>
        <w:t xml:space="preserve">I </w:t>
      </w:r>
      <w:r>
        <w:rPr>
          <w:rStyle w:val="kursiv"/>
          <w:sz w:val="21"/>
          <w:szCs w:val="21"/>
        </w:rPr>
        <w:t>saker om seksuell trakassering, og i</w:t>
      </w:r>
      <w:r>
        <w:t xml:space="preserve"> saker hvor det er fremmet krav om oppreisning, har pa</w:t>
      </w:r>
      <w:r>
        <w:t>r</w:t>
      </w:r>
      <w:r>
        <w:t>t</w:t>
      </w:r>
      <w:r>
        <w:t>ene rett til muntlige forhandlinger.</w:t>
      </w:r>
    </w:p>
    <w:p w:rsidR="00000000" w:rsidRDefault="00D718D0" w:rsidP="00BA3E8B">
      <w:pPr>
        <w:pStyle w:val="l-tit-endr-paragraf"/>
      </w:pPr>
      <w:r>
        <w:t>§ 10 første ledd skal lyde:</w:t>
      </w:r>
    </w:p>
    <w:p w:rsidR="00000000" w:rsidRDefault="00D718D0" w:rsidP="00BA3E8B">
      <w:pPr>
        <w:pStyle w:val="l-ledd"/>
      </w:pPr>
      <w:r>
        <w:t>Nemnda skal avvise en sak:</w:t>
      </w:r>
    </w:p>
    <w:p w:rsidR="00000000" w:rsidRDefault="00D718D0" w:rsidP="00BA3E8B">
      <w:pPr>
        <w:pStyle w:val="friliste"/>
      </w:pPr>
      <w:r>
        <w:t>a)</w:t>
      </w:r>
      <w:r>
        <w:tab/>
        <w:t>som er avgjort av en domstol eller brakt inn for en domstol til avgjørelse</w:t>
      </w:r>
    </w:p>
    <w:p w:rsidR="00000000" w:rsidRDefault="00D718D0" w:rsidP="00BA3E8B">
      <w:pPr>
        <w:pStyle w:val="friliste"/>
      </w:pPr>
      <w:r>
        <w:t>b)</w:t>
      </w:r>
      <w:r>
        <w:tab/>
        <w:t>dersom vilkårene for å behandle saken ikke er oppfylt</w:t>
      </w:r>
    </w:p>
    <w:p w:rsidR="00000000" w:rsidRDefault="00D718D0" w:rsidP="00BA3E8B">
      <w:pPr>
        <w:pStyle w:val="friliste"/>
      </w:pPr>
      <w:r>
        <w:t>c)</w:t>
      </w:r>
      <w:r>
        <w:tab/>
      </w:r>
      <w:r>
        <w:rPr>
          <w:rStyle w:val="kursiv"/>
          <w:sz w:val="21"/>
          <w:szCs w:val="21"/>
        </w:rPr>
        <w:t>som er under etterforsknin</w:t>
      </w:r>
      <w:r>
        <w:rPr>
          <w:rStyle w:val="kursiv"/>
          <w:sz w:val="21"/>
          <w:szCs w:val="21"/>
        </w:rPr>
        <w:t>g av påtalemyndigheten</w:t>
      </w:r>
    </w:p>
    <w:p w:rsidR="00000000" w:rsidRDefault="00D718D0" w:rsidP="00BA3E8B">
      <w:pPr>
        <w:pStyle w:val="friliste"/>
      </w:pPr>
      <w:r>
        <w:t>d)</w:t>
      </w:r>
      <w:r>
        <w:tab/>
      </w:r>
      <w:r>
        <w:rPr>
          <w:rStyle w:val="kursiv"/>
          <w:sz w:val="21"/>
          <w:szCs w:val="21"/>
        </w:rPr>
        <w:t>dersom fornærmede i saken er anmeldt for uriktig forklaring</w:t>
      </w:r>
      <w:r>
        <w:t>.</w:t>
      </w:r>
    </w:p>
    <w:p w:rsidR="00000000" w:rsidRDefault="00D718D0" w:rsidP="00BA3E8B">
      <w:pPr>
        <w:pStyle w:val="l-tit-endr-paragraf"/>
      </w:pPr>
      <w:r>
        <w:t>§ 10 annet ledd skal lyde:</w:t>
      </w:r>
    </w:p>
    <w:p w:rsidR="00000000" w:rsidRDefault="00D718D0" w:rsidP="00BA3E8B">
      <w:pPr>
        <w:pStyle w:val="l-ledd"/>
      </w:pPr>
      <w:r>
        <w:rPr>
          <w:rStyle w:val="kursiv"/>
          <w:sz w:val="21"/>
          <w:szCs w:val="21"/>
        </w:rPr>
        <w:t>Nemda kan avvise en sak hvis saksforholdet ligger mer enn tre år tilbake i tid</w:t>
      </w:r>
      <w:r>
        <w:t>.</w:t>
      </w:r>
    </w:p>
    <w:p w:rsidR="00000000" w:rsidRDefault="00D718D0" w:rsidP="00BA3E8B">
      <w:pPr>
        <w:pStyle w:val="l-tit-endr-ledd"/>
      </w:pPr>
      <w:r>
        <w:t>Nåværende annet og tredje ledd blir nytt tredje og fjerde ledd</w:t>
      </w:r>
      <w:r>
        <w:t>.</w:t>
      </w:r>
    </w:p>
    <w:p w:rsidR="00000000" w:rsidRDefault="00D718D0" w:rsidP="00BA3E8B">
      <w:pPr>
        <w:pStyle w:val="a-vedtak-del"/>
      </w:pPr>
      <w:r>
        <w:t>II</w:t>
      </w:r>
    </w:p>
    <w:p w:rsidR="00000000" w:rsidRDefault="00D718D0" w:rsidP="00BA3E8B">
      <w:pPr>
        <w:pStyle w:val="l-tit-endr-lov"/>
      </w:pPr>
      <w:r>
        <w:t>I lov 16. juni 2017 nr. 51 om likestilling og forbud mot diskriminering gjøres følgende endringer:</w:t>
      </w:r>
    </w:p>
    <w:p w:rsidR="00000000" w:rsidRDefault="00D718D0" w:rsidP="00BA3E8B">
      <w:pPr>
        <w:pStyle w:val="l-tit-endr-paragraf"/>
      </w:pPr>
      <w:r>
        <w:t>§ 13 sjette ledd skal lyde:</w:t>
      </w:r>
    </w:p>
    <w:p w:rsidR="00000000" w:rsidRDefault="00D718D0" w:rsidP="00BA3E8B">
      <w:pPr>
        <w:pStyle w:val="l-ledd"/>
      </w:pPr>
      <w:r>
        <w:t xml:space="preserve">Arbeidsgivere og ledelsen i organisasjoner og utdanningsinstitusjoner skal innenfor sitt ansvarsområde forebygge og </w:t>
      </w:r>
      <w:r>
        <w:rPr>
          <w:rStyle w:val="kursiv"/>
          <w:sz w:val="21"/>
          <w:szCs w:val="21"/>
        </w:rPr>
        <w:t>søke å h</w:t>
      </w:r>
      <w:r>
        <w:rPr>
          <w:rStyle w:val="kursiv"/>
          <w:sz w:val="21"/>
          <w:szCs w:val="21"/>
        </w:rPr>
        <w:t>indre</w:t>
      </w:r>
      <w:r>
        <w:t xml:space="preserve"> trakassering og seksuell trakassering.</w:t>
      </w:r>
    </w:p>
    <w:p w:rsidR="00000000" w:rsidRDefault="00D718D0" w:rsidP="00BA3E8B">
      <w:pPr>
        <w:pStyle w:val="l-tit-endr-paragraf"/>
      </w:pPr>
      <w:r>
        <w:t>§ 24 skal lyde:</w:t>
      </w:r>
    </w:p>
    <w:p w:rsidR="00000000" w:rsidRDefault="00D718D0" w:rsidP="00BA3E8B">
      <w:pPr>
        <w:pStyle w:val="l-paragraf"/>
      </w:pPr>
      <w:r>
        <w:t>§ 24. Offentlige myndigheters aktivitets- og redegjørelsesplikt</w:t>
      </w:r>
    </w:p>
    <w:p w:rsidR="00000000" w:rsidRDefault="00D718D0" w:rsidP="00BA3E8B">
      <w:r>
        <w:rPr>
          <w:rStyle w:val="l-endring"/>
          <w:sz w:val="21"/>
          <w:szCs w:val="21"/>
        </w:rPr>
        <w:t>Offentlige myndigheter skal i all sin virksomhet arbeide aktivt, målrettet og planmessig for å fremme lik</w:t>
      </w:r>
      <w:r>
        <w:rPr>
          <w:rStyle w:val="l-endring"/>
          <w:sz w:val="21"/>
          <w:szCs w:val="21"/>
        </w:rPr>
        <w:t>e</w:t>
      </w:r>
      <w:r>
        <w:rPr>
          <w:rStyle w:val="l-endring"/>
          <w:sz w:val="21"/>
          <w:szCs w:val="21"/>
        </w:rPr>
        <w:t>stilling og hindre diskri</w:t>
      </w:r>
      <w:r>
        <w:rPr>
          <w:rStyle w:val="l-endring"/>
          <w:sz w:val="21"/>
          <w:szCs w:val="21"/>
        </w:rPr>
        <w:t>minering som nevnt i § 6. Plikten innebærer blant annet at offentlige myndigheter skal forebygge trakassering, seksuell trakassering og kjønnsbasert vold og motarbeide stereotypisering.</w:t>
      </w:r>
    </w:p>
    <w:p w:rsidR="00000000" w:rsidRDefault="00D718D0" w:rsidP="00BA3E8B">
      <w:r>
        <w:rPr>
          <w:rStyle w:val="l-endring"/>
          <w:sz w:val="21"/>
          <w:szCs w:val="21"/>
        </w:rPr>
        <w:t xml:space="preserve">Offentlige myndigheter skal redegjøre for hva de gjør for å integrere </w:t>
      </w:r>
      <w:r>
        <w:rPr>
          <w:rStyle w:val="l-endring"/>
          <w:sz w:val="21"/>
          <w:szCs w:val="21"/>
        </w:rPr>
        <w:t>hensynet til likestilling og i</w:t>
      </w:r>
      <w:r>
        <w:rPr>
          <w:rStyle w:val="l-endring"/>
          <w:sz w:val="21"/>
          <w:szCs w:val="21"/>
        </w:rPr>
        <w:t>k</w:t>
      </w:r>
      <w:r>
        <w:rPr>
          <w:rStyle w:val="l-endring"/>
          <w:sz w:val="21"/>
          <w:szCs w:val="21"/>
        </w:rPr>
        <w:t>ke-diskriminering i sitt arbeid. Offentlige myndigheter skal redegjøre for hvordan de arbeider med å omsette prinsipper, prosedyrer og standarder for likestilling og ikke-diskriminering til handling. Offentlige myndi</w:t>
      </w:r>
      <w:r>
        <w:rPr>
          <w:rStyle w:val="l-endring"/>
          <w:sz w:val="21"/>
          <w:szCs w:val="21"/>
        </w:rPr>
        <w:t>g</w:t>
      </w:r>
      <w:r>
        <w:rPr>
          <w:rStyle w:val="l-endring"/>
          <w:sz w:val="21"/>
          <w:szCs w:val="21"/>
        </w:rPr>
        <w:t>heter sk</w:t>
      </w:r>
      <w:r>
        <w:rPr>
          <w:rStyle w:val="l-endring"/>
          <w:sz w:val="21"/>
          <w:szCs w:val="21"/>
        </w:rPr>
        <w:t>al vurdere resultatene som er oppnådd og opplyse hvilke forventninger de har til dette arbeidet fremover. Redegjørelsen skal gis i årsrapport, i årsberetning eller i et annet offentlig tilgjengelig dokument.</w:t>
      </w:r>
    </w:p>
    <w:p w:rsidR="00000000" w:rsidRDefault="00D718D0" w:rsidP="00BA3E8B">
      <w:pPr>
        <w:pStyle w:val="l-tit-endr-paragraf"/>
      </w:pPr>
      <w:r>
        <w:t>§ 26 skal lyde:</w:t>
      </w:r>
    </w:p>
    <w:p w:rsidR="00000000" w:rsidRDefault="00D718D0" w:rsidP="00BA3E8B">
      <w:pPr>
        <w:pStyle w:val="l-paragraf"/>
      </w:pPr>
      <w:r>
        <w:t>§ 26. Arbeidsgivers aktivitetspl</w:t>
      </w:r>
      <w:r>
        <w:t>ikt</w:t>
      </w:r>
    </w:p>
    <w:p w:rsidR="00000000" w:rsidRDefault="00D718D0" w:rsidP="00BA3E8B">
      <w:pPr>
        <w:pStyle w:val="l-ledd"/>
      </w:pPr>
      <w:r>
        <w:lastRenderedPageBreak/>
        <w:t xml:space="preserve">Alle arbeidsgivere skal, innenfor sin virksomhet, arbeide aktivt, målrettet og planmessig for å fremme likestilling, hindre diskriminering på grunn av kjønn, graviditet, permisjon ved fødsel </w:t>
      </w:r>
      <w:r>
        <w:rPr>
          <w:rStyle w:val="kursiv"/>
          <w:sz w:val="21"/>
          <w:szCs w:val="21"/>
        </w:rPr>
        <w:t>eller</w:t>
      </w:r>
      <w:r>
        <w:t xml:space="preserve"> adopsjon, o</w:t>
      </w:r>
      <w:r>
        <w:t>m</w:t>
      </w:r>
      <w:r>
        <w:t>sorgsoppgaver, etnisitet, religion, livssyn, funksjonsnedsettelse, seksuell or</w:t>
      </w:r>
      <w:r>
        <w:t>i</w:t>
      </w:r>
      <w:r>
        <w:t xml:space="preserve">entering, kjønnsidentitet, kjønnsuttrykk, </w:t>
      </w:r>
      <w:r>
        <w:rPr>
          <w:rStyle w:val="kursiv"/>
          <w:sz w:val="21"/>
          <w:szCs w:val="21"/>
        </w:rPr>
        <w:t>eller kombinasjoner av disse grunnlagene, og søke å hindre trakassering, seksuell trakass</w:t>
      </w:r>
      <w:r>
        <w:rPr>
          <w:rStyle w:val="kursiv"/>
          <w:sz w:val="21"/>
          <w:szCs w:val="21"/>
        </w:rPr>
        <w:t>e</w:t>
      </w:r>
      <w:r>
        <w:rPr>
          <w:rStyle w:val="kursiv"/>
          <w:sz w:val="21"/>
          <w:szCs w:val="21"/>
        </w:rPr>
        <w:t>ring og kjønnsbasert vold</w:t>
      </w:r>
      <w:r>
        <w:t>. Arbei</w:t>
      </w:r>
      <w:r>
        <w:t xml:space="preserve">det skal blant annet omfatte </w:t>
      </w:r>
      <w:r>
        <w:rPr>
          <w:rStyle w:val="kursiv"/>
          <w:sz w:val="21"/>
          <w:szCs w:val="21"/>
        </w:rPr>
        <w:t>områdene</w:t>
      </w:r>
      <w:r>
        <w:t xml:space="preserve"> rekruttering, lønns- og arbeidsvilkår, forfremmelse, utviklingsmuligheter, tilrettelegging </w:t>
      </w:r>
      <w:r>
        <w:rPr>
          <w:rStyle w:val="kursiv"/>
          <w:sz w:val="21"/>
          <w:szCs w:val="21"/>
        </w:rPr>
        <w:t>og</w:t>
      </w:r>
      <w:r>
        <w:t xml:space="preserve"> mulighet for å kombinere arbeid og familieliv.</w:t>
      </w:r>
    </w:p>
    <w:p w:rsidR="00000000" w:rsidRDefault="00D718D0" w:rsidP="00BA3E8B">
      <w:pPr>
        <w:pStyle w:val="l-ledd"/>
      </w:pPr>
      <w:r>
        <w:t>I alle offentlige virksomheter, uavhengig av størrelse, og i private virksomh</w:t>
      </w:r>
      <w:r>
        <w:t>eter som jevnlig sysselsetter mer enn 50 ansatte, skal arbeidsgiver innenfor sin virksomhet</w:t>
      </w:r>
    </w:p>
    <w:p w:rsidR="00000000" w:rsidRDefault="00D718D0" w:rsidP="00BA3E8B">
      <w:pPr>
        <w:pStyle w:val="friliste"/>
      </w:pPr>
      <w:r>
        <w:t>a)</w:t>
      </w:r>
      <w:r>
        <w:tab/>
        <w:t xml:space="preserve">undersøke om det finnes risiko for diskriminering eller andre hindre for likestilling, </w:t>
      </w:r>
      <w:r>
        <w:rPr>
          <w:rStyle w:val="kursiv"/>
          <w:sz w:val="21"/>
          <w:szCs w:val="21"/>
        </w:rPr>
        <w:t>herunder annethvert år kartlegge lønnsforhold fordelt etter kjøn</w:t>
      </w:r>
      <w:r>
        <w:rPr>
          <w:rStyle w:val="kursiv"/>
          <w:sz w:val="21"/>
          <w:szCs w:val="21"/>
        </w:rPr>
        <w:t>n og bruken av ufrivillig deltidsarbeid</w:t>
      </w:r>
      <w:r>
        <w:t>,</w:t>
      </w:r>
    </w:p>
    <w:p w:rsidR="00000000" w:rsidRDefault="00D718D0" w:rsidP="00BA3E8B">
      <w:pPr>
        <w:pStyle w:val="friliste"/>
      </w:pPr>
      <w:r>
        <w:t>b)</w:t>
      </w:r>
      <w:r>
        <w:tab/>
        <w:t>analysere årsakene til identifiserte risikoer,</w:t>
      </w:r>
    </w:p>
    <w:p w:rsidR="00000000" w:rsidRDefault="00D718D0" w:rsidP="00BA3E8B">
      <w:pPr>
        <w:pStyle w:val="friliste"/>
      </w:pPr>
      <w:r>
        <w:t>c)</w:t>
      </w:r>
      <w:r>
        <w:tab/>
        <w:t>iverksette tiltak som er egnet til å motvirke diskriminering, og bidra til økt likestilling og mangfold i vir</w:t>
      </w:r>
      <w:r>
        <w:t>k</w:t>
      </w:r>
      <w:r>
        <w:t>somheten og</w:t>
      </w:r>
    </w:p>
    <w:p w:rsidR="00000000" w:rsidRDefault="00D718D0" w:rsidP="00BA3E8B">
      <w:pPr>
        <w:pStyle w:val="friliste"/>
      </w:pPr>
      <w:r>
        <w:t>d)</w:t>
      </w:r>
      <w:r>
        <w:tab/>
        <w:t xml:space="preserve">vurdere resultater av arbeidet etter </w:t>
      </w:r>
      <w:r>
        <w:t>bokstav a til c.</w:t>
      </w:r>
    </w:p>
    <w:p w:rsidR="00000000" w:rsidRDefault="00D718D0" w:rsidP="00BA3E8B">
      <w:pPr>
        <w:pStyle w:val="l-ledd"/>
      </w:pPr>
      <w:r>
        <w:rPr>
          <w:rStyle w:val="kursiv"/>
          <w:sz w:val="21"/>
          <w:szCs w:val="21"/>
        </w:rPr>
        <w:t>Det samme gjelder arbeidsgiver i private virksomheter som jevnlig sysselsetter mellom 20 og 50 ansatte når en av arbeidslivets parter i virksomheten krever det</w:t>
      </w:r>
      <w:r>
        <w:t>.</w:t>
      </w:r>
    </w:p>
    <w:p w:rsidR="00000000" w:rsidRDefault="00D718D0" w:rsidP="00BA3E8B">
      <w:pPr>
        <w:pStyle w:val="l-ledd"/>
      </w:pPr>
      <w:r>
        <w:rPr>
          <w:rStyle w:val="kursiv"/>
          <w:sz w:val="21"/>
          <w:szCs w:val="21"/>
        </w:rPr>
        <w:t>Med ufrivillig deltidsarbeid menes deltidsarbeid der stillingsinnehaveren ønsk</w:t>
      </w:r>
      <w:r>
        <w:rPr>
          <w:rStyle w:val="kursiv"/>
          <w:sz w:val="21"/>
          <w:szCs w:val="21"/>
        </w:rPr>
        <w:t>er og er tilgjengelig for å jobbe mer.</w:t>
      </w:r>
    </w:p>
    <w:p w:rsidR="00000000" w:rsidRDefault="00D718D0" w:rsidP="00BA3E8B">
      <w:pPr>
        <w:pStyle w:val="l-ledd"/>
      </w:pPr>
      <w:r>
        <w:rPr>
          <w:rStyle w:val="kursiv"/>
          <w:sz w:val="21"/>
          <w:szCs w:val="21"/>
        </w:rPr>
        <w:t>Arbeid som nevnt i denne bestemmelsen skal dokumenteres.</w:t>
      </w:r>
      <w:r>
        <w:t xml:space="preserve"> Arbeid som nevnt i </w:t>
      </w:r>
      <w:r>
        <w:rPr>
          <w:rStyle w:val="kursiv"/>
          <w:sz w:val="21"/>
          <w:szCs w:val="21"/>
        </w:rPr>
        <w:t>bestemmelsens</w:t>
      </w:r>
      <w:r>
        <w:t xml:space="preserve"> andre ledd skal skje fortløpende og i samarbeid med de ansattes representanter.</w:t>
      </w:r>
    </w:p>
    <w:p w:rsidR="00000000" w:rsidRDefault="00D718D0" w:rsidP="00BA3E8B">
      <w:pPr>
        <w:pStyle w:val="l-ledd"/>
      </w:pPr>
      <w:r>
        <w:rPr>
          <w:rStyle w:val="kursiv"/>
          <w:sz w:val="21"/>
          <w:szCs w:val="21"/>
        </w:rPr>
        <w:t>Kongen kan i forskrift gi nærmere regler om inn</w:t>
      </w:r>
      <w:r>
        <w:rPr>
          <w:rStyle w:val="kursiv"/>
          <w:sz w:val="21"/>
          <w:szCs w:val="21"/>
        </w:rPr>
        <w:t>holdet i og gjennomføringen av lønnskartleggingen.</w:t>
      </w:r>
    </w:p>
    <w:p w:rsidR="00000000" w:rsidRDefault="00D718D0" w:rsidP="00BA3E8B">
      <w:pPr>
        <w:pStyle w:val="l-tit-endr-paragraf"/>
      </w:pPr>
      <w:r>
        <w:t>Ny § 26 a skal lyde:</w:t>
      </w:r>
    </w:p>
    <w:p w:rsidR="00000000" w:rsidRDefault="00D718D0" w:rsidP="00BA3E8B">
      <w:pPr>
        <w:pStyle w:val="l-paragraf"/>
      </w:pPr>
      <w:r>
        <w:t>§ 26 a. Arbeidsgivers redegjørelsesplikt</w:t>
      </w:r>
    </w:p>
    <w:p w:rsidR="00000000" w:rsidRDefault="00D718D0" w:rsidP="00BA3E8B">
      <w:pPr>
        <w:pStyle w:val="l-ledd"/>
      </w:pPr>
      <w:r>
        <w:t>Arbeidsgivere som har plikter etter § 26 andre ledd, skal redegjøre for den faktiske tilsta</w:t>
      </w:r>
      <w:r>
        <w:t>n</w:t>
      </w:r>
      <w:r>
        <w:t>den når det gjelder kjønnslikestilling i virksomhet</w:t>
      </w:r>
      <w:r>
        <w:t>en og hva de gjør for å oppfylle aktivitet</w:t>
      </w:r>
      <w:r>
        <w:t>s</w:t>
      </w:r>
      <w:r>
        <w:t>plikten etter § 26.</w:t>
      </w:r>
    </w:p>
    <w:p w:rsidR="00000000" w:rsidRDefault="00D718D0" w:rsidP="00BA3E8B">
      <w:pPr>
        <w:pStyle w:val="l-ledd"/>
      </w:pPr>
      <w:r>
        <w:t>Redegjørelsen etter første ledd skal gis i årsberetningen eller i annet offentlig tilgjengelig dokument. Dersom redegjørelsen gis i annet offentlig tilgjengelig dokument, og foretaket har en pl</w:t>
      </w:r>
      <w:r>
        <w:t>ikt til å levere årsb</w:t>
      </w:r>
      <w:r>
        <w:t>e</w:t>
      </w:r>
      <w:r>
        <w:t>retning, skal det i årsberetningen opplyses hvor dokumentet finnes offentlig tilgjengelig. Arbeidsgivere i offentlige virksomheter som ikke er pålagt å utarbeide årsberetning, skal ta redegjørelsen etter første ledd inn i sin årsrappo</w:t>
      </w:r>
      <w:r>
        <w:t>rt eller i et annet offentlig tilgjengelig dokument.</w:t>
      </w:r>
    </w:p>
    <w:p w:rsidR="00000000" w:rsidRDefault="00D718D0" w:rsidP="00BA3E8B">
      <w:pPr>
        <w:pStyle w:val="l-ledd"/>
      </w:pPr>
      <w:r>
        <w:t>Redegjørelsen skal utformes slik at enkeltansattes personlige forhold ikke røpes. Result</w:t>
      </w:r>
      <w:r>
        <w:t>a</w:t>
      </w:r>
      <w:r>
        <w:t>tene av lønn</w:t>
      </w:r>
      <w:r>
        <w:t>s</w:t>
      </w:r>
      <w:r>
        <w:t>kartleggingen skal fremgå av redegjørelsen i anonymisert form.</w:t>
      </w:r>
    </w:p>
    <w:p w:rsidR="00000000" w:rsidRDefault="00D718D0" w:rsidP="00BA3E8B">
      <w:pPr>
        <w:pStyle w:val="l-ledd"/>
      </w:pPr>
      <w:r>
        <w:t>Virksomhetens ansatte og deres represe</w:t>
      </w:r>
      <w:r>
        <w:t>ntanter, Diskrimineringsnemnda, Likestillings- og diskrimin</w:t>
      </w:r>
      <w:r>
        <w:t>e</w:t>
      </w:r>
      <w:r>
        <w:t>ringsombudet og forskere har rett til innsyn i resultatene av lønnskartleggingen, også når resultatene ikke kan anonymiseres. Opplysningene kan bare gis i den utstrekning de er nødvendige for å un</w:t>
      </w:r>
      <w:r>
        <w:t>dersøke om det foreligger ulovlig forskjellsbehandling ved lønnsfastsette</w:t>
      </w:r>
      <w:r>
        <w:t>l</w:t>
      </w:r>
      <w:r>
        <w:t>sen.</w:t>
      </w:r>
    </w:p>
    <w:p w:rsidR="00000000" w:rsidRDefault="00D718D0" w:rsidP="00BA3E8B">
      <w:pPr>
        <w:pStyle w:val="l-ledd"/>
      </w:pPr>
      <w:r>
        <w:t>Den som mottar lønnsopplysninger etter fjerde ledd har taushetsplikt og skal underskrive en taushetse</w:t>
      </w:r>
      <w:r>
        <w:t>r</w:t>
      </w:r>
      <w:r>
        <w:t>klæring. Dette gjelder ikke opplysninger som er offentlige etter offentlegl</w:t>
      </w:r>
      <w:r>
        <w:t>ova.</w:t>
      </w:r>
    </w:p>
    <w:p w:rsidR="00000000" w:rsidRDefault="00D718D0" w:rsidP="00BA3E8B">
      <w:pPr>
        <w:pStyle w:val="l-ledd"/>
      </w:pPr>
      <w:r>
        <w:t xml:space="preserve">Kongen kan gi forskrift om </w:t>
      </w:r>
      <w:r>
        <w:rPr>
          <w:rStyle w:val="kursiv"/>
          <w:sz w:val="21"/>
          <w:szCs w:val="21"/>
        </w:rPr>
        <w:t>standardisering av redegjørelsesplikten på likestillingsområdet</w:t>
      </w:r>
      <w:r>
        <w:t>.</w:t>
      </w:r>
    </w:p>
    <w:p w:rsidR="00000000" w:rsidRDefault="00D718D0" w:rsidP="00BA3E8B">
      <w:pPr>
        <w:pStyle w:val="l-tit-endr-paragraf"/>
      </w:pPr>
      <w:r>
        <w:lastRenderedPageBreak/>
        <w:t>Ny § 26 b skal lyde:</w:t>
      </w:r>
    </w:p>
    <w:p w:rsidR="00000000" w:rsidRDefault="00D718D0" w:rsidP="00BA3E8B">
      <w:pPr>
        <w:pStyle w:val="l-paragraf"/>
      </w:pPr>
      <w:r>
        <w:t>§ 26 b. Arbeidsgivers opplysningsplikt om likestillingsarbeid</w:t>
      </w:r>
    </w:p>
    <w:p w:rsidR="00000000" w:rsidRDefault="00D718D0" w:rsidP="00BA3E8B">
      <w:pPr>
        <w:pStyle w:val="l-ledd"/>
      </w:pPr>
      <w:r>
        <w:t>Virksomhetens ansatte og deres representanter, Diskrimineringsnemnda, Likest</w:t>
      </w:r>
      <w:r>
        <w:t>illings- og diskrimin</w:t>
      </w:r>
      <w:r>
        <w:t>e</w:t>
      </w:r>
      <w:r>
        <w:t>ringsombudet og forskere har rett til innsyn i dokumentasjon om likestillingsarbeid. Dersom dokumentasj</w:t>
      </w:r>
      <w:r>
        <w:t>o</w:t>
      </w:r>
      <w:r>
        <w:t>nen som det gis innsyn i innebærer opplysninger, som kan knyttes til enkeltansattes lønn, etnisitet, religion, livssyn, nedsatt fu</w:t>
      </w:r>
      <w:r>
        <w:t>nksjonsevne, seksuell orientering, kjønnsidentitet eller kjønnsuttrykk, skal den som mottar lønnsopplysninger pålegges taushet</w:t>
      </w:r>
      <w:r>
        <w:t>s</w:t>
      </w:r>
      <w:r>
        <w:t>plikt og underskrive en taushetserklæring. Dette gjelder ikke opply</w:t>
      </w:r>
      <w:r>
        <w:t>s</w:t>
      </w:r>
      <w:r>
        <w:t>ninger som er offentlige etter offentleglova.</w:t>
      </w:r>
    </w:p>
    <w:p w:rsidR="00000000" w:rsidRDefault="00D718D0" w:rsidP="00BA3E8B">
      <w:pPr>
        <w:pStyle w:val="l-ledd"/>
      </w:pPr>
      <w:r>
        <w:t>Opplysningene k</w:t>
      </w:r>
      <w:r>
        <w:t>an bare gis i den utstrekning de er nødvendige for å undersøke om a</w:t>
      </w:r>
      <w:r>
        <w:t>r</w:t>
      </w:r>
      <w:r>
        <w:t>beidsgiver har overholdt sin aktivitets- og dokumentasjonsplikt etter likestillings- og diskrim</w:t>
      </w:r>
      <w:r>
        <w:t>i</w:t>
      </w:r>
      <w:r>
        <w:t>neringsloven § 26.</w:t>
      </w:r>
    </w:p>
    <w:p w:rsidR="00000000" w:rsidRDefault="00D718D0" w:rsidP="00BA3E8B">
      <w:pPr>
        <w:pStyle w:val="l-tit-endr-paragraf"/>
      </w:pPr>
      <w:r>
        <w:t>Ny § 26 c skal lyde:</w:t>
      </w:r>
    </w:p>
    <w:p w:rsidR="00000000" w:rsidRDefault="00D718D0" w:rsidP="00BA3E8B">
      <w:pPr>
        <w:pStyle w:val="l-paragraf"/>
      </w:pPr>
      <w:r>
        <w:t>§ 26 c. Forankring i selskapers styre</w:t>
      </w:r>
    </w:p>
    <w:p w:rsidR="00000000" w:rsidRDefault="00D718D0" w:rsidP="00BA3E8B">
      <w:pPr>
        <w:pStyle w:val="l-ledd"/>
      </w:pPr>
      <w:r>
        <w:t>Styret i aksje</w:t>
      </w:r>
      <w:r>
        <w:t>selskaper og allmennaksjeselskaper skal sørge for at plikten til aktivt likesti</w:t>
      </w:r>
      <w:r>
        <w:t>l</w:t>
      </w:r>
      <w:r>
        <w:t>lingsarbeid og plikten til å redegjøre for dette, oppfylles i samsvar med likestillings- og diskr</w:t>
      </w:r>
      <w:r>
        <w:t>i</w:t>
      </w:r>
      <w:r>
        <w:t>mineringsloven §§ 26 og 26 a og regnskapsloven § 3-3c.</w:t>
      </w:r>
    </w:p>
    <w:p w:rsidR="00000000" w:rsidRDefault="00D718D0" w:rsidP="00BA3E8B">
      <w:pPr>
        <w:pStyle w:val="l-tit-endr-paragraf"/>
      </w:pPr>
      <w:r>
        <w:t>§ 38 annet ledd annet p</w:t>
      </w:r>
      <w:r>
        <w:t>unktum skal lyde:</w:t>
      </w:r>
    </w:p>
    <w:p w:rsidR="00000000" w:rsidRDefault="00D718D0" w:rsidP="00BA3E8B">
      <w:pPr>
        <w:pStyle w:val="l-ledd"/>
      </w:pPr>
      <w:r>
        <w:rPr>
          <w:rStyle w:val="kursiv"/>
          <w:sz w:val="21"/>
          <w:szCs w:val="21"/>
        </w:rPr>
        <w:t>I saker om trakassering og seksuell trakassering og</w:t>
      </w:r>
      <w:r>
        <w:t xml:space="preserve"> på andre samfunnsområder </w:t>
      </w:r>
      <w:r>
        <w:rPr>
          <w:rStyle w:val="kursiv"/>
          <w:sz w:val="21"/>
          <w:szCs w:val="21"/>
        </w:rPr>
        <w:t>enn nevnt i første punktum</w:t>
      </w:r>
      <w:r>
        <w:t>, gjelder ansvaret dersom den ansvarlige kan bebreides.</w:t>
      </w:r>
    </w:p>
    <w:p w:rsidR="00000000" w:rsidRDefault="00D718D0" w:rsidP="00BA3E8B">
      <w:pPr>
        <w:pStyle w:val="a-vedtak-del"/>
      </w:pPr>
      <w:r>
        <w:t>III</w:t>
      </w:r>
    </w:p>
    <w:p w:rsidR="00000000" w:rsidRDefault="00D718D0" w:rsidP="00BA3E8B">
      <w:pPr>
        <w:pStyle w:val="l-tit-endr-lov"/>
      </w:pPr>
      <w:r>
        <w:t>I lov av 13. juni 1997 nr. 55 om serveringsvirksomhet (serveringsloven) gjø</w:t>
      </w:r>
      <w:r>
        <w:t>res følgende endringer:</w:t>
      </w:r>
    </w:p>
    <w:p w:rsidR="00000000" w:rsidRDefault="00D718D0" w:rsidP="00BA3E8B">
      <w:pPr>
        <w:pStyle w:val="l-tit-endr-paragraf"/>
      </w:pPr>
      <w:r>
        <w:t>§ 6 første ledd skal lyde:</w:t>
      </w:r>
    </w:p>
    <w:p w:rsidR="00000000" w:rsidRDefault="00D718D0" w:rsidP="00BA3E8B">
      <w:pPr>
        <w:pStyle w:val="l-ledd"/>
      </w:pPr>
      <w:r>
        <w:t>Bevillingshaver, daglig leder og personer som har vesentlig innflytelse på virksomheten, må ha utvist uklanderlig vandel i forhold til straffelovgivningen, skatte- og avgiftslovgivnin</w:t>
      </w:r>
      <w:r>
        <w:t>g</w:t>
      </w:r>
      <w:r>
        <w:t>en, regnskapslovgivni</w:t>
      </w:r>
      <w:r>
        <w:t xml:space="preserve">ngen </w:t>
      </w:r>
      <w:r>
        <w:rPr>
          <w:rStyle w:val="kursiv"/>
          <w:sz w:val="21"/>
          <w:szCs w:val="21"/>
        </w:rPr>
        <w:t>og likestillings- og diskrimineringsloven</w:t>
      </w:r>
      <w:r>
        <w:t>. Personer som nevnt i første punktum må heller ikke ha brutt annen lovgivning på en måte som vil være uforenlig med drift av serveringssted.</w:t>
      </w:r>
    </w:p>
    <w:p w:rsidR="00000000" w:rsidRDefault="00D718D0" w:rsidP="00BA3E8B">
      <w:pPr>
        <w:pStyle w:val="l-tit-endr-paragraf"/>
      </w:pPr>
      <w:r>
        <w:t>§ 11 første og annet ledd skal lyde:</w:t>
      </w:r>
    </w:p>
    <w:p w:rsidR="00000000" w:rsidRDefault="00D718D0" w:rsidP="00BA3E8B">
      <w:pPr>
        <w:pStyle w:val="l-ledd"/>
      </w:pPr>
      <w:r>
        <w:t>Politiet, skatte- og avgiftsmyn</w:t>
      </w:r>
      <w:r>
        <w:t xml:space="preserve">dighetene, tollmyndighetene, Mattilsynet, Arbeidstilsynet, Likestillings- og diskrimineringsombudet og </w:t>
      </w:r>
      <w:r>
        <w:rPr>
          <w:rStyle w:val="kursiv"/>
          <w:sz w:val="21"/>
          <w:szCs w:val="21"/>
        </w:rPr>
        <w:t>Diskrimineringsnemnda</w:t>
      </w:r>
      <w:r>
        <w:t xml:space="preserve"> plikter uten hinder av tau</w:t>
      </w:r>
      <w:r>
        <w:t>s</w:t>
      </w:r>
      <w:r>
        <w:t>hetsplikt å gi de opply</w:t>
      </w:r>
      <w:r>
        <w:t>s</w:t>
      </w:r>
      <w:r>
        <w:t>ninger som kommunen anser nødvendige for behandling av saker etter denne lov.</w:t>
      </w:r>
    </w:p>
    <w:p w:rsidR="00000000" w:rsidRDefault="00D718D0" w:rsidP="00BA3E8B">
      <w:pPr>
        <w:pStyle w:val="l-ledd"/>
      </w:pPr>
      <w:r>
        <w:t>De</w:t>
      </w:r>
      <w:r>
        <w:t>rsom politiet, skatte- og avgiftsmyndighetene, tollmyndighetene, Mattilsynet, Arbeid</w:t>
      </w:r>
      <w:r>
        <w:t>s</w:t>
      </w:r>
      <w:r>
        <w:t>tilsynet, Lik</w:t>
      </w:r>
      <w:r>
        <w:t>e</w:t>
      </w:r>
      <w:r>
        <w:t xml:space="preserve">stillings- og diskrimineringsombudet eller </w:t>
      </w:r>
      <w:r>
        <w:rPr>
          <w:rStyle w:val="kursiv"/>
          <w:sz w:val="21"/>
          <w:szCs w:val="21"/>
        </w:rPr>
        <w:t>Diskrimineringsnemnda</w:t>
      </w:r>
      <w:r>
        <w:t xml:space="preserve"> avdekker forhold som de har grunn til å anta har vesentlig betydning for bevillingsspørsmåle</w:t>
      </w:r>
      <w:r>
        <w:t>t eller i vurderingen av om stedet bør stenges etter §§ 18 eller 19, plikter de av eget tiltak og uten hinder av tau</w:t>
      </w:r>
      <w:r>
        <w:t>s</w:t>
      </w:r>
      <w:r>
        <w:t>hetsplikt, å informere kommunen om dette.</w:t>
      </w:r>
    </w:p>
    <w:p w:rsidR="00000000" w:rsidRDefault="00D718D0" w:rsidP="00BA3E8B">
      <w:pPr>
        <w:pStyle w:val="a-vedtak-del"/>
      </w:pPr>
      <w:r>
        <w:t>IV</w:t>
      </w:r>
    </w:p>
    <w:p w:rsidR="00000000" w:rsidRDefault="00D718D0" w:rsidP="00BA3E8B">
      <w:pPr>
        <w:pStyle w:val="l-tit-endr-lov"/>
      </w:pPr>
      <w:r>
        <w:lastRenderedPageBreak/>
        <w:t>I lov 17. juli 1998 nr. 56 om årsregnskap (regnskapsloven) gjøres følgende endringer:</w:t>
      </w:r>
    </w:p>
    <w:p w:rsidR="00000000" w:rsidRDefault="00D718D0" w:rsidP="00BA3E8B">
      <w:pPr>
        <w:pStyle w:val="l-tit-endr-paragraf"/>
      </w:pPr>
      <w:r>
        <w:t>§ 3-3a t</w:t>
      </w:r>
      <w:r>
        <w:t>iende og ellevte ledd oppheves. Nåværende tolvte, trettende og fjortende ledd blir tiende, ellevte og tolvte ledd.</w:t>
      </w:r>
    </w:p>
    <w:p w:rsidR="00000000" w:rsidRDefault="00D718D0" w:rsidP="00BA3E8B">
      <w:pPr>
        <w:pStyle w:val="l-tit-endr-paragraf"/>
      </w:pPr>
      <w:r>
        <w:t>§ 3-3c skal lyde:</w:t>
      </w:r>
    </w:p>
    <w:p w:rsidR="00000000" w:rsidRDefault="00D718D0" w:rsidP="00BA3E8B">
      <w:pPr>
        <w:pStyle w:val="l-ledd"/>
      </w:pPr>
      <w:r>
        <w:t>Store foretak skal redegjøre for hva foretaket gjør for å integrere hensynet til menneskere</w:t>
      </w:r>
      <w:r>
        <w:t>t</w:t>
      </w:r>
      <w:r>
        <w:t>tigheter, a</w:t>
      </w:r>
      <w:r>
        <w:t>r</w:t>
      </w:r>
      <w:r>
        <w:t>beidstakerrettighet</w:t>
      </w:r>
      <w:r>
        <w:t xml:space="preserve">er, </w:t>
      </w:r>
      <w:r>
        <w:rPr>
          <w:rStyle w:val="kursiv"/>
          <w:sz w:val="21"/>
          <w:szCs w:val="21"/>
        </w:rPr>
        <w:t>likestilling og ikke-diskriminering</w:t>
      </w:r>
      <w:r>
        <w:t>, sosiale forhold, det ytre miljø og bekjempelse av korrupsjon i sine forretningsstrategier, i sin daglige drift og i forholdet til sine interessenter. Redegjørelsen skal minst inneholde opplysninger om retningslinjer</w:t>
      </w:r>
      <w:r>
        <w:t>, prinsi</w:t>
      </w:r>
      <w:r>
        <w:t>p</w:t>
      </w:r>
      <w:r>
        <w:t>per, prosedyrer og standarder foretaket benytter for å integrere de nevnte hensynene i sine fo</w:t>
      </w:r>
      <w:r>
        <w:t>r</w:t>
      </w:r>
      <w:r>
        <w:t>retningsstrategier, i sin daglige drift og i forholdet til sine i</w:t>
      </w:r>
      <w:r>
        <w:t>n</w:t>
      </w:r>
      <w:r>
        <w:t>teressenter. Foretak som har re</w:t>
      </w:r>
      <w:r>
        <w:t>t</w:t>
      </w:r>
      <w:r>
        <w:t xml:space="preserve">ningslinjer, prinsipper, prosedyrer og standarder som </w:t>
      </w:r>
      <w:r>
        <w:t>nevnt, skal i tillegg opplyse om hvordan foretaket arbeider for å omsette disse til handling, gi en vurdering av resultatene som er op</w:t>
      </w:r>
      <w:r>
        <w:t>p</w:t>
      </w:r>
      <w:r>
        <w:t>nådd som følge av arbeidet med å integrere hensynene som er nevnt i første punktum i sine forretning</w:t>
      </w:r>
      <w:r>
        <w:t>s</w:t>
      </w:r>
      <w:r>
        <w:t>strategier, i sin da</w:t>
      </w:r>
      <w:r>
        <w:t>glige drift og i forholdet til sine interessenter, og opplyse om fo</w:t>
      </w:r>
      <w:r>
        <w:t>r</w:t>
      </w:r>
      <w:r>
        <w:t>ventninger til dette arbe</w:t>
      </w:r>
      <w:r>
        <w:t>i</w:t>
      </w:r>
      <w:r>
        <w:t>det framover.</w:t>
      </w:r>
    </w:p>
    <w:p w:rsidR="00000000" w:rsidRDefault="00D718D0" w:rsidP="00BA3E8B">
      <w:pPr>
        <w:pStyle w:val="l-ledd"/>
      </w:pPr>
      <w:r>
        <w:t>Hvis foretaket ikke har retningslinjer, prinsipper, prosedyrer og standarder som nevnt, skal det opplyses om dette.</w:t>
      </w:r>
    </w:p>
    <w:p w:rsidR="00000000" w:rsidRDefault="00D718D0" w:rsidP="00BA3E8B">
      <w:pPr>
        <w:pStyle w:val="l-ledd"/>
      </w:pPr>
      <w:r>
        <w:t>Departementet kan i forskrift fa</w:t>
      </w:r>
      <w:r>
        <w:t>stsette at en offentlig framskrittsrapport i henhold til FNs initiativ for samarbeid med næringslivet om en bærekraftig utvikling eller en offentlig rapport foretaket har avlagt i</w:t>
      </w:r>
      <w:r>
        <w:t>n</w:t>
      </w:r>
      <w:r>
        <w:t>nenfor rammeverket til Det globale rapporteringsinitiativet, kan erstatte re</w:t>
      </w:r>
      <w:r>
        <w:t>degjørelsen etter første ledd. D</w:t>
      </w:r>
      <w:r>
        <w:t>e</w:t>
      </w:r>
      <w:r>
        <w:t>partementet kan i forskrift også fastsette nærmere krav til slik rapportering, herunder krav om at det skal gis tilleggsopplysninger i foretakets årsberetning.</w:t>
      </w:r>
    </w:p>
    <w:p w:rsidR="00000000" w:rsidRDefault="00D718D0" w:rsidP="00BA3E8B">
      <w:pPr>
        <w:pStyle w:val="l-ledd"/>
      </w:pPr>
      <w:r>
        <w:t>Kravet om redegjørelse i første ledd gjelder ikke for dattersel</w:t>
      </w:r>
      <w:r>
        <w:t>skap, dersom morselskapet har gitt en r</w:t>
      </w:r>
      <w:r>
        <w:t>e</w:t>
      </w:r>
      <w:r>
        <w:t>degjørelse som angitt i årsberetning for konsernet som også omfatter datterselskapet. Datterselskapet skal i så fall opplyse om dette i sin årsberetning og angi hvor redegjørelsen finnes offentlig tilgjengelig.</w:t>
      </w:r>
    </w:p>
    <w:p w:rsidR="00000000" w:rsidRDefault="00D718D0" w:rsidP="00BA3E8B">
      <w:pPr>
        <w:pStyle w:val="l-ledd"/>
      </w:pPr>
      <w:r>
        <w:t>Redeg</w:t>
      </w:r>
      <w:r>
        <w:t xml:space="preserve">jørelsen etter første ledd skal gis i årsberetningen eller i annet offentlig tilgjengelig dokument. Dersom redegjørelsen gis i annet offentlig tilgjengelig dokument, </w:t>
      </w:r>
      <w:r>
        <w:rPr>
          <w:rStyle w:val="kursiv"/>
          <w:sz w:val="21"/>
          <w:szCs w:val="21"/>
        </w:rPr>
        <w:t>og foretaket har en plikt til å levere år</w:t>
      </w:r>
      <w:r>
        <w:rPr>
          <w:rStyle w:val="kursiv"/>
          <w:sz w:val="21"/>
          <w:szCs w:val="21"/>
        </w:rPr>
        <w:t>s</w:t>
      </w:r>
      <w:r>
        <w:rPr>
          <w:rStyle w:val="kursiv"/>
          <w:sz w:val="21"/>
          <w:szCs w:val="21"/>
        </w:rPr>
        <w:t>beretning</w:t>
      </w:r>
      <w:r>
        <w:t>, skal det opplyses i årsberetningen hv</w:t>
      </w:r>
      <w:r>
        <w:t>or dokumentet finnes offentlig tilgjengelig.</w:t>
      </w:r>
    </w:p>
    <w:p w:rsidR="00000000" w:rsidRDefault="00D718D0" w:rsidP="00BA3E8B">
      <w:pPr>
        <w:pStyle w:val="l-ledd"/>
      </w:pPr>
      <w:r>
        <w:t xml:space="preserve">Opplysninger om forhold som nevnt i § 3-3a niende </w:t>
      </w:r>
      <w:r>
        <w:rPr>
          <w:rStyle w:val="kursiv"/>
          <w:sz w:val="21"/>
          <w:szCs w:val="21"/>
        </w:rPr>
        <w:t>og tiende</w:t>
      </w:r>
      <w:r>
        <w:t xml:space="preserve"> ledd kan inntas i en redegj</w:t>
      </w:r>
      <w:r>
        <w:t>ø</w:t>
      </w:r>
      <w:r>
        <w:t>relse etter første ledd som er gitt som eget dokument, istedenfor i årsberetningen. Dersom de</w:t>
      </w:r>
      <w:r>
        <w:t>n</w:t>
      </w:r>
      <w:r>
        <w:t>ne adgangen benyttes, skal de</w:t>
      </w:r>
      <w:r>
        <w:t>t opplyses særskilt om dette i årsberetningen. Første punktum gjelder ikke for redegjørelse som er gitt annet sted enn i årsberetningen i samsvar med reglene i tredje og fjerde ledd.</w:t>
      </w:r>
    </w:p>
    <w:p w:rsidR="00000000" w:rsidRDefault="00D718D0" w:rsidP="00BA3E8B">
      <w:pPr>
        <w:pStyle w:val="l-ledd"/>
      </w:pPr>
      <w:r>
        <w:t>Departementet kan i forskrift gi utfyllende regler om hvilke opplysninger</w:t>
      </w:r>
      <w:r>
        <w:t xml:space="preserve"> som skal gis i redegjørelsen etter første ledd, nærmere bestemmelser om avleggelse og oppdatering av op</w:t>
      </w:r>
      <w:r>
        <w:t>p</w:t>
      </w:r>
      <w:r>
        <w:t>lysninger i redegjørelsen gitt i eget dokument, samt nærmere bestemmelser om revisors plikter i forbindelse med opplysningene i slikt eget dokument.</w:t>
      </w:r>
    </w:p>
    <w:p w:rsidR="00000000" w:rsidRDefault="00D718D0" w:rsidP="00BA3E8B">
      <w:pPr>
        <w:pStyle w:val="a-vedtak-del"/>
      </w:pPr>
      <w:r>
        <w:t>V</w:t>
      </w:r>
    </w:p>
    <w:p w:rsidR="00000000" w:rsidRDefault="00D718D0" w:rsidP="00BA3E8B">
      <w:pPr>
        <w:pStyle w:val="l-tit-endr-lov"/>
      </w:pPr>
      <w:r>
        <w:lastRenderedPageBreak/>
        <w:t>I lov 22. juni 2018 nr. 83 om kommuner og fylkeskommuner (kommuneloven) gjøres følgende endringer:</w:t>
      </w:r>
    </w:p>
    <w:p w:rsidR="00000000" w:rsidRDefault="00D718D0" w:rsidP="00BA3E8B">
      <w:pPr>
        <w:pStyle w:val="l-tit-endr-paragraf"/>
      </w:pPr>
      <w:r>
        <w:t>§ 14-7 annet ledd bokstav f skal lyde:</w:t>
      </w:r>
    </w:p>
    <w:p w:rsidR="00000000" w:rsidRDefault="00D718D0" w:rsidP="00BA3E8B">
      <w:pPr>
        <w:pStyle w:val="friliste"/>
      </w:pPr>
      <w:r>
        <w:rPr>
          <w:rStyle w:val="kursiv"/>
          <w:sz w:val="21"/>
          <w:szCs w:val="21"/>
        </w:rPr>
        <w:t xml:space="preserve">f. </w:t>
      </w:r>
      <w:r>
        <w:rPr>
          <w:rStyle w:val="kursiv"/>
          <w:sz w:val="21"/>
          <w:szCs w:val="21"/>
        </w:rPr>
        <w:tab/>
        <w:t>hva kommunen eller fylkeskommunen gjør for å oppfylle arbeidsgivers aktivitetsplikt etter likestillings- og diskri</w:t>
      </w:r>
      <w:r>
        <w:rPr>
          <w:rStyle w:val="kursiv"/>
          <w:sz w:val="21"/>
          <w:szCs w:val="21"/>
        </w:rPr>
        <w:t>mineringsloven § 26.</w:t>
      </w:r>
    </w:p>
    <w:p w:rsidR="00000000" w:rsidRDefault="00D718D0" w:rsidP="00BA3E8B">
      <w:pPr>
        <w:pStyle w:val="a-vedtak-del"/>
      </w:pPr>
      <w:r>
        <w:t>VI</w:t>
      </w:r>
    </w:p>
    <w:p w:rsidR="00000000" w:rsidRDefault="00D718D0" w:rsidP="00BA3E8B">
      <w:r>
        <w:t>Ikrafttredelse og overgangsregler</w:t>
      </w:r>
    </w:p>
    <w:p w:rsidR="00000000" w:rsidRDefault="00D718D0" w:rsidP="00BA3E8B">
      <w:pPr>
        <w:pStyle w:val="Nummerertliste"/>
      </w:pPr>
      <w:r>
        <w:t>Loven gjelder fra den tiden Kongen bestemmer. Kongen kan sette i kraft de enkelte beste</w:t>
      </w:r>
      <w:r>
        <w:t>m</w:t>
      </w:r>
      <w:r>
        <w:t>melsene til forskjellig tid.</w:t>
      </w:r>
    </w:p>
    <w:p w:rsidR="00000000" w:rsidRDefault="00D718D0" w:rsidP="00BA3E8B">
      <w:pPr>
        <w:pStyle w:val="Nummerertliste"/>
      </w:pPr>
      <w:r>
        <w:t>Kongen kan gi overgangsbestemmelser.</w:t>
      </w:r>
    </w:p>
    <w:p w:rsidR="00000000" w:rsidRDefault="00D718D0" w:rsidP="00BA3E8B"/>
    <w:sectPr w:rsidR="000000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18D0">
      <w:pPr>
        <w:spacing w:after="0" w:line="240" w:lineRule="auto"/>
      </w:pPr>
      <w:r>
        <w:separator/>
      </w:r>
    </w:p>
  </w:endnote>
  <w:endnote w:type="continuationSeparator" w:id="0">
    <w:p w:rsidR="00000000" w:rsidRDefault="00D7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18D0">
      <w:pPr>
        <w:spacing w:after="0" w:line="240" w:lineRule="auto"/>
      </w:pPr>
      <w:r>
        <w:separator/>
      </w:r>
    </w:p>
  </w:footnote>
  <w:footnote w:type="continuationSeparator" w:id="0">
    <w:p w:rsidR="00000000" w:rsidRDefault="00D71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D8E292"/>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nsid w:val="3ADC5384"/>
    <w:multiLevelType w:val="multilevel"/>
    <w:tmpl w:val="86DAF25C"/>
    <w:numStyleLink w:val="l-AlfaListeStil"/>
  </w:abstractNum>
  <w:abstractNum w:abstractNumId="8">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62A6542F"/>
    <w:multiLevelType w:val="multilevel"/>
    <w:tmpl w:val="619C0D84"/>
    <w:numStyleLink w:val="RomListeStil"/>
  </w:abstractNum>
  <w:abstractNum w:abstractNumId="1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1.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1.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1.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1.3.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1.3.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2.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2.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2.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2.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2.1.7.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
    <w:abstractNumId w:val="0"/>
    <w:lvlOverride w:ilvl="0">
      <w:lvl w:ilvl="0">
        <w:start w:val="1"/>
        <w:numFmt w:val="bullet"/>
        <w:lvlText w:val="2.1.7.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
    <w:abstractNumId w:val="0"/>
    <w:lvlOverride w:ilvl="0">
      <w:lvl w:ilvl="0">
        <w:start w:val="1"/>
        <w:numFmt w:val="bullet"/>
        <w:lvlText w:val="2.1.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2.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2.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2.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
    <w:abstractNumId w:val="0"/>
    <w:lvlOverride w:ilvl="0">
      <w:lvl w:ilvl="0">
        <w:start w:val="1"/>
        <w:numFmt w:val="bullet"/>
        <w:lvlText w:val="2.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8">
    <w:abstractNumId w:val="0"/>
    <w:lvlOverride w:ilvl="0">
      <w:lvl w:ilvl="0">
        <w:start w:val="1"/>
        <w:numFmt w:val="bullet"/>
        <w:lvlText w:val="2.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
    <w:abstractNumId w:val="0"/>
    <w:lvlOverride w:ilvl="0">
      <w:lvl w:ilvl="0">
        <w:start w:val="1"/>
        <w:numFmt w:val="bullet"/>
        <w:lvlText w:val="2.4.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
    <w:abstractNumId w:val="0"/>
    <w:lvlOverride w:ilvl="0">
      <w:lvl w:ilvl="0">
        <w:start w:val="1"/>
        <w:numFmt w:val="bullet"/>
        <w:lvlText w:val="2.4.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
    <w:abstractNumId w:val="0"/>
    <w:lvlOverride w:ilvl="0">
      <w:lvl w:ilvl="0">
        <w:start w:val="1"/>
        <w:numFmt w:val="bullet"/>
        <w:lvlText w:val="2.4.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2.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2.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2.5.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8">
    <w:abstractNumId w:val="0"/>
    <w:lvlOverride w:ilvl="0">
      <w:lvl w:ilvl="0">
        <w:start w:val="1"/>
        <w:numFmt w:val="bullet"/>
        <w:lvlText w:val="2.5.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9">
    <w:abstractNumId w:val="0"/>
    <w:lvlOverride w:ilvl="0">
      <w:lvl w:ilvl="0">
        <w:start w:val="1"/>
        <w:numFmt w:val="bullet"/>
        <w:lvlText w:val="a.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60">
    <w:abstractNumId w:val="0"/>
    <w:lvlOverride w:ilvl="0">
      <w:lvl w:ilvl="0">
        <w:start w:val="1"/>
        <w:numFmt w:val="bullet"/>
        <w:lvlText w:val="b.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61">
    <w:abstractNumId w:val="0"/>
    <w:lvlOverride w:ilvl="0">
      <w:lvl w:ilvl="0">
        <w:start w:val="1"/>
        <w:numFmt w:val="bullet"/>
        <w:lvlText w:val="c.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62">
    <w:abstractNumId w:val="0"/>
    <w:lvlOverride w:ilvl="0">
      <w:lvl w:ilvl="0">
        <w:start w:val="1"/>
        <w:numFmt w:val="bullet"/>
        <w:lvlText w:val="d.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63">
    <w:abstractNumId w:val="0"/>
    <w:lvlOverride w:ilvl="0">
      <w:lvl w:ilvl="0">
        <w:start w:val="1"/>
        <w:numFmt w:val="bullet"/>
        <w:lvlText w:val="e.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64">
    <w:abstractNumId w:val="0"/>
    <w:lvlOverride w:ilvl="0">
      <w:lvl w:ilvl="0">
        <w:start w:val="1"/>
        <w:numFmt w:val="bullet"/>
        <w:lvlText w:val="f.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65">
    <w:abstractNumId w:val="0"/>
    <w:lvlOverride w:ilvl="0">
      <w:lvl w:ilvl="0">
        <w:start w:val="1"/>
        <w:numFmt w:val="bullet"/>
        <w:lvlText w:val="g.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66">
    <w:abstractNumId w:val="0"/>
    <w:lvlOverride w:ilvl="0">
      <w:lvl w:ilvl="0">
        <w:start w:val="1"/>
        <w:numFmt w:val="bullet"/>
        <w:lvlText w:val="h.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67">
    <w:abstractNumId w:val="0"/>
    <w:lvlOverride w:ilvl="0">
      <w:lvl w:ilvl="0">
        <w:start w:val="1"/>
        <w:numFmt w:val="bullet"/>
        <w:lvlText w:val="2.5.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8">
    <w:abstractNumId w:val="0"/>
    <w:lvlOverride w:ilvl="0">
      <w:lvl w:ilvl="0">
        <w:start w:val="1"/>
        <w:numFmt w:val="bullet"/>
        <w:lvlText w:val="2.5.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69">
    <w:abstractNumId w:val="0"/>
    <w:lvlOverride w:ilvl="0">
      <w:lvl w:ilvl="0">
        <w:start w:val="1"/>
        <w:numFmt w:val="bullet"/>
        <w:lvlText w:val="2.5.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70">
    <w:abstractNumId w:val="0"/>
    <w:lvlOverride w:ilvl="0">
      <w:lvl w:ilvl="0">
        <w:start w:val="1"/>
        <w:numFmt w:val="bullet"/>
        <w:lvlText w:val="2.5.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
    <w:abstractNumId w:val="0"/>
    <w:lvlOverride w:ilvl="0">
      <w:lvl w:ilvl="0">
        <w:start w:val="1"/>
        <w:numFmt w:val="bullet"/>
        <w:lvlText w:val="2.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2.6.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4">
    <w:abstractNumId w:val="0"/>
    <w:lvlOverride w:ilvl="0">
      <w:lvl w:ilvl="0">
        <w:start w:val="1"/>
        <w:numFmt w:val="bullet"/>
        <w:lvlText w:val="2.6.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5">
    <w:abstractNumId w:val="0"/>
    <w:lvlOverride w:ilvl="0">
      <w:lvl w:ilvl="0">
        <w:start w:val="1"/>
        <w:numFmt w:val="bullet"/>
        <w:lvlText w:val="2.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2.6.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7">
    <w:abstractNumId w:val="0"/>
    <w:lvlOverride w:ilvl="0">
      <w:lvl w:ilvl="0">
        <w:start w:val="1"/>
        <w:numFmt w:val="bullet"/>
        <w:lvlText w:val="2.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2.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2.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2.6.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1">
    <w:abstractNumId w:val="0"/>
    <w:lvlOverride w:ilvl="0">
      <w:lvl w:ilvl="0">
        <w:start w:val="1"/>
        <w:numFmt w:val="bullet"/>
        <w:lvlText w:val="2.6.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
    <w:abstractNumId w:val="0"/>
    <w:lvlOverride w:ilvl="0">
      <w:lvl w:ilvl="0">
        <w:start w:val="1"/>
        <w:numFmt w:val="bullet"/>
        <w:lvlText w:val="2.6.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3">
    <w:abstractNumId w:val="0"/>
    <w:lvlOverride w:ilvl="0">
      <w:lvl w:ilvl="0">
        <w:start w:val="1"/>
        <w:numFmt w:val="bullet"/>
        <w:lvlText w:val="2.6.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84">
    <w:abstractNumId w:val="0"/>
    <w:lvlOverride w:ilvl="0">
      <w:lvl w:ilvl="0">
        <w:start w:val="1"/>
        <w:numFmt w:val="bullet"/>
        <w:lvlText w:val="2.6.5.5 "/>
        <w:legacy w:legacy="1" w:legacySpace="0" w:legacyIndent="0"/>
        <w:lvlJc w:val="left"/>
        <w:pPr>
          <w:ind w:left="0" w:firstLine="0"/>
        </w:pPr>
        <w:rPr>
          <w:rFonts w:ascii="UniMyriad Regular" w:hAnsi="UniMyriad Regular" w:hint="default"/>
          <w:b w:val="0"/>
          <w:i/>
          <w:strike w:val="0"/>
          <w:color w:val="000000"/>
          <w:sz w:val="22"/>
          <w:u w:val="none"/>
        </w:rPr>
      </w:lvl>
    </w:lvlOverride>
  </w:num>
  <w:num w:numId="85">
    <w:abstractNumId w:val="0"/>
    <w:lvlOverride w:ilvl="0">
      <w:lvl w:ilvl="0">
        <w:start w:val="1"/>
        <w:numFmt w:val="bullet"/>
        <w:lvlText w:val="2.6.5.6 "/>
        <w:legacy w:legacy="1" w:legacySpace="0" w:legacyIndent="0"/>
        <w:lvlJc w:val="left"/>
        <w:pPr>
          <w:ind w:left="0" w:firstLine="0"/>
        </w:pPr>
        <w:rPr>
          <w:rFonts w:ascii="UniMyriad Regular" w:hAnsi="UniMyriad Regular" w:hint="default"/>
          <w:b w:val="0"/>
          <w:i/>
          <w:strike w:val="0"/>
          <w:color w:val="000000"/>
          <w:sz w:val="22"/>
          <w:u w:val="none"/>
        </w:rPr>
      </w:lvl>
    </w:lvlOverride>
  </w:num>
  <w:num w:numId="86">
    <w:abstractNumId w:val="0"/>
    <w:lvlOverride w:ilvl="0">
      <w:lvl w:ilvl="0">
        <w:start w:val="1"/>
        <w:numFmt w:val="bullet"/>
        <w:lvlText w:val="2.6.5.7 "/>
        <w:legacy w:legacy="1" w:legacySpace="0" w:legacyIndent="0"/>
        <w:lvlJc w:val="left"/>
        <w:pPr>
          <w:ind w:left="0" w:firstLine="0"/>
        </w:pPr>
        <w:rPr>
          <w:rFonts w:ascii="UniMyriad Regular" w:hAnsi="UniMyriad Regular" w:hint="default"/>
          <w:b w:val="0"/>
          <w:i/>
          <w:strike w:val="0"/>
          <w:color w:val="000000"/>
          <w:sz w:val="22"/>
          <w:u w:val="none"/>
        </w:rPr>
      </w:lvl>
    </w:lvlOverride>
  </w:num>
  <w:num w:numId="87">
    <w:abstractNumId w:val="0"/>
    <w:lvlOverride w:ilvl="0">
      <w:lvl w:ilvl="0">
        <w:start w:val="1"/>
        <w:numFmt w:val="bullet"/>
        <w:lvlText w:val="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2.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2.7.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0">
    <w:abstractNumId w:val="0"/>
    <w:lvlOverride w:ilvl="0">
      <w:lvl w:ilvl="0">
        <w:start w:val="1"/>
        <w:numFmt w:val="bullet"/>
        <w:lvlText w:val="2.7.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1">
    <w:abstractNumId w:val="0"/>
    <w:lvlOverride w:ilvl="0">
      <w:lvl w:ilvl="0">
        <w:start w:val="1"/>
        <w:numFmt w:val="bullet"/>
        <w:lvlText w:val="2.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2.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2.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2.7.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5">
    <w:abstractNumId w:val="0"/>
    <w:lvlOverride w:ilvl="0">
      <w:lvl w:ilvl="0">
        <w:start w:val="1"/>
        <w:numFmt w:val="bullet"/>
        <w:lvlText w:val="2.7.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6">
    <w:abstractNumId w:val="0"/>
    <w:lvlOverride w:ilvl="0">
      <w:lvl w:ilvl="0">
        <w:start w:val="1"/>
        <w:numFmt w:val="bullet"/>
        <w:lvlText w:val="2.7.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7">
    <w:abstractNumId w:val="0"/>
    <w:lvlOverride w:ilvl="0">
      <w:lvl w:ilvl="0">
        <w:start w:val="1"/>
        <w:numFmt w:val="bullet"/>
        <w:lvlText w:val="2.7.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98">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9">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0">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3.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4">
    <w:abstractNumId w:val="0"/>
    <w:lvlOverride w:ilvl="0">
      <w:lvl w:ilvl="0">
        <w:start w:val="1"/>
        <w:numFmt w:val="bullet"/>
        <w:lvlText w:val="3.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5">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3.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2">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3.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4">
    <w:abstractNumId w:val="0"/>
    <w:lvlOverride w:ilvl="0">
      <w:lvl w:ilvl="0">
        <w:start w:val="1"/>
        <w:numFmt w:val="bullet"/>
        <w:lvlText w:val="3.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5">
    <w:abstractNumId w:val="0"/>
    <w:lvlOverride w:ilvl="0">
      <w:lvl w:ilvl="0">
        <w:start w:val="1"/>
        <w:numFmt w:val="bullet"/>
        <w:lvlText w:val="3.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6">
    <w:abstractNumId w:val="0"/>
    <w:lvlOverride w:ilvl="0">
      <w:lvl w:ilvl="0">
        <w:start w:val="1"/>
        <w:numFmt w:val="bullet"/>
        <w:lvlText w:val="3.3.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7">
    <w:abstractNumId w:val="0"/>
    <w:lvlOverride w:ilvl="0">
      <w:lvl w:ilvl="0">
        <w:start w:val="1"/>
        <w:numFmt w:val="bullet"/>
        <w:lvlText w:val="3.3.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8">
    <w:abstractNumId w:val="0"/>
    <w:lvlOverride w:ilvl="0">
      <w:lvl w:ilvl="0">
        <w:start w:val="1"/>
        <w:numFmt w:val="bullet"/>
        <w:lvlText w:val="3.3.1.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9">
    <w:abstractNumId w:val="0"/>
    <w:lvlOverride w:ilvl="0">
      <w:lvl w:ilvl="0">
        <w:start w:val="1"/>
        <w:numFmt w:val="bullet"/>
        <w:lvlText w:val="3.3.1.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0">
    <w:abstractNumId w:val="0"/>
    <w:lvlOverride w:ilvl="0">
      <w:lvl w:ilvl="0">
        <w:start w:val="1"/>
        <w:numFmt w:val="bullet"/>
        <w:lvlText w:val="3.3.1.8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1">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3.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3">
    <w:abstractNumId w:val="0"/>
    <w:lvlOverride w:ilvl="0">
      <w:lvl w:ilvl="0">
        <w:start w:val="1"/>
        <w:numFmt w:val="bullet"/>
        <w:lvlText w:val="3.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4">
    <w:abstractNumId w:val="0"/>
    <w:lvlOverride w:ilvl="0">
      <w:lvl w:ilvl="0">
        <w:start w:val="1"/>
        <w:numFmt w:val="bullet"/>
        <w:lvlText w:val="3.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5">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3.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7">
    <w:abstractNumId w:val="0"/>
    <w:lvlOverride w:ilvl="0">
      <w:lvl w:ilvl="0">
        <w:start w:val="1"/>
        <w:numFmt w:val="bullet"/>
        <w:lvlText w:val="3.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8">
    <w:abstractNumId w:val="0"/>
    <w:lvlOverride w:ilvl="0">
      <w:lvl w:ilvl="0">
        <w:start w:val="1"/>
        <w:numFmt w:val="bullet"/>
        <w:lvlText w:val="3.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9">
    <w:abstractNumId w:val="0"/>
    <w:lvlOverride w:ilvl="0">
      <w:lvl w:ilvl="0">
        <w:start w:val="1"/>
        <w:numFmt w:val="bullet"/>
        <w:lvlText w:val="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1">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3.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4">
    <w:abstractNumId w:val="0"/>
    <w:lvlOverride w:ilvl="0">
      <w:lvl w:ilvl="0">
        <w:start w:val="1"/>
        <w:numFmt w:val="bullet"/>
        <w:lvlText w:val="3.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5">
    <w:abstractNumId w:val="0"/>
    <w:lvlOverride w:ilvl="0">
      <w:lvl w:ilvl="0">
        <w:start w:val="1"/>
        <w:numFmt w:val="bullet"/>
        <w:lvlText w:val="3.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6">
    <w:abstractNumId w:val="0"/>
    <w:lvlOverride w:ilvl="0">
      <w:lvl w:ilvl="0">
        <w:start w:val="1"/>
        <w:numFmt w:val="bullet"/>
        <w:lvlText w:val="3.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7">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3.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1">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3.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4">
    <w:abstractNumId w:val="0"/>
    <w:lvlOverride w:ilvl="0">
      <w:lvl w:ilvl="0">
        <w:start w:val="1"/>
        <w:numFmt w:val="bullet"/>
        <w:lvlText w:val="3.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5">
    <w:abstractNumId w:val="0"/>
    <w:lvlOverride w:ilvl="0">
      <w:lvl w:ilvl="0">
        <w:start w:val="1"/>
        <w:numFmt w:val="bullet"/>
        <w:lvlText w:val="3.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6">
    <w:abstractNumId w:val="0"/>
    <w:lvlOverride w:ilvl="0">
      <w:lvl w:ilvl="0">
        <w:start w:val="1"/>
        <w:numFmt w:val="bullet"/>
        <w:lvlText w:val="3.5.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7">
    <w:abstractNumId w:val="0"/>
    <w:lvlOverride w:ilvl="0">
      <w:lvl w:ilvl="0">
        <w:start w:val="1"/>
        <w:numFmt w:val="bullet"/>
        <w:lvlText w:val="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3.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9">
    <w:abstractNumId w:val="0"/>
    <w:lvlOverride w:ilvl="0">
      <w:lvl w:ilvl="0">
        <w:start w:val="1"/>
        <w:numFmt w:val="bullet"/>
        <w:lvlText w:val="3.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0">
    <w:abstractNumId w:val="0"/>
    <w:lvlOverride w:ilvl="0">
      <w:lvl w:ilvl="0">
        <w:start w:val="1"/>
        <w:numFmt w:val="bullet"/>
        <w:lvlText w:val="3.5.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1">
    <w:abstractNumId w:val="0"/>
    <w:lvlOverride w:ilvl="0">
      <w:lvl w:ilvl="0">
        <w:start w:val="1"/>
        <w:numFmt w:val="bullet"/>
        <w:lvlText w:val="3.5.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2">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3">
    <w:abstractNumId w:val="0"/>
    <w:lvlOverride w:ilvl="0">
      <w:lvl w:ilvl="0">
        <w:start w:val="1"/>
        <w:numFmt w:val="bullet"/>
        <w:lvlText w:val="3.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3.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3.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3.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8">
    <w:abstractNumId w:val="0"/>
    <w:lvlOverride w:ilvl="0">
      <w:lvl w:ilvl="0">
        <w:start w:val="1"/>
        <w:numFmt w:val="bullet"/>
        <w:lvlText w:val="3.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3.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3.7.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1">
    <w:abstractNumId w:val="0"/>
    <w:lvlOverride w:ilvl="0">
      <w:lvl w:ilvl="0">
        <w:start w:val="1"/>
        <w:numFmt w:val="bullet"/>
        <w:lvlText w:val="3.7.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2">
    <w:abstractNumId w:val="0"/>
    <w:lvlOverride w:ilvl="0">
      <w:lvl w:ilvl="0">
        <w:start w:val="1"/>
        <w:numFmt w:val="bullet"/>
        <w:lvlText w:val="3.7.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3">
    <w:abstractNumId w:val="0"/>
    <w:lvlOverride w:ilvl="0">
      <w:lvl w:ilvl="0">
        <w:start w:val="1"/>
        <w:numFmt w:val="bullet"/>
        <w:lvlText w:val="3.7.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4">
    <w:abstractNumId w:val="0"/>
    <w:lvlOverride w:ilvl="0">
      <w:lvl w:ilvl="0">
        <w:start w:val="1"/>
        <w:numFmt w:val="bullet"/>
        <w:lvlText w:val="3.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3.7.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6">
    <w:abstractNumId w:val="0"/>
    <w:lvlOverride w:ilvl="0">
      <w:lvl w:ilvl="0">
        <w:start w:val="1"/>
        <w:numFmt w:val="bullet"/>
        <w:lvlText w:val="3.7.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7">
    <w:abstractNumId w:val="0"/>
    <w:lvlOverride w:ilvl="0">
      <w:lvl w:ilvl="0">
        <w:start w:val="1"/>
        <w:numFmt w:val="bullet"/>
        <w:lvlText w:val="3.7.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8">
    <w:abstractNumId w:val="0"/>
    <w:lvlOverride w:ilvl="0">
      <w:lvl w:ilvl="0">
        <w:start w:val="1"/>
        <w:numFmt w:val="bullet"/>
        <w:lvlText w:val="3.7.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9">
    <w:abstractNumId w:val="0"/>
    <w:lvlOverride w:ilvl="0">
      <w:lvl w:ilvl="0">
        <w:start w:val="1"/>
        <w:numFmt w:val="bullet"/>
        <w:lvlText w:val="3.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3.7.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1">
    <w:abstractNumId w:val="0"/>
    <w:lvlOverride w:ilvl="0">
      <w:lvl w:ilvl="0">
        <w:start w:val="1"/>
        <w:numFmt w:val="bullet"/>
        <w:lvlText w:val="3.7.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2">
    <w:abstractNumId w:val="0"/>
    <w:lvlOverride w:ilvl="0">
      <w:lvl w:ilvl="0">
        <w:start w:val="1"/>
        <w:numFmt w:val="bullet"/>
        <w:lvlText w:val="3.7.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3">
    <w:abstractNumId w:val="0"/>
    <w:lvlOverride w:ilvl="0">
      <w:lvl w:ilvl="0">
        <w:start w:val="1"/>
        <w:numFmt w:val="bullet"/>
        <w:lvlText w:val="3.7.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4">
    <w:abstractNumId w:val="0"/>
    <w:lvlOverride w:ilvl="0">
      <w:lvl w:ilvl="0">
        <w:start w:val="1"/>
        <w:numFmt w:val="bullet"/>
        <w:lvlText w:val="3.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5">
    <w:abstractNumId w:val="0"/>
    <w:lvlOverride w:ilvl="0">
      <w:lvl w:ilvl="0">
        <w:start w:val="1"/>
        <w:numFmt w:val="bullet"/>
        <w:lvlText w:val="3.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6">
    <w:abstractNumId w:val="0"/>
    <w:lvlOverride w:ilvl="0">
      <w:lvl w:ilvl="0">
        <w:start w:val="1"/>
        <w:numFmt w:val="bullet"/>
        <w:lvlText w:val="3.8.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7">
    <w:abstractNumId w:val="0"/>
    <w:lvlOverride w:ilvl="0">
      <w:lvl w:ilvl="0">
        <w:start w:val="1"/>
        <w:numFmt w:val="bullet"/>
        <w:lvlText w:val="3.8.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8">
    <w:abstractNumId w:val="0"/>
    <w:lvlOverride w:ilvl="0">
      <w:lvl w:ilvl="0">
        <w:start w:val="1"/>
        <w:numFmt w:val="bullet"/>
        <w:lvlText w:val="3.8.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9">
    <w:abstractNumId w:val="0"/>
    <w:lvlOverride w:ilvl="0">
      <w:lvl w:ilvl="0">
        <w:start w:val="1"/>
        <w:numFmt w:val="bullet"/>
        <w:lvlText w:val="3.8.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0">
    <w:abstractNumId w:val="0"/>
    <w:lvlOverride w:ilvl="0">
      <w:lvl w:ilvl="0">
        <w:start w:val="1"/>
        <w:numFmt w:val="bullet"/>
        <w:lvlText w:val="3.8.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1">
    <w:abstractNumId w:val="0"/>
    <w:lvlOverride w:ilvl="0">
      <w:lvl w:ilvl="0">
        <w:start w:val="1"/>
        <w:numFmt w:val="bullet"/>
        <w:lvlText w:val="3.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3.8.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3">
    <w:abstractNumId w:val="0"/>
    <w:lvlOverride w:ilvl="0">
      <w:lvl w:ilvl="0">
        <w:start w:val="1"/>
        <w:numFmt w:val="bullet"/>
        <w:lvlText w:val="3.8.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4">
    <w:abstractNumId w:val="0"/>
    <w:lvlOverride w:ilvl="0">
      <w:lvl w:ilvl="0">
        <w:start w:val="1"/>
        <w:numFmt w:val="bullet"/>
        <w:lvlText w:val="3.8.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5">
    <w:abstractNumId w:val="0"/>
    <w:lvlOverride w:ilvl="0">
      <w:lvl w:ilvl="0">
        <w:start w:val="1"/>
        <w:numFmt w:val="bullet"/>
        <w:lvlText w:val="3.8.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6">
    <w:abstractNumId w:val="0"/>
    <w:lvlOverride w:ilvl="0">
      <w:lvl w:ilvl="0">
        <w:start w:val="1"/>
        <w:numFmt w:val="bullet"/>
        <w:lvlText w:val="3.8.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7">
    <w:abstractNumId w:val="0"/>
    <w:lvlOverride w:ilvl="0">
      <w:lvl w:ilvl="0">
        <w:start w:val="1"/>
        <w:numFmt w:val="bullet"/>
        <w:lvlText w:val="3.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8">
    <w:abstractNumId w:val="0"/>
    <w:lvlOverride w:ilvl="0">
      <w:lvl w:ilvl="0">
        <w:start w:val="1"/>
        <w:numFmt w:val="bullet"/>
        <w:lvlText w:val="3.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3.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0">
    <w:abstractNumId w:val="0"/>
    <w:lvlOverride w:ilvl="0">
      <w:lvl w:ilvl="0">
        <w:start w:val="1"/>
        <w:numFmt w:val="bullet"/>
        <w:lvlText w:val="3.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1">
    <w:abstractNumId w:val="0"/>
    <w:lvlOverride w:ilvl="0">
      <w:lvl w:ilvl="0">
        <w:start w:val="1"/>
        <w:numFmt w:val="bullet"/>
        <w:lvlText w:val="3.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2">
    <w:abstractNumId w:val="0"/>
    <w:lvlOverride w:ilvl="0">
      <w:lvl w:ilvl="0">
        <w:start w:val="1"/>
        <w:numFmt w:val="bullet"/>
        <w:lvlText w:val="3.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3">
    <w:abstractNumId w:val="0"/>
    <w:lvlOverride w:ilvl="0">
      <w:lvl w:ilvl="0">
        <w:start w:val="1"/>
        <w:numFmt w:val="bullet"/>
        <w:lvlText w:val="3.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4">
    <w:abstractNumId w:val="0"/>
    <w:lvlOverride w:ilvl="0">
      <w:lvl w:ilvl="0">
        <w:start w:val="1"/>
        <w:numFmt w:val="bullet"/>
        <w:lvlText w:val="3.10.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5">
    <w:abstractNumId w:val="0"/>
    <w:lvlOverride w:ilvl="0">
      <w:lvl w:ilvl="0">
        <w:start w:val="1"/>
        <w:numFmt w:val="bullet"/>
        <w:lvlText w:val="3.10.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6">
    <w:abstractNumId w:val="0"/>
    <w:lvlOverride w:ilvl="0">
      <w:lvl w:ilvl="0">
        <w:start w:val="1"/>
        <w:numFmt w:val="bullet"/>
        <w:lvlText w:val="3.10.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7">
    <w:abstractNumId w:val="0"/>
    <w:lvlOverride w:ilvl="0">
      <w:lvl w:ilvl="0">
        <w:start w:val="1"/>
        <w:numFmt w:val="bullet"/>
        <w:lvlText w:val="3.10.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8">
    <w:abstractNumId w:val="0"/>
    <w:lvlOverride w:ilvl="0">
      <w:lvl w:ilvl="0">
        <w:start w:val="1"/>
        <w:numFmt w:val="bullet"/>
        <w:lvlText w:val="3.10.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9">
    <w:abstractNumId w:val="0"/>
    <w:lvlOverride w:ilvl="0">
      <w:lvl w:ilvl="0">
        <w:start w:val="1"/>
        <w:numFmt w:val="bullet"/>
        <w:lvlText w:val="3.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0">
    <w:abstractNumId w:val="0"/>
    <w:lvlOverride w:ilvl="0">
      <w:lvl w:ilvl="0">
        <w:start w:val="1"/>
        <w:numFmt w:val="bullet"/>
        <w:lvlText w:val="3.10.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1">
    <w:abstractNumId w:val="0"/>
    <w:lvlOverride w:ilvl="0">
      <w:lvl w:ilvl="0">
        <w:start w:val="1"/>
        <w:numFmt w:val="bullet"/>
        <w:lvlText w:val="3.10.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2">
    <w:abstractNumId w:val="0"/>
    <w:lvlOverride w:ilvl="0">
      <w:lvl w:ilvl="0">
        <w:start w:val="1"/>
        <w:numFmt w:val="bullet"/>
        <w:lvlText w:val="3.10.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3">
    <w:abstractNumId w:val="0"/>
    <w:lvlOverride w:ilvl="0">
      <w:lvl w:ilvl="0">
        <w:start w:val="1"/>
        <w:numFmt w:val="bullet"/>
        <w:lvlText w:val="3.10.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4">
    <w:abstractNumId w:val="0"/>
    <w:lvlOverride w:ilvl="0">
      <w:lvl w:ilvl="0">
        <w:start w:val="1"/>
        <w:numFmt w:val="bullet"/>
        <w:lvlText w:val="3.10.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5">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6">
    <w:abstractNumId w:val="0"/>
    <w:lvlOverride w:ilvl="0">
      <w:lvl w:ilvl="0">
        <w:start w:val="1"/>
        <w:numFmt w:val="bullet"/>
        <w:lvlText w:val="3.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3.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8">
    <w:abstractNumId w:val="0"/>
    <w:lvlOverride w:ilvl="0">
      <w:lvl w:ilvl="0">
        <w:start w:val="1"/>
        <w:numFmt w:val="bullet"/>
        <w:lvlText w:val="3.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9">
    <w:abstractNumId w:val="0"/>
    <w:lvlOverride w:ilvl="0">
      <w:lvl w:ilvl="0">
        <w:start w:val="1"/>
        <w:numFmt w:val="bullet"/>
        <w:lvlText w:val="3.1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0">
    <w:abstractNumId w:val="0"/>
    <w:lvlOverride w:ilvl="0">
      <w:lvl w:ilvl="0">
        <w:start w:val="1"/>
        <w:numFmt w:val="bullet"/>
        <w:lvlText w:val="3.11.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1">
    <w:abstractNumId w:val="0"/>
    <w:lvlOverride w:ilvl="0">
      <w:lvl w:ilvl="0">
        <w:start w:val="1"/>
        <w:numFmt w:val="bullet"/>
        <w:lvlText w:val="3.11.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2">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3">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4">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5">
    <w:abstractNumId w:val="0"/>
    <w:lvlOverride w:ilvl="0">
      <w:lvl w:ilvl="0">
        <w:start w:val="1"/>
        <w:numFmt w:val="bullet"/>
        <w:lvlText w:val="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6">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7">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8">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9">
    <w:abstractNumId w:val="0"/>
    <w:lvlOverride w:ilvl="0">
      <w:lvl w:ilvl="0">
        <w:start w:val="1"/>
        <w:numFmt w:val="bullet"/>
        <w:lvlText w:val="4.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0">
    <w:abstractNumId w:val="0"/>
    <w:lvlOverride w:ilvl="0">
      <w:lvl w:ilvl="0">
        <w:start w:val="1"/>
        <w:numFmt w:val="bullet"/>
        <w:lvlText w:val="4.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1">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2">
    <w:abstractNumId w:val="0"/>
    <w:lvlOverride w:ilvl="0">
      <w:lvl w:ilvl="0">
        <w:start w:val="1"/>
        <w:numFmt w:val="bullet"/>
        <w:lvlText w:val="4.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3">
    <w:abstractNumId w:val="0"/>
    <w:lvlOverride w:ilvl="0">
      <w:lvl w:ilvl="0">
        <w:start w:val="1"/>
        <w:numFmt w:val="bullet"/>
        <w:lvlText w:val="4.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4">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5">
    <w:abstractNumId w:val="0"/>
    <w:lvlOverride w:ilvl="0">
      <w:lvl w:ilvl="0">
        <w:start w:val="1"/>
        <w:numFmt w:val="bullet"/>
        <w:lvlText w:val="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6">
    <w:abstractNumId w:val="0"/>
    <w:lvlOverride w:ilvl="0">
      <w:lvl w:ilvl="0">
        <w:start w:val="1"/>
        <w:numFmt w:val="bullet"/>
        <w:lvlText w:val="4.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7">
    <w:abstractNumId w:val="0"/>
    <w:lvlOverride w:ilvl="0">
      <w:lvl w:ilvl="0">
        <w:start w:val="1"/>
        <w:numFmt w:val="bullet"/>
        <w:lvlText w:val="4.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8">
    <w:abstractNumId w:val="0"/>
    <w:lvlOverride w:ilvl="0">
      <w:lvl w:ilvl="0">
        <w:start w:val="1"/>
        <w:numFmt w:val="bullet"/>
        <w:lvlText w:val="4.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9">
    <w:abstractNumId w:val="0"/>
    <w:lvlOverride w:ilvl="0">
      <w:lvl w:ilvl="0">
        <w:start w:val="1"/>
        <w:numFmt w:val="bullet"/>
        <w:lvlText w:val="4.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0">
    <w:abstractNumId w:val="0"/>
    <w:lvlOverride w:ilvl="0">
      <w:lvl w:ilvl="0">
        <w:start w:val="1"/>
        <w:numFmt w:val="bullet"/>
        <w:lvlText w:val="4.3.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1">
    <w:abstractNumId w:val="0"/>
    <w:lvlOverride w:ilvl="0">
      <w:lvl w:ilvl="0">
        <w:start w:val="1"/>
        <w:numFmt w:val="bullet"/>
        <w:lvlText w:val="4.3.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2">
    <w:abstractNumId w:val="0"/>
    <w:lvlOverride w:ilvl="0">
      <w:lvl w:ilvl="0">
        <w:start w:val="1"/>
        <w:numFmt w:val="bullet"/>
        <w:lvlText w:val="4.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4.3.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4">
    <w:abstractNumId w:val="0"/>
    <w:lvlOverride w:ilvl="0">
      <w:lvl w:ilvl="0">
        <w:start w:val="1"/>
        <w:numFmt w:val="bullet"/>
        <w:lvlText w:val="4.3.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5">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36">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7">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8">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9">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0">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1">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2">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3">
    <w:abstractNumId w:val="15"/>
  </w:num>
  <w:num w:numId="244">
    <w:abstractNumId w:val="1"/>
  </w:num>
  <w:num w:numId="245">
    <w:abstractNumId w:val="13"/>
  </w:num>
  <w:num w:numId="246">
    <w:abstractNumId w:val="6"/>
  </w:num>
  <w:num w:numId="247">
    <w:abstractNumId w:val="11"/>
  </w:num>
  <w:num w:numId="248">
    <w:abstractNumId w:val="16"/>
  </w:num>
  <w:num w:numId="249">
    <w:abstractNumId w:val="3"/>
  </w:num>
  <w:num w:numId="250">
    <w:abstractNumId w:val="2"/>
  </w:num>
  <w:num w:numId="251">
    <w:abstractNumId w:val="12"/>
  </w:num>
  <w:num w:numId="252">
    <w:abstractNumId w:val="4"/>
  </w:num>
  <w:num w:numId="253">
    <w:abstractNumId w:val="10"/>
  </w:num>
  <w:num w:numId="254">
    <w:abstractNumId w:val="7"/>
  </w:num>
  <w:num w:numId="255">
    <w:abstractNumId w:val="17"/>
  </w:num>
  <w:num w:numId="256">
    <w:abstractNumId w:val="5"/>
  </w:num>
  <w:num w:numId="257">
    <w:abstractNumId w:val="14"/>
  </w:num>
  <w:num w:numId="258">
    <w:abstractNumId w:val="18"/>
  </w:num>
  <w:num w:numId="259">
    <w:abstractNumId w:val="8"/>
  </w:num>
  <w:num w:numId="260">
    <w:abstractNumId w:val="9"/>
  </w:num>
  <w:num w:numId="261">
    <w:abstractNumId w:val="19"/>
  </w:num>
  <w:num w:numId="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dirty"/>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F6649"/>
    <w:rsid w:val="0002287D"/>
    <w:rsid w:val="000A1950"/>
    <w:rsid w:val="00586B3B"/>
    <w:rsid w:val="009445FD"/>
    <w:rsid w:val="009F6649"/>
    <w:rsid w:val="00BA3E8B"/>
    <w:rsid w:val="00BE7F8E"/>
    <w:rsid w:val="00D718D0"/>
    <w:rsid w:val="00F279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586B3B"/>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586B3B"/>
    <w:pPr>
      <w:keepNext/>
      <w:keepLines/>
      <w:numPr>
        <w:numId w:val="26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86B3B"/>
    <w:pPr>
      <w:keepNext/>
      <w:keepLines/>
      <w:numPr>
        <w:ilvl w:val="1"/>
        <w:numId w:val="261"/>
      </w:numPr>
      <w:spacing w:before="360" w:after="80"/>
      <w:outlineLvl w:val="1"/>
    </w:pPr>
    <w:rPr>
      <w:rFonts w:ascii="Arial" w:hAnsi="Arial"/>
      <w:b/>
      <w:sz w:val="28"/>
    </w:rPr>
  </w:style>
  <w:style w:type="paragraph" w:styleId="Overskrift3">
    <w:name w:val="heading 3"/>
    <w:basedOn w:val="Normal"/>
    <w:next w:val="Normal"/>
    <w:link w:val="Overskrift3Tegn"/>
    <w:qFormat/>
    <w:rsid w:val="00586B3B"/>
    <w:pPr>
      <w:keepNext/>
      <w:keepLines/>
      <w:numPr>
        <w:ilvl w:val="2"/>
        <w:numId w:val="261"/>
      </w:numPr>
      <w:spacing w:before="360" w:after="80"/>
      <w:outlineLvl w:val="2"/>
    </w:pPr>
    <w:rPr>
      <w:rFonts w:ascii="Arial" w:hAnsi="Arial"/>
      <w:b/>
      <w:spacing w:val="0"/>
    </w:rPr>
  </w:style>
  <w:style w:type="paragraph" w:styleId="Overskrift4">
    <w:name w:val="heading 4"/>
    <w:basedOn w:val="Normal"/>
    <w:next w:val="Normal"/>
    <w:link w:val="Overskrift4Tegn"/>
    <w:qFormat/>
    <w:rsid w:val="00586B3B"/>
    <w:pPr>
      <w:keepNext/>
      <w:keepLines/>
      <w:numPr>
        <w:ilvl w:val="3"/>
        <w:numId w:val="261"/>
      </w:numPr>
      <w:spacing w:before="120" w:after="0"/>
      <w:outlineLvl w:val="3"/>
    </w:pPr>
    <w:rPr>
      <w:rFonts w:ascii="Arial" w:hAnsi="Arial"/>
      <w:i/>
    </w:rPr>
  </w:style>
  <w:style w:type="paragraph" w:styleId="Overskrift5">
    <w:name w:val="heading 5"/>
    <w:basedOn w:val="Normal"/>
    <w:next w:val="Normal"/>
    <w:link w:val="Overskrift5Tegn"/>
    <w:qFormat/>
    <w:rsid w:val="00586B3B"/>
    <w:pPr>
      <w:keepNext/>
      <w:numPr>
        <w:ilvl w:val="4"/>
        <w:numId w:val="261"/>
      </w:numPr>
      <w:spacing w:before="120" w:after="0"/>
      <w:outlineLvl w:val="4"/>
    </w:pPr>
    <w:rPr>
      <w:rFonts w:ascii="Arial" w:hAnsi="Arial"/>
      <w:i/>
      <w:spacing w:val="0"/>
    </w:rPr>
  </w:style>
  <w:style w:type="paragraph" w:styleId="Overskrift6">
    <w:name w:val="heading 6"/>
    <w:basedOn w:val="Normal"/>
    <w:next w:val="Normal"/>
    <w:link w:val="Overskrift6Tegn"/>
    <w:qFormat/>
    <w:rsid w:val="00586B3B"/>
    <w:pPr>
      <w:numPr>
        <w:ilvl w:val="5"/>
        <w:numId w:val="243"/>
      </w:numPr>
      <w:spacing w:before="240" w:after="60"/>
      <w:outlineLvl w:val="5"/>
    </w:pPr>
    <w:rPr>
      <w:rFonts w:ascii="Arial" w:hAnsi="Arial"/>
      <w:i/>
      <w:sz w:val="22"/>
    </w:rPr>
  </w:style>
  <w:style w:type="paragraph" w:styleId="Overskrift7">
    <w:name w:val="heading 7"/>
    <w:basedOn w:val="Normal"/>
    <w:next w:val="Normal"/>
    <w:link w:val="Overskrift7Tegn"/>
    <w:qFormat/>
    <w:rsid w:val="00586B3B"/>
    <w:pPr>
      <w:numPr>
        <w:ilvl w:val="6"/>
        <w:numId w:val="243"/>
      </w:numPr>
      <w:spacing w:before="240" w:after="60"/>
      <w:outlineLvl w:val="6"/>
    </w:pPr>
    <w:rPr>
      <w:rFonts w:ascii="Arial" w:hAnsi="Arial"/>
    </w:rPr>
  </w:style>
  <w:style w:type="paragraph" w:styleId="Overskrift8">
    <w:name w:val="heading 8"/>
    <w:basedOn w:val="Normal"/>
    <w:next w:val="Normal"/>
    <w:link w:val="Overskrift8Tegn"/>
    <w:qFormat/>
    <w:rsid w:val="00586B3B"/>
    <w:pPr>
      <w:numPr>
        <w:ilvl w:val="7"/>
        <w:numId w:val="243"/>
      </w:numPr>
      <w:spacing w:before="240" w:after="60"/>
      <w:outlineLvl w:val="7"/>
    </w:pPr>
    <w:rPr>
      <w:rFonts w:ascii="Arial" w:hAnsi="Arial"/>
      <w:i/>
    </w:rPr>
  </w:style>
  <w:style w:type="paragraph" w:styleId="Overskrift9">
    <w:name w:val="heading 9"/>
    <w:basedOn w:val="Normal"/>
    <w:next w:val="Normal"/>
    <w:link w:val="Overskrift9Tegn"/>
    <w:qFormat/>
    <w:rsid w:val="00586B3B"/>
    <w:pPr>
      <w:numPr>
        <w:ilvl w:val="8"/>
        <w:numId w:val="243"/>
      </w:numPr>
      <w:spacing w:before="240" w:after="60"/>
      <w:outlineLvl w:val="8"/>
    </w:pPr>
    <w:rPr>
      <w:rFonts w:ascii="Arial" w:hAnsi="Arial"/>
      <w:i/>
      <w:sz w:val="18"/>
    </w:rPr>
  </w:style>
  <w:style w:type="character" w:default="1" w:styleId="Standardskriftforavsnitt">
    <w:name w:val="Default Paragraph Font"/>
    <w:uiPriority w:val="1"/>
    <w:unhideWhenUsed/>
    <w:rsid w:val="00586B3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86B3B"/>
  </w:style>
  <w:style w:type="character" w:customStyle="1" w:styleId="Overskrift1Tegn">
    <w:name w:val="Overskrift 1 Tegn"/>
    <w:basedOn w:val="Standardskriftforavsnitt"/>
    <w:link w:val="Overskrift1"/>
    <w:rsid w:val="00586B3B"/>
    <w:rPr>
      <w:rFonts w:ascii="Arial" w:eastAsia="Times New Roman" w:hAnsi="Arial"/>
      <w:b/>
      <w:kern w:val="28"/>
      <w:sz w:val="32"/>
    </w:rPr>
  </w:style>
  <w:style w:type="character" w:customStyle="1" w:styleId="Overskrift2Tegn">
    <w:name w:val="Overskrift 2 Tegn"/>
    <w:basedOn w:val="Standardskriftforavsnitt"/>
    <w:link w:val="Overskrift2"/>
    <w:rsid w:val="00586B3B"/>
    <w:rPr>
      <w:rFonts w:ascii="Arial" w:eastAsia="Times New Roman" w:hAnsi="Arial"/>
      <w:b/>
      <w:spacing w:val="4"/>
      <w:sz w:val="28"/>
    </w:rPr>
  </w:style>
  <w:style w:type="character" w:customStyle="1" w:styleId="Overskrift3Tegn">
    <w:name w:val="Overskrift 3 Tegn"/>
    <w:basedOn w:val="Standardskriftforavsnitt"/>
    <w:link w:val="Overskrift3"/>
    <w:rsid w:val="00586B3B"/>
    <w:rPr>
      <w:rFonts w:ascii="Arial" w:eastAsia="Times New Roman" w:hAnsi="Arial"/>
      <w:b/>
      <w:sz w:val="24"/>
    </w:rPr>
  </w:style>
  <w:style w:type="character" w:customStyle="1" w:styleId="Overskrift4Tegn">
    <w:name w:val="Overskrift 4 Tegn"/>
    <w:basedOn w:val="Standardskriftforavsnitt"/>
    <w:link w:val="Overskrift4"/>
    <w:rsid w:val="00586B3B"/>
    <w:rPr>
      <w:rFonts w:ascii="Arial" w:eastAsia="Times New Roman" w:hAnsi="Arial"/>
      <w:i/>
      <w:spacing w:val="4"/>
      <w:sz w:val="24"/>
    </w:rPr>
  </w:style>
  <w:style w:type="character" w:customStyle="1" w:styleId="Overskrift5Tegn">
    <w:name w:val="Overskrift 5 Tegn"/>
    <w:basedOn w:val="Standardskriftforavsnitt"/>
    <w:link w:val="Overskrift5"/>
    <w:rsid w:val="00586B3B"/>
    <w:rPr>
      <w:rFonts w:ascii="Arial" w:eastAsia="Times New Roman" w:hAnsi="Arial"/>
      <w:i/>
      <w:sz w:val="24"/>
    </w:rPr>
  </w:style>
  <w:style w:type="character" w:customStyle="1" w:styleId="Overskrift6Tegn">
    <w:name w:val="Overskrift 6 Tegn"/>
    <w:basedOn w:val="Standardskriftforavsnitt"/>
    <w:link w:val="Overskrift6"/>
    <w:rsid w:val="00586B3B"/>
    <w:rPr>
      <w:rFonts w:ascii="Arial" w:eastAsia="Times New Roman" w:hAnsi="Arial"/>
      <w:i/>
      <w:spacing w:val="4"/>
    </w:rPr>
  </w:style>
  <w:style w:type="character" w:customStyle="1" w:styleId="Overskrift7Tegn">
    <w:name w:val="Overskrift 7 Tegn"/>
    <w:basedOn w:val="Standardskriftforavsnitt"/>
    <w:link w:val="Overskrift7"/>
    <w:rsid w:val="00586B3B"/>
    <w:rPr>
      <w:rFonts w:ascii="Arial" w:eastAsia="Times New Roman" w:hAnsi="Arial"/>
      <w:spacing w:val="4"/>
      <w:sz w:val="24"/>
    </w:rPr>
  </w:style>
  <w:style w:type="character" w:customStyle="1" w:styleId="Overskrift8Tegn">
    <w:name w:val="Overskrift 8 Tegn"/>
    <w:basedOn w:val="Standardskriftforavsnitt"/>
    <w:link w:val="Overskrift8"/>
    <w:rsid w:val="00586B3B"/>
    <w:rPr>
      <w:rFonts w:ascii="Arial" w:eastAsia="Times New Roman" w:hAnsi="Arial"/>
      <w:i/>
      <w:spacing w:val="4"/>
      <w:sz w:val="24"/>
    </w:rPr>
  </w:style>
  <w:style w:type="character" w:customStyle="1" w:styleId="Overskrift9Tegn">
    <w:name w:val="Overskrift 9 Tegn"/>
    <w:basedOn w:val="Standardskriftforavsnitt"/>
    <w:link w:val="Overskrift9"/>
    <w:rsid w:val="00586B3B"/>
    <w:rPr>
      <w:rFonts w:ascii="Arial" w:eastAsia="Times New Roman" w:hAnsi="Arial"/>
      <w:i/>
      <w:spacing w:val="4"/>
      <w:sz w:val="18"/>
    </w:rPr>
  </w:style>
  <w:style w:type="paragraph" w:styleId="Ingenmellomrom">
    <w:name w:val="No Spacing"/>
    <w:uiPriority w:val="1"/>
    <w:qFormat/>
    <w:rsid w:val="00586B3B"/>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86B3B"/>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86B3B"/>
    <w:rPr>
      <w:rFonts w:ascii="Times New Roman" w:eastAsia="Times New Roman" w:hAnsi="Times New Roman"/>
      <w:b/>
      <w:bCs/>
      <w:i/>
      <w:iCs/>
      <w:color w:val="4F81BD" w:themeColor="accent1"/>
      <w:spacing w:val="4"/>
      <w:sz w:val="24"/>
    </w:rPr>
  </w:style>
  <w:style w:type="paragraph" w:styleId="Topptekst">
    <w:name w:val="header"/>
    <w:basedOn w:val="Normal"/>
    <w:link w:val="TopptekstTegn"/>
    <w:rsid w:val="00586B3B"/>
    <w:pPr>
      <w:tabs>
        <w:tab w:val="center" w:pos="4536"/>
        <w:tab w:val="right" w:pos="9072"/>
      </w:tabs>
    </w:pPr>
    <w:rPr>
      <w:spacing w:val="0"/>
      <w:sz w:val="20"/>
    </w:rPr>
  </w:style>
  <w:style w:type="character" w:customStyle="1" w:styleId="TopptekstTegn">
    <w:name w:val="Topptekst Tegn"/>
    <w:basedOn w:val="Standardskriftforavsnitt"/>
    <w:link w:val="Topptekst"/>
    <w:rsid w:val="00586B3B"/>
    <w:rPr>
      <w:rFonts w:ascii="Times New Roman" w:eastAsia="Times New Roman" w:hAnsi="Times New Roman"/>
      <w:sz w:val="20"/>
    </w:rPr>
  </w:style>
  <w:style w:type="paragraph" w:styleId="Bunntekst">
    <w:name w:val="footer"/>
    <w:basedOn w:val="Normal"/>
    <w:link w:val="BunntekstTegn"/>
    <w:rsid w:val="00586B3B"/>
    <w:pPr>
      <w:tabs>
        <w:tab w:val="center" w:pos="4153"/>
        <w:tab w:val="right" w:pos="8306"/>
      </w:tabs>
    </w:pPr>
    <w:rPr>
      <w:sz w:val="20"/>
    </w:rPr>
  </w:style>
  <w:style w:type="character" w:customStyle="1" w:styleId="BunntekstTegn">
    <w:name w:val="Bunntekst Tegn"/>
    <w:basedOn w:val="Standardskriftforavsnitt"/>
    <w:link w:val="Bunntekst"/>
    <w:rsid w:val="00586B3B"/>
    <w:rPr>
      <w:rFonts w:ascii="Times New Roman" w:eastAsia="Times New Roman" w:hAnsi="Times New Roman"/>
      <w:spacing w:val="4"/>
      <w:sz w:val="20"/>
    </w:rPr>
  </w:style>
  <w:style w:type="paragraph" w:styleId="INNH1">
    <w:name w:val="toc 1"/>
    <w:basedOn w:val="Normal"/>
    <w:next w:val="Normal"/>
    <w:rsid w:val="00586B3B"/>
    <w:pPr>
      <w:tabs>
        <w:tab w:val="right" w:leader="dot" w:pos="8306"/>
      </w:tabs>
    </w:pPr>
    <w:rPr>
      <w:spacing w:val="0"/>
    </w:rPr>
  </w:style>
  <w:style w:type="paragraph" w:styleId="INNH2">
    <w:name w:val="toc 2"/>
    <w:basedOn w:val="Normal"/>
    <w:next w:val="Normal"/>
    <w:rsid w:val="00586B3B"/>
    <w:pPr>
      <w:tabs>
        <w:tab w:val="right" w:leader="dot" w:pos="8306"/>
      </w:tabs>
      <w:ind w:left="200"/>
    </w:pPr>
    <w:rPr>
      <w:spacing w:val="0"/>
    </w:rPr>
  </w:style>
  <w:style w:type="paragraph" w:styleId="INNH3">
    <w:name w:val="toc 3"/>
    <w:basedOn w:val="Normal"/>
    <w:next w:val="Normal"/>
    <w:rsid w:val="00586B3B"/>
    <w:pPr>
      <w:tabs>
        <w:tab w:val="right" w:leader="dot" w:pos="8306"/>
      </w:tabs>
      <w:ind w:left="400"/>
    </w:pPr>
    <w:rPr>
      <w:spacing w:val="0"/>
    </w:rPr>
  </w:style>
  <w:style w:type="paragraph" w:styleId="Liste">
    <w:name w:val="List"/>
    <w:basedOn w:val="Normal"/>
    <w:rsid w:val="00586B3B"/>
    <w:pPr>
      <w:numPr>
        <w:numId w:val="248"/>
      </w:numPr>
      <w:spacing w:line="240" w:lineRule="auto"/>
      <w:contextualSpacing/>
    </w:pPr>
  </w:style>
  <w:style w:type="paragraph" w:styleId="Liste2">
    <w:name w:val="List 2"/>
    <w:basedOn w:val="Normal"/>
    <w:rsid w:val="00586B3B"/>
    <w:pPr>
      <w:numPr>
        <w:ilvl w:val="1"/>
        <w:numId w:val="248"/>
      </w:numPr>
      <w:spacing w:after="0"/>
    </w:pPr>
  </w:style>
  <w:style w:type="paragraph" w:styleId="Fotnotetekst">
    <w:name w:val="footnote text"/>
    <w:basedOn w:val="Normal"/>
    <w:link w:val="FotnotetekstTegn"/>
    <w:rsid w:val="00586B3B"/>
    <w:rPr>
      <w:sz w:val="20"/>
    </w:rPr>
  </w:style>
  <w:style w:type="character" w:customStyle="1" w:styleId="FotnotetekstTegn">
    <w:name w:val="Fotnotetekst Tegn"/>
    <w:basedOn w:val="Standardskriftforavsnitt"/>
    <w:link w:val="Fotnotetekst"/>
    <w:rsid w:val="00586B3B"/>
    <w:rPr>
      <w:rFonts w:ascii="Times New Roman" w:eastAsia="Times New Roman" w:hAnsi="Times New Roman"/>
      <w:spacing w:val="4"/>
      <w:sz w:val="20"/>
    </w:rPr>
  </w:style>
  <w:style w:type="paragraph" w:styleId="INNH4">
    <w:name w:val="toc 4"/>
    <w:basedOn w:val="Normal"/>
    <w:next w:val="Normal"/>
    <w:rsid w:val="00586B3B"/>
    <w:pPr>
      <w:tabs>
        <w:tab w:val="right" w:leader="dot" w:pos="8306"/>
      </w:tabs>
      <w:ind w:left="600"/>
    </w:pPr>
    <w:rPr>
      <w:spacing w:val="0"/>
    </w:rPr>
  </w:style>
  <w:style w:type="paragraph" w:styleId="INNH5">
    <w:name w:val="toc 5"/>
    <w:basedOn w:val="Normal"/>
    <w:next w:val="Normal"/>
    <w:rsid w:val="00586B3B"/>
    <w:pPr>
      <w:tabs>
        <w:tab w:val="right" w:leader="dot" w:pos="8306"/>
      </w:tabs>
      <w:ind w:left="800"/>
    </w:pPr>
    <w:rPr>
      <w:spacing w:val="0"/>
    </w:rPr>
  </w:style>
  <w:style w:type="paragraph" w:styleId="Liste3">
    <w:name w:val="List 3"/>
    <w:basedOn w:val="Normal"/>
    <w:rsid w:val="00586B3B"/>
    <w:pPr>
      <w:numPr>
        <w:ilvl w:val="2"/>
        <w:numId w:val="248"/>
      </w:numPr>
      <w:spacing w:after="0"/>
    </w:pPr>
    <w:rPr>
      <w:spacing w:val="0"/>
    </w:rPr>
  </w:style>
  <w:style w:type="paragraph" w:styleId="Liste4">
    <w:name w:val="List 4"/>
    <w:basedOn w:val="Normal"/>
    <w:rsid w:val="00586B3B"/>
    <w:pPr>
      <w:numPr>
        <w:ilvl w:val="3"/>
        <w:numId w:val="248"/>
      </w:numPr>
      <w:spacing w:after="0"/>
    </w:pPr>
    <w:rPr>
      <w:spacing w:val="0"/>
    </w:rPr>
  </w:style>
  <w:style w:type="paragraph" w:styleId="Liste5">
    <w:name w:val="List 5"/>
    <w:basedOn w:val="Normal"/>
    <w:rsid w:val="00586B3B"/>
    <w:pPr>
      <w:numPr>
        <w:ilvl w:val="4"/>
        <w:numId w:val="248"/>
      </w:numPr>
      <w:spacing w:after="0"/>
    </w:pPr>
    <w:rPr>
      <w:spacing w:val="0"/>
    </w:rPr>
  </w:style>
  <w:style w:type="paragraph" w:styleId="Merknadstekst">
    <w:name w:val="annotation text"/>
    <w:basedOn w:val="Normal"/>
    <w:link w:val="MerknadstekstTegn"/>
    <w:rsid w:val="00586B3B"/>
    <w:rPr>
      <w:spacing w:val="0"/>
      <w:sz w:val="20"/>
    </w:rPr>
  </w:style>
  <w:style w:type="character" w:customStyle="1" w:styleId="MerknadstekstTegn">
    <w:name w:val="Merknadstekst Tegn"/>
    <w:basedOn w:val="Standardskriftforavsnitt"/>
    <w:link w:val="Merknadstekst"/>
    <w:rsid w:val="00586B3B"/>
    <w:rPr>
      <w:rFonts w:ascii="Times New Roman" w:eastAsia="Times New Roman" w:hAnsi="Times New Roman"/>
      <w:sz w:val="20"/>
    </w:rPr>
  </w:style>
  <w:style w:type="paragraph" w:styleId="Nummerertliste">
    <w:name w:val="List Number"/>
    <w:basedOn w:val="Normal"/>
    <w:rsid w:val="00586B3B"/>
    <w:pPr>
      <w:numPr>
        <w:numId w:val="246"/>
      </w:numPr>
      <w:spacing w:after="0"/>
    </w:pPr>
    <w:rPr>
      <w:rFonts w:ascii="Times" w:eastAsia="Batang" w:hAnsi="Times"/>
      <w:spacing w:val="0"/>
      <w:szCs w:val="20"/>
    </w:rPr>
  </w:style>
  <w:style w:type="paragraph" w:styleId="Nummerertliste2">
    <w:name w:val="List Number 2"/>
    <w:basedOn w:val="Normal"/>
    <w:rsid w:val="00586B3B"/>
    <w:pPr>
      <w:numPr>
        <w:ilvl w:val="1"/>
        <w:numId w:val="246"/>
      </w:numPr>
      <w:spacing w:after="0" w:line="240" w:lineRule="auto"/>
    </w:pPr>
    <w:rPr>
      <w:rFonts w:ascii="Times" w:eastAsia="Batang" w:hAnsi="Times"/>
      <w:spacing w:val="0"/>
      <w:szCs w:val="20"/>
    </w:rPr>
  </w:style>
  <w:style w:type="paragraph" w:styleId="Nummerertliste3">
    <w:name w:val="List Number 3"/>
    <w:basedOn w:val="Normal"/>
    <w:rsid w:val="00586B3B"/>
    <w:pPr>
      <w:numPr>
        <w:ilvl w:val="2"/>
        <w:numId w:val="246"/>
      </w:numPr>
      <w:spacing w:after="0" w:line="240" w:lineRule="auto"/>
    </w:pPr>
    <w:rPr>
      <w:rFonts w:ascii="Times" w:eastAsia="Batang" w:hAnsi="Times"/>
      <w:spacing w:val="0"/>
      <w:szCs w:val="20"/>
    </w:rPr>
  </w:style>
  <w:style w:type="paragraph" w:styleId="Nummerertliste4">
    <w:name w:val="List Number 4"/>
    <w:basedOn w:val="Normal"/>
    <w:rsid w:val="00586B3B"/>
    <w:pPr>
      <w:numPr>
        <w:ilvl w:val="3"/>
        <w:numId w:val="246"/>
      </w:numPr>
      <w:spacing w:after="0" w:line="240" w:lineRule="auto"/>
    </w:pPr>
    <w:rPr>
      <w:rFonts w:ascii="Times" w:eastAsia="Batang" w:hAnsi="Times"/>
      <w:spacing w:val="0"/>
      <w:szCs w:val="20"/>
    </w:rPr>
  </w:style>
  <w:style w:type="paragraph" w:styleId="Nummerertliste5">
    <w:name w:val="List Number 5"/>
    <w:basedOn w:val="Normal"/>
    <w:rsid w:val="00586B3B"/>
    <w:pPr>
      <w:numPr>
        <w:ilvl w:val="4"/>
        <w:numId w:val="246"/>
      </w:numPr>
      <w:spacing w:after="0" w:line="240" w:lineRule="auto"/>
    </w:pPr>
    <w:rPr>
      <w:rFonts w:ascii="Times" w:eastAsia="Batang" w:hAnsi="Times"/>
      <w:spacing w:val="0"/>
      <w:szCs w:val="20"/>
    </w:rPr>
  </w:style>
  <w:style w:type="paragraph" w:styleId="Punktmerketliste">
    <w:name w:val="List Bullet"/>
    <w:basedOn w:val="Normal"/>
    <w:rsid w:val="00586B3B"/>
    <w:pPr>
      <w:spacing w:after="0"/>
      <w:ind w:left="284" w:hanging="284"/>
    </w:pPr>
  </w:style>
  <w:style w:type="paragraph" w:styleId="Punktmerketliste2">
    <w:name w:val="List Bullet 2"/>
    <w:basedOn w:val="Normal"/>
    <w:rsid w:val="00586B3B"/>
    <w:pPr>
      <w:spacing w:after="0"/>
      <w:ind w:left="568" w:hanging="284"/>
    </w:pPr>
  </w:style>
  <w:style w:type="paragraph" w:styleId="Punktmerketliste3">
    <w:name w:val="List Bullet 3"/>
    <w:basedOn w:val="Normal"/>
    <w:rsid w:val="00586B3B"/>
    <w:pPr>
      <w:spacing w:after="0"/>
      <w:ind w:left="851" w:hanging="284"/>
    </w:pPr>
  </w:style>
  <w:style w:type="paragraph" w:styleId="Punktmerketliste4">
    <w:name w:val="List Bullet 4"/>
    <w:basedOn w:val="Normal"/>
    <w:rsid w:val="00586B3B"/>
    <w:pPr>
      <w:spacing w:after="0"/>
      <w:ind w:left="1135" w:hanging="284"/>
    </w:pPr>
    <w:rPr>
      <w:spacing w:val="0"/>
    </w:rPr>
  </w:style>
  <w:style w:type="paragraph" w:styleId="Punktmerketliste5">
    <w:name w:val="List Bullet 5"/>
    <w:basedOn w:val="Normal"/>
    <w:rsid w:val="00586B3B"/>
    <w:pPr>
      <w:spacing w:after="0"/>
      <w:ind w:left="1418" w:hanging="284"/>
    </w:pPr>
    <w:rPr>
      <w:spacing w:val="0"/>
    </w:rPr>
  </w:style>
  <w:style w:type="paragraph" w:styleId="Undertittel">
    <w:name w:val="Subtitle"/>
    <w:basedOn w:val="Normal"/>
    <w:next w:val="Normal"/>
    <w:link w:val="UndertittelTegn"/>
    <w:qFormat/>
    <w:rsid w:val="00586B3B"/>
    <w:pPr>
      <w:keepNext/>
      <w:keepLines/>
      <w:spacing w:before="360"/>
    </w:pPr>
    <w:rPr>
      <w:rFonts w:ascii="Arial" w:hAnsi="Arial"/>
      <w:b/>
      <w:sz w:val="28"/>
    </w:rPr>
  </w:style>
  <w:style w:type="character" w:customStyle="1" w:styleId="UndertittelTegn">
    <w:name w:val="Undertittel Tegn"/>
    <w:basedOn w:val="Standardskriftforavsnitt"/>
    <w:link w:val="Undertittel"/>
    <w:rsid w:val="00586B3B"/>
    <w:rPr>
      <w:rFonts w:ascii="Arial" w:eastAsia="Times New Roman" w:hAnsi="Arial"/>
      <w:b/>
      <w:spacing w:val="4"/>
      <w:sz w:val="28"/>
    </w:rPr>
  </w:style>
  <w:style w:type="paragraph" w:customStyle="1" w:styleId="Figur">
    <w:name w:val="Figur"/>
    <w:basedOn w:val="Normal"/>
    <w:uiPriority w:val="99"/>
    <w:rsid w:val="00586B3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586B3B"/>
    <w:pPr>
      <w:spacing w:after="0" w:line="240" w:lineRule="auto"/>
      <w:ind w:left="240" w:hanging="240"/>
    </w:pPr>
  </w:style>
  <w:style w:type="paragraph" w:styleId="Indeks2">
    <w:name w:val="index 2"/>
    <w:basedOn w:val="Normal"/>
    <w:next w:val="Normal"/>
    <w:autoRedefine/>
    <w:uiPriority w:val="99"/>
    <w:unhideWhenUsed/>
    <w:rsid w:val="00586B3B"/>
    <w:pPr>
      <w:spacing w:after="0" w:line="240" w:lineRule="auto"/>
      <w:ind w:left="480" w:hanging="240"/>
    </w:pPr>
  </w:style>
  <w:style w:type="paragraph" w:styleId="Indeks3">
    <w:name w:val="index 3"/>
    <w:basedOn w:val="Normal"/>
    <w:next w:val="Normal"/>
    <w:autoRedefine/>
    <w:uiPriority w:val="99"/>
    <w:unhideWhenUsed/>
    <w:rsid w:val="00586B3B"/>
    <w:pPr>
      <w:spacing w:after="0" w:line="240" w:lineRule="auto"/>
      <w:ind w:left="720" w:hanging="240"/>
    </w:pPr>
  </w:style>
  <w:style w:type="paragraph" w:styleId="Indeks4">
    <w:name w:val="index 4"/>
    <w:basedOn w:val="Normal"/>
    <w:next w:val="Normal"/>
    <w:autoRedefine/>
    <w:uiPriority w:val="99"/>
    <w:unhideWhenUsed/>
    <w:rsid w:val="00586B3B"/>
    <w:pPr>
      <w:spacing w:after="0" w:line="240" w:lineRule="auto"/>
      <w:ind w:left="960" w:hanging="240"/>
    </w:pPr>
  </w:style>
  <w:style w:type="paragraph" w:styleId="Indeks5">
    <w:name w:val="index 5"/>
    <w:basedOn w:val="Normal"/>
    <w:next w:val="Normal"/>
    <w:autoRedefine/>
    <w:uiPriority w:val="99"/>
    <w:unhideWhenUsed/>
    <w:rsid w:val="00586B3B"/>
    <w:pPr>
      <w:spacing w:after="0" w:line="240" w:lineRule="auto"/>
      <w:ind w:left="1200" w:hanging="240"/>
    </w:pPr>
  </w:style>
  <w:style w:type="paragraph" w:styleId="Indeks6">
    <w:name w:val="index 6"/>
    <w:basedOn w:val="Normal"/>
    <w:next w:val="Normal"/>
    <w:autoRedefine/>
    <w:uiPriority w:val="99"/>
    <w:unhideWhenUsed/>
    <w:rsid w:val="00586B3B"/>
    <w:pPr>
      <w:spacing w:after="0" w:line="240" w:lineRule="auto"/>
      <w:ind w:left="1440" w:hanging="240"/>
    </w:pPr>
  </w:style>
  <w:style w:type="paragraph" w:styleId="Indeks7">
    <w:name w:val="index 7"/>
    <w:basedOn w:val="Normal"/>
    <w:next w:val="Normal"/>
    <w:autoRedefine/>
    <w:uiPriority w:val="99"/>
    <w:unhideWhenUsed/>
    <w:rsid w:val="00586B3B"/>
    <w:pPr>
      <w:spacing w:after="0" w:line="240" w:lineRule="auto"/>
      <w:ind w:left="1680" w:hanging="240"/>
    </w:pPr>
  </w:style>
  <w:style w:type="paragraph" w:styleId="Indeks8">
    <w:name w:val="index 8"/>
    <w:basedOn w:val="Normal"/>
    <w:next w:val="Normal"/>
    <w:autoRedefine/>
    <w:uiPriority w:val="99"/>
    <w:unhideWhenUsed/>
    <w:rsid w:val="00586B3B"/>
    <w:pPr>
      <w:spacing w:after="0" w:line="240" w:lineRule="auto"/>
      <w:ind w:left="1920" w:hanging="240"/>
    </w:pPr>
  </w:style>
  <w:style w:type="paragraph" w:styleId="Indeks9">
    <w:name w:val="index 9"/>
    <w:basedOn w:val="Normal"/>
    <w:next w:val="Normal"/>
    <w:autoRedefine/>
    <w:uiPriority w:val="99"/>
    <w:unhideWhenUsed/>
    <w:rsid w:val="00586B3B"/>
    <w:pPr>
      <w:spacing w:after="0" w:line="240" w:lineRule="auto"/>
      <w:ind w:left="2160" w:hanging="240"/>
    </w:pPr>
  </w:style>
  <w:style w:type="paragraph" w:styleId="INNH6">
    <w:name w:val="toc 6"/>
    <w:basedOn w:val="Normal"/>
    <w:next w:val="Normal"/>
    <w:autoRedefine/>
    <w:uiPriority w:val="39"/>
    <w:unhideWhenUsed/>
    <w:rsid w:val="00586B3B"/>
    <w:pPr>
      <w:spacing w:after="100"/>
      <w:ind w:left="1200"/>
    </w:pPr>
  </w:style>
  <w:style w:type="paragraph" w:styleId="INNH7">
    <w:name w:val="toc 7"/>
    <w:basedOn w:val="Normal"/>
    <w:next w:val="Normal"/>
    <w:autoRedefine/>
    <w:uiPriority w:val="39"/>
    <w:unhideWhenUsed/>
    <w:rsid w:val="00586B3B"/>
    <w:pPr>
      <w:spacing w:after="100"/>
      <w:ind w:left="1440"/>
    </w:pPr>
  </w:style>
  <w:style w:type="paragraph" w:styleId="INNH8">
    <w:name w:val="toc 8"/>
    <w:basedOn w:val="Normal"/>
    <w:next w:val="Normal"/>
    <w:autoRedefine/>
    <w:uiPriority w:val="39"/>
    <w:unhideWhenUsed/>
    <w:rsid w:val="00586B3B"/>
    <w:pPr>
      <w:spacing w:after="100"/>
      <w:ind w:left="1680"/>
    </w:pPr>
  </w:style>
  <w:style w:type="paragraph" w:styleId="INNH9">
    <w:name w:val="toc 9"/>
    <w:basedOn w:val="Normal"/>
    <w:next w:val="Normal"/>
    <w:autoRedefine/>
    <w:uiPriority w:val="39"/>
    <w:unhideWhenUsed/>
    <w:rsid w:val="00586B3B"/>
    <w:pPr>
      <w:spacing w:after="100"/>
      <w:ind w:left="1920"/>
    </w:pPr>
  </w:style>
  <w:style w:type="paragraph" w:styleId="Vanliginnrykk">
    <w:name w:val="Normal Indent"/>
    <w:basedOn w:val="Normal"/>
    <w:uiPriority w:val="99"/>
    <w:unhideWhenUsed/>
    <w:rsid w:val="00586B3B"/>
    <w:pPr>
      <w:ind w:left="708"/>
    </w:pPr>
  </w:style>
  <w:style w:type="paragraph" w:styleId="Stikkordregisteroverskrift">
    <w:name w:val="index heading"/>
    <w:basedOn w:val="Normal"/>
    <w:next w:val="Indeks1"/>
    <w:uiPriority w:val="99"/>
    <w:unhideWhenUsed/>
    <w:rsid w:val="00586B3B"/>
    <w:rPr>
      <w:rFonts w:asciiTheme="majorHAnsi" w:eastAsiaTheme="majorEastAsia" w:hAnsiTheme="majorHAnsi" w:cstheme="majorBidi"/>
      <w:b/>
      <w:bCs/>
    </w:rPr>
  </w:style>
  <w:style w:type="paragraph" w:styleId="Bildetekst">
    <w:name w:val="caption"/>
    <w:basedOn w:val="Normal"/>
    <w:next w:val="Normal"/>
    <w:uiPriority w:val="35"/>
    <w:unhideWhenUsed/>
    <w:qFormat/>
    <w:rsid w:val="00586B3B"/>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586B3B"/>
    <w:pPr>
      <w:spacing w:after="0"/>
    </w:pPr>
  </w:style>
  <w:style w:type="paragraph" w:styleId="Konvoluttadresse">
    <w:name w:val="envelope address"/>
    <w:basedOn w:val="Normal"/>
    <w:uiPriority w:val="99"/>
    <w:unhideWhenUsed/>
    <w:rsid w:val="00586B3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586B3B"/>
    <w:pPr>
      <w:spacing w:after="0" w:line="240" w:lineRule="auto"/>
    </w:pPr>
    <w:rPr>
      <w:sz w:val="20"/>
      <w:szCs w:val="20"/>
    </w:rPr>
  </w:style>
  <w:style w:type="character" w:customStyle="1" w:styleId="SluttnotetekstTegn">
    <w:name w:val="Sluttnotetekst Tegn"/>
    <w:basedOn w:val="Standardskriftforavsnitt"/>
    <w:link w:val="Sluttnotetekst"/>
    <w:uiPriority w:val="99"/>
    <w:rsid w:val="00586B3B"/>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586B3B"/>
    <w:pPr>
      <w:spacing w:after="0"/>
      <w:ind w:left="240" w:hanging="240"/>
    </w:pPr>
  </w:style>
  <w:style w:type="paragraph" w:styleId="Makrotekst">
    <w:name w:val="macro"/>
    <w:link w:val="MakrotekstTegn"/>
    <w:uiPriority w:val="99"/>
    <w:unhideWhenUsed/>
    <w:rsid w:val="00586B3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586B3B"/>
    <w:rPr>
      <w:rFonts w:ascii="Consolas" w:eastAsia="Times New Roman" w:hAnsi="Consolas"/>
      <w:spacing w:val="4"/>
    </w:rPr>
  </w:style>
  <w:style w:type="paragraph" w:styleId="Kildelisteoverskrift">
    <w:name w:val="toa heading"/>
    <w:basedOn w:val="Normal"/>
    <w:next w:val="Normal"/>
    <w:uiPriority w:val="99"/>
    <w:unhideWhenUsed/>
    <w:rsid w:val="00586B3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86B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86B3B"/>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586B3B"/>
    <w:pPr>
      <w:spacing w:after="0" w:line="240" w:lineRule="auto"/>
      <w:ind w:left="4252"/>
    </w:pPr>
  </w:style>
  <w:style w:type="character" w:customStyle="1" w:styleId="HilsenTegn">
    <w:name w:val="Hilsen Tegn"/>
    <w:basedOn w:val="Standardskriftforavsnitt"/>
    <w:link w:val="Hilsen"/>
    <w:uiPriority w:val="99"/>
    <w:rsid w:val="00586B3B"/>
    <w:rPr>
      <w:rFonts w:ascii="Times New Roman" w:eastAsia="Times New Roman" w:hAnsi="Times New Roman"/>
      <w:spacing w:val="4"/>
      <w:sz w:val="24"/>
    </w:rPr>
  </w:style>
  <w:style w:type="paragraph" w:styleId="Underskrift">
    <w:name w:val="Signature"/>
    <w:basedOn w:val="Normal"/>
    <w:link w:val="UnderskriftTegn"/>
    <w:uiPriority w:val="99"/>
    <w:unhideWhenUsed/>
    <w:rsid w:val="00586B3B"/>
    <w:pPr>
      <w:spacing w:after="0" w:line="240" w:lineRule="auto"/>
      <w:ind w:left="4252"/>
    </w:pPr>
  </w:style>
  <w:style w:type="character" w:customStyle="1" w:styleId="UnderskriftTegn">
    <w:name w:val="Underskrift Tegn"/>
    <w:basedOn w:val="Standardskriftforavsnitt"/>
    <w:link w:val="Underskrift"/>
    <w:uiPriority w:val="99"/>
    <w:rsid w:val="00586B3B"/>
    <w:rPr>
      <w:rFonts w:ascii="Times New Roman" w:eastAsia="Times New Roman" w:hAnsi="Times New Roman"/>
      <w:spacing w:val="4"/>
      <w:sz w:val="24"/>
    </w:rPr>
  </w:style>
  <w:style w:type="paragraph" w:styleId="Liste-forts">
    <w:name w:val="List Continue"/>
    <w:basedOn w:val="Normal"/>
    <w:uiPriority w:val="99"/>
    <w:unhideWhenUsed/>
    <w:rsid w:val="00586B3B"/>
    <w:pPr>
      <w:ind w:left="283"/>
      <w:contextualSpacing/>
    </w:pPr>
  </w:style>
  <w:style w:type="paragraph" w:styleId="Liste-forts2">
    <w:name w:val="List Continue 2"/>
    <w:basedOn w:val="Normal"/>
    <w:uiPriority w:val="99"/>
    <w:unhideWhenUsed/>
    <w:rsid w:val="00586B3B"/>
    <w:pPr>
      <w:ind w:left="566"/>
      <w:contextualSpacing/>
    </w:pPr>
  </w:style>
  <w:style w:type="paragraph" w:styleId="Liste-forts3">
    <w:name w:val="List Continue 3"/>
    <w:basedOn w:val="Normal"/>
    <w:uiPriority w:val="99"/>
    <w:unhideWhenUsed/>
    <w:rsid w:val="00586B3B"/>
    <w:pPr>
      <w:ind w:left="849"/>
      <w:contextualSpacing/>
    </w:pPr>
  </w:style>
  <w:style w:type="paragraph" w:styleId="Liste-forts4">
    <w:name w:val="List Continue 4"/>
    <w:basedOn w:val="Normal"/>
    <w:uiPriority w:val="99"/>
    <w:unhideWhenUsed/>
    <w:rsid w:val="00586B3B"/>
    <w:pPr>
      <w:ind w:left="1132"/>
      <w:contextualSpacing/>
    </w:pPr>
  </w:style>
  <w:style w:type="paragraph" w:styleId="Liste-forts5">
    <w:name w:val="List Continue 5"/>
    <w:basedOn w:val="Normal"/>
    <w:uiPriority w:val="99"/>
    <w:unhideWhenUsed/>
    <w:rsid w:val="00586B3B"/>
    <w:pPr>
      <w:ind w:left="1415"/>
      <w:contextualSpacing/>
    </w:pPr>
  </w:style>
  <w:style w:type="paragraph" w:styleId="Meldingshode">
    <w:name w:val="Message Header"/>
    <w:basedOn w:val="Normal"/>
    <w:link w:val="MeldingshodeTegn"/>
    <w:uiPriority w:val="99"/>
    <w:unhideWhenUsed/>
    <w:rsid w:val="00586B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586B3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586B3B"/>
  </w:style>
  <w:style w:type="character" w:customStyle="1" w:styleId="InnledendehilsenTegn">
    <w:name w:val="Innledende hilsen Tegn"/>
    <w:basedOn w:val="Standardskriftforavsnitt"/>
    <w:link w:val="Innledendehilsen"/>
    <w:uiPriority w:val="99"/>
    <w:rsid w:val="00586B3B"/>
    <w:rPr>
      <w:rFonts w:ascii="Times New Roman" w:eastAsia="Times New Roman" w:hAnsi="Times New Roman"/>
      <w:spacing w:val="4"/>
      <w:sz w:val="24"/>
    </w:rPr>
  </w:style>
  <w:style w:type="paragraph" w:styleId="Dato">
    <w:name w:val="Date"/>
    <w:basedOn w:val="Normal"/>
    <w:next w:val="Normal"/>
    <w:link w:val="DatoTegn"/>
    <w:rsid w:val="00586B3B"/>
  </w:style>
  <w:style w:type="character" w:customStyle="1" w:styleId="DatoTegn">
    <w:name w:val="Dato Tegn"/>
    <w:basedOn w:val="Standardskriftforavsnitt"/>
    <w:link w:val="Dato"/>
    <w:rsid w:val="00586B3B"/>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586B3B"/>
    <w:pPr>
      <w:spacing w:after="0" w:line="240" w:lineRule="auto"/>
    </w:pPr>
  </w:style>
  <w:style w:type="character" w:customStyle="1" w:styleId="NotatoverskriftTegn">
    <w:name w:val="Notatoverskrift Tegn"/>
    <w:basedOn w:val="Standardskriftforavsnitt"/>
    <w:link w:val="Notatoverskrift"/>
    <w:uiPriority w:val="99"/>
    <w:rsid w:val="00586B3B"/>
    <w:rPr>
      <w:rFonts w:ascii="Times New Roman" w:eastAsia="Times New Roman" w:hAnsi="Times New Roman"/>
      <w:spacing w:val="4"/>
      <w:sz w:val="24"/>
    </w:rPr>
  </w:style>
  <w:style w:type="paragraph" w:styleId="Blokktekst">
    <w:name w:val="Block Text"/>
    <w:basedOn w:val="Normal"/>
    <w:uiPriority w:val="99"/>
    <w:unhideWhenUsed/>
    <w:rsid w:val="00586B3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586B3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586B3B"/>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586B3B"/>
    <w:rPr>
      <w:rFonts w:ascii="Courier New" w:hAnsi="Courier New" w:cs="Courier New"/>
      <w:sz w:val="20"/>
    </w:rPr>
  </w:style>
  <w:style w:type="character" w:customStyle="1" w:styleId="RentekstTegn">
    <w:name w:val="Ren tekst Tegn"/>
    <w:basedOn w:val="Standardskriftforavsnitt"/>
    <w:link w:val="Rentekst"/>
    <w:uiPriority w:val="99"/>
    <w:rsid w:val="00586B3B"/>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586B3B"/>
    <w:pPr>
      <w:spacing w:after="0" w:line="240" w:lineRule="auto"/>
    </w:pPr>
  </w:style>
  <w:style w:type="character" w:customStyle="1" w:styleId="E-postsignaturTegn">
    <w:name w:val="E-postsignatur Tegn"/>
    <w:basedOn w:val="Standardskriftforavsnitt"/>
    <w:link w:val="E-postsignatur"/>
    <w:uiPriority w:val="99"/>
    <w:rsid w:val="00586B3B"/>
    <w:rPr>
      <w:rFonts w:ascii="Times New Roman" w:eastAsia="Times New Roman" w:hAnsi="Times New Roman"/>
      <w:spacing w:val="4"/>
      <w:sz w:val="24"/>
    </w:rPr>
  </w:style>
  <w:style w:type="paragraph" w:styleId="NormalWeb">
    <w:name w:val="Normal (Web)"/>
    <w:basedOn w:val="Normal"/>
    <w:uiPriority w:val="99"/>
    <w:unhideWhenUsed/>
    <w:rsid w:val="00586B3B"/>
    <w:rPr>
      <w:szCs w:val="24"/>
    </w:rPr>
  </w:style>
  <w:style w:type="paragraph" w:styleId="HTML-adresse">
    <w:name w:val="HTML Address"/>
    <w:basedOn w:val="Normal"/>
    <w:link w:val="HTML-adresseTegn"/>
    <w:uiPriority w:val="99"/>
    <w:unhideWhenUsed/>
    <w:rsid w:val="00586B3B"/>
    <w:pPr>
      <w:spacing w:after="0" w:line="240" w:lineRule="auto"/>
    </w:pPr>
    <w:rPr>
      <w:i/>
      <w:iCs/>
    </w:rPr>
  </w:style>
  <w:style w:type="character" w:customStyle="1" w:styleId="HTML-adresseTegn">
    <w:name w:val="HTML-adresse Tegn"/>
    <w:basedOn w:val="Standardskriftforavsnitt"/>
    <w:link w:val="HTML-adresse"/>
    <w:uiPriority w:val="99"/>
    <w:rsid w:val="00586B3B"/>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586B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586B3B"/>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586B3B"/>
    <w:pPr>
      <w:spacing w:line="240" w:lineRule="auto"/>
    </w:pPr>
    <w:rPr>
      <w:b/>
      <w:bCs/>
      <w:spacing w:val="4"/>
      <w:szCs w:val="20"/>
    </w:rPr>
  </w:style>
  <w:style w:type="character" w:customStyle="1" w:styleId="KommentaremneTegn">
    <w:name w:val="Kommentaremne Tegn"/>
    <w:basedOn w:val="MerknadstekstTegn"/>
    <w:link w:val="Kommentaremne"/>
    <w:uiPriority w:val="99"/>
    <w:rsid w:val="00586B3B"/>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586B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586B3B"/>
    <w:rPr>
      <w:rFonts w:ascii="Tahoma" w:eastAsia="Times New Roman" w:hAnsi="Tahoma" w:cs="Tahoma"/>
      <w:spacing w:val="4"/>
      <w:sz w:val="16"/>
      <w:szCs w:val="16"/>
    </w:rPr>
  </w:style>
  <w:style w:type="paragraph" w:styleId="Listeavsnitt">
    <w:name w:val="List Paragraph"/>
    <w:basedOn w:val="Normal"/>
    <w:uiPriority w:val="34"/>
    <w:qFormat/>
    <w:rsid w:val="00586B3B"/>
    <w:pPr>
      <w:spacing w:before="60" w:after="0"/>
      <w:ind w:left="397"/>
    </w:pPr>
    <w:rPr>
      <w:spacing w:val="0"/>
    </w:rPr>
  </w:style>
  <w:style w:type="paragraph" w:styleId="Bibliografi">
    <w:name w:val="Bibliography"/>
    <w:basedOn w:val="Normal"/>
    <w:next w:val="Normal"/>
    <w:uiPriority w:val="37"/>
    <w:unhideWhenUsed/>
    <w:rsid w:val="00586B3B"/>
  </w:style>
  <w:style w:type="paragraph" w:styleId="Overskriftforinnholdsfortegnelse">
    <w:name w:val="TOC Heading"/>
    <w:basedOn w:val="Overskrift1"/>
    <w:next w:val="Normal"/>
    <w:uiPriority w:val="39"/>
    <w:unhideWhenUsed/>
    <w:qFormat/>
    <w:rsid w:val="00586B3B"/>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586B3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586B3B"/>
  </w:style>
  <w:style w:type="character" w:customStyle="1" w:styleId="BrdtekstTegn">
    <w:name w:val="Brødtekst Tegn"/>
    <w:basedOn w:val="Standardskriftforavsnitt"/>
    <w:link w:val="Brdtekst"/>
    <w:rsid w:val="00586B3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586B3B"/>
    <w:pPr>
      <w:ind w:firstLine="360"/>
    </w:pPr>
  </w:style>
  <w:style w:type="character" w:customStyle="1" w:styleId="Brdtekst-frsteinnrykkTegn">
    <w:name w:val="Brødtekst - første innrykk Tegn"/>
    <w:basedOn w:val="BrdtekstTegn"/>
    <w:link w:val="Brdtekst-frsteinnrykk"/>
    <w:uiPriority w:val="99"/>
    <w:rsid w:val="00586B3B"/>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586B3B"/>
    <w:pPr>
      <w:ind w:left="283"/>
    </w:pPr>
  </w:style>
  <w:style w:type="character" w:customStyle="1" w:styleId="BrdtekstinnrykkTegn">
    <w:name w:val="Brødtekstinnrykk Tegn"/>
    <w:basedOn w:val="Standardskriftforavsnitt"/>
    <w:link w:val="Brdtekstinnrykk"/>
    <w:uiPriority w:val="99"/>
    <w:rsid w:val="00586B3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586B3B"/>
    <w:pPr>
      <w:ind w:left="360" w:firstLine="360"/>
    </w:pPr>
  </w:style>
  <w:style w:type="character" w:customStyle="1" w:styleId="Brdtekst-frsteinnrykk2Tegn">
    <w:name w:val="Brødtekst - første innrykk 2 Tegn"/>
    <w:basedOn w:val="BrdtekstinnrykkTegn"/>
    <w:link w:val="Brdtekst-frsteinnrykk2"/>
    <w:uiPriority w:val="99"/>
    <w:rsid w:val="00586B3B"/>
    <w:rPr>
      <w:rFonts w:ascii="Times New Roman" w:eastAsia="Times New Roman" w:hAnsi="Times New Roman"/>
      <w:spacing w:val="4"/>
      <w:sz w:val="24"/>
    </w:rPr>
  </w:style>
  <w:style w:type="paragraph" w:styleId="Brdtekst2">
    <w:name w:val="Body Text 2"/>
    <w:basedOn w:val="Normal"/>
    <w:link w:val="Brdtekst2Tegn"/>
    <w:uiPriority w:val="99"/>
    <w:unhideWhenUsed/>
    <w:rsid w:val="00586B3B"/>
    <w:pPr>
      <w:spacing w:line="480" w:lineRule="auto"/>
    </w:pPr>
  </w:style>
  <w:style w:type="character" w:customStyle="1" w:styleId="Brdtekst2Tegn">
    <w:name w:val="Brødtekst 2 Tegn"/>
    <w:basedOn w:val="Standardskriftforavsnitt"/>
    <w:link w:val="Brdtekst2"/>
    <w:uiPriority w:val="99"/>
    <w:rsid w:val="00586B3B"/>
    <w:rPr>
      <w:rFonts w:ascii="Times New Roman" w:eastAsia="Times New Roman" w:hAnsi="Times New Roman"/>
      <w:spacing w:val="4"/>
      <w:sz w:val="24"/>
    </w:rPr>
  </w:style>
  <w:style w:type="paragraph" w:styleId="Brdtekst3">
    <w:name w:val="Body Text 3"/>
    <w:basedOn w:val="Normal"/>
    <w:link w:val="Brdtekst3Tegn"/>
    <w:uiPriority w:val="99"/>
    <w:unhideWhenUsed/>
    <w:rsid w:val="00586B3B"/>
    <w:rPr>
      <w:sz w:val="16"/>
      <w:szCs w:val="16"/>
    </w:rPr>
  </w:style>
  <w:style w:type="character" w:customStyle="1" w:styleId="Brdtekst3Tegn">
    <w:name w:val="Brødtekst 3 Tegn"/>
    <w:basedOn w:val="Standardskriftforavsnitt"/>
    <w:link w:val="Brdtekst3"/>
    <w:uiPriority w:val="99"/>
    <w:rsid w:val="00586B3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586B3B"/>
    <w:pPr>
      <w:spacing w:line="480" w:lineRule="auto"/>
      <w:ind w:left="283"/>
    </w:pPr>
  </w:style>
  <w:style w:type="character" w:customStyle="1" w:styleId="Brdtekstinnrykk2Tegn">
    <w:name w:val="Brødtekstinnrykk 2 Tegn"/>
    <w:basedOn w:val="Standardskriftforavsnitt"/>
    <w:link w:val="Brdtekstinnrykk2"/>
    <w:uiPriority w:val="99"/>
    <w:rsid w:val="00586B3B"/>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586B3B"/>
    <w:pPr>
      <w:ind w:left="283"/>
    </w:pPr>
    <w:rPr>
      <w:sz w:val="16"/>
      <w:szCs w:val="16"/>
    </w:rPr>
  </w:style>
  <w:style w:type="character" w:customStyle="1" w:styleId="Brdtekstinnrykk3Tegn">
    <w:name w:val="Brødtekstinnrykk 3 Tegn"/>
    <w:basedOn w:val="Standardskriftforavsnitt"/>
    <w:link w:val="Brdtekstinnrykk3"/>
    <w:uiPriority w:val="99"/>
    <w:rsid w:val="00586B3B"/>
    <w:rPr>
      <w:rFonts w:ascii="Times New Roman" w:eastAsia="Times New Roman" w:hAnsi="Times New Roman"/>
      <w:spacing w:val="4"/>
      <w:sz w:val="16"/>
      <w:szCs w:val="16"/>
    </w:rPr>
  </w:style>
  <w:style w:type="paragraph" w:customStyle="1" w:styleId="Sammendrag">
    <w:name w:val="Sammendrag"/>
    <w:basedOn w:val="Overskrift1"/>
    <w:qFormat/>
    <w:rsid w:val="00586B3B"/>
    <w:pPr>
      <w:numPr>
        <w:numId w:val="0"/>
      </w:numPr>
    </w:pPr>
  </w:style>
  <w:style w:type="paragraph" w:customStyle="1" w:styleId="TrykkeriMerknad">
    <w:name w:val="TrykkeriMerknad"/>
    <w:basedOn w:val="Normal"/>
    <w:qFormat/>
    <w:rsid w:val="00586B3B"/>
    <w:pPr>
      <w:spacing w:before="60"/>
    </w:pPr>
    <w:rPr>
      <w:rFonts w:ascii="Arial" w:hAnsi="Arial"/>
      <w:color w:val="943634" w:themeColor="accent2" w:themeShade="BF"/>
      <w:sz w:val="26"/>
    </w:rPr>
  </w:style>
  <w:style w:type="paragraph" w:customStyle="1" w:styleId="ForfatterMerknad">
    <w:name w:val="ForfatterMerknad"/>
    <w:basedOn w:val="TrykkeriMerknad"/>
    <w:qFormat/>
    <w:rsid w:val="00586B3B"/>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Revisjon">
    <w:name w:val="Revision"/>
    <w:uiPriority w:val="99"/>
    <w:pPr>
      <w:widowControl w:val="0"/>
      <w:autoSpaceDE w:val="0"/>
      <w:autoSpaceDN w:val="0"/>
      <w:adjustRightInd w:val="0"/>
      <w:spacing w:after="160" w:line="240" w:lineRule="auto"/>
    </w:pPr>
    <w:rPr>
      <w:rFonts w:ascii="Times New Roman" w:hAnsi="Times New Roman" w:cs="Times New Roman"/>
      <w:color w:val="000000"/>
      <w:w w:val="0"/>
      <w:sz w:val="24"/>
      <w:szCs w:val="24"/>
      <w:lang w:val="en-US"/>
    </w:rPr>
  </w:style>
  <w:style w:type="paragraph" w:customStyle="1" w:styleId="a-konge-tekst">
    <w:name w:val="a-konge-tekst"/>
    <w:basedOn w:val="Normal"/>
    <w:next w:val="Normal"/>
    <w:rsid w:val="00586B3B"/>
    <w:pPr>
      <w:keepNext/>
      <w:keepLines/>
      <w:spacing w:before="240" w:after="240"/>
    </w:pPr>
  </w:style>
  <w:style w:type="paragraph" w:customStyle="1" w:styleId="a-konge-tit">
    <w:name w:val="a-konge-tit"/>
    <w:basedOn w:val="Normal"/>
    <w:next w:val="Normal"/>
    <w:rsid w:val="00586B3B"/>
    <w:pPr>
      <w:keepNext/>
      <w:keepLines/>
      <w:spacing w:before="240"/>
      <w:jc w:val="center"/>
    </w:pPr>
    <w:rPr>
      <w:spacing w:val="30"/>
    </w:rPr>
  </w:style>
  <w:style w:type="paragraph" w:customStyle="1" w:styleId="a-tilraar-dep">
    <w:name w:val="a-tilraar-dep"/>
    <w:basedOn w:val="Normal"/>
    <w:next w:val="Normal"/>
    <w:rsid w:val="00586B3B"/>
    <w:pPr>
      <w:keepNext/>
      <w:keepLines/>
      <w:spacing w:before="240" w:after="240"/>
    </w:pPr>
  </w:style>
  <w:style w:type="paragraph" w:customStyle="1" w:styleId="a-tilraar-tit">
    <w:name w:val="a-tilraar-tit"/>
    <w:basedOn w:val="Normal"/>
    <w:next w:val="Normal"/>
    <w:rsid w:val="00586B3B"/>
    <w:pPr>
      <w:keepNext/>
      <w:keepLines/>
      <w:spacing w:before="240"/>
      <w:jc w:val="center"/>
    </w:pPr>
    <w:rPr>
      <w:spacing w:val="30"/>
    </w:rPr>
  </w:style>
  <w:style w:type="paragraph" w:customStyle="1" w:styleId="a-vedtak-del">
    <w:name w:val="a-vedtak-del"/>
    <w:basedOn w:val="Normal"/>
    <w:next w:val="Normal"/>
    <w:rsid w:val="00586B3B"/>
    <w:pPr>
      <w:spacing w:before="240"/>
      <w:jc w:val="center"/>
    </w:pPr>
  </w:style>
  <w:style w:type="paragraph" w:customStyle="1" w:styleId="a-vedtak-tekst">
    <w:name w:val="a-vedtak-tekst"/>
    <w:basedOn w:val="Normal"/>
    <w:next w:val="Normal"/>
    <w:rsid w:val="00586B3B"/>
    <w:pPr>
      <w:keepNext/>
      <w:jc w:val="center"/>
    </w:pPr>
  </w:style>
  <w:style w:type="paragraph" w:customStyle="1" w:styleId="a-vedtak-tit">
    <w:name w:val="a-vedtak-tit"/>
    <w:basedOn w:val="Normal"/>
    <w:next w:val="Normal"/>
    <w:rsid w:val="00586B3B"/>
    <w:pPr>
      <w:keepNext/>
      <w:jc w:val="center"/>
    </w:pPr>
    <w:rPr>
      <w:b/>
      <w:sz w:val="28"/>
    </w:rPr>
  </w:style>
  <w:style w:type="paragraph" w:customStyle="1" w:styleId="ramme-noter">
    <w:name w:val="ramme-noter"/>
    <w:basedOn w:val="Normal"/>
    <w:next w:val="Normal"/>
    <w:rsid w:val="00586B3B"/>
    <w:pPr>
      <w:tabs>
        <w:tab w:val="left" w:pos="284"/>
      </w:tabs>
      <w:spacing w:before="120" w:line="240" w:lineRule="auto"/>
      <w:contextualSpacing/>
    </w:pPr>
    <w:rPr>
      <w:rFonts w:ascii="Times" w:eastAsia="Batang" w:hAnsi="Times"/>
      <w:spacing w:val="0"/>
      <w:sz w:val="20"/>
      <w:szCs w:val="20"/>
    </w:rPr>
  </w:style>
  <w:style w:type="paragraph" w:customStyle="1" w:styleId="b-budkaptit">
    <w:name w:val="b-budkaptit"/>
    <w:basedOn w:val="Normal"/>
    <w:next w:val="Normal"/>
    <w:rsid w:val="00586B3B"/>
    <w:pPr>
      <w:keepNext/>
      <w:keepLines/>
      <w:ind w:left="1021" w:hanging="1021"/>
    </w:pPr>
    <w:rPr>
      <w:b/>
      <w:spacing w:val="0"/>
    </w:rPr>
  </w:style>
  <w:style w:type="paragraph" w:customStyle="1" w:styleId="b-post">
    <w:name w:val="b-post"/>
    <w:basedOn w:val="Normal"/>
    <w:next w:val="Normal"/>
    <w:rsid w:val="00586B3B"/>
    <w:pPr>
      <w:keepNext/>
      <w:keepLines/>
      <w:spacing w:before="360"/>
      <w:ind w:left="1021" w:hanging="1021"/>
    </w:pPr>
    <w:rPr>
      <w:i/>
      <w:spacing w:val="0"/>
    </w:rPr>
  </w:style>
  <w:style w:type="paragraph" w:customStyle="1" w:styleId="b-progkat">
    <w:name w:val="b-progkat"/>
    <w:basedOn w:val="Normal"/>
    <w:next w:val="Normal"/>
    <w:rsid w:val="00586B3B"/>
    <w:pPr>
      <w:keepNext/>
      <w:keepLines/>
    </w:pPr>
    <w:rPr>
      <w:b/>
      <w:spacing w:val="0"/>
    </w:rPr>
  </w:style>
  <w:style w:type="paragraph" w:customStyle="1" w:styleId="b-progomr">
    <w:name w:val="b-progomr"/>
    <w:basedOn w:val="Normal"/>
    <w:next w:val="Normal"/>
    <w:rsid w:val="00586B3B"/>
    <w:pPr>
      <w:keepNext/>
      <w:keepLines/>
      <w:spacing w:before="240"/>
    </w:pPr>
    <w:rPr>
      <w:b/>
      <w:spacing w:val="0"/>
    </w:rPr>
  </w:style>
  <w:style w:type="paragraph" w:customStyle="1" w:styleId="dato0">
    <w:name w:val="dato"/>
    <w:basedOn w:val="Normal"/>
    <w:next w:val="Normal"/>
    <w:rsid w:val="00586B3B"/>
  </w:style>
  <w:style w:type="paragraph" w:customStyle="1" w:styleId="Def">
    <w:name w:val="Def"/>
    <w:basedOn w:val="hengende-innrykk"/>
    <w:rsid w:val="00586B3B"/>
    <w:pPr>
      <w:spacing w:line="240" w:lineRule="auto"/>
      <w:ind w:left="0" w:firstLine="0"/>
    </w:pPr>
    <w:rPr>
      <w:rFonts w:ascii="Times" w:eastAsia="Batang" w:hAnsi="Times"/>
      <w:spacing w:val="0"/>
      <w:szCs w:val="20"/>
    </w:rPr>
  </w:style>
  <w:style w:type="paragraph" w:customStyle="1" w:styleId="del-nr">
    <w:name w:val="del-nr"/>
    <w:basedOn w:val="Normal"/>
    <w:qFormat/>
    <w:rsid w:val="00586B3B"/>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586B3B"/>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86B3B"/>
  </w:style>
  <w:style w:type="paragraph" w:customStyle="1" w:styleId="figur-noter">
    <w:name w:val="figur-noter"/>
    <w:basedOn w:val="Normal"/>
    <w:next w:val="Normal"/>
    <w:rsid w:val="00586B3B"/>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586B3B"/>
    <w:pPr>
      <w:spacing w:before="240"/>
      <w:jc w:val="center"/>
    </w:pPr>
  </w:style>
  <w:style w:type="paragraph" w:customStyle="1" w:styleId="hengende-innrykk">
    <w:name w:val="hengende-innrykk"/>
    <w:basedOn w:val="Normal"/>
    <w:next w:val="Normal"/>
    <w:rsid w:val="00586B3B"/>
    <w:pPr>
      <w:ind w:left="1418" w:hanging="1418"/>
    </w:pPr>
  </w:style>
  <w:style w:type="paragraph" w:customStyle="1" w:styleId="i-budkap-over">
    <w:name w:val="i-budkap-over"/>
    <w:basedOn w:val="Normal"/>
    <w:next w:val="Normal"/>
    <w:rsid w:val="00586B3B"/>
    <w:pPr>
      <w:jc w:val="right"/>
    </w:pPr>
    <w:rPr>
      <w:rFonts w:ascii="Times" w:hAnsi="Times"/>
      <w:b/>
      <w:noProof/>
    </w:rPr>
  </w:style>
  <w:style w:type="paragraph" w:customStyle="1" w:styleId="i-dep">
    <w:name w:val="i-dep"/>
    <w:basedOn w:val="Normal"/>
    <w:next w:val="Normal"/>
    <w:rsid w:val="00586B3B"/>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586B3B"/>
    <w:pPr>
      <w:keepNext/>
      <w:keepLines/>
      <w:spacing w:before="360"/>
      <w:jc w:val="center"/>
    </w:pPr>
    <w:rPr>
      <w:rFonts w:ascii="Times" w:hAnsi="Times"/>
      <w:b/>
      <w:noProof/>
      <w:sz w:val="28"/>
    </w:rPr>
  </w:style>
  <w:style w:type="paragraph" w:customStyle="1" w:styleId="i-saerskilt-vedl">
    <w:name w:val="i-saerskilt-vedl"/>
    <w:basedOn w:val="Normal"/>
    <w:next w:val="Normal"/>
    <w:rsid w:val="00586B3B"/>
    <w:pPr>
      <w:ind w:left="1985" w:hanging="1985"/>
    </w:pPr>
    <w:rPr>
      <w:spacing w:val="0"/>
    </w:rPr>
  </w:style>
  <w:style w:type="paragraph" w:customStyle="1" w:styleId="i-statsrdato">
    <w:name w:val="i-statsr.dato"/>
    <w:basedOn w:val="Normal"/>
    <w:next w:val="Normal"/>
    <w:rsid w:val="00586B3B"/>
    <w:pPr>
      <w:spacing w:after="0"/>
      <w:jc w:val="center"/>
    </w:pPr>
    <w:rPr>
      <w:rFonts w:ascii="Times" w:hAnsi="Times"/>
      <w:i/>
      <w:noProof/>
    </w:rPr>
  </w:style>
  <w:style w:type="paragraph" w:customStyle="1" w:styleId="i-termin">
    <w:name w:val="i-termin"/>
    <w:basedOn w:val="Normal"/>
    <w:next w:val="Normal"/>
    <w:rsid w:val="00586B3B"/>
    <w:pPr>
      <w:spacing w:before="360"/>
      <w:jc w:val="center"/>
    </w:pPr>
    <w:rPr>
      <w:b/>
      <w:noProof/>
      <w:sz w:val="28"/>
    </w:rPr>
  </w:style>
  <w:style w:type="paragraph" w:customStyle="1" w:styleId="i-tit">
    <w:name w:val="i-tit"/>
    <w:basedOn w:val="Normal"/>
    <w:next w:val="i-statsrdato"/>
    <w:rsid w:val="00586B3B"/>
    <w:pPr>
      <w:keepNext/>
      <w:keepLines/>
      <w:spacing w:before="360" w:after="240"/>
      <w:jc w:val="center"/>
    </w:pPr>
    <w:rPr>
      <w:rFonts w:ascii="Times" w:hAnsi="Times"/>
      <w:noProof/>
      <w:sz w:val="40"/>
    </w:rPr>
  </w:style>
  <w:style w:type="paragraph" w:customStyle="1" w:styleId="is-dep">
    <w:name w:val="is-dep"/>
    <w:basedOn w:val="i-dep"/>
    <w:qFormat/>
    <w:rsid w:val="00586B3B"/>
  </w:style>
  <w:style w:type="paragraph" w:customStyle="1" w:styleId="Kilde">
    <w:name w:val="Kilde"/>
    <w:basedOn w:val="Normal"/>
    <w:next w:val="Normal"/>
    <w:rsid w:val="00586B3B"/>
    <w:pPr>
      <w:spacing w:after="240"/>
    </w:pPr>
    <w:rPr>
      <w:sz w:val="20"/>
    </w:rPr>
  </w:style>
  <w:style w:type="paragraph" w:customStyle="1" w:styleId="l-avsnitt">
    <w:name w:val="l-avsnitt"/>
    <w:basedOn w:val="l-lovkap"/>
    <w:qFormat/>
    <w:rsid w:val="00586B3B"/>
    <w:rPr>
      <w:lang w:val="nn-NO"/>
    </w:rPr>
  </w:style>
  <w:style w:type="paragraph" w:customStyle="1" w:styleId="l-lovdeltit">
    <w:name w:val="l-lovdeltit"/>
    <w:basedOn w:val="Normal"/>
    <w:next w:val="Normal"/>
    <w:rsid w:val="00586B3B"/>
    <w:pPr>
      <w:keepNext/>
      <w:spacing w:before="120" w:after="60"/>
    </w:pPr>
    <w:rPr>
      <w:b/>
      <w:spacing w:val="0"/>
    </w:rPr>
  </w:style>
  <w:style w:type="paragraph" w:customStyle="1" w:styleId="l-lovkap">
    <w:name w:val="l-lovkap"/>
    <w:basedOn w:val="Normal"/>
    <w:next w:val="Normal"/>
    <w:rsid w:val="00586B3B"/>
    <w:pPr>
      <w:keepNext/>
      <w:spacing w:before="240" w:after="40"/>
    </w:pPr>
    <w:rPr>
      <w:b/>
    </w:rPr>
  </w:style>
  <w:style w:type="paragraph" w:customStyle="1" w:styleId="l-lovtit">
    <w:name w:val="l-lovtit"/>
    <w:basedOn w:val="Normal"/>
    <w:next w:val="Normal"/>
    <w:rsid w:val="00586B3B"/>
    <w:pPr>
      <w:keepNext/>
      <w:spacing w:before="120" w:after="60"/>
    </w:pPr>
    <w:rPr>
      <w:b/>
    </w:rPr>
  </w:style>
  <w:style w:type="paragraph" w:customStyle="1" w:styleId="l-punktum">
    <w:name w:val="l-punktum"/>
    <w:basedOn w:val="Normal"/>
    <w:qFormat/>
    <w:rsid w:val="00586B3B"/>
    <w:pPr>
      <w:spacing w:after="0"/>
    </w:pPr>
  </w:style>
  <w:style w:type="paragraph" w:customStyle="1" w:styleId="l-tit-endr-avsnitt">
    <w:name w:val="l-tit-endr-avsnitt"/>
    <w:basedOn w:val="l-tit-endr-lovkap"/>
    <w:qFormat/>
    <w:rsid w:val="00586B3B"/>
  </w:style>
  <w:style w:type="paragraph" w:customStyle="1" w:styleId="l-tit-endr-ledd">
    <w:name w:val="l-tit-endr-ledd"/>
    <w:basedOn w:val="Normal"/>
    <w:qFormat/>
    <w:rsid w:val="00586B3B"/>
    <w:pPr>
      <w:keepNext/>
      <w:spacing w:before="240" w:after="0" w:line="240" w:lineRule="auto"/>
    </w:pPr>
    <w:rPr>
      <w:rFonts w:ascii="Times" w:hAnsi="Times"/>
      <w:noProof/>
      <w:lang w:val="nn-NO"/>
    </w:rPr>
  </w:style>
  <w:style w:type="paragraph" w:customStyle="1" w:styleId="l-tit-endr-lov">
    <w:name w:val="l-tit-endr-lov"/>
    <w:basedOn w:val="Normal"/>
    <w:qFormat/>
    <w:rsid w:val="00586B3B"/>
    <w:pPr>
      <w:keepNext/>
      <w:spacing w:before="240" w:after="0" w:line="240" w:lineRule="auto"/>
    </w:pPr>
    <w:rPr>
      <w:rFonts w:ascii="Times" w:hAnsi="Times"/>
      <w:noProof/>
      <w:lang w:val="nn-NO"/>
    </w:rPr>
  </w:style>
  <w:style w:type="paragraph" w:customStyle="1" w:styleId="l-tit-endr-lovdel">
    <w:name w:val="l-tit-endr-lovdel"/>
    <w:basedOn w:val="Normal"/>
    <w:qFormat/>
    <w:rsid w:val="00586B3B"/>
    <w:pPr>
      <w:keepNext/>
      <w:spacing w:before="240" w:after="0" w:line="240" w:lineRule="auto"/>
    </w:pPr>
    <w:rPr>
      <w:rFonts w:ascii="Times" w:hAnsi="Times"/>
      <w:noProof/>
      <w:lang w:val="nn-NO"/>
    </w:rPr>
  </w:style>
  <w:style w:type="paragraph" w:customStyle="1" w:styleId="l-tit-endr-lovkap">
    <w:name w:val="l-tit-endr-lovkap"/>
    <w:basedOn w:val="Normal"/>
    <w:qFormat/>
    <w:rsid w:val="00586B3B"/>
    <w:pPr>
      <w:keepNext/>
      <w:spacing w:before="240" w:after="0" w:line="240" w:lineRule="auto"/>
    </w:pPr>
    <w:rPr>
      <w:rFonts w:ascii="Times" w:hAnsi="Times"/>
      <w:noProof/>
      <w:lang w:val="nn-NO"/>
    </w:rPr>
  </w:style>
  <w:style w:type="paragraph" w:customStyle="1" w:styleId="l-tit-endr-punktum">
    <w:name w:val="l-tit-endr-punktum"/>
    <w:basedOn w:val="l-tit-endr-ledd"/>
    <w:qFormat/>
    <w:rsid w:val="00586B3B"/>
  </w:style>
  <w:style w:type="paragraph" w:customStyle="1" w:styleId="Listeavsnitt2">
    <w:name w:val="Listeavsnitt 2"/>
    <w:basedOn w:val="Normal"/>
    <w:qFormat/>
    <w:rsid w:val="00586B3B"/>
    <w:pPr>
      <w:spacing w:before="60" w:after="0"/>
      <w:ind w:left="794"/>
    </w:pPr>
    <w:rPr>
      <w:spacing w:val="0"/>
    </w:rPr>
  </w:style>
  <w:style w:type="paragraph" w:customStyle="1" w:styleId="Listeavsnitt3">
    <w:name w:val="Listeavsnitt 3"/>
    <w:basedOn w:val="Normal"/>
    <w:qFormat/>
    <w:rsid w:val="00586B3B"/>
    <w:pPr>
      <w:spacing w:before="60" w:after="0"/>
      <w:ind w:left="1191"/>
    </w:pPr>
    <w:rPr>
      <w:spacing w:val="0"/>
    </w:rPr>
  </w:style>
  <w:style w:type="paragraph" w:customStyle="1" w:styleId="Listeavsnitt4">
    <w:name w:val="Listeavsnitt 4"/>
    <w:basedOn w:val="Normal"/>
    <w:qFormat/>
    <w:rsid w:val="00586B3B"/>
    <w:pPr>
      <w:spacing w:before="60" w:after="0"/>
      <w:ind w:left="1588"/>
    </w:pPr>
    <w:rPr>
      <w:spacing w:val="0"/>
    </w:rPr>
  </w:style>
  <w:style w:type="paragraph" w:customStyle="1" w:styleId="Listeavsnitt5">
    <w:name w:val="Listeavsnitt 5"/>
    <w:basedOn w:val="Normal"/>
    <w:qFormat/>
    <w:rsid w:val="00586B3B"/>
    <w:pPr>
      <w:spacing w:before="60" w:after="0"/>
      <w:ind w:left="1985"/>
    </w:pPr>
    <w:rPr>
      <w:spacing w:val="0"/>
    </w:rPr>
  </w:style>
  <w:style w:type="paragraph" w:customStyle="1" w:styleId="Normalref">
    <w:name w:val="Normalref"/>
    <w:basedOn w:val="Normal"/>
    <w:qFormat/>
    <w:rsid w:val="00586B3B"/>
    <w:pPr>
      <w:spacing w:after="0"/>
      <w:ind w:left="397" w:hanging="397"/>
    </w:pPr>
    <w:rPr>
      <w:spacing w:val="0"/>
    </w:rPr>
  </w:style>
  <w:style w:type="paragraph" w:customStyle="1" w:styleId="Petit">
    <w:name w:val="Petit"/>
    <w:basedOn w:val="Normal"/>
    <w:next w:val="Normal"/>
    <w:qFormat/>
    <w:rsid w:val="00586B3B"/>
    <w:rPr>
      <w:spacing w:val="6"/>
      <w:sz w:val="19"/>
    </w:rPr>
  </w:style>
  <w:style w:type="paragraph" w:customStyle="1" w:styleId="Ramme-slutt">
    <w:name w:val="Ramme-slutt"/>
    <w:basedOn w:val="Normal"/>
    <w:autoRedefine/>
    <w:rsid w:val="00586B3B"/>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586B3B"/>
  </w:style>
  <w:style w:type="paragraph" w:customStyle="1" w:styleId="tabell-noter">
    <w:name w:val="tabell-noter"/>
    <w:basedOn w:val="Normal"/>
    <w:next w:val="Normal"/>
    <w:rsid w:val="00586B3B"/>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586B3B"/>
    <w:pPr>
      <w:spacing w:line="240" w:lineRule="auto"/>
    </w:pPr>
    <w:rPr>
      <w:rFonts w:ascii="Times" w:eastAsia="Batang" w:hAnsi="Times"/>
      <w:vanish/>
      <w:color w:val="008000"/>
      <w:spacing w:val="0"/>
      <w:szCs w:val="24"/>
    </w:rPr>
  </w:style>
  <w:style w:type="paragraph" w:customStyle="1" w:styleId="Term">
    <w:name w:val="Term"/>
    <w:basedOn w:val="hengende-innrykk"/>
    <w:rsid w:val="00586B3B"/>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586B3B"/>
    <w:pPr>
      <w:keepNext/>
      <w:keepLines/>
      <w:jc w:val="center"/>
    </w:pPr>
    <w:rPr>
      <w:rFonts w:ascii="Arial" w:hAnsi="Arial"/>
      <w:b/>
      <w:spacing w:val="0"/>
      <w:sz w:val="28"/>
    </w:rPr>
  </w:style>
  <w:style w:type="paragraph" w:customStyle="1" w:styleId="tittel-litteraturliste">
    <w:name w:val="tittel-litteraturliste"/>
    <w:basedOn w:val="Normal"/>
    <w:next w:val="Normal"/>
    <w:rsid w:val="00586B3B"/>
    <w:pPr>
      <w:keepNext/>
      <w:keepLines/>
      <w:spacing w:before="360" w:after="240"/>
      <w:jc w:val="center"/>
    </w:pPr>
    <w:rPr>
      <w:rFonts w:ascii="Arial" w:hAnsi="Arial"/>
      <w:b/>
      <w:sz w:val="28"/>
    </w:rPr>
  </w:style>
  <w:style w:type="paragraph" w:customStyle="1" w:styleId="tittel-ordforkl">
    <w:name w:val="tittel-ordforkl"/>
    <w:basedOn w:val="Normal"/>
    <w:next w:val="Normal"/>
    <w:rsid w:val="00586B3B"/>
    <w:pPr>
      <w:keepNext/>
      <w:keepLines/>
      <w:spacing w:before="360" w:after="240"/>
      <w:jc w:val="center"/>
    </w:pPr>
    <w:rPr>
      <w:rFonts w:ascii="Arial" w:hAnsi="Arial"/>
      <w:b/>
      <w:sz w:val="28"/>
    </w:rPr>
  </w:style>
  <w:style w:type="paragraph" w:customStyle="1" w:styleId="undervedl-nr">
    <w:name w:val="undervedl-nr"/>
    <w:basedOn w:val="vedlegg-nr"/>
    <w:next w:val="Normal"/>
    <w:rsid w:val="00586B3B"/>
    <w:pPr>
      <w:numPr>
        <w:numId w:val="0"/>
      </w:numPr>
    </w:pPr>
    <w:rPr>
      <w:b w:val="0"/>
      <w:i/>
    </w:rPr>
  </w:style>
  <w:style w:type="paragraph" w:customStyle="1" w:styleId="Undervedl-tittel">
    <w:name w:val="Undervedl-tittel"/>
    <w:basedOn w:val="Normal"/>
    <w:next w:val="Normal"/>
    <w:rsid w:val="00586B3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86B3B"/>
    <w:pPr>
      <w:numPr>
        <w:numId w:val="0"/>
      </w:numPr>
      <w:outlineLvl w:val="9"/>
    </w:pPr>
  </w:style>
  <w:style w:type="paragraph" w:customStyle="1" w:styleId="v-Overskrift2">
    <w:name w:val="v-Overskrift 2"/>
    <w:basedOn w:val="Overskrift2"/>
    <w:next w:val="Normal"/>
    <w:rsid w:val="00586B3B"/>
    <w:pPr>
      <w:numPr>
        <w:ilvl w:val="0"/>
        <w:numId w:val="0"/>
      </w:numPr>
      <w:outlineLvl w:val="9"/>
    </w:pPr>
  </w:style>
  <w:style w:type="paragraph" w:customStyle="1" w:styleId="v-Overskrift3">
    <w:name w:val="v-Overskrift 3"/>
    <w:basedOn w:val="Overskrift3"/>
    <w:next w:val="Normal"/>
    <w:rsid w:val="00586B3B"/>
    <w:pPr>
      <w:numPr>
        <w:ilvl w:val="0"/>
        <w:numId w:val="0"/>
      </w:numPr>
      <w:outlineLvl w:val="9"/>
    </w:pPr>
  </w:style>
  <w:style w:type="paragraph" w:customStyle="1" w:styleId="vedlegg-nr">
    <w:name w:val="vedlegg-nr"/>
    <w:basedOn w:val="Normal"/>
    <w:next w:val="Normal"/>
    <w:rsid w:val="00586B3B"/>
    <w:pPr>
      <w:keepNext/>
      <w:keepLines/>
      <w:numPr>
        <w:numId w:val="244"/>
      </w:numPr>
      <w:ind w:left="357" w:hanging="357"/>
    </w:pPr>
    <w:rPr>
      <w:rFonts w:ascii="Arial" w:hAnsi="Arial"/>
      <w:b/>
      <w:u w:val="single"/>
    </w:rPr>
  </w:style>
  <w:style w:type="paragraph" w:customStyle="1" w:styleId="vedlegg-tit">
    <w:name w:val="vedlegg-tit"/>
    <w:basedOn w:val="Normal"/>
    <w:next w:val="Normal"/>
    <w:rsid w:val="00586B3B"/>
    <w:pPr>
      <w:keepNext/>
      <w:keepLines/>
      <w:spacing w:before="360" w:after="80"/>
      <w:jc w:val="center"/>
    </w:pPr>
    <w:rPr>
      <w:rFonts w:ascii="Arial" w:hAnsi="Arial"/>
      <w:b/>
      <w:sz w:val="28"/>
    </w:rPr>
  </w:style>
  <w:style w:type="paragraph" w:customStyle="1" w:styleId="i-hode-tit">
    <w:name w:val="i-hode-tit"/>
    <w:basedOn w:val="Normal"/>
    <w:autoRedefine/>
    <w:qFormat/>
    <w:rsid w:val="00586B3B"/>
    <w:pPr>
      <w:keepNext/>
      <w:keepLines/>
      <w:jc w:val="center"/>
    </w:pPr>
    <w:rPr>
      <w:rFonts w:eastAsia="Batang"/>
      <w:b/>
      <w:sz w:val="28"/>
    </w:rPr>
  </w:style>
  <w:style w:type="paragraph" w:customStyle="1" w:styleId="i-hode">
    <w:name w:val="i-hode"/>
    <w:basedOn w:val="Normal"/>
    <w:next w:val="Normal"/>
    <w:rsid w:val="00586B3B"/>
    <w:pPr>
      <w:keepNext/>
      <w:keepLines/>
      <w:spacing w:before="720"/>
      <w:jc w:val="center"/>
    </w:pPr>
    <w:rPr>
      <w:rFonts w:ascii="Times" w:hAnsi="Times"/>
      <w:b/>
      <w:noProof/>
      <w:sz w:val="56"/>
    </w:rPr>
  </w:style>
  <w:style w:type="paragraph" w:customStyle="1" w:styleId="i-sesjon">
    <w:name w:val="i-sesjon"/>
    <w:basedOn w:val="Normal"/>
    <w:next w:val="Normal"/>
    <w:rsid w:val="00586B3B"/>
    <w:pPr>
      <w:jc w:val="center"/>
    </w:pPr>
    <w:rPr>
      <w:rFonts w:ascii="Times" w:hAnsi="Times"/>
      <w:b/>
      <w:noProof/>
      <w:sz w:val="28"/>
    </w:rPr>
  </w:style>
  <w:style w:type="paragraph" w:customStyle="1" w:styleId="i-mtit">
    <w:name w:val="i-mtit"/>
    <w:basedOn w:val="Normal"/>
    <w:next w:val="Normal"/>
    <w:rsid w:val="00586B3B"/>
    <w:pPr>
      <w:keepNext/>
      <w:keepLines/>
      <w:spacing w:before="360"/>
      <w:jc w:val="center"/>
    </w:pPr>
    <w:rPr>
      <w:rFonts w:ascii="Times" w:hAnsi="Times"/>
      <w:b/>
      <w:noProof/>
    </w:rPr>
  </w:style>
  <w:style w:type="paragraph" w:customStyle="1" w:styleId="figur-tittel">
    <w:name w:val="figur-tittel"/>
    <w:basedOn w:val="Normal"/>
    <w:next w:val="Normal"/>
    <w:rsid w:val="00586B3B"/>
    <w:pPr>
      <w:numPr>
        <w:ilvl w:val="5"/>
        <w:numId w:val="261"/>
      </w:numPr>
    </w:pPr>
    <w:rPr>
      <w:rFonts w:ascii="Arial" w:hAnsi="Arial"/>
    </w:rPr>
  </w:style>
  <w:style w:type="paragraph" w:customStyle="1" w:styleId="tabell-tittel">
    <w:name w:val="tabell-tittel"/>
    <w:basedOn w:val="Normal"/>
    <w:next w:val="Normal"/>
    <w:rsid w:val="00586B3B"/>
    <w:pPr>
      <w:keepNext/>
      <w:keepLines/>
      <w:numPr>
        <w:ilvl w:val="6"/>
        <w:numId w:val="261"/>
      </w:numPr>
      <w:spacing w:before="240"/>
    </w:pPr>
    <w:rPr>
      <w:rFonts w:ascii="Arial" w:hAnsi="Arial"/>
    </w:rPr>
  </w:style>
  <w:style w:type="paragraph" w:customStyle="1" w:styleId="avsnitt-tittel">
    <w:name w:val="avsnitt-tittel"/>
    <w:basedOn w:val="Normal"/>
    <w:next w:val="Normal"/>
    <w:rsid w:val="00586B3B"/>
    <w:pPr>
      <w:keepNext/>
      <w:keepLines/>
      <w:spacing w:before="360" w:after="60"/>
    </w:pPr>
    <w:rPr>
      <w:rFonts w:ascii="Arial" w:hAnsi="Arial"/>
      <w:sz w:val="26"/>
    </w:rPr>
  </w:style>
  <w:style w:type="paragraph" w:customStyle="1" w:styleId="Listebombe">
    <w:name w:val="Liste bombe"/>
    <w:basedOn w:val="Liste"/>
    <w:qFormat/>
    <w:rsid w:val="00586B3B"/>
    <w:pPr>
      <w:numPr>
        <w:numId w:val="256"/>
      </w:numPr>
      <w:tabs>
        <w:tab w:val="left" w:pos="397"/>
      </w:tabs>
      <w:ind w:left="397" w:hanging="397"/>
    </w:pPr>
  </w:style>
  <w:style w:type="paragraph" w:customStyle="1" w:styleId="Listebombe2">
    <w:name w:val="Liste bombe 2"/>
    <w:basedOn w:val="Liste2"/>
    <w:qFormat/>
    <w:rsid w:val="00586B3B"/>
    <w:pPr>
      <w:numPr>
        <w:ilvl w:val="0"/>
        <w:numId w:val="257"/>
      </w:numPr>
      <w:ind w:left="794" w:hanging="397"/>
    </w:pPr>
  </w:style>
  <w:style w:type="paragraph" w:customStyle="1" w:styleId="Listebombe3">
    <w:name w:val="Liste bombe 3"/>
    <w:basedOn w:val="Liste3"/>
    <w:qFormat/>
    <w:rsid w:val="00586B3B"/>
    <w:pPr>
      <w:numPr>
        <w:ilvl w:val="0"/>
        <w:numId w:val="258"/>
      </w:numPr>
      <w:ind w:left="1191" w:hanging="397"/>
    </w:pPr>
  </w:style>
  <w:style w:type="paragraph" w:customStyle="1" w:styleId="Listebombe4">
    <w:name w:val="Liste bombe 4"/>
    <w:basedOn w:val="Liste4"/>
    <w:qFormat/>
    <w:rsid w:val="00586B3B"/>
    <w:pPr>
      <w:numPr>
        <w:ilvl w:val="0"/>
        <w:numId w:val="259"/>
      </w:numPr>
      <w:ind w:left="1588" w:hanging="397"/>
    </w:pPr>
  </w:style>
  <w:style w:type="paragraph" w:customStyle="1" w:styleId="Listebombe5">
    <w:name w:val="Liste bombe 5"/>
    <w:basedOn w:val="Liste5"/>
    <w:qFormat/>
    <w:rsid w:val="00586B3B"/>
    <w:pPr>
      <w:numPr>
        <w:ilvl w:val="0"/>
        <w:numId w:val="260"/>
      </w:numPr>
      <w:ind w:left="1985" w:hanging="397"/>
    </w:pPr>
  </w:style>
  <w:style w:type="paragraph" w:customStyle="1" w:styleId="alfaliste">
    <w:name w:val="alfaliste"/>
    <w:basedOn w:val="Normal"/>
    <w:rsid w:val="00586B3B"/>
    <w:pPr>
      <w:numPr>
        <w:numId w:val="245"/>
      </w:numPr>
      <w:spacing w:after="0"/>
    </w:pPr>
  </w:style>
  <w:style w:type="paragraph" w:customStyle="1" w:styleId="alfaliste2">
    <w:name w:val="alfaliste 2"/>
    <w:basedOn w:val="Liste2"/>
    <w:rsid w:val="00586B3B"/>
    <w:pPr>
      <w:numPr>
        <w:numId w:val="245"/>
      </w:numPr>
    </w:pPr>
  </w:style>
  <w:style w:type="paragraph" w:customStyle="1" w:styleId="alfaliste3">
    <w:name w:val="alfaliste 3"/>
    <w:basedOn w:val="Normal"/>
    <w:rsid w:val="00586B3B"/>
    <w:pPr>
      <w:numPr>
        <w:ilvl w:val="2"/>
        <w:numId w:val="245"/>
      </w:numPr>
      <w:spacing w:after="0"/>
    </w:pPr>
    <w:rPr>
      <w:spacing w:val="0"/>
    </w:rPr>
  </w:style>
  <w:style w:type="paragraph" w:customStyle="1" w:styleId="alfaliste4">
    <w:name w:val="alfaliste 4"/>
    <w:basedOn w:val="Normal"/>
    <w:rsid w:val="00586B3B"/>
    <w:pPr>
      <w:numPr>
        <w:ilvl w:val="3"/>
        <w:numId w:val="245"/>
      </w:numPr>
      <w:spacing w:after="0"/>
    </w:pPr>
    <w:rPr>
      <w:spacing w:val="0"/>
    </w:rPr>
  </w:style>
  <w:style w:type="paragraph" w:customStyle="1" w:styleId="alfaliste5">
    <w:name w:val="alfaliste 5"/>
    <w:basedOn w:val="Normal"/>
    <w:rsid w:val="00586B3B"/>
    <w:pPr>
      <w:numPr>
        <w:ilvl w:val="4"/>
        <w:numId w:val="245"/>
      </w:numPr>
      <w:spacing w:after="0"/>
    </w:pPr>
    <w:rPr>
      <w:rFonts w:cs="Times New Roman"/>
      <w:spacing w:val="0"/>
    </w:rPr>
  </w:style>
  <w:style w:type="paragraph" w:customStyle="1" w:styleId="romertallliste">
    <w:name w:val="romertall liste"/>
    <w:basedOn w:val="Normal"/>
    <w:rsid w:val="00586B3B"/>
    <w:pPr>
      <w:numPr>
        <w:numId w:val="255"/>
      </w:numPr>
      <w:spacing w:after="0" w:line="240" w:lineRule="auto"/>
    </w:pPr>
    <w:rPr>
      <w:rFonts w:ascii="Times" w:eastAsia="Batang" w:hAnsi="Times"/>
      <w:spacing w:val="0"/>
      <w:szCs w:val="20"/>
    </w:rPr>
  </w:style>
  <w:style w:type="paragraph" w:customStyle="1" w:styleId="romertallliste2">
    <w:name w:val="romertall liste 2"/>
    <w:basedOn w:val="Normal"/>
    <w:rsid w:val="00586B3B"/>
    <w:pPr>
      <w:numPr>
        <w:ilvl w:val="1"/>
        <w:numId w:val="255"/>
      </w:numPr>
      <w:spacing w:after="0" w:line="240" w:lineRule="auto"/>
    </w:pPr>
    <w:rPr>
      <w:rFonts w:ascii="Times" w:eastAsia="Batang" w:hAnsi="Times"/>
      <w:spacing w:val="0"/>
      <w:szCs w:val="20"/>
    </w:rPr>
  </w:style>
  <w:style w:type="paragraph" w:customStyle="1" w:styleId="romertallliste3">
    <w:name w:val="romertall liste 3"/>
    <w:basedOn w:val="Normal"/>
    <w:rsid w:val="00586B3B"/>
    <w:pPr>
      <w:numPr>
        <w:ilvl w:val="2"/>
        <w:numId w:val="255"/>
      </w:numPr>
      <w:spacing w:after="0" w:line="240" w:lineRule="auto"/>
    </w:pPr>
    <w:rPr>
      <w:rFonts w:ascii="Times" w:eastAsia="Batang" w:hAnsi="Times"/>
      <w:spacing w:val="0"/>
      <w:szCs w:val="20"/>
    </w:rPr>
  </w:style>
  <w:style w:type="paragraph" w:customStyle="1" w:styleId="romertallliste4">
    <w:name w:val="romertall liste 4"/>
    <w:basedOn w:val="Normal"/>
    <w:rsid w:val="00586B3B"/>
    <w:pPr>
      <w:numPr>
        <w:ilvl w:val="3"/>
        <w:numId w:val="255"/>
      </w:numPr>
      <w:spacing w:after="0" w:line="240" w:lineRule="auto"/>
    </w:pPr>
    <w:rPr>
      <w:rFonts w:ascii="Times" w:eastAsia="Batang" w:hAnsi="Times"/>
      <w:spacing w:val="0"/>
      <w:szCs w:val="20"/>
    </w:rPr>
  </w:style>
  <w:style w:type="paragraph" w:customStyle="1" w:styleId="romertallliste5">
    <w:name w:val="romertall liste 5"/>
    <w:basedOn w:val="Normal"/>
    <w:qFormat/>
    <w:rsid w:val="00586B3B"/>
    <w:pPr>
      <w:numPr>
        <w:ilvl w:val="4"/>
        <w:numId w:val="255"/>
      </w:numPr>
      <w:spacing w:after="0"/>
    </w:pPr>
  </w:style>
  <w:style w:type="paragraph" w:customStyle="1" w:styleId="opplisting2">
    <w:name w:val="opplisting 2"/>
    <w:basedOn w:val="Normal"/>
    <w:qFormat/>
    <w:rsid w:val="00586B3B"/>
    <w:pPr>
      <w:spacing w:after="0"/>
      <w:ind w:left="397"/>
    </w:pPr>
    <w:rPr>
      <w:spacing w:val="0"/>
      <w:lang w:val="en-US"/>
    </w:rPr>
  </w:style>
  <w:style w:type="paragraph" w:customStyle="1" w:styleId="opplisting3">
    <w:name w:val="opplisting 3"/>
    <w:basedOn w:val="Normal"/>
    <w:qFormat/>
    <w:rsid w:val="00586B3B"/>
    <w:pPr>
      <w:spacing w:after="0"/>
      <w:ind w:left="794"/>
    </w:pPr>
    <w:rPr>
      <w:spacing w:val="0"/>
    </w:rPr>
  </w:style>
  <w:style w:type="paragraph" w:customStyle="1" w:styleId="opplisting4">
    <w:name w:val="opplisting 4"/>
    <w:basedOn w:val="Normal"/>
    <w:qFormat/>
    <w:rsid w:val="00586B3B"/>
    <w:pPr>
      <w:spacing w:after="0"/>
      <w:ind w:left="1191"/>
    </w:pPr>
    <w:rPr>
      <w:spacing w:val="0"/>
    </w:rPr>
  </w:style>
  <w:style w:type="paragraph" w:customStyle="1" w:styleId="opplisting5">
    <w:name w:val="opplisting 5"/>
    <w:basedOn w:val="Normal"/>
    <w:qFormat/>
    <w:rsid w:val="00586B3B"/>
    <w:pPr>
      <w:spacing w:after="0"/>
      <w:ind w:left="1588"/>
    </w:pPr>
    <w:rPr>
      <w:spacing w:val="0"/>
    </w:rPr>
  </w:style>
  <w:style w:type="paragraph" w:customStyle="1" w:styleId="friliste">
    <w:name w:val="friliste"/>
    <w:basedOn w:val="Normal"/>
    <w:qFormat/>
    <w:rsid w:val="00586B3B"/>
    <w:pPr>
      <w:tabs>
        <w:tab w:val="left" w:pos="397"/>
      </w:tabs>
      <w:spacing w:after="0"/>
      <w:ind w:left="397" w:hanging="397"/>
    </w:pPr>
    <w:rPr>
      <w:spacing w:val="0"/>
    </w:rPr>
  </w:style>
  <w:style w:type="paragraph" w:customStyle="1" w:styleId="friliste2">
    <w:name w:val="friliste 2"/>
    <w:basedOn w:val="Normal"/>
    <w:qFormat/>
    <w:rsid w:val="00586B3B"/>
    <w:pPr>
      <w:tabs>
        <w:tab w:val="left" w:pos="794"/>
      </w:tabs>
      <w:spacing w:after="0"/>
      <w:ind w:left="794" w:hanging="397"/>
    </w:pPr>
    <w:rPr>
      <w:spacing w:val="0"/>
    </w:rPr>
  </w:style>
  <w:style w:type="paragraph" w:customStyle="1" w:styleId="friliste3">
    <w:name w:val="friliste 3"/>
    <w:basedOn w:val="Normal"/>
    <w:qFormat/>
    <w:rsid w:val="00586B3B"/>
    <w:pPr>
      <w:tabs>
        <w:tab w:val="left" w:pos="1191"/>
      </w:tabs>
      <w:spacing w:after="0"/>
      <w:ind w:left="1191" w:hanging="397"/>
    </w:pPr>
    <w:rPr>
      <w:spacing w:val="0"/>
    </w:rPr>
  </w:style>
  <w:style w:type="paragraph" w:customStyle="1" w:styleId="friliste4">
    <w:name w:val="friliste 4"/>
    <w:basedOn w:val="Normal"/>
    <w:qFormat/>
    <w:rsid w:val="00586B3B"/>
    <w:pPr>
      <w:tabs>
        <w:tab w:val="left" w:pos="1588"/>
      </w:tabs>
      <w:spacing w:after="0"/>
      <w:ind w:left="1588" w:hanging="397"/>
    </w:pPr>
    <w:rPr>
      <w:spacing w:val="0"/>
    </w:rPr>
  </w:style>
  <w:style w:type="paragraph" w:customStyle="1" w:styleId="friliste5">
    <w:name w:val="friliste 5"/>
    <w:basedOn w:val="Normal"/>
    <w:qFormat/>
    <w:rsid w:val="00586B3B"/>
    <w:pPr>
      <w:tabs>
        <w:tab w:val="left" w:pos="1985"/>
      </w:tabs>
      <w:spacing w:after="0"/>
      <w:ind w:left="1985" w:hanging="397"/>
    </w:pPr>
    <w:rPr>
      <w:spacing w:val="0"/>
    </w:rPr>
  </w:style>
  <w:style w:type="paragraph" w:customStyle="1" w:styleId="l-alfaliste">
    <w:name w:val="l-alfaliste"/>
    <w:basedOn w:val="alfaliste"/>
    <w:qFormat/>
    <w:rsid w:val="00586B3B"/>
    <w:pPr>
      <w:numPr>
        <w:numId w:val="254"/>
      </w:numPr>
    </w:pPr>
    <w:rPr>
      <w:rFonts w:eastAsiaTheme="minorEastAsia"/>
    </w:rPr>
  </w:style>
  <w:style w:type="paragraph" w:customStyle="1" w:styleId="l-alfaliste2">
    <w:name w:val="l-alfaliste 2"/>
    <w:basedOn w:val="alfaliste2"/>
    <w:qFormat/>
    <w:rsid w:val="00586B3B"/>
    <w:pPr>
      <w:numPr>
        <w:numId w:val="254"/>
      </w:numPr>
    </w:pPr>
  </w:style>
  <w:style w:type="paragraph" w:customStyle="1" w:styleId="avsnitt-undertittel">
    <w:name w:val="avsnitt-undertittel"/>
    <w:basedOn w:val="Normal"/>
    <w:next w:val="Normal"/>
    <w:rsid w:val="00586B3B"/>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586B3B"/>
    <w:pPr>
      <w:numPr>
        <w:numId w:val="254"/>
      </w:numPr>
    </w:pPr>
  </w:style>
  <w:style w:type="paragraph" w:customStyle="1" w:styleId="l-alfaliste4">
    <w:name w:val="l-alfaliste 4"/>
    <w:basedOn w:val="alfaliste4"/>
    <w:qFormat/>
    <w:rsid w:val="00586B3B"/>
    <w:pPr>
      <w:numPr>
        <w:numId w:val="254"/>
      </w:numPr>
    </w:pPr>
  </w:style>
  <w:style w:type="paragraph" w:customStyle="1" w:styleId="l-alfaliste5">
    <w:name w:val="l-alfaliste 5"/>
    <w:basedOn w:val="alfaliste5"/>
    <w:qFormat/>
    <w:rsid w:val="00586B3B"/>
    <w:pPr>
      <w:numPr>
        <w:numId w:val="254"/>
      </w:numPr>
    </w:pPr>
  </w:style>
  <w:style w:type="paragraph" w:customStyle="1" w:styleId="avsnitt-under-undertittel">
    <w:name w:val="avsnitt-under-undertittel"/>
    <w:basedOn w:val="Normal"/>
    <w:next w:val="Normal"/>
    <w:rsid w:val="00586B3B"/>
    <w:pPr>
      <w:keepNext/>
      <w:keepLines/>
      <w:spacing w:before="360" w:line="240" w:lineRule="auto"/>
    </w:pPr>
    <w:rPr>
      <w:rFonts w:eastAsia="Batang"/>
      <w:i/>
      <w:spacing w:val="0"/>
      <w:szCs w:val="20"/>
    </w:rPr>
  </w:style>
  <w:style w:type="paragraph" w:customStyle="1" w:styleId="blokksit">
    <w:name w:val="blokksit"/>
    <w:basedOn w:val="Normal"/>
    <w:qFormat/>
    <w:rsid w:val="00586B3B"/>
    <w:pPr>
      <w:spacing w:line="240" w:lineRule="auto"/>
      <w:ind w:left="397"/>
    </w:pPr>
    <w:rPr>
      <w:rFonts w:ascii="Times" w:hAnsi="Times"/>
      <w:spacing w:val="-2"/>
    </w:rPr>
  </w:style>
  <w:style w:type="paragraph" w:customStyle="1" w:styleId="l-paragraf">
    <w:name w:val="l-paragraf"/>
    <w:basedOn w:val="Normal"/>
    <w:next w:val="Normal"/>
    <w:rsid w:val="00586B3B"/>
    <w:pPr>
      <w:spacing w:before="180" w:after="0"/>
    </w:pPr>
    <w:rPr>
      <w:rFonts w:ascii="Times" w:hAnsi="Times"/>
      <w:i/>
    </w:rPr>
  </w:style>
  <w:style w:type="paragraph" w:customStyle="1" w:styleId="l-ledd">
    <w:name w:val="l-ledd"/>
    <w:basedOn w:val="Normal"/>
    <w:qFormat/>
    <w:rsid w:val="00586B3B"/>
    <w:pPr>
      <w:spacing w:after="0"/>
      <w:ind w:firstLine="397"/>
    </w:pPr>
    <w:rPr>
      <w:rFonts w:ascii="Times" w:hAnsi="Times"/>
    </w:rPr>
  </w:style>
  <w:style w:type="paragraph" w:customStyle="1" w:styleId="l-tit-endr-paragraf">
    <w:name w:val="l-tit-endr-paragraf"/>
    <w:basedOn w:val="Normal"/>
    <w:qFormat/>
    <w:rsid w:val="00586B3B"/>
    <w:pPr>
      <w:keepNext/>
      <w:spacing w:before="240" w:after="0" w:line="240" w:lineRule="auto"/>
    </w:pPr>
    <w:rPr>
      <w:rFonts w:ascii="Times" w:hAnsi="Times"/>
      <w:noProof/>
      <w:lang w:val="nn-NO"/>
    </w:rPr>
  </w:style>
  <w:style w:type="paragraph" w:customStyle="1" w:styleId="tittel-ramme">
    <w:name w:val="tittel-ramme"/>
    <w:basedOn w:val="Normal"/>
    <w:next w:val="Normal"/>
    <w:rsid w:val="00586B3B"/>
    <w:pPr>
      <w:keepNext/>
      <w:keepLines/>
      <w:numPr>
        <w:ilvl w:val="7"/>
        <w:numId w:val="261"/>
      </w:numPr>
      <w:spacing w:before="360" w:after="80"/>
      <w:jc w:val="center"/>
    </w:pPr>
    <w:rPr>
      <w:rFonts w:ascii="Arial" w:hAnsi="Arial"/>
      <w:b/>
    </w:rPr>
  </w:style>
  <w:style w:type="paragraph" w:customStyle="1" w:styleId="opplisting">
    <w:name w:val="opplisting"/>
    <w:basedOn w:val="Normal"/>
    <w:rsid w:val="00586B3B"/>
    <w:pPr>
      <w:spacing w:after="0"/>
    </w:pPr>
    <w:rPr>
      <w:rFonts w:ascii="Times" w:hAnsi="Times" w:cs="Times New Roman"/>
      <w:spacing w:val="0"/>
    </w:rPr>
  </w:style>
  <w:style w:type="character" w:styleId="Utheving">
    <w:name w:val="Emphasis"/>
    <w:basedOn w:val="Standardskriftforavsnitt"/>
    <w:uiPriority w:val="20"/>
    <w:qFormat/>
    <w:rsid w:val="00586B3B"/>
    <w:rPr>
      <w:i/>
      <w:iCs/>
    </w:rPr>
  </w:style>
  <w:style w:type="character" w:styleId="Sterkutheving">
    <w:name w:val="Intense Emphasis"/>
    <w:basedOn w:val="Standardskriftforavsnitt"/>
    <w:uiPriority w:val="21"/>
    <w:qFormat/>
    <w:rsid w:val="00586B3B"/>
    <w:rPr>
      <w:b/>
      <w:bCs/>
      <w:i/>
      <w:iCs/>
      <w:color w:val="4F81BD" w:themeColor="accent1"/>
    </w:rPr>
  </w:style>
  <w:style w:type="character" w:styleId="Svakreferanse">
    <w:name w:val="Subtle Reference"/>
    <w:basedOn w:val="Standardskriftforavsnitt"/>
    <w:uiPriority w:val="31"/>
    <w:qFormat/>
    <w:rsid w:val="00586B3B"/>
    <w:rPr>
      <w:smallCaps/>
      <w:color w:val="C0504D" w:themeColor="accent2"/>
      <w:u w:val="single"/>
    </w:rPr>
  </w:style>
  <w:style w:type="character" w:styleId="Sterkreferanse">
    <w:name w:val="Intense Reference"/>
    <w:basedOn w:val="Standardskriftforavsnitt"/>
    <w:uiPriority w:val="32"/>
    <w:qFormat/>
    <w:rsid w:val="00586B3B"/>
    <w:rPr>
      <w:b/>
      <w:bCs/>
      <w:smallCaps/>
      <w:color w:val="C0504D" w:themeColor="accent2"/>
      <w:spacing w:val="5"/>
      <w:u w:val="single"/>
    </w:rPr>
  </w:style>
  <w:style w:type="character" w:styleId="Merknadsreferanse">
    <w:name w:val="annotation reference"/>
    <w:basedOn w:val="Standardskriftforavsnitt"/>
    <w:rsid w:val="00586B3B"/>
    <w:rPr>
      <w:sz w:val="16"/>
    </w:rPr>
  </w:style>
  <w:style w:type="character" w:styleId="Sluttnotereferanse">
    <w:name w:val="endnote reference"/>
    <w:basedOn w:val="Standardskriftforavsnitt"/>
    <w:uiPriority w:val="99"/>
    <w:unhideWhenUsed/>
    <w:rsid w:val="00586B3B"/>
    <w:rPr>
      <w:vertAlign w:val="superscript"/>
    </w:rPr>
  </w:style>
  <w:style w:type="character" w:styleId="Fulgthyperkobling">
    <w:name w:val="FollowedHyperlink"/>
    <w:basedOn w:val="Standardskriftforavsnitt"/>
    <w:uiPriority w:val="99"/>
    <w:unhideWhenUsed/>
    <w:rsid w:val="00586B3B"/>
    <w:rPr>
      <w:color w:val="800080" w:themeColor="followedHyperlink"/>
      <w:u w:val="single"/>
    </w:rPr>
  </w:style>
  <w:style w:type="character" w:styleId="HTML-sitat">
    <w:name w:val="HTML Cite"/>
    <w:basedOn w:val="Standardskriftforavsnitt"/>
    <w:uiPriority w:val="99"/>
    <w:unhideWhenUsed/>
    <w:rsid w:val="00586B3B"/>
    <w:rPr>
      <w:i/>
      <w:iCs/>
    </w:rPr>
  </w:style>
  <w:style w:type="character" w:styleId="HTML-kode">
    <w:name w:val="HTML Code"/>
    <w:basedOn w:val="Standardskriftforavsnitt"/>
    <w:uiPriority w:val="99"/>
    <w:unhideWhenUsed/>
    <w:rsid w:val="00586B3B"/>
    <w:rPr>
      <w:rFonts w:ascii="Consolas" w:hAnsi="Consolas"/>
      <w:sz w:val="20"/>
      <w:szCs w:val="20"/>
    </w:rPr>
  </w:style>
  <w:style w:type="character" w:styleId="HTML-definisjon">
    <w:name w:val="HTML Definition"/>
    <w:basedOn w:val="Standardskriftforavsnitt"/>
    <w:uiPriority w:val="99"/>
    <w:unhideWhenUsed/>
    <w:rsid w:val="00586B3B"/>
    <w:rPr>
      <w:i/>
      <w:iCs/>
    </w:rPr>
  </w:style>
  <w:style w:type="character" w:styleId="HTML-tastatur">
    <w:name w:val="HTML Keyboard"/>
    <w:basedOn w:val="Standardskriftforavsnitt"/>
    <w:uiPriority w:val="99"/>
    <w:unhideWhenUsed/>
    <w:rsid w:val="00586B3B"/>
    <w:rPr>
      <w:rFonts w:ascii="Consolas" w:hAnsi="Consolas"/>
      <w:sz w:val="20"/>
      <w:szCs w:val="20"/>
    </w:rPr>
  </w:style>
  <w:style w:type="character" w:styleId="HTML-eksempel">
    <w:name w:val="HTML Sample"/>
    <w:basedOn w:val="Standardskriftforavsnitt"/>
    <w:uiPriority w:val="99"/>
    <w:unhideWhenUsed/>
    <w:rsid w:val="00586B3B"/>
    <w:rPr>
      <w:rFonts w:ascii="Consolas" w:hAnsi="Consolas"/>
      <w:sz w:val="24"/>
      <w:szCs w:val="24"/>
    </w:rPr>
  </w:style>
  <w:style w:type="character" w:styleId="HTML-skrivemaskin">
    <w:name w:val="HTML Typewriter"/>
    <w:basedOn w:val="Standardskriftforavsnitt"/>
    <w:uiPriority w:val="99"/>
    <w:unhideWhenUsed/>
    <w:rsid w:val="00586B3B"/>
    <w:rPr>
      <w:rFonts w:ascii="Consolas" w:hAnsi="Consolas"/>
      <w:sz w:val="20"/>
      <w:szCs w:val="20"/>
    </w:rPr>
  </w:style>
  <w:style w:type="character" w:styleId="HTML-variabel">
    <w:name w:val="HTML Variable"/>
    <w:basedOn w:val="Standardskriftforavsnitt"/>
    <w:uiPriority w:val="99"/>
    <w:unhideWhenUsed/>
    <w:rsid w:val="00586B3B"/>
    <w:rPr>
      <w:i/>
      <w:iCs/>
    </w:rPr>
  </w:style>
  <w:style w:type="character" w:styleId="Svakutheving">
    <w:name w:val="Subtle Emphasis"/>
    <w:basedOn w:val="Standardskriftforavsnitt"/>
    <w:uiPriority w:val="19"/>
    <w:qFormat/>
    <w:rsid w:val="00586B3B"/>
    <w:rPr>
      <w:i/>
      <w:iCs/>
      <w:color w:val="808080" w:themeColor="text1" w:themeTint="7F"/>
    </w:rPr>
  </w:style>
  <w:style w:type="character" w:styleId="Boktittel">
    <w:name w:val="Book Title"/>
    <w:basedOn w:val="Standardskriftforavsnitt"/>
    <w:uiPriority w:val="33"/>
    <w:qFormat/>
    <w:rsid w:val="00586B3B"/>
    <w:rPr>
      <w:b/>
      <w:bCs/>
      <w:smallCaps/>
      <w:spacing w:val="5"/>
    </w:rPr>
  </w:style>
  <w:style w:type="character" w:styleId="Fotnotereferanse">
    <w:name w:val="footnote reference"/>
    <w:basedOn w:val="Standardskriftforavsnitt"/>
    <w:rsid w:val="00586B3B"/>
    <w:rPr>
      <w:vertAlign w:val="superscript"/>
    </w:rPr>
  </w:style>
  <w:style w:type="character" w:customStyle="1" w:styleId="gjennomstreket">
    <w:name w:val="gjennomstreket"/>
    <w:uiPriority w:val="1"/>
    <w:rsid w:val="00586B3B"/>
    <w:rPr>
      <w:strike/>
      <w:dstrike w:val="0"/>
    </w:rPr>
  </w:style>
  <w:style w:type="character" w:customStyle="1" w:styleId="halvfet">
    <w:name w:val="halvfet"/>
    <w:basedOn w:val="Standardskriftforavsnitt"/>
    <w:rsid w:val="00586B3B"/>
    <w:rPr>
      <w:b/>
    </w:rPr>
  </w:style>
  <w:style w:type="character" w:styleId="Hyperkobling">
    <w:name w:val="Hyperlink"/>
    <w:basedOn w:val="Standardskriftforavsnitt"/>
    <w:uiPriority w:val="99"/>
    <w:unhideWhenUsed/>
    <w:rsid w:val="00586B3B"/>
    <w:rPr>
      <w:color w:val="0000FF" w:themeColor="hyperlink"/>
      <w:u w:val="single"/>
    </w:rPr>
  </w:style>
  <w:style w:type="character" w:customStyle="1" w:styleId="kursiv">
    <w:name w:val="kursiv"/>
    <w:basedOn w:val="Standardskriftforavsnitt"/>
    <w:rsid w:val="00586B3B"/>
    <w:rPr>
      <w:i/>
    </w:rPr>
  </w:style>
  <w:style w:type="character" w:customStyle="1" w:styleId="l-endring">
    <w:name w:val="l-endring"/>
    <w:basedOn w:val="Standardskriftforavsnitt"/>
    <w:rsid w:val="00586B3B"/>
    <w:rPr>
      <w:i/>
    </w:rPr>
  </w:style>
  <w:style w:type="character" w:styleId="Sidetall">
    <w:name w:val="page number"/>
    <w:basedOn w:val="Standardskriftforavsnitt"/>
    <w:rsid w:val="00586B3B"/>
  </w:style>
  <w:style w:type="character" w:styleId="Plassholdertekst">
    <w:name w:val="Placeholder Text"/>
    <w:basedOn w:val="Standardskriftforavsnitt"/>
    <w:uiPriority w:val="99"/>
    <w:rsid w:val="00586B3B"/>
    <w:rPr>
      <w:color w:val="808080"/>
    </w:rPr>
  </w:style>
  <w:style w:type="character" w:customStyle="1" w:styleId="regular">
    <w:name w:val="regular"/>
    <w:basedOn w:val="Standardskriftforavsnitt"/>
    <w:uiPriority w:val="1"/>
    <w:qFormat/>
    <w:rsid w:val="00586B3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586B3B"/>
    <w:rPr>
      <w:vertAlign w:val="superscript"/>
    </w:rPr>
  </w:style>
  <w:style w:type="character" w:customStyle="1" w:styleId="skrift-senket">
    <w:name w:val="skrift-senket"/>
    <w:basedOn w:val="Standardskriftforavsnitt"/>
    <w:rsid w:val="00586B3B"/>
    <w:rPr>
      <w:vertAlign w:val="subscript"/>
    </w:rPr>
  </w:style>
  <w:style w:type="character" w:customStyle="1" w:styleId="sperret">
    <w:name w:val="sperret"/>
    <w:basedOn w:val="Standardskriftforavsnitt"/>
    <w:rsid w:val="00586B3B"/>
    <w:rPr>
      <w:spacing w:val="30"/>
    </w:rPr>
  </w:style>
  <w:style w:type="character" w:customStyle="1" w:styleId="Stikkord">
    <w:name w:val="Stikkord"/>
    <w:basedOn w:val="Standardskriftforavsnitt"/>
    <w:rsid w:val="00586B3B"/>
    <w:rPr>
      <w:color w:val="0000FF"/>
    </w:rPr>
  </w:style>
  <w:style w:type="character" w:styleId="Sterk">
    <w:name w:val="Strong"/>
    <w:basedOn w:val="Standardskriftforavsnitt"/>
    <w:uiPriority w:val="22"/>
    <w:qFormat/>
    <w:rsid w:val="00586B3B"/>
    <w:rPr>
      <w:b/>
      <w:bCs/>
    </w:rPr>
  </w:style>
  <w:style w:type="table" w:customStyle="1" w:styleId="Tabell-VM">
    <w:name w:val="Tabell-VM"/>
    <w:basedOn w:val="Tabelltemaer"/>
    <w:uiPriority w:val="99"/>
    <w:qFormat/>
    <w:rsid w:val="00586B3B"/>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586B3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86B3B"/>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86B3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86B3B"/>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586B3B"/>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86B3B"/>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586B3B"/>
  </w:style>
  <w:style w:type="character" w:styleId="HTML-akronym">
    <w:name w:val="HTML Acronym"/>
    <w:basedOn w:val="Standardskriftforavsnitt"/>
    <w:uiPriority w:val="99"/>
    <w:semiHidden/>
    <w:unhideWhenUsed/>
    <w:rsid w:val="00586B3B"/>
  </w:style>
  <w:style w:type="table" w:styleId="Tabellrutenett">
    <w:name w:val="Table Grid"/>
    <w:basedOn w:val="Vanligtabell"/>
    <w:uiPriority w:val="59"/>
    <w:rsid w:val="00586B3B"/>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586B3B"/>
    <w:pPr>
      <w:numPr>
        <w:numId w:val="245"/>
      </w:numPr>
    </w:pPr>
  </w:style>
  <w:style w:type="numbering" w:customStyle="1" w:styleId="NrListeStil">
    <w:name w:val="NrListeStil"/>
    <w:uiPriority w:val="99"/>
    <w:rsid w:val="00586B3B"/>
    <w:pPr>
      <w:numPr>
        <w:numId w:val="246"/>
      </w:numPr>
    </w:pPr>
  </w:style>
  <w:style w:type="numbering" w:customStyle="1" w:styleId="RomListeStil">
    <w:name w:val="RomListeStil"/>
    <w:uiPriority w:val="99"/>
    <w:rsid w:val="00586B3B"/>
    <w:pPr>
      <w:numPr>
        <w:numId w:val="247"/>
      </w:numPr>
    </w:pPr>
  </w:style>
  <w:style w:type="numbering" w:customStyle="1" w:styleId="StrekListeStil">
    <w:name w:val="StrekListeStil"/>
    <w:uiPriority w:val="99"/>
    <w:rsid w:val="00586B3B"/>
    <w:pPr>
      <w:numPr>
        <w:numId w:val="248"/>
      </w:numPr>
    </w:pPr>
  </w:style>
  <w:style w:type="numbering" w:customStyle="1" w:styleId="OpplistingListeStil">
    <w:name w:val="OpplistingListeStil"/>
    <w:uiPriority w:val="99"/>
    <w:rsid w:val="00586B3B"/>
    <w:pPr>
      <w:numPr>
        <w:numId w:val="249"/>
      </w:numPr>
    </w:pPr>
  </w:style>
  <w:style w:type="numbering" w:customStyle="1" w:styleId="l-NummerertListeStil">
    <w:name w:val="l-NummerertListeStil"/>
    <w:uiPriority w:val="99"/>
    <w:rsid w:val="00586B3B"/>
    <w:pPr>
      <w:numPr>
        <w:numId w:val="250"/>
      </w:numPr>
    </w:pPr>
  </w:style>
  <w:style w:type="numbering" w:customStyle="1" w:styleId="l-AlfaListeStil">
    <w:name w:val="l-AlfaListeStil"/>
    <w:uiPriority w:val="99"/>
    <w:rsid w:val="00586B3B"/>
    <w:pPr>
      <w:numPr>
        <w:numId w:val="251"/>
      </w:numPr>
    </w:pPr>
  </w:style>
  <w:style w:type="numbering" w:customStyle="1" w:styleId="OverskrifterListeStil">
    <w:name w:val="OverskrifterListeStil"/>
    <w:uiPriority w:val="99"/>
    <w:rsid w:val="00586B3B"/>
    <w:pPr>
      <w:numPr>
        <w:numId w:val="252"/>
      </w:numPr>
    </w:pPr>
  </w:style>
  <w:style w:type="numbering" w:customStyle="1" w:styleId="l-ListeStilMal">
    <w:name w:val="l-ListeStilMal"/>
    <w:uiPriority w:val="99"/>
    <w:rsid w:val="00586B3B"/>
    <w:pPr>
      <w:numPr>
        <w:numId w:val="25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586B3B"/>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586B3B"/>
    <w:pPr>
      <w:keepNext/>
      <w:keepLines/>
      <w:numPr>
        <w:numId w:val="26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86B3B"/>
    <w:pPr>
      <w:keepNext/>
      <w:keepLines/>
      <w:numPr>
        <w:ilvl w:val="1"/>
        <w:numId w:val="261"/>
      </w:numPr>
      <w:spacing w:before="360" w:after="80"/>
      <w:outlineLvl w:val="1"/>
    </w:pPr>
    <w:rPr>
      <w:rFonts w:ascii="Arial" w:hAnsi="Arial"/>
      <w:b/>
      <w:sz w:val="28"/>
    </w:rPr>
  </w:style>
  <w:style w:type="paragraph" w:styleId="Overskrift3">
    <w:name w:val="heading 3"/>
    <w:basedOn w:val="Normal"/>
    <w:next w:val="Normal"/>
    <w:link w:val="Overskrift3Tegn"/>
    <w:qFormat/>
    <w:rsid w:val="00586B3B"/>
    <w:pPr>
      <w:keepNext/>
      <w:keepLines/>
      <w:numPr>
        <w:ilvl w:val="2"/>
        <w:numId w:val="261"/>
      </w:numPr>
      <w:spacing w:before="360" w:after="80"/>
      <w:outlineLvl w:val="2"/>
    </w:pPr>
    <w:rPr>
      <w:rFonts w:ascii="Arial" w:hAnsi="Arial"/>
      <w:b/>
      <w:spacing w:val="0"/>
    </w:rPr>
  </w:style>
  <w:style w:type="paragraph" w:styleId="Overskrift4">
    <w:name w:val="heading 4"/>
    <w:basedOn w:val="Normal"/>
    <w:next w:val="Normal"/>
    <w:link w:val="Overskrift4Tegn"/>
    <w:qFormat/>
    <w:rsid w:val="00586B3B"/>
    <w:pPr>
      <w:keepNext/>
      <w:keepLines/>
      <w:numPr>
        <w:ilvl w:val="3"/>
        <w:numId w:val="261"/>
      </w:numPr>
      <w:spacing w:before="120" w:after="0"/>
      <w:outlineLvl w:val="3"/>
    </w:pPr>
    <w:rPr>
      <w:rFonts w:ascii="Arial" w:hAnsi="Arial"/>
      <w:i/>
    </w:rPr>
  </w:style>
  <w:style w:type="paragraph" w:styleId="Overskrift5">
    <w:name w:val="heading 5"/>
    <w:basedOn w:val="Normal"/>
    <w:next w:val="Normal"/>
    <w:link w:val="Overskrift5Tegn"/>
    <w:qFormat/>
    <w:rsid w:val="00586B3B"/>
    <w:pPr>
      <w:keepNext/>
      <w:numPr>
        <w:ilvl w:val="4"/>
        <w:numId w:val="261"/>
      </w:numPr>
      <w:spacing w:before="120" w:after="0"/>
      <w:outlineLvl w:val="4"/>
    </w:pPr>
    <w:rPr>
      <w:rFonts w:ascii="Arial" w:hAnsi="Arial"/>
      <w:i/>
      <w:spacing w:val="0"/>
    </w:rPr>
  </w:style>
  <w:style w:type="paragraph" w:styleId="Overskrift6">
    <w:name w:val="heading 6"/>
    <w:basedOn w:val="Normal"/>
    <w:next w:val="Normal"/>
    <w:link w:val="Overskrift6Tegn"/>
    <w:qFormat/>
    <w:rsid w:val="00586B3B"/>
    <w:pPr>
      <w:numPr>
        <w:ilvl w:val="5"/>
        <w:numId w:val="243"/>
      </w:numPr>
      <w:spacing w:before="240" w:after="60"/>
      <w:outlineLvl w:val="5"/>
    </w:pPr>
    <w:rPr>
      <w:rFonts w:ascii="Arial" w:hAnsi="Arial"/>
      <w:i/>
      <w:sz w:val="22"/>
    </w:rPr>
  </w:style>
  <w:style w:type="paragraph" w:styleId="Overskrift7">
    <w:name w:val="heading 7"/>
    <w:basedOn w:val="Normal"/>
    <w:next w:val="Normal"/>
    <w:link w:val="Overskrift7Tegn"/>
    <w:qFormat/>
    <w:rsid w:val="00586B3B"/>
    <w:pPr>
      <w:numPr>
        <w:ilvl w:val="6"/>
        <w:numId w:val="243"/>
      </w:numPr>
      <w:spacing w:before="240" w:after="60"/>
      <w:outlineLvl w:val="6"/>
    </w:pPr>
    <w:rPr>
      <w:rFonts w:ascii="Arial" w:hAnsi="Arial"/>
    </w:rPr>
  </w:style>
  <w:style w:type="paragraph" w:styleId="Overskrift8">
    <w:name w:val="heading 8"/>
    <w:basedOn w:val="Normal"/>
    <w:next w:val="Normal"/>
    <w:link w:val="Overskrift8Tegn"/>
    <w:qFormat/>
    <w:rsid w:val="00586B3B"/>
    <w:pPr>
      <w:numPr>
        <w:ilvl w:val="7"/>
        <w:numId w:val="243"/>
      </w:numPr>
      <w:spacing w:before="240" w:after="60"/>
      <w:outlineLvl w:val="7"/>
    </w:pPr>
    <w:rPr>
      <w:rFonts w:ascii="Arial" w:hAnsi="Arial"/>
      <w:i/>
    </w:rPr>
  </w:style>
  <w:style w:type="paragraph" w:styleId="Overskrift9">
    <w:name w:val="heading 9"/>
    <w:basedOn w:val="Normal"/>
    <w:next w:val="Normal"/>
    <w:link w:val="Overskrift9Tegn"/>
    <w:qFormat/>
    <w:rsid w:val="00586B3B"/>
    <w:pPr>
      <w:numPr>
        <w:ilvl w:val="8"/>
        <w:numId w:val="243"/>
      </w:numPr>
      <w:spacing w:before="240" w:after="60"/>
      <w:outlineLvl w:val="8"/>
    </w:pPr>
    <w:rPr>
      <w:rFonts w:ascii="Arial" w:hAnsi="Arial"/>
      <w:i/>
      <w:sz w:val="18"/>
    </w:rPr>
  </w:style>
  <w:style w:type="character" w:default="1" w:styleId="Standardskriftforavsnitt">
    <w:name w:val="Default Paragraph Font"/>
    <w:uiPriority w:val="1"/>
    <w:unhideWhenUsed/>
    <w:rsid w:val="00586B3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86B3B"/>
  </w:style>
  <w:style w:type="character" w:customStyle="1" w:styleId="Overskrift1Tegn">
    <w:name w:val="Overskrift 1 Tegn"/>
    <w:basedOn w:val="Standardskriftforavsnitt"/>
    <w:link w:val="Overskrift1"/>
    <w:rsid w:val="00586B3B"/>
    <w:rPr>
      <w:rFonts w:ascii="Arial" w:eastAsia="Times New Roman" w:hAnsi="Arial"/>
      <w:b/>
      <w:kern w:val="28"/>
      <w:sz w:val="32"/>
    </w:rPr>
  </w:style>
  <w:style w:type="character" w:customStyle="1" w:styleId="Overskrift2Tegn">
    <w:name w:val="Overskrift 2 Tegn"/>
    <w:basedOn w:val="Standardskriftforavsnitt"/>
    <w:link w:val="Overskrift2"/>
    <w:rsid w:val="00586B3B"/>
    <w:rPr>
      <w:rFonts w:ascii="Arial" w:eastAsia="Times New Roman" w:hAnsi="Arial"/>
      <w:b/>
      <w:spacing w:val="4"/>
      <w:sz w:val="28"/>
    </w:rPr>
  </w:style>
  <w:style w:type="character" w:customStyle="1" w:styleId="Overskrift3Tegn">
    <w:name w:val="Overskrift 3 Tegn"/>
    <w:basedOn w:val="Standardskriftforavsnitt"/>
    <w:link w:val="Overskrift3"/>
    <w:rsid w:val="00586B3B"/>
    <w:rPr>
      <w:rFonts w:ascii="Arial" w:eastAsia="Times New Roman" w:hAnsi="Arial"/>
      <w:b/>
      <w:sz w:val="24"/>
    </w:rPr>
  </w:style>
  <w:style w:type="character" w:customStyle="1" w:styleId="Overskrift4Tegn">
    <w:name w:val="Overskrift 4 Tegn"/>
    <w:basedOn w:val="Standardskriftforavsnitt"/>
    <w:link w:val="Overskrift4"/>
    <w:rsid w:val="00586B3B"/>
    <w:rPr>
      <w:rFonts w:ascii="Arial" w:eastAsia="Times New Roman" w:hAnsi="Arial"/>
      <w:i/>
      <w:spacing w:val="4"/>
      <w:sz w:val="24"/>
    </w:rPr>
  </w:style>
  <w:style w:type="character" w:customStyle="1" w:styleId="Overskrift5Tegn">
    <w:name w:val="Overskrift 5 Tegn"/>
    <w:basedOn w:val="Standardskriftforavsnitt"/>
    <w:link w:val="Overskrift5"/>
    <w:rsid w:val="00586B3B"/>
    <w:rPr>
      <w:rFonts w:ascii="Arial" w:eastAsia="Times New Roman" w:hAnsi="Arial"/>
      <w:i/>
      <w:sz w:val="24"/>
    </w:rPr>
  </w:style>
  <w:style w:type="character" w:customStyle="1" w:styleId="Overskrift6Tegn">
    <w:name w:val="Overskrift 6 Tegn"/>
    <w:basedOn w:val="Standardskriftforavsnitt"/>
    <w:link w:val="Overskrift6"/>
    <w:rsid w:val="00586B3B"/>
    <w:rPr>
      <w:rFonts w:ascii="Arial" w:eastAsia="Times New Roman" w:hAnsi="Arial"/>
      <w:i/>
      <w:spacing w:val="4"/>
    </w:rPr>
  </w:style>
  <w:style w:type="character" w:customStyle="1" w:styleId="Overskrift7Tegn">
    <w:name w:val="Overskrift 7 Tegn"/>
    <w:basedOn w:val="Standardskriftforavsnitt"/>
    <w:link w:val="Overskrift7"/>
    <w:rsid w:val="00586B3B"/>
    <w:rPr>
      <w:rFonts w:ascii="Arial" w:eastAsia="Times New Roman" w:hAnsi="Arial"/>
      <w:spacing w:val="4"/>
      <w:sz w:val="24"/>
    </w:rPr>
  </w:style>
  <w:style w:type="character" w:customStyle="1" w:styleId="Overskrift8Tegn">
    <w:name w:val="Overskrift 8 Tegn"/>
    <w:basedOn w:val="Standardskriftforavsnitt"/>
    <w:link w:val="Overskrift8"/>
    <w:rsid w:val="00586B3B"/>
    <w:rPr>
      <w:rFonts w:ascii="Arial" w:eastAsia="Times New Roman" w:hAnsi="Arial"/>
      <w:i/>
      <w:spacing w:val="4"/>
      <w:sz w:val="24"/>
    </w:rPr>
  </w:style>
  <w:style w:type="character" w:customStyle="1" w:styleId="Overskrift9Tegn">
    <w:name w:val="Overskrift 9 Tegn"/>
    <w:basedOn w:val="Standardskriftforavsnitt"/>
    <w:link w:val="Overskrift9"/>
    <w:rsid w:val="00586B3B"/>
    <w:rPr>
      <w:rFonts w:ascii="Arial" w:eastAsia="Times New Roman" w:hAnsi="Arial"/>
      <w:i/>
      <w:spacing w:val="4"/>
      <w:sz w:val="18"/>
    </w:rPr>
  </w:style>
  <w:style w:type="paragraph" w:styleId="Ingenmellomrom">
    <w:name w:val="No Spacing"/>
    <w:uiPriority w:val="1"/>
    <w:qFormat/>
    <w:rsid w:val="00586B3B"/>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86B3B"/>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86B3B"/>
    <w:rPr>
      <w:rFonts w:ascii="Times New Roman" w:eastAsia="Times New Roman" w:hAnsi="Times New Roman"/>
      <w:b/>
      <w:bCs/>
      <w:i/>
      <w:iCs/>
      <w:color w:val="4F81BD" w:themeColor="accent1"/>
      <w:spacing w:val="4"/>
      <w:sz w:val="24"/>
    </w:rPr>
  </w:style>
  <w:style w:type="paragraph" w:styleId="Topptekst">
    <w:name w:val="header"/>
    <w:basedOn w:val="Normal"/>
    <w:link w:val="TopptekstTegn"/>
    <w:rsid w:val="00586B3B"/>
    <w:pPr>
      <w:tabs>
        <w:tab w:val="center" w:pos="4536"/>
        <w:tab w:val="right" w:pos="9072"/>
      </w:tabs>
    </w:pPr>
    <w:rPr>
      <w:spacing w:val="0"/>
      <w:sz w:val="20"/>
    </w:rPr>
  </w:style>
  <w:style w:type="character" w:customStyle="1" w:styleId="TopptekstTegn">
    <w:name w:val="Topptekst Tegn"/>
    <w:basedOn w:val="Standardskriftforavsnitt"/>
    <w:link w:val="Topptekst"/>
    <w:rsid w:val="00586B3B"/>
    <w:rPr>
      <w:rFonts w:ascii="Times New Roman" w:eastAsia="Times New Roman" w:hAnsi="Times New Roman"/>
      <w:sz w:val="20"/>
    </w:rPr>
  </w:style>
  <w:style w:type="paragraph" w:styleId="Bunntekst">
    <w:name w:val="footer"/>
    <w:basedOn w:val="Normal"/>
    <w:link w:val="BunntekstTegn"/>
    <w:rsid w:val="00586B3B"/>
    <w:pPr>
      <w:tabs>
        <w:tab w:val="center" w:pos="4153"/>
        <w:tab w:val="right" w:pos="8306"/>
      </w:tabs>
    </w:pPr>
    <w:rPr>
      <w:sz w:val="20"/>
    </w:rPr>
  </w:style>
  <w:style w:type="character" w:customStyle="1" w:styleId="BunntekstTegn">
    <w:name w:val="Bunntekst Tegn"/>
    <w:basedOn w:val="Standardskriftforavsnitt"/>
    <w:link w:val="Bunntekst"/>
    <w:rsid w:val="00586B3B"/>
    <w:rPr>
      <w:rFonts w:ascii="Times New Roman" w:eastAsia="Times New Roman" w:hAnsi="Times New Roman"/>
      <w:spacing w:val="4"/>
      <w:sz w:val="20"/>
    </w:rPr>
  </w:style>
  <w:style w:type="paragraph" w:styleId="INNH1">
    <w:name w:val="toc 1"/>
    <w:basedOn w:val="Normal"/>
    <w:next w:val="Normal"/>
    <w:rsid w:val="00586B3B"/>
    <w:pPr>
      <w:tabs>
        <w:tab w:val="right" w:leader="dot" w:pos="8306"/>
      </w:tabs>
    </w:pPr>
    <w:rPr>
      <w:spacing w:val="0"/>
    </w:rPr>
  </w:style>
  <w:style w:type="paragraph" w:styleId="INNH2">
    <w:name w:val="toc 2"/>
    <w:basedOn w:val="Normal"/>
    <w:next w:val="Normal"/>
    <w:rsid w:val="00586B3B"/>
    <w:pPr>
      <w:tabs>
        <w:tab w:val="right" w:leader="dot" w:pos="8306"/>
      </w:tabs>
      <w:ind w:left="200"/>
    </w:pPr>
    <w:rPr>
      <w:spacing w:val="0"/>
    </w:rPr>
  </w:style>
  <w:style w:type="paragraph" w:styleId="INNH3">
    <w:name w:val="toc 3"/>
    <w:basedOn w:val="Normal"/>
    <w:next w:val="Normal"/>
    <w:rsid w:val="00586B3B"/>
    <w:pPr>
      <w:tabs>
        <w:tab w:val="right" w:leader="dot" w:pos="8306"/>
      </w:tabs>
      <w:ind w:left="400"/>
    </w:pPr>
    <w:rPr>
      <w:spacing w:val="0"/>
    </w:rPr>
  </w:style>
  <w:style w:type="paragraph" w:styleId="Liste">
    <w:name w:val="List"/>
    <w:basedOn w:val="Normal"/>
    <w:rsid w:val="00586B3B"/>
    <w:pPr>
      <w:numPr>
        <w:numId w:val="248"/>
      </w:numPr>
      <w:spacing w:line="240" w:lineRule="auto"/>
      <w:contextualSpacing/>
    </w:pPr>
  </w:style>
  <w:style w:type="paragraph" w:styleId="Liste2">
    <w:name w:val="List 2"/>
    <w:basedOn w:val="Normal"/>
    <w:rsid w:val="00586B3B"/>
    <w:pPr>
      <w:numPr>
        <w:ilvl w:val="1"/>
        <w:numId w:val="248"/>
      </w:numPr>
      <w:spacing w:after="0"/>
    </w:pPr>
  </w:style>
  <w:style w:type="paragraph" w:styleId="Fotnotetekst">
    <w:name w:val="footnote text"/>
    <w:basedOn w:val="Normal"/>
    <w:link w:val="FotnotetekstTegn"/>
    <w:rsid w:val="00586B3B"/>
    <w:rPr>
      <w:sz w:val="20"/>
    </w:rPr>
  </w:style>
  <w:style w:type="character" w:customStyle="1" w:styleId="FotnotetekstTegn">
    <w:name w:val="Fotnotetekst Tegn"/>
    <w:basedOn w:val="Standardskriftforavsnitt"/>
    <w:link w:val="Fotnotetekst"/>
    <w:rsid w:val="00586B3B"/>
    <w:rPr>
      <w:rFonts w:ascii="Times New Roman" w:eastAsia="Times New Roman" w:hAnsi="Times New Roman"/>
      <w:spacing w:val="4"/>
      <w:sz w:val="20"/>
    </w:rPr>
  </w:style>
  <w:style w:type="paragraph" w:styleId="INNH4">
    <w:name w:val="toc 4"/>
    <w:basedOn w:val="Normal"/>
    <w:next w:val="Normal"/>
    <w:rsid w:val="00586B3B"/>
    <w:pPr>
      <w:tabs>
        <w:tab w:val="right" w:leader="dot" w:pos="8306"/>
      </w:tabs>
      <w:ind w:left="600"/>
    </w:pPr>
    <w:rPr>
      <w:spacing w:val="0"/>
    </w:rPr>
  </w:style>
  <w:style w:type="paragraph" w:styleId="INNH5">
    <w:name w:val="toc 5"/>
    <w:basedOn w:val="Normal"/>
    <w:next w:val="Normal"/>
    <w:rsid w:val="00586B3B"/>
    <w:pPr>
      <w:tabs>
        <w:tab w:val="right" w:leader="dot" w:pos="8306"/>
      </w:tabs>
      <w:ind w:left="800"/>
    </w:pPr>
    <w:rPr>
      <w:spacing w:val="0"/>
    </w:rPr>
  </w:style>
  <w:style w:type="paragraph" w:styleId="Liste3">
    <w:name w:val="List 3"/>
    <w:basedOn w:val="Normal"/>
    <w:rsid w:val="00586B3B"/>
    <w:pPr>
      <w:numPr>
        <w:ilvl w:val="2"/>
        <w:numId w:val="248"/>
      </w:numPr>
      <w:spacing w:after="0"/>
    </w:pPr>
    <w:rPr>
      <w:spacing w:val="0"/>
    </w:rPr>
  </w:style>
  <w:style w:type="paragraph" w:styleId="Liste4">
    <w:name w:val="List 4"/>
    <w:basedOn w:val="Normal"/>
    <w:rsid w:val="00586B3B"/>
    <w:pPr>
      <w:numPr>
        <w:ilvl w:val="3"/>
        <w:numId w:val="248"/>
      </w:numPr>
      <w:spacing w:after="0"/>
    </w:pPr>
    <w:rPr>
      <w:spacing w:val="0"/>
    </w:rPr>
  </w:style>
  <w:style w:type="paragraph" w:styleId="Liste5">
    <w:name w:val="List 5"/>
    <w:basedOn w:val="Normal"/>
    <w:rsid w:val="00586B3B"/>
    <w:pPr>
      <w:numPr>
        <w:ilvl w:val="4"/>
        <w:numId w:val="248"/>
      </w:numPr>
      <w:spacing w:after="0"/>
    </w:pPr>
    <w:rPr>
      <w:spacing w:val="0"/>
    </w:rPr>
  </w:style>
  <w:style w:type="paragraph" w:styleId="Merknadstekst">
    <w:name w:val="annotation text"/>
    <w:basedOn w:val="Normal"/>
    <w:link w:val="MerknadstekstTegn"/>
    <w:rsid w:val="00586B3B"/>
    <w:rPr>
      <w:spacing w:val="0"/>
      <w:sz w:val="20"/>
    </w:rPr>
  </w:style>
  <w:style w:type="character" w:customStyle="1" w:styleId="MerknadstekstTegn">
    <w:name w:val="Merknadstekst Tegn"/>
    <w:basedOn w:val="Standardskriftforavsnitt"/>
    <w:link w:val="Merknadstekst"/>
    <w:rsid w:val="00586B3B"/>
    <w:rPr>
      <w:rFonts w:ascii="Times New Roman" w:eastAsia="Times New Roman" w:hAnsi="Times New Roman"/>
      <w:sz w:val="20"/>
    </w:rPr>
  </w:style>
  <w:style w:type="paragraph" w:styleId="Nummerertliste">
    <w:name w:val="List Number"/>
    <w:basedOn w:val="Normal"/>
    <w:rsid w:val="00586B3B"/>
    <w:pPr>
      <w:numPr>
        <w:numId w:val="246"/>
      </w:numPr>
      <w:spacing w:after="0"/>
    </w:pPr>
    <w:rPr>
      <w:rFonts w:ascii="Times" w:eastAsia="Batang" w:hAnsi="Times"/>
      <w:spacing w:val="0"/>
      <w:szCs w:val="20"/>
    </w:rPr>
  </w:style>
  <w:style w:type="paragraph" w:styleId="Nummerertliste2">
    <w:name w:val="List Number 2"/>
    <w:basedOn w:val="Normal"/>
    <w:rsid w:val="00586B3B"/>
    <w:pPr>
      <w:numPr>
        <w:ilvl w:val="1"/>
        <w:numId w:val="246"/>
      </w:numPr>
      <w:spacing w:after="0" w:line="240" w:lineRule="auto"/>
    </w:pPr>
    <w:rPr>
      <w:rFonts w:ascii="Times" w:eastAsia="Batang" w:hAnsi="Times"/>
      <w:spacing w:val="0"/>
      <w:szCs w:val="20"/>
    </w:rPr>
  </w:style>
  <w:style w:type="paragraph" w:styleId="Nummerertliste3">
    <w:name w:val="List Number 3"/>
    <w:basedOn w:val="Normal"/>
    <w:rsid w:val="00586B3B"/>
    <w:pPr>
      <w:numPr>
        <w:ilvl w:val="2"/>
        <w:numId w:val="246"/>
      </w:numPr>
      <w:spacing w:after="0" w:line="240" w:lineRule="auto"/>
    </w:pPr>
    <w:rPr>
      <w:rFonts w:ascii="Times" w:eastAsia="Batang" w:hAnsi="Times"/>
      <w:spacing w:val="0"/>
      <w:szCs w:val="20"/>
    </w:rPr>
  </w:style>
  <w:style w:type="paragraph" w:styleId="Nummerertliste4">
    <w:name w:val="List Number 4"/>
    <w:basedOn w:val="Normal"/>
    <w:rsid w:val="00586B3B"/>
    <w:pPr>
      <w:numPr>
        <w:ilvl w:val="3"/>
        <w:numId w:val="246"/>
      </w:numPr>
      <w:spacing w:after="0" w:line="240" w:lineRule="auto"/>
    </w:pPr>
    <w:rPr>
      <w:rFonts w:ascii="Times" w:eastAsia="Batang" w:hAnsi="Times"/>
      <w:spacing w:val="0"/>
      <w:szCs w:val="20"/>
    </w:rPr>
  </w:style>
  <w:style w:type="paragraph" w:styleId="Nummerertliste5">
    <w:name w:val="List Number 5"/>
    <w:basedOn w:val="Normal"/>
    <w:rsid w:val="00586B3B"/>
    <w:pPr>
      <w:numPr>
        <w:ilvl w:val="4"/>
        <w:numId w:val="246"/>
      </w:numPr>
      <w:spacing w:after="0" w:line="240" w:lineRule="auto"/>
    </w:pPr>
    <w:rPr>
      <w:rFonts w:ascii="Times" w:eastAsia="Batang" w:hAnsi="Times"/>
      <w:spacing w:val="0"/>
      <w:szCs w:val="20"/>
    </w:rPr>
  </w:style>
  <w:style w:type="paragraph" w:styleId="Punktmerketliste">
    <w:name w:val="List Bullet"/>
    <w:basedOn w:val="Normal"/>
    <w:rsid w:val="00586B3B"/>
    <w:pPr>
      <w:spacing w:after="0"/>
      <w:ind w:left="284" w:hanging="284"/>
    </w:pPr>
  </w:style>
  <w:style w:type="paragraph" w:styleId="Punktmerketliste2">
    <w:name w:val="List Bullet 2"/>
    <w:basedOn w:val="Normal"/>
    <w:rsid w:val="00586B3B"/>
    <w:pPr>
      <w:spacing w:after="0"/>
      <w:ind w:left="568" w:hanging="284"/>
    </w:pPr>
  </w:style>
  <w:style w:type="paragraph" w:styleId="Punktmerketliste3">
    <w:name w:val="List Bullet 3"/>
    <w:basedOn w:val="Normal"/>
    <w:rsid w:val="00586B3B"/>
    <w:pPr>
      <w:spacing w:after="0"/>
      <w:ind w:left="851" w:hanging="284"/>
    </w:pPr>
  </w:style>
  <w:style w:type="paragraph" w:styleId="Punktmerketliste4">
    <w:name w:val="List Bullet 4"/>
    <w:basedOn w:val="Normal"/>
    <w:rsid w:val="00586B3B"/>
    <w:pPr>
      <w:spacing w:after="0"/>
      <w:ind w:left="1135" w:hanging="284"/>
    </w:pPr>
    <w:rPr>
      <w:spacing w:val="0"/>
    </w:rPr>
  </w:style>
  <w:style w:type="paragraph" w:styleId="Punktmerketliste5">
    <w:name w:val="List Bullet 5"/>
    <w:basedOn w:val="Normal"/>
    <w:rsid w:val="00586B3B"/>
    <w:pPr>
      <w:spacing w:after="0"/>
      <w:ind w:left="1418" w:hanging="284"/>
    </w:pPr>
    <w:rPr>
      <w:spacing w:val="0"/>
    </w:rPr>
  </w:style>
  <w:style w:type="paragraph" w:styleId="Undertittel">
    <w:name w:val="Subtitle"/>
    <w:basedOn w:val="Normal"/>
    <w:next w:val="Normal"/>
    <w:link w:val="UndertittelTegn"/>
    <w:qFormat/>
    <w:rsid w:val="00586B3B"/>
    <w:pPr>
      <w:keepNext/>
      <w:keepLines/>
      <w:spacing w:before="360"/>
    </w:pPr>
    <w:rPr>
      <w:rFonts w:ascii="Arial" w:hAnsi="Arial"/>
      <w:b/>
      <w:sz w:val="28"/>
    </w:rPr>
  </w:style>
  <w:style w:type="character" w:customStyle="1" w:styleId="UndertittelTegn">
    <w:name w:val="Undertittel Tegn"/>
    <w:basedOn w:val="Standardskriftforavsnitt"/>
    <w:link w:val="Undertittel"/>
    <w:rsid w:val="00586B3B"/>
    <w:rPr>
      <w:rFonts w:ascii="Arial" w:eastAsia="Times New Roman" w:hAnsi="Arial"/>
      <w:b/>
      <w:spacing w:val="4"/>
      <w:sz w:val="28"/>
    </w:rPr>
  </w:style>
  <w:style w:type="paragraph" w:customStyle="1" w:styleId="Figur">
    <w:name w:val="Figur"/>
    <w:basedOn w:val="Normal"/>
    <w:uiPriority w:val="99"/>
    <w:rsid w:val="00586B3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586B3B"/>
    <w:pPr>
      <w:spacing w:after="0" w:line="240" w:lineRule="auto"/>
      <w:ind w:left="240" w:hanging="240"/>
    </w:pPr>
  </w:style>
  <w:style w:type="paragraph" w:styleId="Indeks2">
    <w:name w:val="index 2"/>
    <w:basedOn w:val="Normal"/>
    <w:next w:val="Normal"/>
    <w:autoRedefine/>
    <w:uiPriority w:val="99"/>
    <w:unhideWhenUsed/>
    <w:rsid w:val="00586B3B"/>
    <w:pPr>
      <w:spacing w:after="0" w:line="240" w:lineRule="auto"/>
      <w:ind w:left="480" w:hanging="240"/>
    </w:pPr>
  </w:style>
  <w:style w:type="paragraph" w:styleId="Indeks3">
    <w:name w:val="index 3"/>
    <w:basedOn w:val="Normal"/>
    <w:next w:val="Normal"/>
    <w:autoRedefine/>
    <w:uiPriority w:val="99"/>
    <w:unhideWhenUsed/>
    <w:rsid w:val="00586B3B"/>
    <w:pPr>
      <w:spacing w:after="0" w:line="240" w:lineRule="auto"/>
      <w:ind w:left="720" w:hanging="240"/>
    </w:pPr>
  </w:style>
  <w:style w:type="paragraph" w:styleId="Indeks4">
    <w:name w:val="index 4"/>
    <w:basedOn w:val="Normal"/>
    <w:next w:val="Normal"/>
    <w:autoRedefine/>
    <w:uiPriority w:val="99"/>
    <w:unhideWhenUsed/>
    <w:rsid w:val="00586B3B"/>
    <w:pPr>
      <w:spacing w:after="0" w:line="240" w:lineRule="auto"/>
      <w:ind w:left="960" w:hanging="240"/>
    </w:pPr>
  </w:style>
  <w:style w:type="paragraph" w:styleId="Indeks5">
    <w:name w:val="index 5"/>
    <w:basedOn w:val="Normal"/>
    <w:next w:val="Normal"/>
    <w:autoRedefine/>
    <w:uiPriority w:val="99"/>
    <w:unhideWhenUsed/>
    <w:rsid w:val="00586B3B"/>
    <w:pPr>
      <w:spacing w:after="0" w:line="240" w:lineRule="auto"/>
      <w:ind w:left="1200" w:hanging="240"/>
    </w:pPr>
  </w:style>
  <w:style w:type="paragraph" w:styleId="Indeks6">
    <w:name w:val="index 6"/>
    <w:basedOn w:val="Normal"/>
    <w:next w:val="Normal"/>
    <w:autoRedefine/>
    <w:uiPriority w:val="99"/>
    <w:unhideWhenUsed/>
    <w:rsid w:val="00586B3B"/>
    <w:pPr>
      <w:spacing w:after="0" w:line="240" w:lineRule="auto"/>
      <w:ind w:left="1440" w:hanging="240"/>
    </w:pPr>
  </w:style>
  <w:style w:type="paragraph" w:styleId="Indeks7">
    <w:name w:val="index 7"/>
    <w:basedOn w:val="Normal"/>
    <w:next w:val="Normal"/>
    <w:autoRedefine/>
    <w:uiPriority w:val="99"/>
    <w:unhideWhenUsed/>
    <w:rsid w:val="00586B3B"/>
    <w:pPr>
      <w:spacing w:after="0" w:line="240" w:lineRule="auto"/>
      <w:ind w:left="1680" w:hanging="240"/>
    </w:pPr>
  </w:style>
  <w:style w:type="paragraph" w:styleId="Indeks8">
    <w:name w:val="index 8"/>
    <w:basedOn w:val="Normal"/>
    <w:next w:val="Normal"/>
    <w:autoRedefine/>
    <w:uiPriority w:val="99"/>
    <w:unhideWhenUsed/>
    <w:rsid w:val="00586B3B"/>
    <w:pPr>
      <w:spacing w:after="0" w:line="240" w:lineRule="auto"/>
      <w:ind w:left="1920" w:hanging="240"/>
    </w:pPr>
  </w:style>
  <w:style w:type="paragraph" w:styleId="Indeks9">
    <w:name w:val="index 9"/>
    <w:basedOn w:val="Normal"/>
    <w:next w:val="Normal"/>
    <w:autoRedefine/>
    <w:uiPriority w:val="99"/>
    <w:unhideWhenUsed/>
    <w:rsid w:val="00586B3B"/>
    <w:pPr>
      <w:spacing w:after="0" w:line="240" w:lineRule="auto"/>
      <w:ind w:left="2160" w:hanging="240"/>
    </w:pPr>
  </w:style>
  <w:style w:type="paragraph" w:styleId="INNH6">
    <w:name w:val="toc 6"/>
    <w:basedOn w:val="Normal"/>
    <w:next w:val="Normal"/>
    <w:autoRedefine/>
    <w:uiPriority w:val="39"/>
    <w:unhideWhenUsed/>
    <w:rsid w:val="00586B3B"/>
    <w:pPr>
      <w:spacing w:after="100"/>
      <w:ind w:left="1200"/>
    </w:pPr>
  </w:style>
  <w:style w:type="paragraph" w:styleId="INNH7">
    <w:name w:val="toc 7"/>
    <w:basedOn w:val="Normal"/>
    <w:next w:val="Normal"/>
    <w:autoRedefine/>
    <w:uiPriority w:val="39"/>
    <w:unhideWhenUsed/>
    <w:rsid w:val="00586B3B"/>
    <w:pPr>
      <w:spacing w:after="100"/>
      <w:ind w:left="1440"/>
    </w:pPr>
  </w:style>
  <w:style w:type="paragraph" w:styleId="INNH8">
    <w:name w:val="toc 8"/>
    <w:basedOn w:val="Normal"/>
    <w:next w:val="Normal"/>
    <w:autoRedefine/>
    <w:uiPriority w:val="39"/>
    <w:unhideWhenUsed/>
    <w:rsid w:val="00586B3B"/>
    <w:pPr>
      <w:spacing w:after="100"/>
      <w:ind w:left="1680"/>
    </w:pPr>
  </w:style>
  <w:style w:type="paragraph" w:styleId="INNH9">
    <w:name w:val="toc 9"/>
    <w:basedOn w:val="Normal"/>
    <w:next w:val="Normal"/>
    <w:autoRedefine/>
    <w:uiPriority w:val="39"/>
    <w:unhideWhenUsed/>
    <w:rsid w:val="00586B3B"/>
    <w:pPr>
      <w:spacing w:after="100"/>
      <w:ind w:left="1920"/>
    </w:pPr>
  </w:style>
  <w:style w:type="paragraph" w:styleId="Vanliginnrykk">
    <w:name w:val="Normal Indent"/>
    <w:basedOn w:val="Normal"/>
    <w:uiPriority w:val="99"/>
    <w:unhideWhenUsed/>
    <w:rsid w:val="00586B3B"/>
    <w:pPr>
      <w:ind w:left="708"/>
    </w:pPr>
  </w:style>
  <w:style w:type="paragraph" w:styleId="Stikkordregisteroverskrift">
    <w:name w:val="index heading"/>
    <w:basedOn w:val="Normal"/>
    <w:next w:val="Indeks1"/>
    <w:uiPriority w:val="99"/>
    <w:unhideWhenUsed/>
    <w:rsid w:val="00586B3B"/>
    <w:rPr>
      <w:rFonts w:asciiTheme="majorHAnsi" w:eastAsiaTheme="majorEastAsia" w:hAnsiTheme="majorHAnsi" w:cstheme="majorBidi"/>
      <w:b/>
      <w:bCs/>
    </w:rPr>
  </w:style>
  <w:style w:type="paragraph" w:styleId="Bildetekst">
    <w:name w:val="caption"/>
    <w:basedOn w:val="Normal"/>
    <w:next w:val="Normal"/>
    <w:uiPriority w:val="35"/>
    <w:unhideWhenUsed/>
    <w:qFormat/>
    <w:rsid w:val="00586B3B"/>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586B3B"/>
    <w:pPr>
      <w:spacing w:after="0"/>
    </w:pPr>
  </w:style>
  <w:style w:type="paragraph" w:styleId="Konvoluttadresse">
    <w:name w:val="envelope address"/>
    <w:basedOn w:val="Normal"/>
    <w:uiPriority w:val="99"/>
    <w:unhideWhenUsed/>
    <w:rsid w:val="00586B3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586B3B"/>
    <w:pPr>
      <w:spacing w:after="0" w:line="240" w:lineRule="auto"/>
    </w:pPr>
    <w:rPr>
      <w:sz w:val="20"/>
      <w:szCs w:val="20"/>
    </w:rPr>
  </w:style>
  <w:style w:type="character" w:customStyle="1" w:styleId="SluttnotetekstTegn">
    <w:name w:val="Sluttnotetekst Tegn"/>
    <w:basedOn w:val="Standardskriftforavsnitt"/>
    <w:link w:val="Sluttnotetekst"/>
    <w:uiPriority w:val="99"/>
    <w:rsid w:val="00586B3B"/>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586B3B"/>
    <w:pPr>
      <w:spacing w:after="0"/>
      <w:ind w:left="240" w:hanging="240"/>
    </w:pPr>
  </w:style>
  <w:style w:type="paragraph" w:styleId="Makrotekst">
    <w:name w:val="macro"/>
    <w:link w:val="MakrotekstTegn"/>
    <w:uiPriority w:val="99"/>
    <w:unhideWhenUsed/>
    <w:rsid w:val="00586B3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586B3B"/>
    <w:rPr>
      <w:rFonts w:ascii="Consolas" w:eastAsia="Times New Roman" w:hAnsi="Consolas"/>
      <w:spacing w:val="4"/>
    </w:rPr>
  </w:style>
  <w:style w:type="paragraph" w:styleId="Kildelisteoverskrift">
    <w:name w:val="toa heading"/>
    <w:basedOn w:val="Normal"/>
    <w:next w:val="Normal"/>
    <w:uiPriority w:val="99"/>
    <w:unhideWhenUsed/>
    <w:rsid w:val="00586B3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86B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86B3B"/>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586B3B"/>
    <w:pPr>
      <w:spacing w:after="0" w:line="240" w:lineRule="auto"/>
      <w:ind w:left="4252"/>
    </w:pPr>
  </w:style>
  <w:style w:type="character" w:customStyle="1" w:styleId="HilsenTegn">
    <w:name w:val="Hilsen Tegn"/>
    <w:basedOn w:val="Standardskriftforavsnitt"/>
    <w:link w:val="Hilsen"/>
    <w:uiPriority w:val="99"/>
    <w:rsid w:val="00586B3B"/>
    <w:rPr>
      <w:rFonts w:ascii="Times New Roman" w:eastAsia="Times New Roman" w:hAnsi="Times New Roman"/>
      <w:spacing w:val="4"/>
      <w:sz w:val="24"/>
    </w:rPr>
  </w:style>
  <w:style w:type="paragraph" w:styleId="Underskrift">
    <w:name w:val="Signature"/>
    <w:basedOn w:val="Normal"/>
    <w:link w:val="UnderskriftTegn"/>
    <w:uiPriority w:val="99"/>
    <w:unhideWhenUsed/>
    <w:rsid w:val="00586B3B"/>
    <w:pPr>
      <w:spacing w:after="0" w:line="240" w:lineRule="auto"/>
      <w:ind w:left="4252"/>
    </w:pPr>
  </w:style>
  <w:style w:type="character" w:customStyle="1" w:styleId="UnderskriftTegn">
    <w:name w:val="Underskrift Tegn"/>
    <w:basedOn w:val="Standardskriftforavsnitt"/>
    <w:link w:val="Underskrift"/>
    <w:uiPriority w:val="99"/>
    <w:rsid w:val="00586B3B"/>
    <w:rPr>
      <w:rFonts w:ascii="Times New Roman" w:eastAsia="Times New Roman" w:hAnsi="Times New Roman"/>
      <w:spacing w:val="4"/>
      <w:sz w:val="24"/>
    </w:rPr>
  </w:style>
  <w:style w:type="paragraph" w:styleId="Liste-forts">
    <w:name w:val="List Continue"/>
    <w:basedOn w:val="Normal"/>
    <w:uiPriority w:val="99"/>
    <w:unhideWhenUsed/>
    <w:rsid w:val="00586B3B"/>
    <w:pPr>
      <w:ind w:left="283"/>
      <w:contextualSpacing/>
    </w:pPr>
  </w:style>
  <w:style w:type="paragraph" w:styleId="Liste-forts2">
    <w:name w:val="List Continue 2"/>
    <w:basedOn w:val="Normal"/>
    <w:uiPriority w:val="99"/>
    <w:unhideWhenUsed/>
    <w:rsid w:val="00586B3B"/>
    <w:pPr>
      <w:ind w:left="566"/>
      <w:contextualSpacing/>
    </w:pPr>
  </w:style>
  <w:style w:type="paragraph" w:styleId="Liste-forts3">
    <w:name w:val="List Continue 3"/>
    <w:basedOn w:val="Normal"/>
    <w:uiPriority w:val="99"/>
    <w:unhideWhenUsed/>
    <w:rsid w:val="00586B3B"/>
    <w:pPr>
      <w:ind w:left="849"/>
      <w:contextualSpacing/>
    </w:pPr>
  </w:style>
  <w:style w:type="paragraph" w:styleId="Liste-forts4">
    <w:name w:val="List Continue 4"/>
    <w:basedOn w:val="Normal"/>
    <w:uiPriority w:val="99"/>
    <w:unhideWhenUsed/>
    <w:rsid w:val="00586B3B"/>
    <w:pPr>
      <w:ind w:left="1132"/>
      <w:contextualSpacing/>
    </w:pPr>
  </w:style>
  <w:style w:type="paragraph" w:styleId="Liste-forts5">
    <w:name w:val="List Continue 5"/>
    <w:basedOn w:val="Normal"/>
    <w:uiPriority w:val="99"/>
    <w:unhideWhenUsed/>
    <w:rsid w:val="00586B3B"/>
    <w:pPr>
      <w:ind w:left="1415"/>
      <w:contextualSpacing/>
    </w:pPr>
  </w:style>
  <w:style w:type="paragraph" w:styleId="Meldingshode">
    <w:name w:val="Message Header"/>
    <w:basedOn w:val="Normal"/>
    <w:link w:val="MeldingshodeTegn"/>
    <w:uiPriority w:val="99"/>
    <w:unhideWhenUsed/>
    <w:rsid w:val="00586B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586B3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586B3B"/>
  </w:style>
  <w:style w:type="character" w:customStyle="1" w:styleId="InnledendehilsenTegn">
    <w:name w:val="Innledende hilsen Tegn"/>
    <w:basedOn w:val="Standardskriftforavsnitt"/>
    <w:link w:val="Innledendehilsen"/>
    <w:uiPriority w:val="99"/>
    <w:rsid w:val="00586B3B"/>
    <w:rPr>
      <w:rFonts w:ascii="Times New Roman" w:eastAsia="Times New Roman" w:hAnsi="Times New Roman"/>
      <w:spacing w:val="4"/>
      <w:sz w:val="24"/>
    </w:rPr>
  </w:style>
  <w:style w:type="paragraph" w:styleId="Dato">
    <w:name w:val="Date"/>
    <w:basedOn w:val="Normal"/>
    <w:next w:val="Normal"/>
    <w:link w:val="DatoTegn"/>
    <w:rsid w:val="00586B3B"/>
  </w:style>
  <w:style w:type="character" w:customStyle="1" w:styleId="DatoTegn">
    <w:name w:val="Dato Tegn"/>
    <w:basedOn w:val="Standardskriftforavsnitt"/>
    <w:link w:val="Dato"/>
    <w:rsid w:val="00586B3B"/>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586B3B"/>
    <w:pPr>
      <w:spacing w:after="0" w:line="240" w:lineRule="auto"/>
    </w:pPr>
  </w:style>
  <w:style w:type="character" w:customStyle="1" w:styleId="NotatoverskriftTegn">
    <w:name w:val="Notatoverskrift Tegn"/>
    <w:basedOn w:val="Standardskriftforavsnitt"/>
    <w:link w:val="Notatoverskrift"/>
    <w:uiPriority w:val="99"/>
    <w:rsid w:val="00586B3B"/>
    <w:rPr>
      <w:rFonts w:ascii="Times New Roman" w:eastAsia="Times New Roman" w:hAnsi="Times New Roman"/>
      <w:spacing w:val="4"/>
      <w:sz w:val="24"/>
    </w:rPr>
  </w:style>
  <w:style w:type="paragraph" w:styleId="Blokktekst">
    <w:name w:val="Block Text"/>
    <w:basedOn w:val="Normal"/>
    <w:uiPriority w:val="99"/>
    <w:unhideWhenUsed/>
    <w:rsid w:val="00586B3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586B3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586B3B"/>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586B3B"/>
    <w:rPr>
      <w:rFonts w:ascii="Courier New" w:hAnsi="Courier New" w:cs="Courier New"/>
      <w:sz w:val="20"/>
    </w:rPr>
  </w:style>
  <w:style w:type="character" w:customStyle="1" w:styleId="RentekstTegn">
    <w:name w:val="Ren tekst Tegn"/>
    <w:basedOn w:val="Standardskriftforavsnitt"/>
    <w:link w:val="Rentekst"/>
    <w:uiPriority w:val="99"/>
    <w:rsid w:val="00586B3B"/>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586B3B"/>
    <w:pPr>
      <w:spacing w:after="0" w:line="240" w:lineRule="auto"/>
    </w:pPr>
  </w:style>
  <w:style w:type="character" w:customStyle="1" w:styleId="E-postsignaturTegn">
    <w:name w:val="E-postsignatur Tegn"/>
    <w:basedOn w:val="Standardskriftforavsnitt"/>
    <w:link w:val="E-postsignatur"/>
    <w:uiPriority w:val="99"/>
    <w:rsid w:val="00586B3B"/>
    <w:rPr>
      <w:rFonts w:ascii="Times New Roman" w:eastAsia="Times New Roman" w:hAnsi="Times New Roman"/>
      <w:spacing w:val="4"/>
      <w:sz w:val="24"/>
    </w:rPr>
  </w:style>
  <w:style w:type="paragraph" w:styleId="NormalWeb">
    <w:name w:val="Normal (Web)"/>
    <w:basedOn w:val="Normal"/>
    <w:uiPriority w:val="99"/>
    <w:unhideWhenUsed/>
    <w:rsid w:val="00586B3B"/>
    <w:rPr>
      <w:szCs w:val="24"/>
    </w:rPr>
  </w:style>
  <w:style w:type="paragraph" w:styleId="HTML-adresse">
    <w:name w:val="HTML Address"/>
    <w:basedOn w:val="Normal"/>
    <w:link w:val="HTML-adresseTegn"/>
    <w:uiPriority w:val="99"/>
    <w:unhideWhenUsed/>
    <w:rsid w:val="00586B3B"/>
    <w:pPr>
      <w:spacing w:after="0" w:line="240" w:lineRule="auto"/>
    </w:pPr>
    <w:rPr>
      <w:i/>
      <w:iCs/>
    </w:rPr>
  </w:style>
  <w:style w:type="character" w:customStyle="1" w:styleId="HTML-adresseTegn">
    <w:name w:val="HTML-adresse Tegn"/>
    <w:basedOn w:val="Standardskriftforavsnitt"/>
    <w:link w:val="HTML-adresse"/>
    <w:uiPriority w:val="99"/>
    <w:rsid w:val="00586B3B"/>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586B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586B3B"/>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586B3B"/>
    <w:pPr>
      <w:spacing w:line="240" w:lineRule="auto"/>
    </w:pPr>
    <w:rPr>
      <w:b/>
      <w:bCs/>
      <w:spacing w:val="4"/>
      <w:szCs w:val="20"/>
    </w:rPr>
  </w:style>
  <w:style w:type="character" w:customStyle="1" w:styleId="KommentaremneTegn">
    <w:name w:val="Kommentaremne Tegn"/>
    <w:basedOn w:val="MerknadstekstTegn"/>
    <w:link w:val="Kommentaremne"/>
    <w:uiPriority w:val="99"/>
    <w:rsid w:val="00586B3B"/>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586B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586B3B"/>
    <w:rPr>
      <w:rFonts w:ascii="Tahoma" w:eastAsia="Times New Roman" w:hAnsi="Tahoma" w:cs="Tahoma"/>
      <w:spacing w:val="4"/>
      <w:sz w:val="16"/>
      <w:szCs w:val="16"/>
    </w:rPr>
  </w:style>
  <w:style w:type="paragraph" w:styleId="Listeavsnitt">
    <w:name w:val="List Paragraph"/>
    <w:basedOn w:val="Normal"/>
    <w:uiPriority w:val="34"/>
    <w:qFormat/>
    <w:rsid w:val="00586B3B"/>
    <w:pPr>
      <w:spacing w:before="60" w:after="0"/>
      <w:ind w:left="397"/>
    </w:pPr>
    <w:rPr>
      <w:spacing w:val="0"/>
    </w:rPr>
  </w:style>
  <w:style w:type="paragraph" w:styleId="Bibliografi">
    <w:name w:val="Bibliography"/>
    <w:basedOn w:val="Normal"/>
    <w:next w:val="Normal"/>
    <w:uiPriority w:val="37"/>
    <w:unhideWhenUsed/>
    <w:rsid w:val="00586B3B"/>
  </w:style>
  <w:style w:type="paragraph" w:styleId="Overskriftforinnholdsfortegnelse">
    <w:name w:val="TOC Heading"/>
    <w:basedOn w:val="Overskrift1"/>
    <w:next w:val="Normal"/>
    <w:uiPriority w:val="39"/>
    <w:unhideWhenUsed/>
    <w:qFormat/>
    <w:rsid w:val="00586B3B"/>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586B3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586B3B"/>
  </w:style>
  <w:style w:type="character" w:customStyle="1" w:styleId="BrdtekstTegn">
    <w:name w:val="Brødtekst Tegn"/>
    <w:basedOn w:val="Standardskriftforavsnitt"/>
    <w:link w:val="Brdtekst"/>
    <w:rsid w:val="00586B3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586B3B"/>
    <w:pPr>
      <w:ind w:firstLine="360"/>
    </w:pPr>
  </w:style>
  <w:style w:type="character" w:customStyle="1" w:styleId="Brdtekst-frsteinnrykkTegn">
    <w:name w:val="Brødtekst - første innrykk Tegn"/>
    <w:basedOn w:val="BrdtekstTegn"/>
    <w:link w:val="Brdtekst-frsteinnrykk"/>
    <w:uiPriority w:val="99"/>
    <w:rsid w:val="00586B3B"/>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586B3B"/>
    <w:pPr>
      <w:ind w:left="283"/>
    </w:pPr>
  </w:style>
  <w:style w:type="character" w:customStyle="1" w:styleId="BrdtekstinnrykkTegn">
    <w:name w:val="Brødtekstinnrykk Tegn"/>
    <w:basedOn w:val="Standardskriftforavsnitt"/>
    <w:link w:val="Brdtekstinnrykk"/>
    <w:uiPriority w:val="99"/>
    <w:rsid w:val="00586B3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586B3B"/>
    <w:pPr>
      <w:ind w:left="360" w:firstLine="360"/>
    </w:pPr>
  </w:style>
  <w:style w:type="character" w:customStyle="1" w:styleId="Brdtekst-frsteinnrykk2Tegn">
    <w:name w:val="Brødtekst - første innrykk 2 Tegn"/>
    <w:basedOn w:val="BrdtekstinnrykkTegn"/>
    <w:link w:val="Brdtekst-frsteinnrykk2"/>
    <w:uiPriority w:val="99"/>
    <w:rsid w:val="00586B3B"/>
    <w:rPr>
      <w:rFonts w:ascii="Times New Roman" w:eastAsia="Times New Roman" w:hAnsi="Times New Roman"/>
      <w:spacing w:val="4"/>
      <w:sz w:val="24"/>
    </w:rPr>
  </w:style>
  <w:style w:type="paragraph" w:styleId="Brdtekst2">
    <w:name w:val="Body Text 2"/>
    <w:basedOn w:val="Normal"/>
    <w:link w:val="Brdtekst2Tegn"/>
    <w:uiPriority w:val="99"/>
    <w:unhideWhenUsed/>
    <w:rsid w:val="00586B3B"/>
    <w:pPr>
      <w:spacing w:line="480" w:lineRule="auto"/>
    </w:pPr>
  </w:style>
  <w:style w:type="character" w:customStyle="1" w:styleId="Brdtekst2Tegn">
    <w:name w:val="Brødtekst 2 Tegn"/>
    <w:basedOn w:val="Standardskriftforavsnitt"/>
    <w:link w:val="Brdtekst2"/>
    <w:uiPriority w:val="99"/>
    <w:rsid w:val="00586B3B"/>
    <w:rPr>
      <w:rFonts w:ascii="Times New Roman" w:eastAsia="Times New Roman" w:hAnsi="Times New Roman"/>
      <w:spacing w:val="4"/>
      <w:sz w:val="24"/>
    </w:rPr>
  </w:style>
  <w:style w:type="paragraph" w:styleId="Brdtekst3">
    <w:name w:val="Body Text 3"/>
    <w:basedOn w:val="Normal"/>
    <w:link w:val="Brdtekst3Tegn"/>
    <w:uiPriority w:val="99"/>
    <w:unhideWhenUsed/>
    <w:rsid w:val="00586B3B"/>
    <w:rPr>
      <w:sz w:val="16"/>
      <w:szCs w:val="16"/>
    </w:rPr>
  </w:style>
  <w:style w:type="character" w:customStyle="1" w:styleId="Brdtekst3Tegn">
    <w:name w:val="Brødtekst 3 Tegn"/>
    <w:basedOn w:val="Standardskriftforavsnitt"/>
    <w:link w:val="Brdtekst3"/>
    <w:uiPriority w:val="99"/>
    <w:rsid w:val="00586B3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586B3B"/>
    <w:pPr>
      <w:spacing w:line="480" w:lineRule="auto"/>
      <w:ind w:left="283"/>
    </w:pPr>
  </w:style>
  <w:style w:type="character" w:customStyle="1" w:styleId="Brdtekstinnrykk2Tegn">
    <w:name w:val="Brødtekstinnrykk 2 Tegn"/>
    <w:basedOn w:val="Standardskriftforavsnitt"/>
    <w:link w:val="Brdtekstinnrykk2"/>
    <w:uiPriority w:val="99"/>
    <w:rsid w:val="00586B3B"/>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586B3B"/>
    <w:pPr>
      <w:ind w:left="283"/>
    </w:pPr>
    <w:rPr>
      <w:sz w:val="16"/>
      <w:szCs w:val="16"/>
    </w:rPr>
  </w:style>
  <w:style w:type="character" w:customStyle="1" w:styleId="Brdtekstinnrykk3Tegn">
    <w:name w:val="Brødtekstinnrykk 3 Tegn"/>
    <w:basedOn w:val="Standardskriftforavsnitt"/>
    <w:link w:val="Brdtekstinnrykk3"/>
    <w:uiPriority w:val="99"/>
    <w:rsid w:val="00586B3B"/>
    <w:rPr>
      <w:rFonts w:ascii="Times New Roman" w:eastAsia="Times New Roman" w:hAnsi="Times New Roman"/>
      <w:spacing w:val="4"/>
      <w:sz w:val="16"/>
      <w:szCs w:val="16"/>
    </w:rPr>
  </w:style>
  <w:style w:type="paragraph" w:customStyle="1" w:styleId="Sammendrag">
    <w:name w:val="Sammendrag"/>
    <w:basedOn w:val="Overskrift1"/>
    <w:qFormat/>
    <w:rsid w:val="00586B3B"/>
    <w:pPr>
      <w:numPr>
        <w:numId w:val="0"/>
      </w:numPr>
    </w:pPr>
  </w:style>
  <w:style w:type="paragraph" w:customStyle="1" w:styleId="TrykkeriMerknad">
    <w:name w:val="TrykkeriMerknad"/>
    <w:basedOn w:val="Normal"/>
    <w:qFormat/>
    <w:rsid w:val="00586B3B"/>
    <w:pPr>
      <w:spacing w:before="60"/>
    </w:pPr>
    <w:rPr>
      <w:rFonts w:ascii="Arial" w:hAnsi="Arial"/>
      <w:color w:val="943634" w:themeColor="accent2" w:themeShade="BF"/>
      <w:sz w:val="26"/>
    </w:rPr>
  </w:style>
  <w:style w:type="paragraph" w:customStyle="1" w:styleId="ForfatterMerknad">
    <w:name w:val="ForfatterMerknad"/>
    <w:basedOn w:val="TrykkeriMerknad"/>
    <w:qFormat/>
    <w:rsid w:val="00586B3B"/>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Revisjon">
    <w:name w:val="Revision"/>
    <w:uiPriority w:val="99"/>
    <w:pPr>
      <w:widowControl w:val="0"/>
      <w:autoSpaceDE w:val="0"/>
      <w:autoSpaceDN w:val="0"/>
      <w:adjustRightInd w:val="0"/>
      <w:spacing w:after="160" w:line="240" w:lineRule="auto"/>
    </w:pPr>
    <w:rPr>
      <w:rFonts w:ascii="Times New Roman" w:hAnsi="Times New Roman" w:cs="Times New Roman"/>
      <w:color w:val="000000"/>
      <w:w w:val="0"/>
      <w:sz w:val="24"/>
      <w:szCs w:val="24"/>
      <w:lang w:val="en-US"/>
    </w:rPr>
  </w:style>
  <w:style w:type="paragraph" w:customStyle="1" w:styleId="a-konge-tekst">
    <w:name w:val="a-konge-tekst"/>
    <w:basedOn w:val="Normal"/>
    <w:next w:val="Normal"/>
    <w:rsid w:val="00586B3B"/>
    <w:pPr>
      <w:keepNext/>
      <w:keepLines/>
      <w:spacing w:before="240" w:after="240"/>
    </w:pPr>
  </w:style>
  <w:style w:type="paragraph" w:customStyle="1" w:styleId="a-konge-tit">
    <w:name w:val="a-konge-tit"/>
    <w:basedOn w:val="Normal"/>
    <w:next w:val="Normal"/>
    <w:rsid w:val="00586B3B"/>
    <w:pPr>
      <w:keepNext/>
      <w:keepLines/>
      <w:spacing w:before="240"/>
      <w:jc w:val="center"/>
    </w:pPr>
    <w:rPr>
      <w:spacing w:val="30"/>
    </w:rPr>
  </w:style>
  <w:style w:type="paragraph" w:customStyle="1" w:styleId="a-tilraar-dep">
    <w:name w:val="a-tilraar-dep"/>
    <w:basedOn w:val="Normal"/>
    <w:next w:val="Normal"/>
    <w:rsid w:val="00586B3B"/>
    <w:pPr>
      <w:keepNext/>
      <w:keepLines/>
      <w:spacing w:before="240" w:after="240"/>
    </w:pPr>
  </w:style>
  <w:style w:type="paragraph" w:customStyle="1" w:styleId="a-tilraar-tit">
    <w:name w:val="a-tilraar-tit"/>
    <w:basedOn w:val="Normal"/>
    <w:next w:val="Normal"/>
    <w:rsid w:val="00586B3B"/>
    <w:pPr>
      <w:keepNext/>
      <w:keepLines/>
      <w:spacing w:before="240"/>
      <w:jc w:val="center"/>
    </w:pPr>
    <w:rPr>
      <w:spacing w:val="30"/>
    </w:rPr>
  </w:style>
  <w:style w:type="paragraph" w:customStyle="1" w:styleId="a-vedtak-del">
    <w:name w:val="a-vedtak-del"/>
    <w:basedOn w:val="Normal"/>
    <w:next w:val="Normal"/>
    <w:rsid w:val="00586B3B"/>
    <w:pPr>
      <w:spacing w:before="240"/>
      <w:jc w:val="center"/>
    </w:pPr>
  </w:style>
  <w:style w:type="paragraph" w:customStyle="1" w:styleId="a-vedtak-tekst">
    <w:name w:val="a-vedtak-tekst"/>
    <w:basedOn w:val="Normal"/>
    <w:next w:val="Normal"/>
    <w:rsid w:val="00586B3B"/>
    <w:pPr>
      <w:keepNext/>
      <w:jc w:val="center"/>
    </w:pPr>
  </w:style>
  <w:style w:type="paragraph" w:customStyle="1" w:styleId="a-vedtak-tit">
    <w:name w:val="a-vedtak-tit"/>
    <w:basedOn w:val="Normal"/>
    <w:next w:val="Normal"/>
    <w:rsid w:val="00586B3B"/>
    <w:pPr>
      <w:keepNext/>
      <w:jc w:val="center"/>
    </w:pPr>
    <w:rPr>
      <w:b/>
      <w:sz w:val="28"/>
    </w:rPr>
  </w:style>
  <w:style w:type="paragraph" w:customStyle="1" w:styleId="ramme-noter">
    <w:name w:val="ramme-noter"/>
    <w:basedOn w:val="Normal"/>
    <w:next w:val="Normal"/>
    <w:rsid w:val="00586B3B"/>
    <w:pPr>
      <w:tabs>
        <w:tab w:val="left" w:pos="284"/>
      </w:tabs>
      <w:spacing w:before="120" w:line="240" w:lineRule="auto"/>
      <w:contextualSpacing/>
    </w:pPr>
    <w:rPr>
      <w:rFonts w:ascii="Times" w:eastAsia="Batang" w:hAnsi="Times"/>
      <w:spacing w:val="0"/>
      <w:sz w:val="20"/>
      <w:szCs w:val="20"/>
    </w:rPr>
  </w:style>
  <w:style w:type="paragraph" w:customStyle="1" w:styleId="b-budkaptit">
    <w:name w:val="b-budkaptit"/>
    <w:basedOn w:val="Normal"/>
    <w:next w:val="Normal"/>
    <w:rsid w:val="00586B3B"/>
    <w:pPr>
      <w:keepNext/>
      <w:keepLines/>
      <w:ind w:left="1021" w:hanging="1021"/>
    </w:pPr>
    <w:rPr>
      <w:b/>
      <w:spacing w:val="0"/>
    </w:rPr>
  </w:style>
  <w:style w:type="paragraph" w:customStyle="1" w:styleId="b-post">
    <w:name w:val="b-post"/>
    <w:basedOn w:val="Normal"/>
    <w:next w:val="Normal"/>
    <w:rsid w:val="00586B3B"/>
    <w:pPr>
      <w:keepNext/>
      <w:keepLines/>
      <w:spacing w:before="360"/>
      <w:ind w:left="1021" w:hanging="1021"/>
    </w:pPr>
    <w:rPr>
      <w:i/>
      <w:spacing w:val="0"/>
    </w:rPr>
  </w:style>
  <w:style w:type="paragraph" w:customStyle="1" w:styleId="b-progkat">
    <w:name w:val="b-progkat"/>
    <w:basedOn w:val="Normal"/>
    <w:next w:val="Normal"/>
    <w:rsid w:val="00586B3B"/>
    <w:pPr>
      <w:keepNext/>
      <w:keepLines/>
    </w:pPr>
    <w:rPr>
      <w:b/>
      <w:spacing w:val="0"/>
    </w:rPr>
  </w:style>
  <w:style w:type="paragraph" w:customStyle="1" w:styleId="b-progomr">
    <w:name w:val="b-progomr"/>
    <w:basedOn w:val="Normal"/>
    <w:next w:val="Normal"/>
    <w:rsid w:val="00586B3B"/>
    <w:pPr>
      <w:keepNext/>
      <w:keepLines/>
      <w:spacing w:before="240"/>
    </w:pPr>
    <w:rPr>
      <w:b/>
      <w:spacing w:val="0"/>
    </w:rPr>
  </w:style>
  <w:style w:type="paragraph" w:customStyle="1" w:styleId="dato0">
    <w:name w:val="dato"/>
    <w:basedOn w:val="Normal"/>
    <w:next w:val="Normal"/>
    <w:rsid w:val="00586B3B"/>
  </w:style>
  <w:style w:type="paragraph" w:customStyle="1" w:styleId="Def">
    <w:name w:val="Def"/>
    <w:basedOn w:val="hengende-innrykk"/>
    <w:rsid w:val="00586B3B"/>
    <w:pPr>
      <w:spacing w:line="240" w:lineRule="auto"/>
      <w:ind w:left="0" w:firstLine="0"/>
    </w:pPr>
    <w:rPr>
      <w:rFonts w:ascii="Times" w:eastAsia="Batang" w:hAnsi="Times"/>
      <w:spacing w:val="0"/>
      <w:szCs w:val="20"/>
    </w:rPr>
  </w:style>
  <w:style w:type="paragraph" w:customStyle="1" w:styleId="del-nr">
    <w:name w:val="del-nr"/>
    <w:basedOn w:val="Normal"/>
    <w:qFormat/>
    <w:rsid w:val="00586B3B"/>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586B3B"/>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86B3B"/>
  </w:style>
  <w:style w:type="paragraph" w:customStyle="1" w:styleId="figur-noter">
    <w:name w:val="figur-noter"/>
    <w:basedOn w:val="Normal"/>
    <w:next w:val="Normal"/>
    <w:rsid w:val="00586B3B"/>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586B3B"/>
    <w:pPr>
      <w:spacing w:before="240"/>
      <w:jc w:val="center"/>
    </w:pPr>
  </w:style>
  <w:style w:type="paragraph" w:customStyle="1" w:styleId="hengende-innrykk">
    <w:name w:val="hengende-innrykk"/>
    <w:basedOn w:val="Normal"/>
    <w:next w:val="Normal"/>
    <w:rsid w:val="00586B3B"/>
    <w:pPr>
      <w:ind w:left="1418" w:hanging="1418"/>
    </w:pPr>
  </w:style>
  <w:style w:type="paragraph" w:customStyle="1" w:styleId="i-budkap-over">
    <w:name w:val="i-budkap-over"/>
    <w:basedOn w:val="Normal"/>
    <w:next w:val="Normal"/>
    <w:rsid w:val="00586B3B"/>
    <w:pPr>
      <w:jc w:val="right"/>
    </w:pPr>
    <w:rPr>
      <w:rFonts w:ascii="Times" w:hAnsi="Times"/>
      <w:b/>
      <w:noProof/>
    </w:rPr>
  </w:style>
  <w:style w:type="paragraph" w:customStyle="1" w:styleId="i-dep">
    <w:name w:val="i-dep"/>
    <w:basedOn w:val="Normal"/>
    <w:next w:val="Normal"/>
    <w:rsid w:val="00586B3B"/>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586B3B"/>
    <w:pPr>
      <w:keepNext/>
      <w:keepLines/>
      <w:spacing w:before="360"/>
      <w:jc w:val="center"/>
    </w:pPr>
    <w:rPr>
      <w:rFonts w:ascii="Times" w:hAnsi="Times"/>
      <w:b/>
      <w:noProof/>
      <w:sz w:val="28"/>
    </w:rPr>
  </w:style>
  <w:style w:type="paragraph" w:customStyle="1" w:styleId="i-saerskilt-vedl">
    <w:name w:val="i-saerskilt-vedl"/>
    <w:basedOn w:val="Normal"/>
    <w:next w:val="Normal"/>
    <w:rsid w:val="00586B3B"/>
    <w:pPr>
      <w:ind w:left="1985" w:hanging="1985"/>
    </w:pPr>
    <w:rPr>
      <w:spacing w:val="0"/>
    </w:rPr>
  </w:style>
  <w:style w:type="paragraph" w:customStyle="1" w:styleId="i-statsrdato">
    <w:name w:val="i-statsr.dato"/>
    <w:basedOn w:val="Normal"/>
    <w:next w:val="Normal"/>
    <w:rsid w:val="00586B3B"/>
    <w:pPr>
      <w:spacing w:after="0"/>
      <w:jc w:val="center"/>
    </w:pPr>
    <w:rPr>
      <w:rFonts w:ascii="Times" w:hAnsi="Times"/>
      <w:i/>
      <w:noProof/>
    </w:rPr>
  </w:style>
  <w:style w:type="paragraph" w:customStyle="1" w:styleId="i-termin">
    <w:name w:val="i-termin"/>
    <w:basedOn w:val="Normal"/>
    <w:next w:val="Normal"/>
    <w:rsid w:val="00586B3B"/>
    <w:pPr>
      <w:spacing w:before="360"/>
      <w:jc w:val="center"/>
    </w:pPr>
    <w:rPr>
      <w:b/>
      <w:noProof/>
      <w:sz w:val="28"/>
    </w:rPr>
  </w:style>
  <w:style w:type="paragraph" w:customStyle="1" w:styleId="i-tit">
    <w:name w:val="i-tit"/>
    <w:basedOn w:val="Normal"/>
    <w:next w:val="i-statsrdato"/>
    <w:rsid w:val="00586B3B"/>
    <w:pPr>
      <w:keepNext/>
      <w:keepLines/>
      <w:spacing w:before="360" w:after="240"/>
      <w:jc w:val="center"/>
    </w:pPr>
    <w:rPr>
      <w:rFonts w:ascii="Times" w:hAnsi="Times"/>
      <w:noProof/>
      <w:sz w:val="40"/>
    </w:rPr>
  </w:style>
  <w:style w:type="paragraph" w:customStyle="1" w:styleId="is-dep">
    <w:name w:val="is-dep"/>
    <w:basedOn w:val="i-dep"/>
    <w:qFormat/>
    <w:rsid w:val="00586B3B"/>
  </w:style>
  <w:style w:type="paragraph" w:customStyle="1" w:styleId="Kilde">
    <w:name w:val="Kilde"/>
    <w:basedOn w:val="Normal"/>
    <w:next w:val="Normal"/>
    <w:rsid w:val="00586B3B"/>
    <w:pPr>
      <w:spacing w:after="240"/>
    </w:pPr>
    <w:rPr>
      <w:sz w:val="20"/>
    </w:rPr>
  </w:style>
  <w:style w:type="paragraph" w:customStyle="1" w:styleId="l-avsnitt">
    <w:name w:val="l-avsnitt"/>
    <w:basedOn w:val="l-lovkap"/>
    <w:qFormat/>
    <w:rsid w:val="00586B3B"/>
    <w:rPr>
      <w:lang w:val="nn-NO"/>
    </w:rPr>
  </w:style>
  <w:style w:type="paragraph" w:customStyle="1" w:styleId="l-lovdeltit">
    <w:name w:val="l-lovdeltit"/>
    <w:basedOn w:val="Normal"/>
    <w:next w:val="Normal"/>
    <w:rsid w:val="00586B3B"/>
    <w:pPr>
      <w:keepNext/>
      <w:spacing w:before="120" w:after="60"/>
    </w:pPr>
    <w:rPr>
      <w:b/>
      <w:spacing w:val="0"/>
    </w:rPr>
  </w:style>
  <w:style w:type="paragraph" w:customStyle="1" w:styleId="l-lovkap">
    <w:name w:val="l-lovkap"/>
    <w:basedOn w:val="Normal"/>
    <w:next w:val="Normal"/>
    <w:rsid w:val="00586B3B"/>
    <w:pPr>
      <w:keepNext/>
      <w:spacing w:before="240" w:after="40"/>
    </w:pPr>
    <w:rPr>
      <w:b/>
    </w:rPr>
  </w:style>
  <w:style w:type="paragraph" w:customStyle="1" w:styleId="l-lovtit">
    <w:name w:val="l-lovtit"/>
    <w:basedOn w:val="Normal"/>
    <w:next w:val="Normal"/>
    <w:rsid w:val="00586B3B"/>
    <w:pPr>
      <w:keepNext/>
      <w:spacing w:before="120" w:after="60"/>
    </w:pPr>
    <w:rPr>
      <w:b/>
    </w:rPr>
  </w:style>
  <w:style w:type="paragraph" w:customStyle="1" w:styleId="l-punktum">
    <w:name w:val="l-punktum"/>
    <w:basedOn w:val="Normal"/>
    <w:qFormat/>
    <w:rsid w:val="00586B3B"/>
    <w:pPr>
      <w:spacing w:after="0"/>
    </w:pPr>
  </w:style>
  <w:style w:type="paragraph" w:customStyle="1" w:styleId="l-tit-endr-avsnitt">
    <w:name w:val="l-tit-endr-avsnitt"/>
    <w:basedOn w:val="l-tit-endr-lovkap"/>
    <w:qFormat/>
    <w:rsid w:val="00586B3B"/>
  </w:style>
  <w:style w:type="paragraph" w:customStyle="1" w:styleId="l-tit-endr-ledd">
    <w:name w:val="l-tit-endr-ledd"/>
    <w:basedOn w:val="Normal"/>
    <w:qFormat/>
    <w:rsid w:val="00586B3B"/>
    <w:pPr>
      <w:keepNext/>
      <w:spacing w:before="240" w:after="0" w:line="240" w:lineRule="auto"/>
    </w:pPr>
    <w:rPr>
      <w:rFonts w:ascii="Times" w:hAnsi="Times"/>
      <w:noProof/>
      <w:lang w:val="nn-NO"/>
    </w:rPr>
  </w:style>
  <w:style w:type="paragraph" w:customStyle="1" w:styleId="l-tit-endr-lov">
    <w:name w:val="l-tit-endr-lov"/>
    <w:basedOn w:val="Normal"/>
    <w:qFormat/>
    <w:rsid w:val="00586B3B"/>
    <w:pPr>
      <w:keepNext/>
      <w:spacing w:before="240" w:after="0" w:line="240" w:lineRule="auto"/>
    </w:pPr>
    <w:rPr>
      <w:rFonts w:ascii="Times" w:hAnsi="Times"/>
      <w:noProof/>
      <w:lang w:val="nn-NO"/>
    </w:rPr>
  </w:style>
  <w:style w:type="paragraph" w:customStyle="1" w:styleId="l-tit-endr-lovdel">
    <w:name w:val="l-tit-endr-lovdel"/>
    <w:basedOn w:val="Normal"/>
    <w:qFormat/>
    <w:rsid w:val="00586B3B"/>
    <w:pPr>
      <w:keepNext/>
      <w:spacing w:before="240" w:after="0" w:line="240" w:lineRule="auto"/>
    </w:pPr>
    <w:rPr>
      <w:rFonts w:ascii="Times" w:hAnsi="Times"/>
      <w:noProof/>
      <w:lang w:val="nn-NO"/>
    </w:rPr>
  </w:style>
  <w:style w:type="paragraph" w:customStyle="1" w:styleId="l-tit-endr-lovkap">
    <w:name w:val="l-tit-endr-lovkap"/>
    <w:basedOn w:val="Normal"/>
    <w:qFormat/>
    <w:rsid w:val="00586B3B"/>
    <w:pPr>
      <w:keepNext/>
      <w:spacing w:before="240" w:after="0" w:line="240" w:lineRule="auto"/>
    </w:pPr>
    <w:rPr>
      <w:rFonts w:ascii="Times" w:hAnsi="Times"/>
      <w:noProof/>
      <w:lang w:val="nn-NO"/>
    </w:rPr>
  </w:style>
  <w:style w:type="paragraph" w:customStyle="1" w:styleId="l-tit-endr-punktum">
    <w:name w:val="l-tit-endr-punktum"/>
    <w:basedOn w:val="l-tit-endr-ledd"/>
    <w:qFormat/>
    <w:rsid w:val="00586B3B"/>
  </w:style>
  <w:style w:type="paragraph" w:customStyle="1" w:styleId="Listeavsnitt2">
    <w:name w:val="Listeavsnitt 2"/>
    <w:basedOn w:val="Normal"/>
    <w:qFormat/>
    <w:rsid w:val="00586B3B"/>
    <w:pPr>
      <w:spacing w:before="60" w:after="0"/>
      <w:ind w:left="794"/>
    </w:pPr>
    <w:rPr>
      <w:spacing w:val="0"/>
    </w:rPr>
  </w:style>
  <w:style w:type="paragraph" w:customStyle="1" w:styleId="Listeavsnitt3">
    <w:name w:val="Listeavsnitt 3"/>
    <w:basedOn w:val="Normal"/>
    <w:qFormat/>
    <w:rsid w:val="00586B3B"/>
    <w:pPr>
      <w:spacing w:before="60" w:after="0"/>
      <w:ind w:left="1191"/>
    </w:pPr>
    <w:rPr>
      <w:spacing w:val="0"/>
    </w:rPr>
  </w:style>
  <w:style w:type="paragraph" w:customStyle="1" w:styleId="Listeavsnitt4">
    <w:name w:val="Listeavsnitt 4"/>
    <w:basedOn w:val="Normal"/>
    <w:qFormat/>
    <w:rsid w:val="00586B3B"/>
    <w:pPr>
      <w:spacing w:before="60" w:after="0"/>
      <w:ind w:left="1588"/>
    </w:pPr>
    <w:rPr>
      <w:spacing w:val="0"/>
    </w:rPr>
  </w:style>
  <w:style w:type="paragraph" w:customStyle="1" w:styleId="Listeavsnitt5">
    <w:name w:val="Listeavsnitt 5"/>
    <w:basedOn w:val="Normal"/>
    <w:qFormat/>
    <w:rsid w:val="00586B3B"/>
    <w:pPr>
      <w:spacing w:before="60" w:after="0"/>
      <w:ind w:left="1985"/>
    </w:pPr>
    <w:rPr>
      <w:spacing w:val="0"/>
    </w:rPr>
  </w:style>
  <w:style w:type="paragraph" w:customStyle="1" w:styleId="Normalref">
    <w:name w:val="Normalref"/>
    <w:basedOn w:val="Normal"/>
    <w:qFormat/>
    <w:rsid w:val="00586B3B"/>
    <w:pPr>
      <w:spacing w:after="0"/>
      <w:ind w:left="397" w:hanging="397"/>
    </w:pPr>
    <w:rPr>
      <w:spacing w:val="0"/>
    </w:rPr>
  </w:style>
  <w:style w:type="paragraph" w:customStyle="1" w:styleId="Petit">
    <w:name w:val="Petit"/>
    <w:basedOn w:val="Normal"/>
    <w:next w:val="Normal"/>
    <w:qFormat/>
    <w:rsid w:val="00586B3B"/>
    <w:rPr>
      <w:spacing w:val="6"/>
      <w:sz w:val="19"/>
    </w:rPr>
  </w:style>
  <w:style w:type="paragraph" w:customStyle="1" w:styleId="Ramme-slutt">
    <w:name w:val="Ramme-slutt"/>
    <w:basedOn w:val="Normal"/>
    <w:autoRedefine/>
    <w:rsid w:val="00586B3B"/>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586B3B"/>
  </w:style>
  <w:style w:type="paragraph" w:customStyle="1" w:styleId="tabell-noter">
    <w:name w:val="tabell-noter"/>
    <w:basedOn w:val="Normal"/>
    <w:next w:val="Normal"/>
    <w:rsid w:val="00586B3B"/>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586B3B"/>
    <w:pPr>
      <w:spacing w:line="240" w:lineRule="auto"/>
    </w:pPr>
    <w:rPr>
      <w:rFonts w:ascii="Times" w:eastAsia="Batang" w:hAnsi="Times"/>
      <w:vanish/>
      <w:color w:val="008000"/>
      <w:spacing w:val="0"/>
      <w:szCs w:val="24"/>
    </w:rPr>
  </w:style>
  <w:style w:type="paragraph" w:customStyle="1" w:styleId="Term">
    <w:name w:val="Term"/>
    <w:basedOn w:val="hengende-innrykk"/>
    <w:rsid w:val="00586B3B"/>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586B3B"/>
    <w:pPr>
      <w:keepNext/>
      <w:keepLines/>
      <w:jc w:val="center"/>
    </w:pPr>
    <w:rPr>
      <w:rFonts w:ascii="Arial" w:hAnsi="Arial"/>
      <w:b/>
      <w:spacing w:val="0"/>
      <w:sz w:val="28"/>
    </w:rPr>
  </w:style>
  <w:style w:type="paragraph" w:customStyle="1" w:styleId="tittel-litteraturliste">
    <w:name w:val="tittel-litteraturliste"/>
    <w:basedOn w:val="Normal"/>
    <w:next w:val="Normal"/>
    <w:rsid w:val="00586B3B"/>
    <w:pPr>
      <w:keepNext/>
      <w:keepLines/>
      <w:spacing w:before="360" w:after="240"/>
      <w:jc w:val="center"/>
    </w:pPr>
    <w:rPr>
      <w:rFonts w:ascii="Arial" w:hAnsi="Arial"/>
      <w:b/>
      <w:sz w:val="28"/>
    </w:rPr>
  </w:style>
  <w:style w:type="paragraph" w:customStyle="1" w:styleId="tittel-ordforkl">
    <w:name w:val="tittel-ordforkl"/>
    <w:basedOn w:val="Normal"/>
    <w:next w:val="Normal"/>
    <w:rsid w:val="00586B3B"/>
    <w:pPr>
      <w:keepNext/>
      <w:keepLines/>
      <w:spacing w:before="360" w:after="240"/>
      <w:jc w:val="center"/>
    </w:pPr>
    <w:rPr>
      <w:rFonts w:ascii="Arial" w:hAnsi="Arial"/>
      <w:b/>
      <w:sz w:val="28"/>
    </w:rPr>
  </w:style>
  <w:style w:type="paragraph" w:customStyle="1" w:styleId="undervedl-nr">
    <w:name w:val="undervedl-nr"/>
    <w:basedOn w:val="vedlegg-nr"/>
    <w:next w:val="Normal"/>
    <w:rsid w:val="00586B3B"/>
    <w:pPr>
      <w:numPr>
        <w:numId w:val="0"/>
      </w:numPr>
    </w:pPr>
    <w:rPr>
      <w:b w:val="0"/>
      <w:i/>
    </w:rPr>
  </w:style>
  <w:style w:type="paragraph" w:customStyle="1" w:styleId="Undervedl-tittel">
    <w:name w:val="Undervedl-tittel"/>
    <w:basedOn w:val="Normal"/>
    <w:next w:val="Normal"/>
    <w:rsid w:val="00586B3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86B3B"/>
    <w:pPr>
      <w:numPr>
        <w:numId w:val="0"/>
      </w:numPr>
      <w:outlineLvl w:val="9"/>
    </w:pPr>
  </w:style>
  <w:style w:type="paragraph" w:customStyle="1" w:styleId="v-Overskrift2">
    <w:name w:val="v-Overskrift 2"/>
    <w:basedOn w:val="Overskrift2"/>
    <w:next w:val="Normal"/>
    <w:rsid w:val="00586B3B"/>
    <w:pPr>
      <w:numPr>
        <w:ilvl w:val="0"/>
        <w:numId w:val="0"/>
      </w:numPr>
      <w:outlineLvl w:val="9"/>
    </w:pPr>
  </w:style>
  <w:style w:type="paragraph" w:customStyle="1" w:styleId="v-Overskrift3">
    <w:name w:val="v-Overskrift 3"/>
    <w:basedOn w:val="Overskrift3"/>
    <w:next w:val="Normal"/>
    <w:rsid w:val="00586B3B"/>
    <w:pPr>
      <w:numPr>
        <w:ilvl w:val="0"/>
        <w:numId w:val="0"/>
      </w:numPr>
      <w:outlineLvl w:val="9"/>
    </w:pPr>
  </w:style>
  <w:style w:type="paragraph" w:customStyle="1" w:styleId="vedlegg-nr">
    <w:name w:val="vedlegg-nr"/>
    <w:basedOn w:val="Normal"/>
    <w:next w:val="Normal"/>
    <w:rsid w:val="00586B3B"/>
    <w:pPr>
      <w:keepNext/>
      <w:keepLines/>
      <w:numPr>
        <w:numId w:val="244"/>
      </w:numPr>
      <w:ind w:left="357" w:hanging="357"/>
    </w:pPr>
    <w:rPr>
      <w:rFonts w:ascii="Arial" w:hAnsi="Arial"/>
      <w:b/>
      <w:u w:val="single"/>
    </w:rPr>
  </w:style>
  <w:style w:type="paragraph" w:customStyle="1" w:styleId="vedlegg-tit">
    <w:name w:val="vedlegg-tit"/>
    <w:basedOn w:val="Normal"/>
    <w:next w:val="Normal"/>
    <w:rsid w:val="00586B3B"/>
    <w:pPr>
      <w:keepNext/>
      <w:keepLines/>
      <w:spacing w:before="360" w:after="80"/>
      <w:jc w:val="center"/>
    </w:pPr>
    <w:rPr>
      <w:rFonts w:ascii="Arial" w:hAnsi="Arial"/>
      <w:b/>
      <w:sz w:val="28"/>
    </w:rPr>
  </w:style>
  <w:style w:type="paragraph" w:customStyle="1" w:styleId="i-hode-tit">
    <w:name w:val="i-hode-tit"/>
    <w:basedOn w:val="Normal"/>
    <w:autoRedefine/>
    <w:qFormat/>
    <w:rsid w:val="00586B3B"/>
    <w:pPr>
      <w:keepNext/>
      <w:keepLines/>
      <w:jc w:val="center"/>
    </w:pPr>
    <w:rPr>
      <w:rFonts w:eastAsia="Batang"/>
      <w:b/>
      <w:sz w:val="28"/>
    </w:rPr>
  </w:style>
  <w:style w:type="paragraph" w:customStyle="1" w:styleId="i-hode">
    <w:name w:val="i-hode"/>
    <w:basedOn w:val="Normal"/>
    <w:next w:val="Normal"/>
    <w:rsid w:val="00586B3B"/>
    <w:pPr>
      <w:keepNext/>
      <w:keepLines/>
      <w:spacing w:before="720"/>
      <w:jc w:val="center"/>
    </w:pPr>
    <w:rPr>
      <w:rFonts w:ascii="Times" w:hAnsi="Times"/>
      <w:b/>
      <w:noProof/>
      <w:sz w:val="56"/>
    </w:rPr>
  </w:style>
  <w:style w:type="paragraph" w:customStyle="1" w:styleId="i-sesjon">
    <w:name w:val="i-sesjon"/>
    <w:basedOn w:val="Normal"/>
    <w:next w:val="Normal"/>
    <w:rsid w:val="00586B3B"/>
    <w:pPr>
      <w:jc w:val="center"/>
    </w:pPr>
    <w:rPr>
      <w:rFonts w:ascii="Times" w:hAnsi="Times"/>
      <w:b/>
      <w:noProof/>
      <w:sz w:val="28"/>
    </w:rPr>
  </w:style>
  <w:style w:type="paragraph" w:customStyle="1" w:styleId="i-mtit">
    <w:name w:val="i-mtit"/>
    <w:basedOn w:val="Normal"/>
    <w:next w:val="Normal"/>
    <w:rsid w:val="00586B3B"/>
    <w:pPr>
      <w:keepNext/>
      <w:keepLines/>
      <w:spacing w:before="360"/>
      <w:jc w:val="center"/>
    </w:pPr>
    <w:rPr>
      <w:rFonts w:ascii="Times" w:hAnsi="Times"/>
      <w:b/>
      <w:noProof/>
    </w:rPr>
  </w:style>
  <w:style w:type="paragraph" w:customStyle="1" w:styleId="figur-tittel">
    <w:name w:val="figur-tittel"/>
    <w:basedOn w:val="Normal"/>
    <w:next w:val="Normal"/>
    <w:rsid w:val="00586B3B"/>
    <w:pPr>
      <w:numPr>
        <w:ilvl w:val="5"/>
        <w:numId w:val="261"/>
      </w:numPr>
    </w:pPr>
    <w:rPr>
      <w:rFonts w:ascii="Arial" w:hAnsi="Arial"/>
    </w:rPr>
  </w:style>
  <w:style w:type="paragraph" w:customStyle="1" w:styleId="tabell-tittel">
    <w:name w:val="tabell-tittel"/>
    <w:basedOn w:val="Normal"/>
    <w:next w:val="Normal"/>
    <w:rsid w:val="00586B3B"/>
    <w:pPr>
      <w:keepNext/>
      <w:keepLines/>
      <w:numPr>
        <w:ilvl w:val="6"/>
        <w:numId w:val="261"/>
      </w:numPr>
      <w:spacing w:before="240"/>
    </w:pPr>
    <w:rPr>
      <w:rFonts w:ascii="Arial" w:hAnsi="Arial"/>
    </w:rPr>
  </w:style>
  <w:style w:type="paragraph" w:customStyle="1" w:styleId="avsnitt-tittel">
    <w:name w:val="avsnitt-tittel"/>
    <w:basedOn w:val="Normal"/>
    <w:next w:val="Normal"/>
    <w:rsid w:val="00586B3B"/>
    <w:pPr>
      <w:keepNext/>
      <w:keepLines/>
      <w:spacing w:before="360" w:after="60"/>
    </w:pPr>
    <w:rPr>
      <w:rFonts w:ascii="Arial" w:hAnsi="Arial"/>
      <w:sz w:val="26"/>
    </w:rPr>
  </w:style>
  <w:style w:type="paragraph" w:customStyle="1" w:styleId="Listebombe">
    <w:name w:val="Liste bombe"/>
    <w:basedOn w:val="Liste"/>
    <w:qFormat/>
    <w:rsid w:val="00586B3B"/>
    <w:pPr>
      <w:numPr>
        <w:numId w:val="256"/>
      </w:numPr>
      <w:tabs>
        <w:tab w:val="left" w:pos="397"/>
      </w:tabs>
      <w:ind w:left="397" w:hanging="397"/>
    </w:pPr>
  </w:style>
  <w:style w:type="paragraph" w:customStyle="1" w:styleId="Listebombe2">
    <w:name w:val="Liste bombe 2"/>
    <w:basedOn w:val="Liste2"/>
    <w:qFormat/>
    <w:rsid w:val="00586B3B"/>
    <w:pPr>
      <w:numPr>
        <w:ilvl w:val="0"/>
        <w:numId w:val="257"/>
      </w:numPr>
      <w:ind w:left="794" w:hanging="397"/>
    </w:pPr>
  </w:style>
  <w:style w:type="paragraph" w:customStyle="1" w:styleId="Listebombe3">
    <w:name w:val="Liste bombe 3"/>
    <w:basedOn w:val="Liste3"/>
    <w:qFormat/>
    <w:rsid w:val="00586B3B"/>
    <w:pPr>
      <w:numPr>
        <w:ilvl w:val="0"/>
        <w:numId w:val="258"/>
      </w:numPr>
      <w:ind w:left="1191" w:hanging="397"/>
    </w:pPr>
  </w:style>
  <w:style w:type="paragraph" w:customStyle="1" w:styleId="Listebombe4">
    <w:name w:val="Liste bombe 4"/>
    <w:basedOn w:val="Liste4"/>
    <w:qFormat/>
    <w:rsid w:val="00586B3B"/>
    <w:pPr>
      <w:numPr>
        <w:ilvl w:val="0"/>
        <w:numId w:val="259"/>
      </w:numPr>
      <w:ind w:left="1588" w:hanging="397"/>
    </w:pPr>
  </w:style>
  <w:style w:type="paragraph" w:customStyle="1" w:styleId="Listebombe5">
    <w:name w:val="Liste bombe 5"/>
    <w:basedOn w:val="Liste5"/>
    <w:qFormat/>
    <w:rsid w:val="00586B3B"/>
    <w:pPr>
      <w:numPr>
        <w:ilvl w:val="0"/>
        <w:numId w:val="260"/>
      </w:numPr>
      <w:ind w:left="1985" w:hanging="397"/>
    </w:pPr>
  </w:style>
  <w:style w:type="paragraph" w:customStyle="1" w:styleId="alfaliste">
    <w:name w:val="alfaliste"/>
    <w:basedOn w:val="Normal"/>
    <w:rsid w:val="00586B3B"/>
    <w:pPr>
      <w:numPr>
        <w:numId w:val="245"/>
      </w:numPr>
      <w:spacing w:after="0"/>
    </w:pPr>
  </w:style>
  <w:style w:type="paragraph" w:customStyle="1" w:styleId="alfaliste2">
    <w:name w:val="alfaliste 2"/>
    <w:basedOn w:val="Liste2"/>
    <w:rsid w:val="00586B3B"/>
    <w:pPr>
      <w:numPr>
        <w:numId w:val="245"/>
      </w:numPr>
    </w:pPr>
  </w:style>
  <w:style w:type="paragraph" w:customStyle="1" w:styleId="alfaliste3">
    <w:name w:val="alfaliste 3"/>
    <w:basedOn w:val="Normal"/>
    <w:rsid w:val="00586B3B"/>
    <w:pPr>
      <w:numPr>
        <w:ilvl w:val="2"/>
        <w:numId w:val="245"/>
      </w:numPr>
      <w:spacing w:after="0"/>
    </w:pPr>
    <w:rPr>
      <w:spacing w:val="0"/>
    </w:rPr>
  </w:style>
  <w:style w:type="paragraph" w:customStyle="1" w:styleId="alfaliste4">
    <w:name w:val="alfaliste 4"/>
    <w:basedOn w:val="Normal"/>
    <w:rsid w:val="00586B3B"/>
    <w:pPr>
      <w:numPr>
        <w:ilvl w:val="3"/>
        <w:numId w:val="245"/>
      </w:numPr>
      <w:spacing w:after="0"/>
    </w:pPr>
    <w:rPr>
      <w:spacing w:val="0"/>
    </w:rPr>
  </w:style>
  <w:style w:type="paragraph" w:customStyle="1" w:styleId="alfaliste5">
    <w:name w:val="alfaliste 5"/>
    <w:basedOn w:val="Normal"/>
    <w:rsid w:val="00586B3B"/>
    <w:pPr>
      <w:numPr>
        <w:ilvl w:val="4"/>
        <w:numId w:val="245"/>
      </w:numPr>
      <w:spacing w:after="0"/>
    </w:pPr>
    <w:rPr>
      <w:rFonts w:cs="Times New Roman"/>
      <w:spacing w:val="0"/>
    </w:rPr>
  </w:style>
  <w:style w:type="paragraph" w:customStyle="1" w:styleId="romertallliste">
    <w:name w:val="romertall liste"/>
    <w:basedOn w:val="Normal"/>
    <w:rsid w:val="00586B3B"/>
    <w:pPr>
      <w:numPr>
        <w:numId w:val="255"/>
      </w:numPr>
      <w:spacing w:after="0" w:line="240" w:lineRule="auto"/>
    </w:pPr>
    <w:rPr>
      <w:rFonts w:ascii="Times" w:eastAsia="Batang" w:hAnsi="Times"/>
      <w:spacing w:val="0"/>
      <w:szCs w:val="20"/>
    </w:rPr>
  </w:style>
  <w:style w:type="paragraph" w:customStyle="1" w:styleId="romertallliste2">
    <w:name w:val="romertall liste 2"/>
    <w:basedOn w:val="Normal"/>
    <w:rsid w:val="00586B3B"/>
    <w:pPr>
      <w:numPr>
        <w:ilvl w:val="1"/>
        <w:numId w:val="255"/>
      </w:numPr>
      <w:spacing w:after="0" w:line="240" w:lineRule="auto"/>
    </w:pPr>
    <w:rPr>
      <w:rFonts w:ascii="Times" w:eastAsia="Batang" w:hAnsi="Times"/>
      <w:spacing w:val="0"/>
      <w:szCs w:val="20"/>
    </w:rPr>
  </w:style>
  <w:style w:type="paragraph" w:customStyle="1" w:styleId="romertallliste3">
    <w:name w:val="romertall liste 3"/>
    <w:basedOn w:val="Normal"/>
    <w:rsid w:val="00586B3B"/>
    <w:pPr>
      <w:numPr>
        <w:ilvl w:val="2"/>
        <w:numId w:val="255"/>
      </w:numPr>
      <w:spacing w:after="0" w:line="240" w:lineRule="auto"/>
    </w:pPr>
    <w:rPr>
      <w:rFonts w:ascii="Times" w:eastAsia="Batang" w:hAnsi="Times"/>
      <w:spacing w:val="0"/>
      <w:szCs w:val="20"/>
    </w:rPr>
  </w:style>
  <w:style w:type="paragraph" w:customStyle="1" w:styleId="romertallliste4">
    <w:name w:val="romertall liste 4"/>
    <w:basedOn w:val="Normal"/>
    <w:rsid w:val="00586B3B"/>
    <w:pPr>
      <w:numPr>
        <w:ilvl w:val="3"/>
        <w:numId w:val="255"/>
      </w:numPr>
      <w:spacing w:after="0" w:line="240" w:lineRule="auto"/>
    </w:pPr>
    <w:rPr>
      <w:rFonts w:ascii="Times" w:eastAsia="Batang" w:hAnsi="Times"/>
      <w:spacing w:val="0"/>
      <w:szCs w:val="20"/>
    </w:rPr>
  </w:style>
  <w:style w:type="paragraph" w:customStyle="1" w:styleId="romertallliste5">
    <w:name w:val="romertall liste 5"/>
    <w:basedOn w:val="Normal"/>
    <w:qFormat/>
    <w:rsid w:val="00586B3B"/>
    <w:pPr>
      <w:numPr>
        <w:ilvl w:val="4"/>
        <w:numId w:val="255"/>
      </w:numPr>
      <w:spacing w:after="0"/>
    </w:pPr>
  </w:style>
  <w:style w:type="paragraph" w:customStyle="1" w:styleId="opplisting2">
    <w:name w:val="opplisting 2"/>
    <w:basedOn w:val="Normal"/>
    <w:qFormat/>
    <w:rsid w:val="00586B3B"/>
    <w:pPr>
      <w:spacing w:after="0"/>
      <w:ind w:left="397"/>
    </w:pPr>
    <w:rPr>
      <w:spacing w:val="0"/>
      <w:lang w:val="en-US"/>
    </w:rPr>
  </w:style>
  <w:style w:type="paragraph" w:customStyle="1" w:styleId="opplisting3">
    <w:name w:val="opplisting 3"/>
    <w:basedOn w:val="Normal"/>
    <w:qFormat/>
    <w:rsid w:val="00586B3B"/>
    <w:pPr>
      <w:spacing w:after="0"/>
      <w:ind w:left="794"/>
    </w:pPr>
    <w:rPr>
      <w:spacing w:val="0"/>
    </w:rPr>
  </w:style>
  <w:style w:type="paragraph" w:customStyle="1" w:styleId="opplisting4">
    <w:name w:val="opplisting 4"/>
    <w:basedOn w:val="Normal"/>
    <w:qFormat/>
    <w:rsid w:val="00586B3B"/>
    <w:pPr>
      <w:spacing w:after="0"/>
      <w:ind w:left="1191"/>
    </w:pPr>
    <w:rPr>
      <w:spacing w:val="0"/>
    </w:rPr>
  </w:style>
  <w:style w:type="paragraph" w:customStyle="1" w:styleId="opplisting5">
    <w:name w:val="opplisting 5"/>
    <w:basedOn w:val="Normal"/>
    <w:qFormat/>
    <w:rsid w:val="00586B3B"/>
    <w:pPr>
      <w:spacing w:after="0"/>
      <w:ind w:left="1588"/>
    </w:pPr>
    <w:rPr>
      <w:spacing w:val="0"/>
    </w:rPr>
  </w:style>
  <w:style w:type="paragraph" w:customStyle="1" w:styleId="friliste">
    <w:name w:val="friliste"/>
    <w:basedOn w:val="Normal"/>
    <w:qFormat/>
    <w:rsid w:val="00586B3B"/>
    <w:pPr>
      <w:tabs>
        <w:tab w:val="left" w:pos="397"/>
      </w:tabs>
      <w:spacing w:after="0"/>
      <w:ind w:left="397" w:hanging="397"/>
    </w:pPr>
    <w:rPr>
      <w:spacing w:val="0"/>
    </w:rPr>
  </w:style>
  <w:style w:type="paragraph" w:customStyle="1" w:styleId="friliste2">
    <w:name w:val="friliste 2"/>
    <w:basedOn w:val="Normal"/>
    <w:qFormat/>
    <w:rsid w:val="00586B3B"/>
    <w:pPr>
      <w:tabs>
        <w:tab w:val="left" w:pos="794"/>
      </w:tabs>
      <w:spacing w:after="0"/>
      <w:ind w:left="794" w:hanging="397"/>
    </w:pPr>
    <w:rPr>
      <w:spacing w:val="0"/>
    </w:rPr>
  </w:style>
  <w:style w:type="paragraph" w:customStyle="1" w:styleId="friliste3">
    <w:name w:val="friliste 3"/>
    <w:basedOn w:val="Normal"/>
    <w:qFormat/>
    <w:rsid w:val="00586B3B"/>
    <w:pPr>
      <w:tabs>
        <w:tab w:val="left" w:pos="1191"/>
      </w:tabs>
      <w:spacing w:after="0"/>
      <w:ind w:left="1191" w:hanging="397"/>
    </w:pPr>
    <w:rPr>
      <w:spacing w:val="0"/>
    </w:rPr>
  </w:style>
  <w:style w:type="paragraph" w:customStyle="1" w:styleId="friliste4">
    <w:name w:val="friliste 4"/>
    <w:basedOn w:val="Normal"/>
    <w:qFormat/>
    <w:rsid w:val="00586B3B"/>
    <w:pPr>
      <w:tabs>
        <w:tab w:val="left" w:pos="1588"/>
      </w:tabs>
      <w:spacing w:after="0"/>
      <w:ind w:left="1588" w:hanging="397"/>
    </w:pPr>
    <w:rPr>
      <w:spacing w:val="0"/>
    </w:rPr>
  </w:style>
  <w:style w:type="paragraph" w:customStyle="1" w:styleId="friliste5">
    <w:name w:val="friliste 5"/>
    <w:basedOn w:val="Normal"/>
    <w:qFormat/>
    <w:rsid w:val="00586B3B"/>
    <w:pPr>
      <w:tabs>
        <w:tab w:val="left" w:pos="1985"/>
      </w:tabs>
      <w:spacing w:after="0"/>
      <w:ind w:left="1985" w:hanging="397"/>
    </w:pPr>
    <w:rPr>
      <w:spacing w:val="0"/>
    </w:rPr>
  </w:style>
  <w:style w:type="paragraph" w:customStyle="1" w:styleId="l-alfaliste">
    <w:name w:val="l-alfaliste"/>
    <w:basedOn w:val="alfaliste"/>
    <w:qFormat/>
    <w:rsid w:val="00586B3B"/>
    <w:pPr>
      <w:numPr>
        <w:numId w:val="254"/>
      </w:numPr>
    </w:pPr>
    <w:rPr>
      <w:rFonts w:eastAsiaTheme="minorEastAsia"/>
    </w:rPr>
  </w:style>
  <w:style w:type="paragraph" w:customStyle="1" w:styleId="l-alfaliste2">
    <w:name w:val="l-alfaliste 2"/>
    <w:basedOn w:val="alfaliste2"/>
    <w:qFormat/>
    <w:rsid w:val="00586B3B"/>
    <w:pPr>
      <w:numPr>
        <w:numId w:val="254"/>
      </w:numPr>
    </w:pPr>
  </w:style>
  <w:style w:type="paragraph" w:customStyle="1" w:styleId="avsnitt-undertittel">
    <w:name w:val="avsnitt-undertittel"/>
    <w:basedOn w:val="Normal"/>
    <w:next w:val="Normal"/>
    <w:rsid w:val="00586B3B"/>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586B3B"/>
    <w:pPr>
      <w:numPr>
        <w:numId w:val="254"/>
      </w:numPr>
    </w:pPr>
  </w:style>
  <w:style w:type="paragraph" w:customStyle="1" w:styleId="l-alfaliste4">
    <w:name w:val="l-alfaliste 4"/>
    <w:basedOn w:val="alfaliste4"/>
    <w:qFormat/>
    <w:rsid w:val="00586B3B"/>
    <w:pPr>
      <w:numPr>
        <w:numId w:val="254"/>
      </w:numPr>
    </w:pPr>
  </w:style>
  <w:style w:type="paragraph" w:customStyle="1" w:styleId="l-alfaliste5">
    <w:name w:val="l-alfaliste 5"/>
    <w:basedOn w:val="alfaliste5"/>
    <w:qFormat/>
    <w:rsid w:val="00586B3B"/>
    <w:pPr>
      <w:numPr>
        <w:numId w:val="254"/>
      </w:numPr>
    </w:pPr>
  </w:style>
  <w:style w:type="paragraph" w:customStyle="1" w:styleId="avsnitt-under-undertittel">
    <w:name w:val="avsnitt-under-undertittel"/>
    <w:basedOn w:val="Normal"/>
    <w:next w:val="Normal"/>
    <w:rsid w:val="00586B3B"/>
    <w:pPr>
      <w:keepNext/>
      <w:keepLines/>
      <w:spacing w:before="360" w:line="240" w:lineRule="auto"/>
    </w:pPr>
    <w:rPr>
      <w:rFonts w:eastAsia="Batang"/>
      <w:i/>
      <w:spacing w:val="0"/>
      <w:szCs w:val="20"/>
    </w:rPr>
  </w:style>
  <w:style w:type="paragraph" w:customStyle="1" w:styleId="blokksit">
    <w:name w:val="blokksit"/>
    <w:basedOn w:val="Normal"/>
    <w:qFormat/>
    <w:rsid w:val="00586B3B"/>
    <w:pPr>
      <w:spacing w:line="240" w:lineRule="auto"/>
      <w:ind w:left="397"/>
    </w:pPr>
    <w:rPr>
      <w:rFonts w:ascii="Times" w:hAnsi="Times"/>
      <w:spacing w:val="-2"/>
    </w:rPr>
  </w:style>
  <w:style w:type="paragraph" w:customStyle="1" w:styleId="l-paragraf">
    <w:name w:val="l-paragraf"/>
    <w:basedOn w:val="Normal"/>
    <w:next w:val="Normal"/>
    <w:rsid w:val="00586B3B"/>
    <w:pPr>
      <w:spacing w:before="180" w:after="0"/>
    </w:pPr>
    <w:rPr>
      <w:rFonts w:ascii="Times" w:hAnsi="Times"/>
      <w:i/>
    </w:rPr>
  </w:style>
  <w:style w:type="paragraph" w:customStyle="1" w:styleId="l-ledd">
    <w:name w:val="l-ledd"/>
    <w:basedOn w:val="Normal"/>
    <w:qFormat/>
    <w:rsid w:val="00586B3B"/>
    <w:pPr>
      <w:spacing w:after="0"/>
      <w:ind w:firstLine="397"/>
    </w:pPr>
    <w:rPr>
      <w:rFonts w:ascii="Times" w:hAnsi="Times"/>
    </w:rPr>
  </w:style>
  <w:style w:type="paragraph" w:customStyle="1" w:styleId="l-tit-endr-paragraf">
    <w:name w:val="l-tit-endr-paragraf"/>
    <w:basedOn w:val="Normal"/>
    <w:qFormat/>
    <w:rsid w:val="00586B3B"/>
    <w:pPr>
      <w:keepNext/>
      <w:spacing w:before="240" w:after="0" w:line="240" w:lineRule="auto"/>
    </w:pPr>
    <w:rPr>
      <w:rFonts w:ascii="Times" w:hAnsi="Times"/>
      <w:noProof/>
      <w:lang w:val="nn-NO"/>
    </w:rPr>
  </w:style>
  <w:style w:type="paragraph" w:customStyle="1" w:styleId="tittel-ramme">
    <w:name w:val="tittel-ramme"/>
    <w:basedOn w:val="Normal"/>
    <w:next w:val="Normal"/>
    <w:rsid w:val="00586B3B"/>
    <w:pPr>
      <w:keepNext/>
      <w:keepLines/>
      <w:numPr>
        <w:ilvl w:val="7"/>
        <w:numId w:val="261"/>
      </w:numPr>
      <w:spacing w:before="360" w:after="80"/>
      <w:jc w:val="center"/>
    </w:pPr>
    <w:rPr>
      <w:rFonts w:ascii="Arial" w:hAnsi="Arial"/>
      <w:b/>
    </w:rPr>
  </w:style>
  <w:style w:type="paragraph" w:customStyle="1" w:styleId="opplisting">
    <w:name w:val="opplisting"/>
    <w:basedOn w:val="Normal"/>
    <w:rsid w:val="00586B3B"/>
    <w:pPr>
      <w:spacing w:after="0"/>
    </w:pPr>
    <w:rPr>
      <w:rFonts w:ascii="Times" w:hAnsi="Times" w:cs="Times New Roman"/>
      <w:spacing w:val="0"/>
    </w:rPr>
  </w:style>
  <w:style w:type="character" w:styleId="Utheving">
    <w:name w:val="Emphasis"/>
    <w:basedOn w:val="Standardskriftforavsnitt"/>
    <w:uiPriority w:val="20"/>
    <w:qFormat/>
    <w:rsid w:val="00586B3B"/>
    <w:rPr>
      <w:i/>
      <w:iCs/>
    </w:rPr>
  </w:style>
  <w:style w:type="character" w:styleId="Sterkutheving">
    <w:name w:val="Intense Emphasis"/>
    <w:basedOn w:val="Standardskriftforavsnitt"/>
    <w:uiPriority w:val="21"/>
    <w:qFormat/>
    <w:rsid w:val="00586B3B"/>
    <w:rPr>
      <w:b/>
      <w:bCs/>
      <w:i/>
      <w:iCs/>
      <w:color w:val="4F81BD" w:themeColor="accent1"/>
    </w:rPr>
  </w:style>
  <w:style w:type="character" w:styleId="Svakreferanse">
    <w:name w:val="Subtle Reference"/>
    <w:basedOn w:val="Standardskriftforavsnitt"/>
    <w:uiPriority w:val="31"/>
    <w:qFormat/>
    <w:rsid w:val="00586B3B"/>
    <w:rPr>
      <w:smallCaps/>
      <w:color w:val="C0504D" w:themeColor="accent2"/>
      <w:u w:val="single"/>
    </w:rPr>
  </w:style>
  <w:style w:type="character" w:styleId="Sterkreferanse">
    <w:name w:val="Intense Reference"/>
    <w:basedOn w:val="Standardskriftforavsnitt"/>
    <w:uiPriority w:val="32"/>
    <w:qFormat/>
    <w:rsid w:val="00586B3B"/>
    <w:rPr>
      <w:b/>
      <w:bCs/>
      <w:smallCaps/>
      <w:color w:val="C0504D" w:themeColor="accent2"/>
      <w:spacing w:val="5"/>
      <w:u w:val="single"/>
    </w:rPr>
  </w:style>
  <w:style w:type="character" w:styleId="Merknadsreferanse">
    <w:name w:val="annotation reference"/>
    <w:basedOn w:val="Standardskriftforavsnitt"/>
    <w:rsid w:val="00586B3B"/>
    <w:rPr>
      <w:sz w:val="16"/>
    </w:rPr>
  </w:style>
  <w:style w:type="character" w:styleId="Sluttnotereferanse">
    <w:name w:val="endnote reference"/>
    <w:basedOn w:val="Standardskriftforavsnitt"/>
    <w:uiPriority w:val="99"/>
    <w:unhideWhenUsed/>
    <w:rsid w:val="00586B3B"/>
    <w:rPr>
      <w:vertAlign w:val="superscript"/>
    </w:rPr>
  </w:style>
  <w:style w:type="character" w:styleId="Fulgthyperkobling">
    <w:name w:val="FollowedHyperlink"/>
    <w:basedOn w:val="Standardskriftforavsnitt"/>
    <w:uiPriority w:val="99"/>
    <w:unhideWhenUsed/>
    <w:rsid w:val="00586B3B"/>
    <w:rPr>
      <w:color w:val="800080" w:themeColor="followedHyperlink"/>
      <w:u w:val="single"/>
    </w:rPr>
  </w:style>
  <w:style w:type="character" w:styleId="HTML-sitat">
    <w:name w:val="HTML Cite"/>
    <w:basedOn w:val="Standardskriftforavsnitt"/>
    <w:uiPriority w:val="99"/>
    <w:unhideWhenUsed/>
    <w:rsid w:val="00586B3B"/>
    <w:rPr>
      <w:i/>
      <w:iCs/>
    </w:rPr>
  </w:style>
  <w:style w:type="character" w:styleId="HTML-kode">
    <w:name w:val="HTML Code"/>
    <w:basedOn w:val="Standardskriftforavsnitt"/>
    <w:uiPriority w:val="99"/>
    <w:unhideWhenUsed/>
    <w:rsid w:val="00586B3B"/>
    <w:rPr>
      <w:rFonts w:ascii="Consolas" w:hAnsi="Consolas"/>
      <w:sz w:val="20"/>
      <w:szCs w:val="20"/>
    </w:rPr>
  </w:style>
  <w:style w:type="character" w:styleId="HTML-definisjon">
    <w:name w:val="HTML Definition"/>
    <w:basedOn w:val="Standardskriftforavsnitt"/>
    <w:uiPriority w:val="99"/>
    <w:unhideWhenUsed/>
    <w:rsid w:val="00586B3B"/>
    <w:rPr>
      <w:i/>
      <w:iCs/>
    </w:rPr>
  </w:style>
  <w:style w:type="character" w:styleId="HTML-tastatur">
    <w:name w:val="HTML Keyboard"/>
    <w:basedOn w:val="Standardskriftforavsnitt"/>
    <w:uiPriority w:val="99"/>
    <w:unhideWhenUsed/>
    <w:rsid w:val="00586B3B"/>
    <w:rPr>
      <w:rFonts w:ascii="Consolas" w:hAnsi="Consolas"/>
      <w:sz w:val="20"/>
      <w:szCs w:val="20"/>
    </w:rPr>
  </w:style>
  <w:style w:type="character" w:styleId="HTML-eksempel">
    <w:name w:val="HTML Sample"/>
    <w:basedOn w:val="Standardskriftforavsnitt"/>
    <w:uiPriority w:val="99"/>
    <w:unhideWhenUsed/>
    <w:rsid w:val="00586B3B"/>
    <w:rPr>
      <w:rFonts w:ascii="Consolas" w:hAnsi="Consolas"/>
      <w:sz w:val="24"/>
      <w:szCs w:val="24"/>
    </w:rPr>
  </w:style>
  <w:style w:type="character" w:styleId="HTML-skrivemaskin">
    <w:name w:val="HTML Typewriter"/>
    <w:basedOn w:val="Standardskriftforavsnitt"/>
    <w:uiPriority w:val="99"/>
    <w:unhideWhenUsed/>
    <w:rsid w:val="00586B3B"/>
    <w:rPr>
      <w:rFonts w:ascii="Consolas" w:hAnsi="Consolas"/>
      <w:sz w:val="20"/>
      <w:szCs w:val="20"/>
    </w:rPr>
  </w:style>
  <w:style w:type="character" w:styleId="HTML-variabel">
    <w:name w:val="HTML Variable"/>
    <w:basedOn w:val="Standardskriftforavsnitt"/>
    <w:uiPriority w:val="99"/>
    <w:unhideWhenUsed/>
    <w:rsid w:val="00586B3B"/>
    <w:rPr>
      <w:i/>
      <w:iCs/>
    </w:rPr>
  </w:style>
  <w:style w:type="character" w:styleId="Svakutheving">
    <w:name w:val="Subtle Emphasis"/>
    <w:basedOn w:val="Standardskriftforavsnitt"/>
    <w:uiPriority w:val="19"/>
    <w:qFormat/>
    <w:rsid w:val="00586B3B"/>
    <w:rPr>
      <w:i/>
      <w:iCs/>
      <w:color w:val="808080" w:themeColor="text1" w:themeTint="7F"/>
    </w:rPr>
  </w:style>
  <w:style w:type="character" w:styleId="Boktittel">
    <w:name w:val="Book Title"/>
    <w:basedOn w:val="Standardskriftforavsnitt"/>
    <w:uiPriority w:val="33"/>
    <w:qFormat/>
    <w:rsid w:val="00586B3B"/>
    <w:rPr>
      <w:b/>
      <w:bCs/>
      <w:smallCaps/>
      <w:spacing w:val="5"/>
    </w:rPr>
  </w:style>
  <w:style w:type="character" w:styleId="Fotnotereferanse">
    <w:name w:val="footnote reference"/>
    <w:basedOn w:val="Standardskriftforavsnitt"/>
    <w:rsid w:val="00586B3B"/>
    <w:rPr>
      <w:vertAlign w:val="superscript"/>
    </w:rPr>
  </w:style>
  <w:style w:type="character" w:customStyle="1" w:styleId="gjennomstreket">
    <w:name w:val="gjennomstreket"/>
    <w:uiPriority w:val="1"/>
    <w:rsid w:val="00586B3B"/>
    <w:rPr>
      <w:strike/>
      <w:dstrike w:val="0"/>
    </w:rPr>
  </w:style>
  <w:style w:type="character" w:customStyle="1" w:styleId="halvfet">
    <w:name w:val="halvfet"/>
    <w:basedOn w:val="Standardskriftforavsnitt"/>
    <w:rsid w:val="00586B3B"/>
    <w:rPr>
      <w:b/>
    </w:rPr>
  </w:style>
  <w:style w:type="character" w:styleId="Hyperkobling">
    <w:name w:val="Hyperlink"/>
    <w:basedOn w:val="Standardskriftforavsnitt"/>
    <w:uiPriority w:val="99"/>
    <w:unhideWhenUsed/>
    <w:rsid w:val="00586B3B"/>
    <w:rPr>
      <w:color w:val="0000FF" w:themeColor="hyperlink"/>
      <w:u w:val="single"/>
    </w:rPr>
  </w:style>
  <w:style w:type="character" w:customStyle="1" w:styleId="kursiv">
    <w:name w:val="kursiv"/>
    <w:basedOn w:val="Standardskriftforavsnitt"/>
    <w:rsid w:val="00586B3B"/>
    <w:rPr>
      <w:i/>
    </w:rPr>
  </w:style>
  <w:style w:type="character" w:customStyle="1" w:styleId="l-endring">
    <w:name w:val="l-endring"/>
    <w:basedOn w:val="Standardskriftforavsnitt"/>
    <w:rsid w:val="00586B3B"/>
    <w:rPr>
      <w:i/>
    </w:rPr>
  </w:style>
  <w:style w:type="character" w:styleId="Sidetall">
    <w:name w:val="page number"/>
    <w:basedOn w:val="Standardskriftforavsnitt"/>
    <w:rsid w:val="00586B3B"/>
  </w:style>
  <w:style w:type="character" w:styleId="Plassholdertekst">
    <w:name w:val="Placeholder Text"/>
    <w:basedOn w:val="Standardskriftforavsnitt"/>
    <w:uiPriority w:val="99"/>
    <w:rsid w:val="00586B3B"/>
    <w:rPr>
      <w:color w:val="808080"/>
    </w:rPr>
  </w:style>
  <w:style w:type="character" w:customStyle="1" w:styleId="regular">
    <w:name w:val="regular"/>
    <w:basedOn w:val="Standardskriftforavsnitt"/>
    <w:uiPriority w:val="1"/>
    <w:qFormat/>
    <w:rsid w:val="00586B3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586B3B"/>
    <w:rPr>
      <w:vertAlign w:val="superscript"/>
    </w:rPr>
  </w:style>
  <w:style w:type="character" w:customStyle="1" w:styleId="skrift-senket">
    <w:name w:val="skrift-senket"/>
    <w:basedOn w:val="Standardskriftforavsnitt"/>
    <w:rsid w:val="00586B3B"/>
    <w:rPr>
      <w:vertAlign w:val="subscript"/>
    </w:rPr>
  </w:style>
  <w:style w:type="character" w:customStyle="1" w:styleId="sperret">
    <w:name w:val="sperret"/>
    <w:basedOn w:val="Standardskriftforavsnitt"/>
    <w:rsid w:val="00586B3B"/>
    <w:rPr>
      <w:spacing w:val="30"/>
    </w:rPr>
  </w:style>
  <w:style w:type="character" w:customStyle="1" w:styleId="Stikkord">
    <w:name w:val="Stikkord"/>
    <w:basedOn w:val="Standardskriftforavsnitt"/>
    <w:rsid w:val="00586B3B"/>
    <w:rPr>
      <w:color w:val="0000FF"/>
    </w:rPr>
  </w:style>
  <w:style w:type="character" w:styleId="Sterk">
    <w:name w:val="Strong"/>
    <w:basedOn w:val="Standardskriftforavsnitt"/>
    <w:uiPriority w:val="22"/>
    <w:qFormat/>
    <w:rsid w:val="00586B3B"/>
    <w:rPr>
      <w:b/>
      <w:bCs/>
    </w:rPr>
  </w:style>
  <w:style w:type="table" w:customStyle="1" w:styleId="Tabell-VM">
    <w:name w:val="Tabell-VM"/>
    <w:basedOn w:val="Tabelltemaer"/>
    <w:uiPriority w:val="99"/>
    <w:qFormat/>
    <w:rsid w:val="00586B3B"/>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586B3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86B3B"/>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86B3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86B3B"/>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586B3B"/>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86B3B"/>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586B3B"/>
  </w:style>
  <w:style w:type="character" w:styleId="HTML-akronym">
    <w:name w:val="HTML Acronym"/>
    <w:basedOn w:val="Standardskriftforavsnitt"/>
    <w:uiPriority w:val="99"/>
    <w:semiHidden/>
    <w:unhideWhenUsed/>
    <w:rsid w:val="00586B3B"/>
  </w:style>
  <w:style w:type="table" w:styleId="Tabellrutenett">
    <w:name w:val="Table Grid"/>
    <w:basedOn w:val="Vanligtabell"/>
    <w:uiPriority w:val="59"/>
    <w:rsid w:val="00586B3B"/>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586B3B"/>
    <w:pPr>
      <w:numPr>
        <w:numId w:val="245"/>
      </w:numPr>
    </w:pPr>
  </w:style>
  <w:style w:type="numbering" w:customStyle="1" w:styleId="NrListeStil">
    <w:name w:val="NrListeStil"/>
    <w:uiPriority w:val="99"/>
    <w:rsid w:val="00586B3B"/>
    <w:pPr>
      <w:numPr>
        <w:numId w:val="246"/>
      </w:numPr>
    </w:pPr>
  </w:style>
  <w:style w:type="numbering" w:customStyle="1" w:styleId="RomListeStil">
    <w:name w:val="RomListeStil"/>
    <w:uiPriority w:val="99"/>
    <w:rsid w:val="00586B3B"/>
    <w:pPr>
      <w:numPr>
        <w:numId w:val="247"/>
      </w:numPr>
    </w:pPr>
  </w:style>
  <w:style w:type="numbering" w:customStyle="1" w:styleId="StrekListeStil">
    <w:name w:val="StrekListeStil"/>
    <w:uiPriority w:val="99"/>
    <w:rsid w:val="00586B3B"/>
    <w:pPr>
      <w:numPr>
        <w:numId w:val="248"/>
      </w:numPr>
    </w:pPr>
  </w:style>
  <w:style w:type="numbering" w:customStyle="1" w:styleId="OpplistingListeStil">
    <w:name w:val="OpplistingListeStil"/>
    <w:uiPriority w:val="99"/>
    <w:rsid w:val="00586B3B"/>
    <w:pPr>
      <w:numPr>
        <w:numId w:val="249"/>
      </w:numPr>
    </w:pPr>
  </w:style>
  <w:style w:type="numbering" w:customStyle="1" w:styleId="l-NummerertListeStil">
    <w:name w:val="l-NummerertListeStil"/>
    <w:uiPriority w:val="99"/>
    <w:rsid w:val="00586B3B"/>
    <w:pPr>
      <w:numPr>
        <w:numId w:val="250"/>
      </w:numPr>
    </w:pPr>
  </w:style>
  <w:style w:type="numbering" w:customStyle="1" w:styleId="l-AlfaListeStil">
    <w:name w:val="l-AlfaListeStil"/>
    <w:uiPriority w:val="99"/>
    <w:rsid w:val="00586B3B"/>
    <w:pPr>
      <w:numPr>
        <w:numId w:val="251"/>
      </w:numPr>
    </w:pPr>
  </w:style>
  <w:style w:type="numbering" w:customStyle="1" w:styleId="OverskrifterListeStil">
    <w:name w:val="OverskrifterListeStil"/>
    <w:uiPriority w:val="99"/>
    <w:rsid w:val="00586B3B"/>
    <w:pPr>
      <w:numPr>
        <w:numId w:val="252"/>
      </w:numPr>
    </w:pPr>
  </w:style>
  <w:style w:type="numbering" w:customStyle="1" w:styleId="l-ListeStilMal">
    <w:name w:val="l-ListeStilMal"/>
    <w:uiPriority w:val="99"/>
    <w:rsid w:val="00586B3B"/>
    <w:pPr>
      <w:numPr>
        <w:numId w:val="2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20</TotalTime>
  <Pages>165</Pages>
  <Words>67976</Words>
  <Characters>434243</Characters>
  <Application>Microsoft Office Word</Application>
  <DocSecurity>0</DocSecurity>
  <Lines>3618</Lines>
  <Paragraphs>1002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10</cp:revision>
  <dcterms:created xsi:type="dcterms:W3CDTF">2019-04-01T13:05:00Z</dcterms:created>
  <dcterms:modified xsi:type="dcterms:W3CDTF">2019-04-01T13:25:00Z</dcterms:modified>
</cp:coreProperties>
</file>