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DBAA" w14:textId="0450467C" w:rsidR="00F83215" w:rsidRPr="007676AD" w:rsidRDefault="007676AD" w:rsidP="007676AD">
      <w:pPr>
        <w:pStyle w:val="is-dep"/>
      </w:pPr>
      <w:r w:rsidRPr="007676AD">
        <w:t>Helse- og omsorgsdepartementet</w:t>
      </w:r>
    </w:p>
    <w:p w14:paraId="65B0D841" w14:textId="77777777" w:rsidR="00F83215" w:rsidRPr="007676AD" w:rsidRDefault="00F83215" w:rsidP="007676AD">
      <w:pPr>
        <w:pStyle w:val="i-hode"/>
      </w:pPr>
      <w:proofErr w:type="spellStart"/>
      <w:r w:rsidRPr="007676AD">
        <w:t>Prop</w:t>
      </w:r>
      <w:proofErr w:type="spellEnd"/>
      <w:r w:rsidRPr="007676AD">
        <w:t>. 100 L</w:t>
      </w:r>
    </w:p>
    <w:p w14:paraId="4C652B1A" w14:textId="77777777" w:rsidR="00F83215" w:rsidRPr="007676AD" w:rsidRDefault="00F83215" w:rsidP="007676AD">
      <w:pPr>
        <w:pStyle w:val="i-sesjon"/>
      </w:pPr>
      <w:r w:rsidRPr="007676AD">
        <w:t>(2023–2024)</w:t>
      </w:r>
    </w:p>
    <w:p w14:paraId="60335717" w14:textId="77777777" w:rsidR="00F83215" w:rsidRPr="007676AD" w:rsidRDefault="00F83215" w:rsidP="007676AD">
      <w:pPr>
        <w:pStyle w:val="i-hode-tit"/>
      </w:pPr>
      <w:r w:rsidRPr="007676AD">
        <w:t>Proposisjon til Stortinget (forslag til lovvedtak)</w:t>
      </w:r>
    </w:p>
    <w:p w14:paraId="2CA0F49C" w14:textId="77777777" w:rsidR="00F83215" w:rsidRPr="007676AD" w:rsidRDefault="00F83215" w:rsidP="007676AD">
      <w:pPr>
        <w:pStyle w:val="i-tit"/>
      </w:pPr>
      <w:r w:rsidRPr="007676AD">
        <w:t>Endringer i legemiddelloven og apotekloven (styrket legemiddelberedskap m.m.)</w:t>
      </w:r>
    </w:p>
    <w:p w14:paraId="35D4C3B0" w14:textId="341F7757" w:rsidR="00F83215" w:rsidRPr="007676AD" w:rsidRDefault="007676AD" w:rsidP="007676AD">
      <w:pPr>
        <w:pStyle w:val="i-dep"/>
      </w:pPr>
      <w:r w:rsidRPr="007676AD">
        <w:t>Helse- og omsorgsdepartementet</w:t>
      </w:r>
    </w:p>
    <w:p w14:paraId="3E640790" w14:textId="77777777" w:rsidR="00F83215" w:rsidRPr="007676AD" w:rsidRDefault="00F83215" w:rsidP="007676AD">
      <w:pPr>
        <w:pStyle w:val="i-hode"/>
      </w:pPr>
      <w:proofErr w:type="spellStart"/>
      <w:r w:rsidRPr="007676AD">
        <w:t>Prop</w:t>
      </w:r>
      <w:proofErr w:type="spellEnd"/>
      <w:r w:rsidRPr="007676AD">
        <w:t>. 100 L</w:t>
      </w:r>
    </w:p>
    <w:p w14:paraId="1E82E3E0" w14:textId="77777777" w:rsidR="00F83215" w:rsidRPr="007676AD" w:rsidRDefault="00F83215" w:rsidP="007676AD">
      <w:pPr>
        <w:pStyle w:val="i-sesjon"/>
      </w:pPr>
      <w:r w:rsidRPr="007676AD">
        <w:t>(2023–2024)</w:t>
      </w:r>
    </w:p>
    <w:p w14:paraId="1E6CC392" w14:textId="77777777" w:rsidR="00F83215" w:rsidRPr="007676AD" w:rsidRDefault="00F83215" w:rsidP="007676AD">
      <w:pPr>
        <w:pStyle w:val="i-hode-tit"/>
      </w:pPr>
      <w:r w:rsidRPr="007676AD">
        <w:t>Proposisjon til Stortinget (forslag til lovvedtak)</w:t>
      </w:r>
    </w:p>
    <w:p w14:paraId="4D977E8C" w14:textId="77777777" w:rsidR="00F83215" w:rsidRPr="007676AD" w:rsidRDefault="00F83215" w:rsidP="007676AD">
      <w:pPr>
        <w:pStyle w:val="i-tit"/>
      </w:pPr>
      <w:r w:rsidRPr="007676AD">
        <w:t xml:space="preserve">Endringer i legemiddelloven og apotekloven </w:t>
      </w:r>
      <w:r w:rsidRPr="007676AD">
        <w:br/>
        <w:t>(styrket legemiddelbere</w:t>
      </w:r>
      <w:r w:rsidRPr="007676AD">
        <w:t>dskap m.m.)</w:t>
      </w:r>
    </w:p>
    <w:p w14:paraId="47DE97C7" w14:textId="77777777" w:rsidR="00F83215" w:rsidRPr="007676AD" w:rsidRDefault="00F83215" w:rsidP="007676AD">
      <w:pPr>
        <w:pStyle w:val="i-statsrdato"/>
      </w:pPr>
      <w:r w:rsidRPr="007676AD">
        <w:t xml:space="preserve">Tilråding fra </w:t>
      </w:r>
      <w:bookmarkStart w:id="0" w:name="_Hlk165536643"/>
      <w:r w:rsidRPr="007676AD">
        <w:t>Helse- og omsorgsdepartementet</w:t>
      </w:r>
      <w:bookmarkEnd w:id="0"/>
      <w:r w:rsidRPr="007676AD">
        <w:t xml:space="preserve"> 3. mai 2024, </w:t>
      </w:r>
      <w:r w:rsidRPr="007676AD">
        <w:br/>
        <w:t xml:space="preserve">godkjent i statsråd samme dag. </w:t>
      </w:r>
      <w:r w:rsidRPr="007676AD">
        <w:br/>
        <w:t>(Regjeringen Støre)</w:t>
      </w:r>
    </w:p>
    <w:p w14:paraId="41717BBE" w14:textId="77777777" w:rsidR="00F83215" w:rsidRPr="007676AD" w:rsidRDefault="00F83215" w:rsidP="007676AD">
      <w:pPr>
        <w:pStyle w:val="Overskrift1"/>
      </w:pPr>
      <w:r w:rsidRPr="007676AD">
        <w:t>Proposisjonens hovedinnhold</w:t>
      </w:r>
    </w:p>
    <w:p w14:paraId="39A508AF" w14:textId="77777777" w:rsidR="00F83215" w:rsidRPr="007676AD" w:rsidRDefault="00F83215" w:rsidP="007676AD">
      <w:r w:rsidRPr="007676AD">
        <w:t>Helse- og omsorgsdepar</w:t>
      </w:r>
      <w:r w:rsidRPr="007676AD">
        <w:t>tementet fremmer med dette forslag til endringer i legemiddelloven og apotekloven for å kunne innføre tiltak som skal bidra til å styrke legemiddelberedskapen og legemiddeltilgangen i Norge utenfor kriser og katastrofer. Forslaget grenser derfor opp mot he</w:t>
      </w:r>
      <w:r w:rsidRPr="007676AD">
        <w:t>lseberedskapslovens bestemmelser. Forslaget gir hjemmelsgrunnlag for å kunne iverksette ulike tiltak når det er fare for tilgangen til legemidler i Norge. Dette omfatter å kunne pålegge apotek og grossister restriksjoner ved utlevering og salg av legemidle</w:t>
      </w:r>
      <w:r w:rsidRPr="007676AD">
        <w:t xml:space="preserve">r, og å gi grossistene og apotekene plikt til å gi departementet elektronisk tilgang til lagerstatus. I tillegg foreslås det å innføre hjemmel for å kunne ilegge overtredelsesgebyr og tvangsmulkt ved brudd på flere av </w:t>
      </w:r>
      <w:r w:rsidRPr="007676AD">
        <w:lastRenderedPageBreak/>
        <w:t>handlingsnormene som omfattes av forsl</w:t>
      </w:r>
      <w:r w:rsidRPr="007676AD">
        <w:t>aget. Forslaget bidrar til styrket legemiddelberedskap og ivaretar hensynet til folkehelsen og pasientsikkerheten.</w:t>
      </w:r>
    </w:p>
    <w:p w14:paraId="0B4AE131" w14:textId="65380F83" w:rsidR="00F83215" w:rsidRPr="007676AD" w:rsidRDefault="00F83215" w:rsidP="007676AD">
      <w:r w:rsidRPr="007676AD">
        <w:t xml:space="preserve">Forslaget omfatter videre endringer i legemiddelloven knyttet til grossistvirksomhet med legemidler. Det foreslås å innføre hjemmelsgrunnlag </w:t>
      </w:r>
      <w:r w:rsidRPr="007676AD">
        <w:t>for at myndighetene kan fastsette grossistavanse for legemidler som anskaffes av spesialisthelsetjenesten. Hjemmelen kan benyttes om det skulle oppstå en situasjon hvor helseforetakene ikke oppnår avtaler med grossistene om avanse for blant annet distribus</w:t>
      </w:r>
      <w:r w:rsidRPr="007676AD">
        <w:t>jon av h</w:t>
      </w:r>
      <w:r w:rsidR="007676AD">
        <w:t>-</w:t>
      </w:r>
      <w:r w:rsidRPr="007676AD">
        <w:t>reseptlegemidler, eller hvor de mottatte tilbudene er høye sammenlignet med det nåværende avtalebaserte nivået. Det foreslås videre å endre den eldre betegnelsen «</w:t>
      </w:r>
      <w:proofErr w:type="spellStart"/>
      <w:r w:rsidRPr="007676AD">
        <w:t>engrosvirksomhet</w:t>
      </w:r>
      <w:proofErr w:type="spellEnd"/>
      <w:r w:rsidRPr="007676AD">
        <w:t>» med den mer moderne betegnelsen «grossistvirksomhet», og å endre d</w:t>
      </w:r>
      <w:r w:rsidRPr="007676AD">
        <w:t>efinisjon av «grossistvirksomhet» i samsvar med det som følger av EØS-avtalens bestemmelser om legemiddelgrossister. Det foreslås også endringer i legemiddellovens bestemmelser om grossistenes direkteleveranser til profesjonelle sluttbrukere, og om hvem so</w:t>
      </w:r>
      <w:r w:rsidRPr="007676AD">
        <w:t>m kan selge legemidler til ikke medisinsk bruk.</w:t>
      </w:r>
    </w:p>
    <w:p w14:paraId="52ADD071" w14:textId="77777777" w:rsidR="00F83215" w:rsidRPr="007676AD" w:rsidRDefault="00F83215" w:rsidP="007676AD">
      <w:r w:rsidRPr="007676AD">
        <w:t>Statens legemiddelverk (Legemiddelverket) endret navn til Direktoratet for medisinske produkter (DMP) 1. januar 2024. Det tidligere navnet benyttes ved omtale av aktiviteter som fant sted før navnebyttet.</w:t>
      </w:r>
    </w:p>
    <w:p w14:paraId="71226F5E" w14:textId="77777777" w:rsidR="00F83215" w:rsidRPr="007676AD" w:rsidRDefault="00F83215" w:rsidP="007676AD">
      <w:pPr>
        <w:pStyle w:val="Overskrift1"/>
      </w:pPr>
      <w:r w:rsidRPr="007676AD">
        <w:t>Bakgrunnen for lovforslaget</w:t>
      </w:r>
    </w:p>
    <w:p w14:paraId="51174DB4" w14:textId="77777777" w:rsidR="00F83215" w:rsidRPr="007676AD" w:rsidRDefault="00F83215" w:rsidP="007676AD">
      <w:pPr>
        <w:pStyle w:val="Overskrift2"/>
      </w:pPr>
      <w:r w:rsidRPr="007676AD">
        <w:t>Legemiddelmangel</w:t>
      </w:r>
    </w:p>
    <w:p w14:paraId="060CC33E" w14:textId="77777777" w:rsidR="00F83215" w:rsidRPr="007676AD" w:rsidRDefault="00F83215" w:rsidP="007676AD">
      <w:r w:rsidRPr="007676AD">
        <w:t>Den stør</w:t>
      </w:r>
      <w:r w:rsidRPr="007676AD">
        <w:t>ste andelen av mangelsituasjonene omfatter legemidler som forskrives i den kommunale helse- og omsorgstjenesten. Eldre og rimeligere legemidler som har gått av patent og ofte brukes av store pasientgrupper, rammes også oftere av legemiddelmangel. De fleste</w:t>
      </w:r>
      <w:r w:rsidRPr="007676AD">
        <w:t xml:space="preserve"> mangeltilfeller løses ved at pasientene får utlevert et tilsvarende legemiddel med markedsføringstillatelse i Norge eller utenlandske pakninger. Av og til kan en legemiddelmangel føre til at pasienter må bytte behandling. Kompleksiteten øker for hvert byt</w:t>
      </w:r>
      <w:r w:rsidRPr="007676AD">
        <w:t>te og dermed er risikoen for pasientskader større med økende mangeltilfeller.</w:t>
      </w:r>
    </w:p>
    <w:p w14:paraId="32AAD4A0" w14:textId="77777777" w:rsidR="00F83215" w:rsidRPr="007676AD" w:rsidRDefault="00F83215" w:rsidP="007676AD">
      <w:r w:rsidRPr="007676AD">
        <w:t>Det varierer hvor alvorlige og omfattende legemiddelmangelsakene er, og hvor mange pasienter som rammes. Med økende antall alvorlige mangelsituasjoner, forventer vi flere komplis</w:t>
      </w:r>
      <w:r w:rsidRPr="007676AD">
        <w:t>erte tilfeller som man ikke får løst med annen legemiddelbehandling. Selv om alvorlighetsgraden ved de rapporterte mangelsituasjonene varierer betydelig, er legemiddelmangel et så alvorlig problem at vi også utenfor kriser og katastrofer må ha mulighet til</w:t>
      </w:r>
      <w:r w:rsidRPr="007676AD">
        <w:t xml:space="preserve"> å iverksette egnede tiltak.</w:t>
      </w:r>
    </w:p>
    <w:p w14:paraId="5EABD351" w14:textId="77777777" w:rsidR="00F83215" w:rsidRPr="007676AD" w:rsidRDefault="00F83215" w:rsidP="007676AD">
      <w:r w:rsidRPr="007676AD">
        <w:t>Årsakene til legemiddelmangel er komplekse som følge av at legemiddelmarkedet og forsyningskjedene er globale. Ett og samme legemiddel inneholder bestanddeler fra flere land og verdensdeler. De viktigste årsakene til mangelsitu</w:t>
      </w:r>
      <w:r w:rsidRPr="007676AD">
        <w:t>asjoner er produksjonsproblemer knyttet til utfordringer i tilgangen til nødvendige innsatsfaktorer, at legemidler trekkes fra markedet, problemer med logistikken og rask økning i etterspørselen. Produksjons- og logistikkproblemer er forhold Norge vanskeli</w:t>
      </w:r>
      <w:r w:rsidRPr="007676AD">
        <w:t>g kan påvirke. Årsakene til legemiddelmangel ligger derfor i hovedsak utenfor Norge.</w:t>
      </w:r>
    </w:p>
    <w:p w14:paraId="00D6B86D" w14:textId="77777777" w:rsidR="00F83215" w:rsidRPr="007676AD" w:rsidRDefault="00F83215" w:rsidP="007676AD">
      <w:r w:rsidRPr="007676AD">
        <w:lastRenderedPageBreak/>
        <w:t>Norge er i tillegg et lite marked, og dette gjør oss spesielt sårbare i legemiddelmangelsaker som rammer mange land. Som regel står ikke Norge alene i mangelsituasjoner, o</w:t>
      </w:r>
      <w:r w:rsidRPr="007676AD">
        <w:t>g mange land i Europa og verden opplever det samme. Det er ikke nødvendigvis slik at det norske markedet vil bli prioritert i slike situasjoner.</w:t>
      </w:r>
    </w:p>
    <w:p w14:paraId="486DD396" w14:textId="77777777" w:rsidR="00F83215" w:rsidRPr="007676AD" w:rsidRDefault="00F83215" w:rsidP="007676AD">
      <w:r w:rsidRPr="007676AD">
        <w:t>Covid-19 har satt ytterligere søkelys på legemiddelmangel som en betydelig utfordring. Økt etterspørsel av lege</w:t>
      </w:r>
      <w:r w:rsidRPr="007676AD">
        <w:t>midler brukt til behandling av covid-19, avbrudd og forstyrrelser i de globale produksjons- og forsyningskjedene og eksportrestriksjoner bidro til en økt risiko for legemiddelmangel under pandemien. Likevel har økt oppmerksomhet fra myndighetene gjennom re</w:t>
      </w:r>
      <w:r w:rsidRPr="007676AD">
        <w:t>gulatoriske tiltak medført at vi faktisk opplevde en nedgang i antallet mangelmeldinger under pandemien. Det antas at en urolig verden med krig i Ukraina og Midtøsten har bidratt til at antallet mangelmeldinger ikke har gått ytterligere ned. Vi har i etter</w:t>
      </w:r>
      <w:r w:rsidRPr="007676AD">
        <w:t>kant av pandemien sett en ny økning av legemiddelmangler.</w:t>
      </w:r>
    </w:p>
    <w:p w14:paraId="385AFEDB" w14:textId="77777777" w:rsidR="00F83215" w:rsidRPr="007676AD" w:rsidRDefault="00F83215" w:rsidP="007676AD">
      <w:r w:rsidRPr="007676AD">
        <w:t xml:space="preserve">I 2023 mottok Legemiddelverket 1403 mangelmeldinger. Noen saker er vanskeligere å løse enn andre. Høsten 2023 hadde vi en alvorlig mangel på </w:t>
      </w:r>
      <w:proofErr w:type="spellStart"/>
      <w:r w:rsidRPr="007676AD">
        <w:t>lisdeksamfetamin</w:t>
      </w:r>
      <w:proofErr w:type="spellEnd"/>
      <w:r w:rsidRPr="007676AD">
        <w:t xml:space="preserve"> til behandling av ADHD. Originalprodusen</w:t>
      </w:r>
      <w:r w:rsidRPr="007676AD">
        <w:t xml:space="preserve">ten forventet generisk konkurranse og nedjusterte sine leveranser til Norge, samtidig som ny </w:t>
      </w:r>
      <w:proofErr w:type="spellStart"/>
      <w:r w:rsidRPr="007676AD">
        <w:t>generikaleverandør</w:t>
      </w:r>
      <w:proofErr w:type="spellEnd"/>
      <w:r w:rsidRPr="007676AD">
        <w:t xml:space="preserve"> var forsinket. Mange pasienter ble rammet og måtte bytte behandling, eller ble stående uten.</w:t>
      </w:r>
    </w:p>
    <w:p w14:paraId="15EFE2F0" w14:textId="77777777" w:rsidR="00F83215" w:rsidRPr="007676AD" w:rsidRDefault="00F83215" w:rsidP="007676AD">
      <w:r w:rsidRPr="007676AD">
        <w:t>Det har i lang tid vært forsyningsproblemer på GLP-</w:t>
      </w:r>
      <w:r w:rsidRPr="007676AD">
        <w:t xml:space="preserve">1-analogen </w:t>
      </w:r>
      <w:proofErr w:type="spellStart"/>
      <w:r w:rsidRPr="007676AD">
        <w:t>Ozempic</w:t>
      </w:r>
      <w:proofErr w:type="spellEnd"/>
      <w:r w:rsidRPr="007676AD">
        <w:t xml:space="preserve"> til behandling av diabetes type 2. Produksjonskapasiteten globalt er ikke tilstrekkelig for å dekke etterspørselen. Det tar tid å bygge opp produksjonskapasiteten. Mangelsituasjonen gjelder flere land i Europa, og utfordringene forventes</w:t>
      </w:r>
      <w:r w:rsidRPr="007676AD">
        <w:t xml:space="preserve"> å vedvare i 2024.</w:t>
      </w:r>
    </w:p>
    <w:p w14:paraId="2EE1E0B0" w14:textId="77777777" w:rsidR="00F83215" w:rsidRPr="007676AD" w:rsidRDefault="00F83215" w:rsidP="007676AD">
      <w:r w:rsidRPr="007676AD">
        <w:t>Mange kvinner ble også rammet av mangel på hormonplaster til behandling av overgangsplager.</w:t>
      </w:r>
    </w:p>
    <w:p w14:paraId="2A758F10" w14:textId="77777777" w:rsidR="00F83215" w:rsidRPr="007676AD" w:rsidRDefault="00F83215" w:rsidP="007676AD">
      <w:r w:rsidRPr="007676AD">
        <w:t xml:space="preserve">I perioder har forsyningsproblemer på flere ulike typer antibiotika skapt utfordringer. På europeisk nivå opplevde vi en betydelig mangel på </w:t>
      </w:r>
      <w:proofErr w:type="spellStart"/>
      <w:r w:rsidRPr="007676AD">
        <w:t>amox</w:t>
      </w:r>
      <w:r w:rsidRPr="007676AD">
        <w:t>icillin</w:t>
      </w:r>
      <w:proofErr w:type="spellEnd"/>
      <w:r w:rsidRPr="007676AD">
        <w:t xml:space="preserve"> høsten 2022/vinteren 2023. I løpet av høsten 2023 var det forsyningsproblemer på </w:t>
      </w:r>
      <w:proofErr w:type="spellStart"/>
      <w:r w:rsidRPr="007676AD">
        <w:t>apocillintabletter</w:t>
      </w:r>
      <w:proofErr w:type="spellEnd"/>
      <w:r w:rsidRPr="007676AD">
        <w:t>, og mikstur og tabletter med erytromycin. Dette løste seg imidlertid uten større konsekvenser for pasienter og helsetjenesten.</w:t>
      </w:r>
    </w:p>
    <w:p w14:paraId="7AFE2B75" w14:textId="77777777" w:rsidR="00F83215" w:rsidRPr="007676AD" w:rsidRDefault="00F83215" w:rsidP="007676AD">
      <w:r w:rsidRPr="007676AD">
        <w:t>Forsyningen av smalsp</w:t>
      </w:r>
      <w:r w:rsidRPr="007676AD">
        <w:t>ektret og eldre antibiotika er sårbar, fordi markedet for disse legemidlene er lite og produsentene er få. I 2023 økte derfor Legemiddelverket prisen på en gruppe eldre antibiotika, for å redusere risikoen for at de forsvinner fra det norske markedet. Dire</w:t>
      </w:r>
      <w:r w:rsidRPr="007676AD">
        <w:t>ktoratet for medisinske produkter jobber aktivt for å forebygge og håndtere mangelsituasjoner.</w:t>
      </w:r>
    </w:p>
    <w:p w14:paraId="03D60EC2" w14:textId="77777777" w:rsidR="00F83215" w:rsidRPr="007676AD" w:rsidRDefault="00F83215" w:rsidP="007676AD">
      <w:r w:rsidRPr="007676AD">
        <w:t>Godt samarbeid med andre aktører gjør at de fleste mangelsituasjoner løses. Likevel trenger vi flere virkemidler for å håndtere legemiddelmangel slik at pasiente</w:t>
      </w:r>
      <w:r w:rsidRPr="007676AD">
        <w:t>nes tilgang ivaretas. Denne lovproposisjonen inneholder forslag om virkemidler som anses effektive og gode.</w:t>
      </w:r>
    </w:p>
    <w:p w14:paraId="4600E7A4" w14:textId="77777777" w:rsidR="00F83215" w:rsidRPr="007676AD" w:rsidRDefault="00F83215" w:rsidP="007676AD">
      <w:pPr>
        <w:pStyle w:val="Overskrift2"/>
      </w:pPr>
      <w:r w:rsidRPr="007676AD">
        <w:lastRenderedPageBreak/>
        <w:t>Gjeldende rett</w:t>
      </w:r>
    </w:p>
    <w:p w14:paraId="2BC35D24" w14:textId="77777777" w:rsidR="00F83215" w:rsidRPr="007676AD" w:rsidRDefault="00F83215" w:rsidP="007676AD">
      <w:pPr>
        <w:pStyle w:val="Overskrift3"/>
      </w:pPr>
      <w:r w:rsidRPr="007676AD">
        <w:t>Legemiddelloven og apotekloven med forskrifter</w:t>
      </w:r>
    </w:p>
    <w:p w14:paraId="00D8EA66" w14:textId="77777777" w:rsidR="00F83215" w:rsidRPr="007676AD" w:rsidRDefault="00F83215" w:rsidP="007676AD">
      <w:pPr>
        <w:pStyle w:val="avsnitt-undertittel"/>
      </w:pPr>
      <w:r w:rsidRPr="007676AD">
        <w:t>Innehavere av markedsføringstillatelse</w:t>
      </w:r>
    </w:p>
    <w:p w14:paraId="1CA50700" w14:textId="77777777" w:rsidR="00F83215" w:rsidRPr="007676AD" w:rsidRDefault="00F83215" w:rsidP="007676AD">
      <w:r w:rsidRPr="007676AD">
        <w:t>Etter legemiddelforskriften § 8-6 bokstav d, har innehaver av markedsføringstillatelse for et legemiddel en plikt til å underrette Direktoratet for medisinske produkter, dersom et legemiddel midlertidig eller permanent ikke lenger vil bli markedsført i Nor</w:t>
      </w:r>
      <w:r w:rsidRPr="007676AD">
        <w:t xml:space="preserve">ge. Bestemmelsen er hjemlet i legemiddelloven § 10 første ledd, og </w:t>
      </w:r>
      <w:proofErr w:type="gramStart"/>
      <w:r w:rsidRPr="007676AD">
        <w:t>implementerer</w:t>
      </w:r>
      <w:proofErr w:type="gramEnd"/>
      <w:r w:rsidRPr="007676AD">
        <w:t xml:space="preserve"> direktiv 2001/83/EF (legemiddeldirektivet) artikkel 23a andre avsnitt. Meldesystemet er Direktoratet for medisinske produkters hovedkilde til informasjon om at en mangelsituas</w:t>
      </w:r>
      <w:r w:rsidRPr="007676AD">
        <w:t>jon kan eller er i ferd med å oppstå. Det påpekes at dersom Direktoratet for medisinske produkter mottar tips om at en mangelsituasjon kan oppstå fra «andre» aktører som Mangelsenteret til spesialisthelsetjenesten, grossist eller apotek før innehaver av ma</w:t>
      </w:r>
      <w:r w:rsidRPr="007676AD">
        <w:t>rkedsføringstillatelse har meldt ifra, må de innhente en slik mangelmelding.</w:t>
      </w:r>
    </w:p>
    <w:p w14:paraId="020A4A78" w14:textId="77777777" w:rsidR="00F83215" w:rsidRPr="007676AD" w:rsidRDefault="00F83215" w:rsidP="007676AD">
      <w:r w:rsidRPr="007676AD">
        <w:t>Videre kan Direktoratet for medisinske produkter tillate omsetning av et legemiddel uten markedsføringstillatelse i Norge dersom det finnes et likeverdig legemiddel med markedsfør</w:t>
      </w:r>
      <w:r w:rsidRPr="007676AD">
        <w:t>ingstillatelse i et annet EØS-land, jf. legemiddelforskriften § 2-8. Vilkårene for å anvende § 2-8 er at legemiddelet har markedsføringstillatelse i EØS-området etter reglene i legemiddeldirektivet, og at slik omsetning kan begrunnes i hensynet til beskytt</w:t>
      </w:r>
      <w:r w:rsidRPr="007676AD">
        <w:t>else av folkehelsen. Etter bestemmelsens tredje ledd kan det også gjøres unntak fra kravet om markedsføringstillatelse i særlige tilfeller.</w:t>
      </w:r>
    </w:p>
    <w:p w14:paraId="5FD796CD" w14:textId="77777777" w:rsidR="00F83215" w:rsidRPr="007676AD" w:rsidRDefault="00F83215" w:rsidP="007676AD">
      <w:r w:rsidRPr="007676AD">
        <w:t>Legemiddelloven § 28 a gir hjemmel for å ilegge overtredelsesgebyr ved overtredelse av flere av handlingsnormene git</w:t>
      </w:r>
      <w:r w:rsidRPr="007676AD">
        <w:t xml:space="preserve">t i eller i </w:t>
      </w:r>
      <w:proofErr w:type="gramStart"/>
      <w:r w:rsidRPr="007676AD">
        <w:t>medhold av</w:t>
      </w:r>
      <w:proofErr w:type="gramEnd"/>
      <w:r w:rsidRPr="007676AD">
        <w:t xml:space="preserve"> loven.</w:t>
      </w:r>
    </w:p>
    <w:p w14:paraId="6CC11751" w14:textId="77777777" w:rsidR="00F83215" w:rsidRPr="007676AD" w:rsidRDefault="00F83215" w:rsidP="007676AD">
      <w:pPr>
        <w:pStyle w:val="avsnitt-undertittel"/>
      </w:pPr>
      <w:r w:rsidRPr="007676AD">
        <w:t>Apotek</w:t>
      </w:r>
    </w:p>
    <w:p w14:paraId="46A8799C" w14:textId="77777777" w:rsidR="00F83215" w:rsidRPr="007676AD" w:rsidRDefault="00F83215" w:rsidP="007676AD">
      <w:r w:rsidRPr="007676AD">
        <w:t>Apotekloven regulerer virksomheten i apotek. Loven har til formål å sikre forsvarlig utlevering av legemidler til sluttbruker, og skal blant annet medvirke til god tilgjengelighet av legemidler i alle deler av landet, j</w:t>
      </w:r>
      <w:r w:rsidRPr="007676AD">
        <w:t>f. apotekloven § 1-1.</w:t>
      </w:r>
    </w:p>
    <w:p w14:paraId="484E20D3" w14:textId="77777777" w:rsidR="00F83215" w:rsidRPr="007676AD" w:rsidRDefault="00F83215" w:rsidP="007676AD">
      <w:r w:rsidRPr="007676AD">
        <w:t>Etter apotekloven § 5-3 har apoteket en forhandlingsplikt. Denne innebærer at apoteket har plikt til å forhandle alle legemidler som er tillatt solgt i Norge. Forhandlingsplikten gjelder også vanlig medisinsk utstyr som benyttes av fo</w:t>
      </w:r>
      <w:r w:rsidRPr="007676AD">
        <w:t>rbrukere. Forhandlingsplikten er begrunnet i apotekenes monopol på legemiddelsalget, jf. Ot.prp. nr. 29 (1998–99) s. 144. Etter bestemmelsens andre ledd kan departementet gi forskrift som fastsetter nærmere hvilke artikler eller varegrupper som omfattes av</w:t>
      </w:r>
      <w:r w:rsidRPr="007676AD">
        <w:t xml:space="preserve"> forhandlingsplikten, og bestemmelser som innskrenker eller utvider forhandlingsplikten. Slike bestemmelser er gitt iblant annet apotekforskriften § 26.</w:t>
      </w:r>
    </w:p>
    <w:p w14:paraId="784E1F9B" w14:textId="77777777" w:rsidR="00F83215" w:rsidRPr="007676AD" w:rsidRDefault="00F83215" w:rsidP="007676AD">
      <w:r w:rsidRPr="007676AD">
        <w:t>Apotekloven § 6-1 gir videre apotekene en rett til å levere forhandlingspliktige varer og yte de tjenes</w:t>
      </w:r>
      <w:r w:rsidRPr="007676AD">
        <w:t xml:space="preserve">ter som følger av forhandlingsplikten. Retten gjelder så langt annet ikke følger av lov og forskrift. At det kun er apotekene som i utgangspunktet forhandler legemidler følger også av legemiddelloven § 16. Det </w:t>
      </w:r>
      <w:proofErr w:type="gramStart"/>
      <w:r w:rsidRPr="007676AD">
        <w:t>fremgår</w:t>
      </w:r>
      <w:proofErr w:type="gramEnd"/>
      <w:r w:rsidRPr="007676AD">
        <w:t xml:space="preserve"> av denne bestemmelsen at salg av legem</w:t>
      </w:r>
      <w:r w:rsidRPr="007676AD">
        <w:t xml:space="preserve">idler til allmennheten bare må forestås av apotek og medisinutsalg underlagt et apotek. Bestemmelsen åpner </w:t>
      </w:r>
      <w:r w:rsidRPr="007676AD">
        <w:lastRenderedPageBreak/>
        <w:t>imidlertid også for at kjøpmenn kan selge legemidler i samsvar med forskrift om omsetning mv. av visse reseptfrie legemidler utenom apotek.</w:t>
      </w:r>
    </w:p>
    <w:p w14:paraId="681F7F28" w14:textId="77777777" w:rsidR="00F83215" w:rsidRPr="007676AD" w:rsidRDefault="00F83215" w:rsidP="007676AD">
      <w:r w:rsidRPr="007676AD">
        <w:t>Apotekene</w:t>
      </w:r>
      <w:r w:rsidRPr="007676AD">
        <w:t>s leveringsplikt følger av apotekloven § 6-2. Av bestemmelsen fremgår det at apotek så snart som mulig skal levere varer og yte tjenester som etterspørres og som omfattes eller følger av forhandlingsplikten, jf. apotekforskriften § 26. Unntak fra leverings</w:t>
      </w:r>
      <w:r w:rsidRPr="007676AD">
        <w:t>plikten følger av andre ledd, og i de aktuelle tilfellene suspenderes også leveringsretten, jf. Ot.prp. nr. 29 (1998–99) s. 149.</w:t>
      </w:r>
    </w:p>
    <w:p w14:paraId="1B5E197E" w14:textId="77777777" w:rsidR="00F83215" w:rsidRPr="007676AD" w:rsidRDefault="00F83215" w:rsidP="007676AD">
      <w:r w:rsidRPr="007676AD">
        <w:t>Leveringsplikten innebærer at apoteket plikter å levere det bestemte legemiddelet som kunden etterspør, og at kunden har et ret</w:t>
      </w:r>
      <w:r w:rsidRPr="007676AD">
        <w:t>tskrav på å bli ekspedert, forutsatt at kundens forpliktelser i kontraktsforholdet blir oppfylt, jf. Ot.prp. nr. 29 (1998–99) s. 148–149. Dersom det etterspurte legemiddelet ikke er på lager, har apoteket en plikt til å bestille det etterspurte legemiddele</w:t>
      </w:r>
      <w:r w:rsidRPr="007676AD">
        <w:t>t fra sin leverandør og levere det til kunden så snart som mulig Ot.prp. nr. 29 (1998–99) s. 148.</w:t>
      </w:r>
    </w:p>
    <w:p w14:paraId="0404C933" w14:textId="77777777" w:rsidR="00F83215" w:rsidRPr="007676AD" w:rsidRDefault="00F83215" w:rsidP="007676AD">
      <w:r w:rsidRPr="007676AD">
        <w:t xml:space="preserve">Apotekloven § 6-6 er nært forbundet med leveringsplikten og fastslår at legemidler skal utleveres nøyaktig etter resept og rekvisisjon. Bestemmelsen omfatter </w:t>
      </w:r>
      <w:r w:rsidRPr="007676AD">
        <w:t>utlevering av legemidler som bare gis med grunnlag i resept eller rekvisisjon. Bestemmelsen innebærer at rekvirentens samtykke må innhentes dersom apoteket eller kunden finner det riktig eller ønskelig at noe annet, i mengde eller art, enn det som er rekvi</w:t>
      </w:r>
      <w:r w:rsidRPr="007676AD">
        <w:t>rert blir utlevert, jf. Ot.prp. nr. 29 (1998–99) s. 150. Etter andre ledd er det gjort unntak for generisk og biotilsvarende bytte.</w:t>
      </w:r>
    </w:p>
    <w:p w14:paraId="46A75583" w14:textId="77777777" w:rsidR="00F83215" w:rsidRPr="007676AD" w:rsidRDefault="00F83215" w:rsidP="007676AD">
      <w:r w:rsidRPr="007676AD">
        <w:t xml:space="preserve">Det kan ilegges overtredelsesgebyr ved brudd på apotekloven § 3-8 andre ledd, jf. apotekloven § 9-6 og </w:t>
      </w:r>
      <w:proofErr w:type="spellStart"/>
      <w:r w:rsidRPr="007676AD">
        <w:t>Prop</w:t>
      </w:r>
      <w:proofErr w:type="spellEnd"/>
      <w:r w:rsidRPr="007676AD">
        <w:t>. 62 L (2018–2019</w:t>
      </w:r>
      <w:r w:rsidRPr="007676AD">
        <w:t xml:space="preserve">) </w:t>
      </w:r>
      <w:r w:rsidRPr="007676AD">
        <w:rPr>
          <w:rStyle w:val="kursiv"/>
        </w:rPr>
        <w:t>Endringer i apotekloven, legemiddelloven og folketrygdloven (overtredelsesgebyr)</w:t>
      </w:r>
      <w:r w:rsidRPr="007676AD">
        <w:t>. Overtredelsesgebyr ilegges av Direktoratet for medisinske produkter, jf. apotekforskriften § 2. Apotekloven inneholder flere andre typer reaksjonsmidler, som pålegg om rett</w:t>
      </w:r>
      <w:r w:rsidRPr="007676AD">
        <w:t>ing etter § 8-3, advarsel § 8-4, tilbakekall av konsesjon etter § 2-13, tvangsmulkt etter § 9-3 og bøter eller fengsel etter § 9-5.</w:t>
      </w:r>
    </w:p>
    <w:p w14:paraId="1C884DF8" w14:textId="77777777" w:rsidR="00F83215" w:rsidRPr="007676AD" w:rsidRDefault="00F83215" w:rsidP="007676AD">
      <w:pPr>
        <w:pStyle w:val="avsnitt-undertittel"/>
      </w:pPr>
      <w:r w:rsidRPr="007676AD">
        <w:t>Legemiddelgrossister</w:t>
      </w:r>
    </w:p>
    <w:p w14:paraId="3423F298" w14:textId="77777777" w:rsidR="00F83215" w:rsidRPr="007676AD" w:rsidRDefault="00F83215" w:rsidP="007676AD">
      <w:r w:rsidRPr="007676AD">
        <w:t>Apotekene kan bare få sine varer levert fra godkjente grossister eller andre som har departementets til</w:t>
      </w:r>
      <w:r w:rsidRPr="007676AD">
        <w:t xml:space="preserve">latelse, jf. apotekloven § 5-4. Legemiddelloven § 14 definerer grossist som virksomhet eller person som driver med </w:t>
      </w:r>
      <w:proofErr w:type="spellStart"/>
      <w:r w:rsidRPr="007676AD">
        <w:t>engrosomsetning</w:t>
      </w:r>
      <w:proofErr w:type="spellEnd"/>
      <w:r w:rsidRPr="007676AD">
        <w:t xml:space="preserve">. Av grossistforskriften § 1 følger det videre at med </w:t>
      </w:r>
      <w:proofErr w:type="spellStart"/>
      <w:r w:rsidRPr="007676AD">
        <w:t>engrosomsetning</w:t>
      </w:r>
      <w:proofErr w:type="spellEnd"/>
      <w:r w:rsidRPr="007676AD">
        <w:t xml:space="preserve"> menes all virksomhet som går ut på anskaffelse, oppbevar</w:t>
      </w:r>
      <w:r w:rsidRPr="007676AD">
        <w:t>ing, utlevering eller eksport av legemidler, med unntak for utlevering av legemidler til allmennheten.</w:t>
      </w:r>
    </w:p>
    <w:p w14:paraId="621E8057" w14:textId="77777777" w:rsidR="00F83215" w:rsidRPr="007676AD" w:rsidRDefault="00F83215" w:rsidP="007676AD">
      <w:proofErr w:type="spellStart"/>
      <w:r w:rsidRPr="007676AD">
        <w:t>Engrosomsetning</w:t>
      </w:r>
      <w:proofErr w:type="spellEnd"/>
      <w:r w:rsidRPr="007676AD">
        <w:t xml:space="preserve"> krever godkjenning fra departementet i henhold til legemiddelloven § 14 andre ledd. Godkjenningsmyndigheten er delegert til Direktoratet </w:t>
      </w:r>
      <w:r w:rsidRPr="007676AD">
        <w:t xml:space="preserve">for medisinske produkter etter grossistforskriften § 2. Tilvirkere og importører kan likevel drive </w:t>
      </w:r>
      <w:proofErr w:type="spellStart"/>
      <w:r w:rsidRPr="007676AD">
        <w:t>engrosomsetning</w:t>
      </w:r>
      <w:proofErr w:type="spellEnd"/>
      <w:r w:rsidRPr="007676AD">
        <w:t xml:space="preserve"> uten særskilt godkjenning med de legemidler tilvirker- eller importgodkjenningen gjelder for, jf. legemiddelloven § 14 andre ledd og grossist</w:t>
      </w:r>
      <w:r w:rsidRPr="007676AD">
        <w:t>forskriften § 3.</w:t>
      </w:r>
    </w:p>
    <w:p w14:paraId="472E829D" w14:textId="77777777" w:rsidR="00F83215" w:rsidRPr="007676AD" w:rsidRDefault="00F83215" w:rsidP="007676AD">
      <w:r w:rsidRPr="007676AD">
        <w:t>Etter legemiddelloven § 14 tredje ledd kan departementet i forskrift pål</w:t>
      </w:r>
      <w:r w:rsidRPr="007676AD">
        <w:t xml:space="preserve">egge grossister som utleverer legemidler til apotek visse forpliktelser til offentlig tjenesteytelse. Bestemmelsen hjemler leveringsplikten som følger av grossistforskriften § 4, hvor det </w:t>
      </w:r>
      <w:proofErr w:type="gramStart"/>
      <w:r w:rsidRPr="007676AD">
        <w:t>fremgår</w:t>
      </w:r>
      <w:proofErr w:type="gramEnd"/>
      <w:r w:rsidRPr="007676AD">
        <w:t xml:space="preserve"> at grossister som leverer til apotek som hovedregel må kunne</w:t>
      </w:r>
      <w:r w:rsidRPr="007676AD">
        <w:t xml:space="preserve"> levere hvor som helst i landet innen 24 timer. </w:t>
      </w:r>
      <w:r w:rsidRPr="007676AD">
        <w:lastRenderedPageBreak/>
        <w:t>I områder med vanskelige kommunikasjonsforhold skal leveransen skje innen 48 timer. Leveringsplikten omfatter alle legemidler som grossisten fører. Når særlige grunner foreligger, kan Direktoratet for medisin</w:t>
      </w:r>
      <w:r w:rsidRPr="007676AD">
        <w:t>ske produkter gjøre unntak fra kravet om leveringsplikt.</w:t>
      </w:r>
    </w:p>
    <w:p w14:paraId="5E55A849" w14:textId="77777777" w:rsidR="00F83215" w:rsidRPr="007676AD" w:rsidRDefault="00F83215" w:rsidP="007676AD">
      <w:r w:rsidRPr="007676AD">
        <w:t xml:space="preserve">Av legemiddelloven § 15 første ledd fremgår det at grossister bare kan få forsyninger av legemidler fra andre grossister eller fra tilvirkere og importører med rett til å drive </w:t>
      </w:r>
      <w:proofErr w:type="spellStart"/>
      <w:r w:rsidRPr="007676AD">
        <w:t>engrosomsetning</w:t>
      </w:r>
      <w:proofErr w:type="spellEnd"/>
      <w:r w:rsidRPr="007676AD">
        <w:t>. Vider</w:t>
      </w:r>
      <w:r w:rsidRPr="007676AD">
        <w:t>e kan grossister etter andre ledd bare utlevere legemidler til andre grossister, tilvirkere etter § 12, importører etter § 13 første ledd eller til personer eller virksomhet som driver med detaljomsetning etter § 16. Bestemmelsens andre ledd gir grossister</w:t>
      </w:r>
      <w:r w:rsidRPr="007676AD">
        <w:t xml:space="preserve"> en rett til å utlevere legemidler til aktørene som er nevnt.</w:t>
      </w:r>
    </w:p>
    <w:p w14:paraId="1725DDE6" w14:textId="77777777" w:rsidR="00F83215" w:rsidRPr="007676AD" w:rsidRDefault="00F83215" w:rsidP="007676AD">
      <w:r w:rsidRPr="007676AD">
        <w:t>Etter nærmere bestemmelser av departementet, kan grossister likevel etter § 15 tredje ledd utlevere legemidler til profesjonelle sluttbrukere. Slike bestemmelser er gitt i grossistforskriften §§</w:t>
      </w:r>
      <w:r w:rsidRPr="007676AD">
        <w:t> 13, 14 og 15. Grossister er her blant annet gitt adgang til å levere et begrenset utvalg legemidler direkte til sykehus.</w:t>
      </w:r>
    </w:p>
    <w:p w14:paraId="22BE912E" w14:textId="77777777" w:rsidR="00F83215" w:rsidRPr="007676AD" w:rsidRDefault="00F83215" w:rsidP="007676AD">
      <w:r w:rsidRPr="007676AD">
        <w:t xml:space="preserve">Grossister som distribuerer legemidler til apotek, plikter etter grossistforskriften § 5 å </w:t>
      </w:r>
      <w:proofErr w:type="spellStart"/>
      <w:r w:rsidRPr="007676AD">
        <w:t>beredskapssikre</w:t>
      </w:r>
      <w:proofErr w:type="spellEnd"/>
      <w:r w:rsidRPr="007676AD">
        <w:t xml:space="preserve"> et ekstra lager av enkelte </w:t>
      </w:r>
      <w:r w:rsidRPr="007676AD">
        <w:t>legemidler. Bestemmelsen er hjemlet i legemiddelloven § 14 og helseberedskapsloven § 2-2.</w:t>
      </w:r>
    </w:p>
    <w:p w14:paraId="03D45646" w14:textId="77777777" w:rsidR="00F83215" w:rsidRPr="007676AD" w:rsidRDefault="00F83215" w:rsidP="007676AD">
      <w:r w:rsidRPr="007676AD">
        <w:t>Etter legemiddelloven § 28 er det departementet som fører tilsyn med bestemmelsene i loven og bestemmelser gitt med hjemmel i loven overholdes. Myndigheten er deleger</w:t>
      </w:r>
      <w:r w:rsidRPr="007676AD">
        <w:t>t til Direktoratet for medisinske produkter i delegasjonsvedtak av 14. februar 2024.</w:t>
      </w:r>
    </w:p>
    <w:p w14:paraId="03FE76A1" w14:textId="77777777" w:rsidR="00F83215" w:rsidRPr="007676AD" w:rsidRDefault="00F83215" w:rsidP="007676AD">
      <w:pPr>
        <w:pStyle w:val="Overskrift3"/>
      </w:pPr>
      <w:r w:rsidRPr="007676AD">
        <w:t>Helseberedskapsloven</w:t>
      </w:r>
    </w:p>
    <w:p w14:paraId="54199EA2" w14:textId="77777777" w:rsidR="00F83215" w:rsidRPr="007676AD" w:rsidRDefault="00F83215" w:rsidP="007676AD">
      <w:r w:rsidRPr="007676AD">
        <w:t>Helseberedskapsloven er en ramme- og fullmaktslov for beredskapsarbeidet i helse- og omsorgstjenesten og sosialtjenesten. Loven skal bidra</w:t>
      </w:r>
      <w:r w:rsidRPr="007676AD">
        <w:t xml:space="preserve"> til at nødvendige helse-, omsorgs- og sosiale tjenester kan tilbys befolkningen under kriser og katastrofer i fredstid, og i tilfelle krig.</w:t>
      </w:r>
    </w:p>
    <w:p w14:paraId="75E783C4" w14:textId="77777777" w:rsidR="00F83215" w:rsidRPr="007676AD" w:rsidRDefault="00F83215" w:rsidP="007676AD">
      <w:r w:rsidRPr="007676AD">
        <w:t>Helseberedskapsloven § 5-2 gir hjemmel for ulike typer omsetningsrestriksjoner som blant annet rasjonering og prior</w:t>
      </w:r>
      <w:r w:rsidRPr="007676AD">
        <w:t>itering i apotek og fra grossist, samt meldeplikt ved parallelleksport av legemidler og mulighet for å kunne forby parallelleksport av legemidler. I tillegg omfatter § 5-3 hjemmel for å kreve innsyn i grossistenes lagerstatus.</w:t>
      </w:r>
    </w:p>
    <w:p w14:paraId="4DB6EB04" w14:textId="77777777" w:rsidR="00F83215" w:rsidRPr="007676AD" w:rsidRDefault="00F83215" w:rsidP="007676AD">
      <w:r w:rsidRPr="007676AD">
        <w:t>Fullmaktsbestemmelsene i hels</w:t>
      </w:r>
      <w:r w:rsidRPr="007676AD">
        <w:t xml:space="preserve">eberedskapsloven §§ 3-1, 4-1, 5-1 og 5-2 får </w:t>
      </w:r>
      <w:proofErr w:type="gramStart"/>
      <w:r w:rsidRPr="007676AD">
        <w:t>anvendelse</w:t>
      </w:r>
      <w:proofErr w:type="gramEnd"/>
      <w:r w:rsidRPr="007676AD">
        <w:t xml:space="preserve"> «ved kriser eller katastrofer i fredstid etter beslutning av Kongen», jf. helseberedskapsloven § 1-5 nr. 2 første punktum. En beslutning om </w:t>
      </w:r>
      <w:proofErr w:type="gramStart"/>
      <w:r w:rsidRPr="007676AD">
        <w:t>anvendelse</w:t>
      </w:r>
      <w:proofErr w:type="gramEnd"/>
      <w:r w:rsidRPr="007676AD">
        <w:t xml:space="preserve"> gis for et begrenset tidsrom og maksimalt for 1 m</w:t>
      </w:r>
      <w:r w:rsidRPr="007676AD">
        <w:t xml:space="preserve">åned. Beslutningen kan gjentas for inntil 1 måned av gangen. For fullmaktene knyttet til legemiddelberedskap etter §§ 5-2 og 5-3, ble </w:t>
      </w:r>
      <w:proofErr w:type="gramStart"/>
      <w:r w:rsidRPr="007676AD">
        <w:t>anvendelsen</w:t>
      </w:r>
      <w:proofErr w:type="gramEnd"/>
      <w:r w:rsidRPr="007676AD">
        <w:t xml:space="preserve"> fornyet månedlig fra 6. mars 2020 til 14. april 2023.</w:t>
      </w:r>
    </w:p>
    <w:p w14:paraId="7D62D92F" w14:textId="77777777" w:rsidR="00F83215" w:rsidRPr="007676AD" w:rsidRDefault="00F83215" w:rsidP="007676AD">
      <w:pPr>
        <w:pStyle w:val="Overskrift3"/>
      </w:pPr>
      <w:r w:rsidRPr="007676AD">
        <w:t>EØS-retten</w:t>
      </w:r>
    </w:p>
    <w:p w14:paraId="5432CD05" w14:textId="77777777" w:rsidR="00F83215" w:rsidRPr="007676AD" w:rsidRDefault="00F83215" w:rsidP="007676AD">
      <w:r w:rsidRPr="007676AD">
        <w:t>Erfaringene fra pandemien var vik</w:t>
      </w:r>
      <w:r w:rsidRPr="007676AD">
        <w:t xml:space="preserve">tig for utviklingen vi har sett i EU de siste årene på helseområdet. I september 2020, midt i under pandemien, lanserte kommisjonspresident von der </w:t>
      </w:r>
      <w:proofErr w:type="spellStart"/>
      <w:r w:rsidRPr="007676AD">
        <w:t>Leyen</w:t>
      </w:r>
      <w:proofErr w:type="spellEnd"/>
      <w:r w:rsidRPr="007676AD">
        <w:t xml:space="preserve"> ambisjoner om en europeisk helseunion. Helseunionen innebærer økt samarbeid mellom landene i Europa ba</w:t>
      </w:r>
      <w:r w:rsidRPr="007676AD">
        <w:t xml:space="preserve">sert på bedre datagrunnlag samt å sikre tilgang til medisinske mottiltak. Det </w:t>
      </w:r>
      <w:r w:rsidRPr="007676AD">
        <w:lastRenderedPageBreak/>
        <w:t>er essensielt for å forebygge og håndtere felles helsetrusler. EUs helseunion som består av ulike regulatoriske og ikke-regulatoriske tiltak. De første regelverkene er knyttet ti</w:t>
      </w:r>
      <w:r w:rsidRPr="007676AD">
        <w:t>l helseberedskap. Gjennom forordning (EU) 2022/123 om styrket rolle for det europeiske legemiddelbyrået (EMA), gis EMA kompetanse innenfor forsyningssikkerhet, og tillegges oppgaver som skal bidra til å ivareta tilgangen til legemidler i både alvorlige man</w:t>
      </w:r>
      <w:r w:rsidRPr="007676AD">
        <w:t>gelsituasjoner og i helsekriser.</w:t>
      </w:r>
    </w:p>
    <w:p w14:paraId="3BF016DA" w14:textId="77777777" w:rsidR="00F83215" w:rsidRPr="007676AD" w:rsidRDefault="00F83215" w:rsidP="007676AD">
      <w:r w:rsidRPr="007676AD">
        <w:t>Regjeringen har besluttet at Norge skal arbeide for at Norge deltar på så like vilkår som mulig i EUs helseunion som EUs medlemsland. Forordning (EU) 2022/123 om EMAs styrkede rolle anses EØS-relevant, men er foreløpig ikke</w:t>
      </w:r>
      <w:r w:rsidRPr="007676AD">
        <w:t xml:space="preserve"> innlemmet i EØS-avtalen og gjennomført i norsk rett.</w:t>
      </w:r>
    </w:p>
    <w:p w14:paraId="04A98177" w14:textId="77777777" w:rsidR="00F83215" w:rsidRPr="007676AD" w:rsidRDefault="00F83215" w:rsidP="007676AD">
      <w:r w:rsidRPr="007676AD">
        <w:t xml:space="preserve">Forordningens artikkel 2 bokstav h omfatter en definisjon av mangel. </w:t>
      </w:r>
      <w:proofErr w:type="spellStart"/>
      <w:r w:rsidRPr="007676AD">
        <w:t>Bestemmelsen</w:t>
      </w:r>
      <w:proofErr w:type="spellEnd"/>
      <w:r w:rsidRPr="007676AD">
        <w:t xml:space="preserve"> </w:t>
      </w:r>
      <w:proofErr w:type="spellStart"/>
      <w:r w:rsidRPr="007676AD">
        <w:t>sier</w:t>
      </w:r>
      <w:proofErr w:type="spellEnd"/>
      <w:r w:rsidRPr="007676AD">
        <w:t xml:space="preserve"> at:</w:t>
      </w:r>
    </w:p>
    <w:p w14:paraId="75D864A7" w14:textId="77777777" w:rsidR="00F83215" w:rsidRPr="007676AD" w:rsidRDefault="00F83215" w:rsidP="007676AD">
      <w:pPr>
        <w:pStyle w:val="blokksit"/>
      </w:pPr>
      <w:r w:rsidRPr="007676AD">
        <w:t>(h) ‘shortage’ means a situation in which the supply of a medicinal product that is authorised and placed on th</w:t>
      </w:r>
      <w:r w:rsidRPr="007676AD">
        <w:t xml:space="preserve">e market in a Member State or of a CE-marked medical device does not meet demand for that medicinal product or medical device at a national level, whatever the </w:t>
      </w:r>
      <w:proofErr w:type="gramStart"/>
      <w:r w:rsidRPr="007676AD">
        <w:t>cause;</w:t>
      </w:r>
      <w:proofErr w:type="gramEnd"/>
    </w:p>
    <w:p w14:paraId="099A643D" w14:textId="301E444E" w:rsidR="00F83215" w:rsidRPr="007676AD" w:rsidRDefault="00F83215" w:rsidP="007676AD">
      <w:r w:rsidRPr="007676AD">
        <w:t>Departementet nevner samtidig at EØS-regelverket om legemidler er under revisjon. Kommisj</w:t>
      </w:r>
      <w:r w:rsidRPr="007676AD">
        <w:t>onen fremmet forslag til revidert legemiddelregelverk 26. april 2023. Forslaget inneholder også bestemmelser knyttet til forpliktelser for både produsenter og legemiddelgrossister om forsyningssikkerhet,</w:t>
      </w:r>
      <w:r w:rsidR="007676AD">
        <w:t xml:space="preserve"> </w:t>
      </w:r>
      <w:r w:rsidRPr="007676AD">
        <w:t>«Legemiddelpakken» er så omfattende at det er vent</w:t>
      </w:r>
      <w:r w:rsidRPr="007676AD">
        <w:t>et at det vil ta flere år før man vil nå frem til en enighet.</w:t>
      </w:r>
    </w:p>
    <w:p w14:paraId="03043E86" w14:textId="77777777" w:rsidR="00F83215" w:rsidRPr="007676AD" w:rsidRDefault="00F83215" w:rsidP="007676AD">
      <w:pPr>
        <w:pStyle w:val="Overskrift3"/>
      </w:pPr>
      <w:r w:rsidRPr="007676AD">
        <w:t>Regulering i andre land</w:t>
      </w:r>
    </w:p>
    <w:p w14:paraId="54DF3D4C" w14:textId="77777777" w:rsidR="00F83215" w:rsidRPr="007676AD" w:rsidRDefault="00F83215" w:rsidP="007676AD">
      <w:r w:rsidRPr="007676AD">
        <w:t xml:space="preserve">Regelverk for å kunne ivareta tilgangen til legemidler, utover det som følger av EØS-retten om </w:t>
      </w:r>
      <w:r w:rsidRPr="007676AD">
        <w:t>legemidler og helseberedskapslovgivningen, finner</w:t>
      </w:r>
      <w:r w:rsidRPr="007676AD">
        <w:t xml:space="preserve"> vi i de fleste europeiske land.</w:t>
      </w:r>
    </w:p>
    <w:p w14:paraId="133F634F" w14:textId="77777777" w:rsidR="00F83215" w:rsidRPr="007676AD" w:rsidRDefault="00F83215" w:rsidP="007676AD">
      <w:r w:rsidRPr="007676AD">
        <w:t>Rasjonering er et kjent virkemiddel for mange nasjonale myndigheter. Under pandemien innførte for eksempel flere europeiske land rasjonering av legemidler. Blant annet innfør</w:t>
      </w:r>
      <w:r w:rsidRPr="007676AD">
        <w:t xml:space="preserve">te Danmark, Frankrike og Belgia rasjonering av </w:t>
      </w:r>
      <w:proofErr w:type="spellStart"/>
      <w:r w:rsidRPr="007676AD">
        <w:t>paracetamol</w:t>
      </w:r>
      <w:proofErr w:type="spellEnd"/>
      <w:r w:rsidRPr="007676AD">
        <w:t xml:space="preserve"> samtidig som Norge da India innførte eksportrestriksjoner på </w:t>
      </w:r>
      <w:proofErr w:type="spellStart"/>
      <w:r w:rsidRPr="007676AD">
        <w:t>paracetamol</w:t>
      </w:r>
      <w:proofErr w:type="spellEnd"/>
      <w:r w:rsidRPr="007676AD">
        <w:t>.</w:t>
      </w:r>
    </w:p>
    <w:p w14:paraId="01D177E3" w14:textId="77777777" w:rsidR="00F83215" w:rsidRPr="007676AD" w:rsidRDefault="00F83215" w:rsidP="007676AD">
      <w:r w:rsidRPr="007676AD">
        <w:t>Mange land i Europa har regler om eksportforbud i situasjoner hvor det er fare for mangel på legemidler. Flere EØS-land, he</w:t>
      </w:r>
      <w:r w:rsidRPr="007676AD">
        <w:t>runder blant annet Nederland, Spania, Belgia, Island, Portugal, Østerrike Estland, Latvia Tsjekkia, Ungarn og Bulgaria har slike regler. Under pandemien innførte mange av de store produsentlandene som India, USA og Storbritannia eksportrestriksjoner på leg</w:t>
      </w:r>
      <w:r w:rsidRPr="007676AD">
        <w:t>emidler. EU som sådan innførte selv eksportrestriksjoner på blant annet covid-19-vaksiner.</w:t>
      </w:r>
    </w:p>
    <w:p w14:paraId="5BF0FD0E" w14:textId="77777777" w:rsidR="00F83215" w:rsidRPr="007676AD" w:rsidRDefault="00F83215" w:rsidP="007676AD">
      <w:pPr>
        <w:pStyle w:val="Overskrift2"/>
      </w:pPr>
      <w:r w:rsidRPr="007676AD">
        <w:t>Utviklingen av legemiddelberedskapen</w:t>
      </w:r>
    </w:p>
    <w:p w14:paraId="4728E7C4" w14:textId="77777777" w:rsidR="00F83215" w:rsidRPr="007676AD" w:rsidRDefault="00F83215" w:rsidP="007676AD">
      <w:r w:rsidRPr="007676AD">
        <w:t>Departementet gjennomførte høringen av forslaget som fremmes i denne lovproposisjonen 22. oktober 2019 til 2. januar 202</w:t>
      </w:r>
      <w:r w:rsidRPr="007676AD">
        <w:t xml:space="preserve">0. Høring ble </w:t>
      </w:r>
      <w:proofErr w:type="gramStart"/>
      <w:r w:rsidRPr="007676AD">
        <w:t>således</w:t>
      </w:r>
      <w:proofErr w:type="gramEnd"/>
      <w:r w:rsidRPr="007676AD">
        <w:t xml:space="preserve"> gjennomført kun noen uker før covid-19-pandemien traff verden. Covid-19 påvirket ytterligere negativt inn på tilgangen til legemidler. Likevel er ikke legemiddelmangel og utfordringer knyttet til tilgang til legemidler en problemstill</w:t>
      </w:r>
      <w:r w:rsidRPr="007676AD">
        <w:t>ing som oppsto under pandemien. Det faktum at departementet gjennomførte en høring om de samme tiltakene som ble iverksatt under covid-19 for å ivareta tilgangen til le</w:t>
      </w:r>
      <w:r w:rsidRPr="007676AD">
        <w:lastRenderedPageBreak/>
        <w:t>gemidler bekrefter dette. Samtidig viser erfaringene fra pandemien at forslagene som fre</w:t>
      </w:r>
      <w:r w:rsidRPr="007676AD">
        <w:t>mmes i denne lovproposisjonen er egnet og nødvendige, i tillegg til at reglene fungerte godt.</w:t>
      </w:r>
    </w:p>
    <w:p w14:paraId="07502758" w14:textId="77777777" w:rsidR="00F83215" w:rsidRPr="007676AD" w:rsidRDefault="00F83215" w:rsidP="007676AD">
      <w:r w:rsidRPr="007676AD">
        <w:t xml:space="preserve">Legemiddelmangel er et globalt problem, og årsakene ligger som regel utenfor Norges grenser. Det er vanskelig for norske myndigheter å påvirke slike strukturelle </w:t>
      </w:r>
      <w:r w:rsidRPr="007676AD">
        <w:t>forhold og redusere risikoen for en legemiddelmangel. Legemiddelmangel har både europeiske og norske myndigheter opplevd som en betydelig utfordring over mange år. Pandemien tydeliggjorde imidlertid sårbarhetene i forsyningssikkerheten.</w:t>
      </w:r>
    </w:p>
    <w:p w14:paraId="290205FB" w14:textId="77777777" w:rsidR="00F83215" w:rsidRPr="007676AD" w:rsidRDefault="00F83215" w:rsidP="007676AD">
      <w:r w:rsidRPr="007676AD">
        <w:t xml:space="preserve">Manglende oversikt </w:t>
      </w:r>
      <w:r w:rsidRPr="007676AD">
        <w:t>over verdikjedene, lange produksjons- og forsyningslinjer og få alternative leverandører gjør spesielt små land sårbare. Større kriser er som regel grenseoverskridende. Naturkatastrofer, epidemier, krig og konflikter, eller plutselige endringer i medisinsk</w:t>
      </w:r>
      <w:r w:rsidRPr="007676AD">
        <w:t>e behov, kan gi store utslag i både tilbud og etterspørsel av legemidler, samt påvirke transport og distribusjon. Da settes vanlige markedsmekanismer ut av spill, og små markeder uten store alliansepartnere er særlig utsatt. Under pandemien tok store land,</w:t>
      </w:r>
      <w:r w:rsidRPr="007676AD">
        <w:t xml:space="preserve"> som India og USA, i bruk eksportrestriksjoner. Dette stoppet leveranser til Europa.</w:t>
      </w:r>
    </w:p>
    <w:p w14:paraId="4DAC2BB3" w14:textId="77777777" w:rsidR="00F83215" w:rsidRPr="007676AD" w:rsidRDefault="00F83215" w:rsidP="007676AD">
      <w:r w:rsidRPr="007676AD">
        <w:t>Helseberedskapssamarbeidet i EU har utviklet seg med rekordfart siden covid-19 traff verden. EU har styrket helseberedskapen gjennom å etablere det de kaller EUs helseunio</w:t>
      </w:r>
      <w:r w:rsidRPr="007676AD">
        <w:t>n. Etableringen av EUs helseunion dekker et vidt spekter av tiltak som skal sette Europa i stand til å håndtere neste helsekrise. Det europeiske legemiddelbyrået (EMA) er gitt utvidet mandat for å overvåke Europas forsyningssikkerhet på området. Regelverke</w:t>
      </w:r>
      <w:r w:rsidRPr="007676AD">
        <w:t>t om legemidler er i all hovedsak totalharmonisert innenfor EØS-området, og Norge er derfor en integrert del av arbeidet i EMA og det europeiske samarbeidet.</w:t>
      </w:r>
    </w:p>
    <w:p w14:paraId="611550BC" w14:textId="77777777" w:rsidR="00F83215" w:rsidRPr="007676AD" w:rsidRDefault="00F83215" w:rsidP="007676AD">
      <w:r w:rsidRPr="007676AD">
        <w:t>EUs helseberedskapsmyndighet, DG HERA, er etablert for å sikre Europa tilgang til legemidler og me</w:t>
      </w:r>
      <w:r w:rsidRPr="007676AD">
        <w:t xml:space="preserve">disinsk utstyr i en krise. DG HERA skal sørge for overvåkning av forsyningen og tilgangen til kriserelevante legemidler og medisinsk utstyr, forskning og utvikling, anbud, innkjøp og produksjon av legemidler og medisinsk utstyr i krise. DG HERA er gitt en </w:t>
      </w:r>
      <w:r w:rsidRPr="007676AD">
        <w:t>stor rolle innen felles forhandlinger og innkjøp for å trygge tilgangen til legemidler og medisinsk utstyr i krise. I tillegg arbeider Kommisjonen med målrettede tiltak på europeisk og regionalt nivå for å sikre tilgang til legemidler også utenfor krise, v</w:t>
      </w:r>
      <w:r w:rsidRPr="007676AD">
        <w:t>ed mangelsituasjoner eller i tilfeller der markedsdynamikken er spesielt krevende, som for eksempel antibiotika og tilgang til nye, dyre legemidler. EU har gjennom sitt styrkede helseberedskapssamarbeid tilgang til ulike finansieringsmekanismer for å kunne</w:t>
      </w:r>
      <w:r w:rsidRPr="007676AD">
        <w:t xml:space="preserve"> gjennomføre felleseuropeiske innkjøp. Målet er at Norge gjennom en fremtidig avtale skal kunne delta i alle former for felleseuropeiske innkjøp. For å trygge området fra et helhetlig ståsted, er tilknytning til EUs samarbeid derfor den eneste måten å ivar</w:t>
      </w:r>
      <w:r w:rsidRPr="007676AD">
        <w:t>eta nasjonal forsyningssikkerhet for legemidler.</w:t>
      </w:r>
    </w:p>
    <w:p w14:paraId="09C72CEB" w14:textId="77777777" w:rsidR="00F83215" w:rsidRPr="007676AD" w:rsidRDefault="00F83215" w:rsidP="007676AD">
      <w:r w:rsidRPr="007676AD">
        <w:t>Tilgangen til legemidler må hvile på en balanse mellom nasjonale og internasjonale tiltak. Viktige nasjonale tiltak gjøres gjennom bruk av regulatoriske virkemidler. Dette kan sikre at legemidler forblir i l</w:t>
      </w:r>
      <w:r w:rsidRPr="007676AD">
        <w:t>andet, eller at utlevering fra apotek og grossist kan rasjoneres og prioriteres.</w:t>
      </w:r>
    </w:p>
    <w:p w14:paraId="3912E713" w14:textId="77777777" w:rsidR="00F83215" w:rsidRPr="007676AD" w:rsidRDefault="00F83215" w:rsidP="007676AD">
      <w:r w:rsidRPr="007676AD">
        <w:t>Nasjonale lagre for legemidler er viktig for å understøtte forsyningssikkerheten, særlig i den innledende fasen av en helsekrise. For å styrke den nasjonale beredskapen ble de</w:t>
      </w:r>
      <w:r w:rsidRPr="007676AD">
        <w:t>t derfor etablert betydelige rullerende lagre av legemidler hos legemiddelgrossistene under pandemien. Departementet har videreført dette gjennom endringer i legemiddelforskriften og forskrift om grossistvirksomhet med legemidler.</w:t>
      </w:r>
    </w:p>
    <w:p w14:paraId="2537841E" w14:textId="77777777" w:rsidR="00F83215" w:rsidRPr="007676AD" w:rsidRDefault="00F83215" w:rsidP="007676AD">
      <w:r w:rsidRPr="007676AD">
        <w:lastRenderedPageBreak/>
        <w:t>Et viktig nasjonalt verkt</w:t>
      </w:r>
      <w:r w:rsidRPr="007676AD">
        <w:t>øy er også muligheten til å rasjonere utlevering av legemidler fra apotek og grossist, innsyn i grossistenes lagerstatus samt muligheten til å kunne forby parallelleksport.</w:t>
      </w:r>
    </w:p>
    <w:p w14:paraId="5DD43FEC" w14:textId="77777777" w:rsidR="00F83215" w:rsidRPr="007676AD" w:rsidRDefault="00F83215" w:rsidP="007676AD">
      <w:r w:rsidRPr="007676AD">
        <w:t xml:space="preserve">Mange høringsinstanser viser til at forslaget ikke vil påvirke </w:t>
      </w:r>
      <w:proofErr w:type="spellStart"/>
      <w:r w:rsidRPr="007676AD">
        <w:t>rotårsakene</w:t>
      </w:r>
      <w:proofErr w:type="spellEnd"/>
      <w:r w:rsidRPr="007676AD">
        <w:t xml:space="preserve"> til lege</w:t>
      </w:r>
      <w:r w:rsidRPr="007676AD">
        <w:t xml:space="preserve">middelmangel. Dette er departementet helt enig i. Intensjonen med dette lovforslaget har heller aldri vært i å gå løs på </w:t>
      </w:r>
      <w:proofErr w:type="spellStart"/>
      <w:r w:rsidRPr="007676AD">
        <w:t>rotårsakene</w:t>
      </w:r>
      <w:proofErr w:type="spellEnd"/>
      <w:r w:rsidRPr="007676AD">
        <w:t xml:space="preserve"> til utfordringene i det globale legemiddelmarkedet, med de omfattende avhengighetene, sårbarhetene og ubalansen som det mar</w:t>
      </w:r>
      <w:r w:rsidRPr="007676AD">
        <w:t xml:space="preserve">kedet er preget av. For et bedre bilde av regjeringens politikk innenfor forsyningssikkerhet viser departementet til Meld. St. 5 (2023–2024) </w:t>
      </w:r>
      <w:r w:rsidRPr="007676AD">
        <w:rPr>
          <w:rStyle w:val="kursiv"/>
        </w:rPr>
        <w:t>En motstandsdyktig helseberedskap – Fra pandemi til krig i Europa</w:t>
      </w:r>
      <w:r w:rsidRPr="007676AD">
        <w:t>.</w:t>
      </w:r>
    </w:p>
    <w:p w14:paraId="32A53673" w14:textId="77777777" w:rsidR="00F83215" w:rsidRPr="007676AD" w:rsidRDefault="00F83215" w:rsidP="007676AD">
      <w:r w:rsidRPr="007676AD">
        <w:t>Flere høringsinstanser viser til at økt legemidd</w:t>
      </w:r>
      <w:r w:rsidRPr="007676AD">
        <w:t xml:space="preserve">elproduksjon i Norge heller bør ses på som alternativ til lovforslaget. Regjeringen la i november 2023 frem Meld. St. 5 (2023–2024) </w:t>
      </w:r>
      <w:r w:rsidRPr="007676AD">
        <w:rPr>
          <w:rStyle w:val="kursiv"/>
        </w:rPr>
        <w:t>En motstandsdyktig helseberedskap – Fra pandemi til krig i Europa</w:t>
      </w:r>
      <w:r w:rsidRPr="007676AD">
        <w:t>. Meldingen gir politisk og strategisk retning for norsk he</w:t>
      </w:r>
      <w:r w:rsidRPr="007676AD">
        <w:t>lseberedskap. Både forsyningssikkerhet og dialog med helsenæringen er viktige temaer som drøftes i meldingen.</w:t>
      </w:r>
    </w:p>
    <w:p w14:paraId="07269AF8" w14:textId="77777777" w:rsidR="00F83215" w:rsidRPr="007676AD" w:rsidRDefault="00F83215" w:rsidP="007676AD">
      <w:r w:rsidRPr="007676AD">
        <w:t>Helse- og omsorgsministeren og næringsministeren la i tillegg frem et Veikart for helsenæringen i august 2023. Gjennom veikartet presenteres bredd</w:t>
      </w:r>
      <w:r w:rsidRPr="007676AD">
        <w:t>en av regjeringens politikk for å fremme og styrke helsenæringen i Norge. Regjeringens ambisjoner i veikartet vil bidra til positive ringvirkninger for helseberedskapen, herunder mulighetene for utvikling og produksjon av legemidler i Norge.</w:t>
      </w:r>
    </w:p>
    <w:p w14:paraId="6F13D09E" w14:textId="77777777" w:rsidR="00F83215" w:rsidRPr="007676AD" w:rsidRDefault="00F83215" w:rsidP="007676AD">
      <w:r w:rsidRPr="007676AD">
        <w:t xml:space="preserve">Det følger av </w:t>
      </w:r>
      <w:r w:rsidRPr="007676AD">
        <w:t>både Meld. St. 5 (2023–2024) og Veikart for helsenæringen, at regjeringen vil etablere en nasjonal satsing innenfor legemiddelproduksjon og utrede hvordan helsenæringen i større grad kan få nytte av katapultordningen, herunder om det skal etableres et eget</w:t>
      </w:r>
      <w:r w:rsidRPr="007676AD">
        <w:t xml:space="preserve"> </w:t>
      </w:r>
      <w:proofErr w:type="spellStart"/>
      <w:r w:rsidRPr="007676AD">
        <w:t>katapultsenter</w:t>
      </w:r>
      <w:proofErr w:type="spellEnd"/>
      <w:r w:rsidRPr="007676AD">
        <w:t xml:space="preserve"> for helsenæringen. Dette vil kunne bidra til en infrastruktur som stimulerer til norsk legemiddel- og vaksineproduksjon. Tiltakene inngår i oppfyllelsen av Hurdalsplattformpunktene om etablering av et nasjonalt senter for utvikling og produ</w:t>
      </w:r>
      <w:r w:rsidRPr="007676AD">
        <w:t>ksjon av vaksiner og biologiske legemidler og om etablering av nasjonalt farmasiselskap.</w:t>
      </w:r>
    </w:p>
    <w:p w14:paraId="663723E6" w14:textId="77777777" w:rsidR="00F83215" w:rsidRPr="007676AD" w:rsidRDefault="00F83215" w:rsidP="007676AD">
      <w:r w:rsidRPr="007676AD">
        <w:t>Utfordringene i verdi- og forsyningskjedene for legemidler har vært til stede og har økt over tid. Dette ble tydeliggjort under pandemien og øker nå som følge av den g</w:t>
      </w:r>
      <w:r w:rsidRPr="007676AD">
        <w:t>eopolitiske situasjonen i verden. Noen utfordringer har oppstått gjennom markedsmekanismer og historiske strukturer, andre er skapt gjennom enkelte staters nærings- og sikkerhetspolitikk. En solid helsenæring er del av grunnlaget for samfunnets motstandsdy</w:t>
      </w:r>
      <w:r w:rsidRPr="007676AD">
        <w:t xml:space="preserve">ktighet i krise. En god næringspolitikk, som prioriterer bærekraft, omstilling, effektivitet og lønnsomhet, vil også kunne ha positive ringvirkninger for beredskapen. Likevel vil ikke dette kunne erstatte behovet for de tiltakene som </w:t>
      </w:r>
      <w:proofErr w:type="gramStart"/>
      <w:r w:rsidRPr="007676AD">
        <w:t>fremgår</w:t>
      </w:r>
      <w:proofErr w:type="gramEnd"/>
      <w:r w:rsidRPr="007676AD">
        <w:t xml:space="preserve"> av denne lovpr</w:t>
      </w:r>
      <w:r w:rsidRPr="007676AD">
        <w:t>oposisjonen.</w:t>
      </w:r>
    </w:p>
    <w:p w14:paraId="6C691AF9" w14:textId="77777777" w:rsidR="00F83215" w:rsidRPr="007676AD" w:rsidRDefault="00F83215" w:rsidP="007676AD">
      <w:r w:rsidRPr="007676AD">
        <w:t xml:space="preserve">Et konkurransedyktig næringsliv kan også ha positive virkninger for beredskapen, og kan utgjøre en del av samfunnets motstandsdyktighet i krise. Det må imidlertid </w:t>
      </w:r>
      <w:r w:rsidRPr="007676AD">
        <w:t>skilles mellom tiltak for helseberedskap (inkludert legemidler) og tiltak for lønnsom næringsutvikling. For at tiltak skal ha betydning for helseberedskapen, må de også fungere i hverdagen, utenfor en krise. Aktører må derfor være bærekraftige, lønnsomme o</w:t>
      </w:r>
      <w:r w:rsidRPr="007676AD">
        <w:t>g konkurransedyktige fra et næringspolitisk perspektiv for å kunne ha betydning for helseberedskapen. Utvikling og produksjon av legemidler, herunder vaksiner, må derfor skje der hvor næringsaktørene finner det lønnsomt.</w:t>
      </w:r>
    </w:p>
    <w:p w14:paraId="173CBC4B" w14:textId="77777777" w:rsidR="00F83215" w:rsidRPr="007676AD" w:rsidRDefault="00F83215" w:rsidP="007676AD">
      <w:r w:rsidRPr="007676AD">
        <w:lastRenderedPageBreak/>
        <w:t>For å bidra til å sikre tilgang til</w:t>
      </w:r>
      <w:r w:rsidRPr="007676AD">
        <w:t xml:space="preserve"> legemidler, trenger vi samarbeid med våre nærmeste partnere i Norden og det øvrige Europa. Gjennom både regulatoriske og ikke-regulatoriske tiltak satser EU på helsenæringen for å bygge motstandsdyktighet. Norsk helsenæring må være del av denne europeiske</w:t>
      </w:r>
      <w:r w:rsidRPr="007676AD">
        <w:t xml:space="preserve"> satsingen. Helse- og omsorgsdepartementet har vurdert om vår helseberedskap, inkludert tilgangen til kritiske legemidler, kan ivaretas gjennom produksjon i Norge, eventuelt samarbeid i Norden, med UK eller WHO. Konklusjonen er at det ikke foreligger noe a</w:t>
      </w:r>
      <w:r w:rsidRPr="007676AD">
        <w:t>lternativ til EUs helseberedskapssamarbeid for å trygge Norges tilgang til kritiske legemidler. Regjeringen har derfor vedtatt at Norge skal arbeide for full deltakelse i EUs styrkede helseberedskapssamarbeid på så like vilkår som EUs medlemsland som mulig</w:t>
      </w:r>
      <w:r w:rsidRPr="007676AD">
        <w:t>.</w:t>
      </w:r>
    </w:p>
    <w:p w14:paraId="10104A36" w14:textId="77777777" w:rsidR="00F83215" w:rsidRPr="007676AD" w:rsidRDefault="00F83215" w:rsidP="007676AD">
      <w:r w:rsidRPr="007676AD">
        <w:t>For å styrke den norske forsyningssikkerheten, er det også besluttet at Direktoratet for medisinske produkter (inntil 1. januar 2024 Statens legemiddelverk) skal ha en tydeligere rolle innen forsyningssikkerhet og legemiddelberedskap. I dette ligger også</w:t>
      </w:r>
      <w:r w:rsidRPr="007676AD">
        <w:t xml:space="preserve"> ansvaret for en mer effektiv bruk av forhandlinger og innkjøp av legemidler, og dermed en bedre utnyttelse av potensialet i disse virkemidlene for det offentlige.</w:t>
      </w:r>
    </w:p>
    <w:p w14:paraId="5BFBBF99" w14:textId="77777777" w:rsidR="00F83215" w:rsidRPr="007676AD" w:rsidRDefault="00F83215" w:rsidP="007676AD">
      <w:r w:rsidRPr="007676AD">
        <w:t xml:space="preserve">Forslagene som fremgår av denne </w:t>
      </w:r>
      <w:proofErr w:type="gramStart"/>
      <w:r w:rsidRPr="007676AD">
        <w:t>lovproposisjonen</w:t>
      </w:r>
      <w:proofErr w:type="gramEnd"/>
      <w:r w:rsidRPr="007676AD">
        <w:t xml:space="preserve"> kan altså ikke erstattes av nasjonal produk</w:t>
      </w:r>
      <w:r w:rsidRPr="007676AD">
        <w:t>sjon og næringsutvikling. Til det er legemiddelproduksjon altfor komplekst og omfanget av sårbarheter i verdi- og forsyningskjeder altfor stort.</w:t>
      </w:r>
    </w:p>
    <w:p w14:paraId="63F24372" w14:textId="77777777" w:rsidR="00F83215" w:rsidRPr="007676AD" w:rsidRDefault="00F83215" w:rsidP="007676AD">
      <w:pPr>
        <w:pStyle w:val="Overskrift2"/>
      </w:pPr>
      <w:r w:rsidRPr="007676AD">
        <w:t>Regulering av legemiddelberedskapen under covid-19-pandemien</w:t>
      </w:r>
    </w:p>
    <w:p w14:paraId="601257B6" w14:textId="77777777" w:rsidR="00F83215" w:rsidRPr="007676AD" w:rsidRDefault="00F83215" w:rsidP="007676AD">
      <w:r w:rsidRPr="007676AD">
        <w:t>Departementet fastsatte med hjemmel gitt i</w:t>
      </w:r>
      <w:r w:rsidRPr="007676AD">
        <w:t xml:space="preserve"> kongelig resolusjon av 28. februar 2020 en forskrift om tiltak for å ivareta tilgangen til legemidler som følge av covid-19-pandemien. Regelverket som var hjemlet i smittevernloven og </w:t>
      </w:r>
      <w:proofErr w:type="gramStart"/>
      <w:r w:rsidRPr="007676AD">
        <w:t>etterhvert</w:t>
      </w:r>
      <w:proofErr w:type="gramEnd"/>
      <w:r w:rsidRPr="007676AD">
        <w:t xml:space="preserve"> i helseberedskapsloven, var midlertidig og ble fornyet ytter</w:t>
      </w:r>
      <w:r w:rsidRPr="007676AD">
        <w:t>ligere gjennom månedlige kongelige resolusjoner frem til 14. april 2023.</w:t>
      </w:r>
    </w:p>
    <w:p w14:paraId="3ABBBF27" w14:textId="77777777" w:rsidR="00F83215" w:rsidRPr="007676AD" w:rsidRDefault="00F83215" w:rsidP="007676AD">
      <w:r w:rsidRPr="007676AD">
        <w:t xml:space="preserve">Den midlertidige forskriften tok opp i seg forslagene som departementet hadde hatt på høring kort tid i forveien. Forskriften imøtekom tendenser til oppbygging av legemiddellagrene i </w:t>
      </w:r>
      <w:r w:rsidRPr="007676AD">
        <w:t>Europa og verden som følge av pandemien. Reglene bidro til at de legemidlene som faktisk var i Norge og var tiltenkt den norske befolkningen forble i landet og kunne fordeles så likt som mulig når det var nødvendig for å sikre den norske befolkningen tilga</w:t>
      </w:r>
      <w:r w:rsidRPr="007676AD">
        <w:t>ng til legemidler.</w:t>
      </w:r>
    </w:p>
    <w:p w14:paraId="4FA1136F" w14:textId="77777777" w:rsidR="00F83215" w:rsidRPr="007676AD" w:rsidRDefault="00F83215" w:rsidP="007676AD">
      <w:r w:rsidRPr="007676AD">
        <w:t>Utover forslaget som hadde blitt hørt, innførte man en meldeplikt for enkelte legemidler for legemiddelgrossister før parallelleksport kunne finne sted. Legemiddelverket måtte i løpet av tre dager vurdere, ut ifra den totale lagerstatuse</w:t>
      </w:r>
      <w:r w:rsidRPr="007676AD">
        <w:t>n i landet, om legemiddelet som man ønsket parallelleksportert skulle føres opp på en liste med legemidler som det ikke var tillatt å parallelleksportere.</w:t>
      </w:r>
    </w:p>
    <w:p w14:paraId="7173621D" w14:textId="77777777" w:rsidR="00F83215" w:rsidRPr="007676AD" w:rsidRDefault="00F83215" w:rsidP="007676AD">
      <w:r w:rsidRPr="007676AD">
        <w:t>Legemiddelverket kunne også vedta forbud mot enkelte legemidler uten forutgående melding fra grossist</w:t>
      </w:r>
      <w:r w:rsidRPr="007676AD">
        <w:t>.</w:t>
      </w:r>
    </w:p>
    <w:p w14:paraId="7287D5BD" w14:textId="77777777" w:rsidR="00F83215" w:rsidRPr="007676AD" w:rsidRDefault="00F83215" w:rsidP="007676AD">
      <w:r w:rsidRPr="007676AD">
        <w:t>Forskriften inneholdt også en bestemmelse som ga Legemiddelverket adgang til å rasjonere legemidler fra grossist og apotek. Behovet for rasjonering ble under pandemien vurdert kontinuerlig av Legemiddelverket. Legemidler som underlegges rasjonering ble o</w:t>
      </w:r>
      <w:r w:rsidRPr="007676AD">
        <w:t xml:space="preserve">ppført på liste av Legemiddelverket hvor type restriksjon også </w:t>
      </w:r>
      <w:proofErr w:type="gramStart"/>
      <w:r w:rsidRPr="007676AD">
        <w:t>fremkom</w:t>
      </w:r>
      <w:proofErr w:type="gramEnd"/>
      <w:r w:rsidRPr="007676AD">
        <w:t>. Forskriften inneholdt også hjemmel for å kunne prioritere mellom pasientgrupper ved utlevering i apotek.</w:t>
      </w:r>
    </w:p>
    <w:p w14:paraId="601FA061" w14:textId="77777777" w:rsidR="00F83215" w:rsidRPr="007676AD" w:rsidRDefault="00F83215" w:rsidP="007676AD">
      <w:r w:rsidRPr="007676AD">
        <w:lastRenderedPageBreak/>
        <w:t>Legemiddelverket ble gitt innsyn i legemiddelgrossistene og apotekenes lagersta</w:t>
      </w:r>
      <w:r w:rsidRPr="007676AD">
        <w:t>tus slik at man kunne vurdere om tiltakene som ble iverksatt var egnede og nødvendige.</w:t>
      </w:r>
    </w:p>
    <w:p w14:paraId="385898A8" w14:textId="77777777" w:rsidR="00F83215" w:rsidRPr="007676AD" w:rsidRDefault="00F83215" w:rsidP="007676AD">
      <w:r w:rsidRPr="007676AD">
        <w:t>Erfaringene fra pandemien er at regelverket om tiltak for å sikre tilgang til legemidler var helt sentralt for at Norge ivaretok tilgangen til legemidler.</w:t>
      </w:r>
    </w:p>
    <w:p w14:paraId="39E542B1" w14:textId="77777777" w:rsidR="00F83215" w:rsidRPr="007676AD" w:rsidRDefault="00F83215" w:rsidP="007676AD">
      <w:r w:rsidRPr="007676AD">
        <w:t>Hjemmelsgrunnl</w:t>
      </w:r>
      <w:r w:rsidRPr="007676AD">
        <w:t xml:space="preserve">aget i helseberedskapsloven er imidlertid for smalt for å kunne ivareta legemiddelberedskapen. Fullmaktsbestemmelsene i helseberedskapsloven §§ 3-1, 4-1, 5-1 og 5-2 får </w:t>
      </w:r>
      <w:proofErr w:type="gramStart"/>
      <w:r w:rsidRPr="007676AD">
        <w:t>anvendelse</w:t>
      </w:r>
      <w:proofErr w:type="gramEnd"/>
      <w:r w:rsidRPr="007676AD">
        <w:t xml:space="preserve"> «ved kriser eller katastrofer i fredstid etter beslutning av Kongen», jf. he</w:t>
      </w:r>
      <w:r w:rsidRPr="007676AD">
        <w:t xml:space="preserve">lseberedskapsloven § 1-5 nr. 2 første punktum. En beslutning om </w:t>
      </w:r>
      <w:proofErr w:type="gramStart"/>
      <w:r w:rsidRPr="007676AD">
        <w:t>anvendelse</w:t>
      </w:r>
      <w:proofErr w:type="gramEnd"/>
      <w:r w:rsidRPr="007676AD">
        <w:t xml:space="preserve"> gis for et begrenset tidsrom og maksimalt for 1 måned. Beslutningen kan gjentas for inntil én måned av gangen. Dette er ikke tilstrekkelig for å ivareta tilgangen til legemidler, fo</w:t>
      </w:r>
      <w:r w:rsidRPr="007676AD">
        <w:t>rdi legemiddelmangel er noe vi opplever i hverdagen, også utenfor kriser og katastrofer. Årsakene kan godt være begrunnet i kriser andre steder i verden, men medfører ikke at så er tilfelle for Norge.</w:t>
      </w:r>
    </w:p>
    <w:p w14:paraId="2B3C5C17" w14:textId="77777777" w:rsidR="00F83215" w:rsidRPr="007676AD" w:rsidRDefault="00F83215" w:rsidP="007676AD">
      <w:r w:rsidRPr="007676AD">
        <w:t>Fra departementets ståsted, anses det som positivt at r</w:t>
      </w:r>
      <w:r w:rsidRPr="007676AD">
        <w:t>eglene som omfattes av denne lovproposisjonen faktisk er anvendt allerede. Erfaringene fra pandemien viste at det å ha mulighet til rasjonering, innsyn i lagerstatus og forbud mot eksport var egnede tiltak som fungerte godt og forholdsmessig for å sikre vå</w:t>
      </w:r>
      <w:r w:rsidRPr="007676AD">
        <w:t xml:space="preserve">r tilgang til legemidler. Departementet viser i så måte til de kongelige resolusjonene om </w:t>
      </w:r>
      <w:proofErr w:type="gramStart"/>
      <w:r w:rsidRPr="007676AD">
        <w:t>anvendelse</w:t>
      </w:r>
      <w:proofErr w:type="gramEnd"/>
      <w:r w:rsidRPr="007676AD">
        <w:t xml:space="preserve"> av fullmaktsbestemmelsene i helseberedskapsloven § 5-2 hvor nytten av og behovet for nevnte tiltak når vi opplever at forsyningssikkerheten er truet.</w:t>
      </w:r>
    </w:p>
    <w:p w14:paraId="45A5A563" w14:textId="77777777" w:rsidR="00F83215" w:rsidRPr="007676AD" w:rsidRDefault="00F83215" w:rsidP="007676AD">
      <w:r w:rsidRPr="007676AD">
        <w:t xml:space="preserve">Gitt </w:t>
      </w:r>
      <w:r w:rsidRPr="007676AD">
        <w:t>omfanget av legemiddelmangel trenger vi imidlertid også disse hjemlene utenfor krise og katastrofer som rammer Norge. Departementet foreslår derfor i denne lovproposisjonen regler om en styrket legemiddelberedskap utenfor helseberedskapslovens virkeområde.</w:t>
      </w:r>
    </w:p>
    <w:p w14:paraId="7EC6A84B" w14:textId="77777777" w:rsidR="00F83215" w:rsidRPr="007676AD" w:rsidRDefault="00F83215" w:rsidP="007676AD">
      <w:pPr>
        <w:pStyle w:val="Overskrift2"/>
      </w:pPr>
      <w:r w:rsidRPr="007676AD">
        <w:t>Høringen</w:t>
      </w:r>
    </w:p>
    <w:p w14:paraId="26334394" w14:textId="77777777" w:rsidR="00F83215" w:rsidRPr="007676AD" w:rsidRDefault="00F83215" w:rsidP="007676AD">
      <w:r w:rsidRPr="007676AD">
        <w:t>Helse- og omsorgsdepartementet sendte 22. oktober 2019 på hør</w:t>
      </w:r>
      <w:r w:rsidRPr="007676AD">
        <w:t>ing forslag til endringer i legemiddelloven og apotekloven samt grossistforskriften og apotekforskriften for å kunne innføre tiltak som skal bidra til å styrke legemiddelberedskapen. Høringsfristen var 2. januar 2020.</w:t>
      </w:r>
    </w:p>
    <w:p w14:paraId="17B441D6" w14:textId="77777777" w:rsidR="00F83215" w:rsidRPr="007676AD" w:rsidRDefault="00F83215" w:rsidP="007676AD">
      <w:r w:rsidRPr="007676AD">
        <w:t>Hør</w:t>
      </w:r>
      <w:r w:rsidRPr="007676AD">
        <w:t>ingen ble sendt til følgende høringsinstanser:</w:t>
      </w:r>
    </w:p>
    <w:p w14:paraId="794E63A3" w14:textId="77777777" w:rsidR="00F83215" w:rsidRPr="007676AD" w:rsidRDefault="00F83215" w:rsidP="007676AD">
      <w:pPr>
        <w:pStyle w:val="opplisting"/>
      </w:pPr>
      <w:r w:rsidRPr="007676AD">
        <w:t>Departementene</w:t>
      </w:r>
    </w:p>
    <w:p w14:paraId="4F516D8F" w14:textId="77777777" w:rsidR="00F83215" w:rsidRPr="007676AD" w:rsidRDefault="00F83215" w:rsidP="007676AD"/>
    <w:p w14:paraId="01E4DED8" w14:textId="77777777" w:rsidR="00F83215" w:rsidRPr="007676AD" w:rsidRDefault="00F83215" w:rsidP="007676AD">
      <w:pPr>
        <w:pStyle w:val="opplisting"/>
      </w:pPr>
      <w:r w:rsidRPr="007676AD">
        <w:t>Datatilsynet</w:t>
      </w:r>
    </w:p>
    <w:p w14:paraId="4445BA6B" w14:textId="77777777" w:rsidR="00F83215" w:rsidRPr="007676AD" w:rsidRDefault="00F83215" w:rsidP="007676AD">
      <w:pPr>
        <w:pStyle w:val="opplisting"/>
      </w:pPr>
      <w:r w:rsidRPr="007676AD">
        <w:t>Direktoratet for e-helse</w:t>
      </w:r>
    </w:p>
    <w:p w14:paraId="420D6C52" w14:textId="77777777" w:rsidR="00F83215" w:rsidRPr="007676AD" w:rsidRDefault="00F83215" w:rsidP="007676AD">
      <w:pPr>
        <w:pStyle w:val="opplisting"/>
      </w:pPr>
      <w:r w:rsidRPr="007676AD">
        <w:t>Folkehelseinstituttet</w:t>
      </w:r>
    </w:p>
    <w:p w14:paraId="18016147" w14:textId="77777777" w:rsidR="00F83215" w:rsidRPr="007676AD" w:rsidRDefault="00F83215" w:rsidP="007676AD">
      <w:pPr>
        <w:pStyle w:val="opplisting"/>
      </w:pPr>
      <w:r w:rsidRPr="007676AD">
        <w:t>Forbrukerrådet</w:t>
      </w:r>
    </w:p>
    <w:p w14:paraId="07FDB252" w14:textId="77777777" w:rsidR="00F83215" w:rsidRPr="007676AD" w:rsidRDefault="00F83215" w:rsidP="007676AD">
      <w:pPr>
        <w:pStyle w:val="opplisting"/>
      </w:pPr>
      <w:r w:rsidRPr="007676AD">
        <w:t>Forbrukertilsynet</w:t>
      </w:r>
    </w:p>
    <w:p w14:paraId="2AAE98E1" w14:textId="77777777" w:rsidR="00F83215" w:rsidRPr="007676AD" w:rsidRDefault="00F83215" w:rsidP="007676AD">
      <w:pPr>
        <w:pStyle w:val="opplisting"/>
      </w:pPr>
      <w:r w:rsidRPr="007676AD">
        <w:t>Helsedirektoratet</w:t>
      </w:r>
    </w:p>
    <w:p w14:paraId="072BC636" w14:textId="77777777" w:rsidR="00F83215" w:rsidRPr="007676AD" w:rsidRDefault="00F83215" w:rsidP="007676AD">
      <w:pPr>
        <w:pStyle w:val="opplisting"/>
      </w:pPr>
      <w:r w:rsidRPr="007676AD">
        <w:t>Helse- og sosialombudet i Oslo (nå Sosial og eldreombudet i Oslo kommune)</w:t>
      </w:r>
    </w:p>
    <w:p w14:paraId="355FAA42" w14:textId="77777777" w:rsidR="00F83215" w:rsidRPr="007676AD" w:rsidRDefault="00F83215" w:rsidP="007676AD">
      <w:pPr>
        <w:pStyle w:val="opplisting"/>
      </w:pPr>
      <w:r w:rsidRPr="007676AD">
        <w:t>Konkurra</w:t>
      </w:r>
      <w:r w:rsidRPr="007676AD">
        <w:t>nsetilsynet</w:t>
      </w:r>
    </w:p>
    <w:p w14:paraId="32137900" w14:textId="77777777" w:rsidR="00F83215" w:rsidRPr="007676AD" w:rsidRDefault="00F83215" w:rsidP="007676AD">
      <w:pPr>
        <w:pStyle w:val="opplisting"/>
      </w:pPr>
      <w:r w:rsidRPr="007676AD">
        <w:t>Landets fylkesmenn (nå landets statsforvaltere)</w:t>
      </w:r>
    </w:p>
    <w:p w14:paraId="3015B25E" w14:textId="77777777" w:rsidR="00F83215" w:rsidRPr="007676AD" w:rsidRDefault="00F83215" w:rsidP="007676AD">
      <w:pPr>
        <w:pStyle w:val="opplisting"/>
      </w:pPr>
      <w:r w:rsidRPr="007676AD">
        <w:t>Landets pasient- og brukerombud</w:t>
      </w:r>
    </w:p>
    <w:p w14:paraId="4B6890EC" w14:textId="77777777" w:rsidR="00F83215" w:rsidRPr="007676AD" w:rsidRDefault="00F83215" w:rsidP="007676AD">
      <w:pPr>
        <w:pStyle w:val="opplisting"/>
      </w:pPr>
      <w:r w:rsidRPr="007676AD">
        <w:t>Norges forskningsråd</w:t>
      </w:r>
    </w:p>
    <w:p w14:paraId="058C803C" w14:textId="77777777" w:rsidR="00F83215" w:rsidRPr="007676AD" w:rsidRDefault="00F83215" w:rsidP="007676AD">
      <w:pPr>
        <w:pStyle w:val="opplisting"/>
      </w:pPr>
      <w:r w:rsidRPr="007676AD">
        <w:lastRenderedPageBreak/>
        <w:t>Regelrådet</w:t>
      </w:r>
    </w:p>
    <w:p w14:paraId="7A2030BF" w14:textId="77777777" w:rsidR="00F83215" w:rsidRPr="007676AD" w:rsidRDefault="00F83215" w:rsidP="007676AD">
      <w:pPr>
        <w:pStyle w:val="opplisting"/>
      </w:pPr>
      <w:r w:rsidRPr="007676AD">
        <w:t>Statens helsetilsyn</w:t>
      </w:r>
    </w:p>
    <w:p w14:paraId="3FFAFD02" w14:textId="77777777" w:rsidR="00F83215" w:rsidRPr="007676AD" w:rsidRDefault="00F83215" w:rsidP="007676AD">
      <w:pPr>
        <w:pStyle w:val="opplisting"/>
      </w:pPr>
      <w:r w:rsidRPr="007676AD">
        <w:t>Statens legemiddelverk (nå Direktoratet for medisinske produkter)</w:t>
      </w:r>
    </w:p>
    <w:p w14:paraId="1AC905AD" w14:textId="77777777" w:rsidR="00F83215" w:rsidRPr="007676AD" w:rsidRDefault="00F83215" w:rsidP="007676AD"/>
    <w:p w14:paraId="2CEB906C" w14:textId="77777777" w:rsidR="00F83215" w:rsidRPr="007676AD" w:rsidRDefault="00F83215" w:rsidP="007676AD">
      <w:pPr>
        <w:pStyle w:val="opplisting"/>
      </w:pPr>
      <w:r w:rsidRPr="007676AD">
        <w:t>Norges arktiske universitet (UiT), Det helsev</w:t>
      </w:r>
      <w:r w:rsidRPr="007676AD">
        <w:t>itenskapelige fakultet</w:t>
      </w:r>
    </w:p>
    <w:p w14:paraId="64103927" w14:textId="77777777" w:rsidR="00F83215" w:rsidRPr="007676AD" w:rsidRDefault="00F83215" w:rsidP="007676AD">
      <w:pPr>
        <w:pStyle w:val="opplisting"/>
      </w:pPr>
      <w:r w:rsidRPr="007676AD">
        <w:t>Norges arktiske universitet, Farmasøytisk institutt</w:t>
      </w:r>
    </w:p>
    <w:p w14:paraId="5D6D76AA" w14:textId="77777777" w:rsidR="00F83215" w:rsidRPr="007676AD" w:rsidRDefault="00F83215" w:rsidP="007676AD">
      <w:pPr>
        <w:pStyle w:val="opplisting"/>
      </w:pPr>
      <w:r w:rsidRPr="007676AD">
        <w:t>Norges arktiske universitet, fakultet for biovitenskap, fiskeri og økonomi (fiskerihøgskolen)</w:t>
      </w:r>
    </w:p>
    <w:p w14:paraId="4B6E4E5E" w14:textId="77777777" w:rsidR="00F83215" w:rsidRPr="007676AD" w:rsidRDefault="00F83215" w:rsidP="007676AD">
      <w:pPr>
        <w:pStyle w:val="opplisting"/>
      </w:pPr>
      <w:r w:rsidRPr="007676AD">
        <w:t>Norges miljø- og biovitenskapelige universitet, NMBU</w:t>
      </w:r>
    </w:p>
    <w:p w14:paraId="61C15A97" w14:textId="77777777" w:rsidR="00F83215" w:rsidRPr="007676AD" w:rsidRDefault="00F83215" w:rsidP="007676AD">
      <w:pPr>
        <w:pStyle w:val="opplisting"/>
      </w:pPr>
      <w:r w:rsidRPr="007676AD">
        <w:t>Norges teknisk-naturvitenskapelige</w:t>
      </w:r>
      <w:r w:rsidRPr="007676AD">
        <w:t xml:space="preserve"> universitet (NTNU), Det medisinske fakultet</w:t>
      </w:r>
    </w:p>
    <w:p w14:paraId="51BD4904" w14:textId="77777777" w:rsidR="00F83215" w:rsidRPr="007676AD" w:rsidRDefault="00F83215" w:rsidP="007676AD">
      <w:pPr>
        <w:pStyle w:val="opplisting"/>
      </w:pPr>
      <w:proofErr w:type="spellStart"/>
      <w:r w:rsidRPr="007676AD">
        <w:t>OsloMet</w:t>
      </w:r>
      <w:proofErr w:type="spellEnd"/>
      <w:r w:rsidRPr="007676AD">
        <w:t xml:space="preserve"> – Fakultet for helsevitenskap</w:t>
      </w:r>
    </w:p>
    <w:p w14:paraId="65A70973" w14:textId="77777777" w:rsidR="00F83215" w:rsidRPr="007676AD" w:rsidRDefault="00F83215" w:rsidP="007676AD">
      <w:pPr>
        <w:pStyle w:val="opplisting"/>
      </w:pPr>
      <w:r w:rsidRPr="007676AD">
        <w:t>Universitetet i Bergen, Det medisinske fakultet</w:t>
      </w:r>
    </w:p>
    <w:p w14:paraId="5422694D" w14:textId="77777777" w:rsidR="00F83215" w:rsidRPr="007676AD" w:rsidRDefault="00F83215" w:rsidP="007676AD">
      <w:pPr>
        <w:pStyle w:val="opplisting"/>
      </w:pPr>
      <w:r w:rsidRPr="007676AD">
        <w:t>Universitetet i Oslo, Det medisinske fakultet</w:t>
      </w:r>
    </w:p>
    <w:p w14:paraId="472E97B9" w14:textId="77777777" w:rsidR="00F83215" w:rsidRPr="007676AD" w:rsidRDefault="00F83215" w:rsidP="007676AD">
      <w:pPr>
        <w:pStyle w:val="opplisting"/>
      </w:pPr>
      <w:r w:rsidRPr="007676AD">
        <w:t>Universitetet i Oslo, Farmasøytisk institutt</w:t>
      </w:r>
    </w:p>
    <w:p w14:paraId="617F6B7F" w14:textId="77777777" w:rsidR="00F83215" w:rsidRPr="007676AD" w:rsidRDefault="00F83215" w:rsidP="007676AD">
      <w:pPr>
        <w:pStyle w:val="opplisting"/>
      </w:pPr>
      <w:r w:rsidRPr="007676AD">
        <w:t xml:space="preserve">Universitetet i Oslo, seksjon for </w:t>
      </w:r>
      <w:r w:rsidRPr="007676AD">
        <w:t>odontologisk farmakologi og farmakoterapi</w:t>
      </w:r>
    </w:p>
    <w:p w14:paraId="704BD86D" w14:textId="77777777" w:rsidR="00F83215" w:rsidRPr="007676AD" w:rsidRDefault="00F83215" w:rsidP="007676AD"/>
    <w:p w14:paraId="28BAC004" w14:textId="77777777" w:rsidR="00F83215" w:rsidRPr="007676AD" w:rsidRDefault="00F83215" w:rsidP="007676AD">
      <w:pPr>
        <w:pStyle w:val="opplisting"/>
      </w:pPr>
      <w:r w:rsidRPr="007676AD">
        <w:t>De regionale helseforetakene</w:t>
      </w:r>
    </w:p>
    <w:p w14:paraId="1F651B05" w14:textId="77777777" w:rsidR="00F83215" w:rsidRPr="007676AD" w:rsidRDefault="00F83215" w:rsidP="007676AD">
      <w:pPr>
        <w:pStyle w:val="opplisting"/>
      </w:pPr>
      <w:r w:rsidRPr="007676AD">
        <w:t>Helseforetakene</w:t>
      </w:r>
    </w:p>
    <w:p w14:paraId="04CA3FD3" w14:textId="77777777" w:rsidR="00F83215" w:rsidRPr="007676AD" w:rsidRDefault="00F83215" w:rsidP="007676AD">
      <w:pPr>
        <w:pStyle w:val="opplisting"/>
      </w:pPr>
      <w:r w:rsidRPr="007676AD">
        <w:t>Lovisenberg Diakonale Sykehus</w:t>
      </w:r>
    </w:p>
    <w:p w14:paraId="5DFF2D2F" w14:textId="77777777" w:rsidR="00F83215" w:rsidRPr="007676AD" w:rsidRDefault="00F83215" w:rsidP="007676AD">
      <w:pPr>
        <w:pStyle w:val="opplisting"/>
      </w:pPr>
      <w:r w:rsidRPr="007676AD">
        <w:t>Norsk helsenett SF</w:t>
      </w:r>
    </w:p>
    <w:p w14:paraId="2175525F" w14:textId="77777777" w:rsidR="00F83215" w:rsidRPr="007676AD" w:rsidRDefault="00F83215" w:rsidP="007676AD">
      <w:pPr>
        <w:pStyle w:val="opplisting"/>
      </w:pPr>
      <w:r w:rsidRPr="007676AD">
        <w:t>Sykehusapotekene HF</w:t>
      </w:r>
    </w:p>
    <w:p w14:paraId="2CE5C860" w14:textId="77777777" w:rsidR="00F83215" w:rsidRPr="007676AD" w:rsidRDefault="00F83215" w:rsidP="007676AD">
      <w:pPr>
        <w:pStyle w:val="opplisting"/>
      </w:pPr>
      <w:r w:rsidRPr="007676AD">
        <w:t>Sykehusapotekene Vest HF</w:t>
      </w:r>
    </w:p>
    <w:p w14:paraId="0644D7C1" w14:textId="77777777" w:rsidR="00F83215" w:rsidRPr="007676AD" w:rsidRDefault="00F83215" w:rsidP="007676AD">
      <w:pPr>
        <w:pStyle w:val="opplisting"/>
      </w:pPr>
      <w:r w:rsidRPr="007676AD">
        <w:t>Sykehusapotekene Nord HF</w:t>
      </w:r>
    </w:p>
    <w:p w14:paraId="1A15C887" w14:textId="77777777" w:rsidR="00F83215" w:rsidRPr="007676AD" w:rsidRDefault="00F83215" w:rsidP="007676AD">
      <w:pPr>
        <w:pStyle w:val="opplisting"/>
      </w:pPr>
      <w:r w:rsidRPr="007676AD">
        <w:t>Sykehusapotekene Midt-Norge HF</w:t>
      </w:r>
    </w:p>
    <w:p w14:paraId="50BAAC79" w14:textId="77777777" w:rsidR="00F83215" w:rsidRPr="007676AD" w:rsidRDefault="00F83215" w:rsidP="007676AD">
      <w:pPr>
        <w:pStyle w:val="opplisting"/>
      </w:pPr>
      <w:r w:rsidRPr="007676AD">
        <w:t>Sykehusinnkjøp – legemidler</w:t>
      </w:r>
    </w:p>
    <w:p w14:paraId="24777819" w14:textId="77777777" w:rsidR="00F83215" w:rsidRPr="007676AD" w:rsidRDefault="00F83215" w:rsidP="007676AD"/>
    <w:p w14:paraId="16471E44" w14:textId="77777777" w:rsidR="00F83215" w:rsidRPr="007676AD" w:rsidRDefault="00F83215" w:rsidP="007676AD">
      <w:pPr>
        <w:pStyle w:val="opplisting"/>
      </w:pPr>
      <w:r w:rsidRPr="007676AD">
        <w:t>Alliance Healthcare Norge AS</w:t>
      </w:r>
    </w:p>
    <w:p w14:paraId="4160DF9C" w14:textId="77777777" w:rsidR="00F83215" w:rsidRPr="007676AD" w:rsidRDefault="00F83215" w:rsidP="007676AD">
      <w:pPr>
        <w:pStyle w:val="opplisting"/>
      </w:pPr>
      <w:r w:rsidRPr="007676AD">
        <w:t>Allmennlegeforeningen</w:t>
      </w:r>
    </w:p>
    <w:p w14:paraId="3C6F3365" w14:textId="77777777" w:rsidR="00F83215" w:rsidRPr="007676AD" w:rsidRDefault="00F83215" w:rsidP="007676AD">
      <w:pPr>
        <w:pStyle w:val="opplisting"/>
      </w:pPr>
      <w:r w:rsidRPr="007676AD">
        <w:t>Apotekforeningen</w:t>
      </w:r>
    </w:p>
    <w:p w14:paraId="11138DB9" w14:textId="77777777" w:rsidR="00F83215" w:rsidRPr="007676AD" w:rsidRDefault="00F83215" w:rsidP="007676AD">
      <w:pPr>
        <w:pStyle w:val="opplisting"/>
      </w:pPr>
      <w:r w:rsidRPr="007676AD">
        <w:t>Apotek 1 Gruppen AS</w:t>
      </w:r>
    </w:p>
    <w:p w14:paraId="3630B87E" w14:textId="77777777" w:rsidR="00F83215" w:rsidRPr="007676AD" w:rsidRDefault="00F83215" w:rsidP="007676AD">
      <w:pPr>
        <w:pStyle w:val="opplisting"/>
      </w:pPr>
      <w:r w:rsidRPr="007676AD">
        <w:t>Apotekergruppen</w:t>
      </w:r>
    </w:p>
    <w:p w14:paraId="06227BCA" w14:textId="77777777" w:rsidR="00F83215" w:rsidRPr="007676AD" w:rsidRDefault="00F83215" w:rsidP="007676AD">
      <w:pPr>
        <w:pStyle w:val="opplisting"/>
      </w:pPr>
      <w:r w:rsidRPr="007676AD">
        <w:t>Den norske legeforening</w:t>
      </w:r>
    </w:p>
    <w:p w14:paraId="73F3A8D4" w14:textId="77777777" w:rsidR="00F83215" w:rsidRPr="007676AD" w:rsidRDefault="00F83215" w:rsidP="007676AD">
      <w:pPr>
        <w:pStyle w:val="opplisting"/>
      </w:pPr>
      <w:r w:rsidRPr="007676AD">
        <w:t>Den norske tannlegeforening</w:t>
      </w:r>
    </w:p>
    <w:p w14:paraId="65A0D2E9" w14:textId="77777777" w:rsidR="00F83215" w:rsidRPr="007676AD" w:rsidRDefault="00F83215" w:rsidP="007676AD">
      <w:pPr>
        <w:pStyle w:val="opplisting"/>
      </w:pPr>
      <w:r w:rsidRPr="007676AD">
        <w:t>Funksjonshemmedes Fellesorganisasjon (FF</w:t>
      </w:r>
      <w:r w:rsidRPr="007676AD">
        <w:t>O)</w:t>
      </w:r>
    </w:p>
    <w:p w14:paraId="65C82543" w14:textId="77777777" w:rsidR="00F83215" w:rsidRPr="007676AD" w:rsidRDefault="00F83215" w:rsidP="007676AD">
      <w:pPr>
        <w:pStyle w:val="opplisting"/>
      </w:pPr>
      <w:r w:rsidRPr="007676AD">
        <w:t>Komplettapotek.no</w:t>
      </w:r>
    </w:p>
    <w:p w14:paraId="4A4A5567" w14:textId="77777777" w:rsidR="00F83215" w:rsidRPr="007676AD" w:rsidRDefault="00F83215" w:rsidP="007676AD">
      <w:pPr>
        <w:pStyle w:val="opplisting"/>
      </w:pPr>
      <w:r w:rsidRPr="007676AD">
        <w:t>Kreftforeningen</w:t>
      </w:r>
    </w:p>
    <w:p w14:paraId="20BB36FF" w14:textId="77777777" w:rsidR="00F83215" w:rsidRPr="007676AD" w:rsidRDefault="00F83215" w:rsidP="007676AD"/>
    <w:p w14:paraId="4939A1AA" w14:textId="77777777" w:rsidR="00F83215" w:rsidRPr="007676AD" w:rsidRDefault="00F83215" w:rsidP="007676AD">
      <w:pPr>
        <w:pStyle w:val="opplisting"/>
      </w:pPr>
      <w:r w:rsidRPr="007676AD">
        <w:t>Legeforeningens forskningsinstitutt</w:t>
      </w:r>
    </w:p>
    <w:p w14:paraId="42FBC61B" w14:textId="77777777" w:rsidR="00F83215" w:rsidRPr="007676AD" w:rsidRDefault="00F83215" w:rsidP="007676AD">
      <w:pPr>
        <w:pStyle w:val="opplisting"/>
      </w:pPr>
      <w:r w:rsidRPr="007676AD">
        <w:t>Legemiddelgrossistforeningen</w:t>
      </w:r>
    </w:p>
    <w:p w14:paraId="4FEBE15C" w14:textId="77777777" w:rsidR="00F83215" w:rsidRPr="007676AD" w:rsidRDefault="00F83215" w:rsidP="007676AD">
      <w:pPr>
        <w:pStyle w:val="opplisting"/>
      </w:pPr>
      <w:r w:rsidRPr="007676AD">
        <w:t>Legemiddelindustrien</w:t>
      </w:r>
    </w:p>
    <w:p w14:paraId="27316150" w14:textId="77777777" w:rsidR="00F83215" w:rsidRPr="007676AD" w:rsidRDefault="00F83215" w:rsidP="007676AD">
      <w:pPr>
        <w:pStyle w:val="opplisting"/>
      </w:pPr>
      <w:r w:rsidRPr="007676AD">
        <w:t>Legemiddelparallellimportørforeningen</w:t>
      </w:r>
    </w:p>
    <w:p w14:paraId="2C6EFA34" w14:textId="77777777" w:rsidR="00F83215" w:rsidRPr="007676AD" w:rsidRDefault="00F83215" w:rsidP="007676AD">
      <w:pPr>
        <w:pStyle w:val="opplisting"/>
      </w:pPr>
      <w:r w:rsidRPr="007676AD">
        <w:t>LHL</w:t>
      </w:r>
    </w:p>
    <w:p w14:paraId="388162F3" w14:textId="77777777" w:rsidR="00F83215" w:rsidRPr="007676AD" w:rsidRDefault="00F83215" w:rsidP="007676AD">
      <w:pPr>
        <w:pStyle w:val="opplisting"/>
      </w:pPr>
      <w:r w:rsidRPr="007676AD">
        <w:t>Nasjonalforeningen for folkehelsen</w:t>
      </w:r>
    </w:p>
    <w:p w14:paraId="56BDD7BF" w14:textId="77777777" w:rsidR="00F83215" w:rsidRPr="007676AD" w:rsidRDefault="00F83215" w:rsidP="007676AD"/>
    <w:p w14:paraId="4C0AA190" w14:textId="77777777" w:rsidR="00F83215" w:rsidRPr="007676AD" w:rsidRDefault="00F83215" w:rsidP="007676AD">
      <w:pPr>
        <w:pStyle w:val="opplisting"/>
      </w:pPr>
      <w:proofErr w:type="spellStart"/>
      <w:r w:rsidRPr="007676AD">
        <w:lastRenderedPageBreak/>
        <w:t>Nomvec</w:t>
      </w:r>
      <w:proofErr w:type="spellEnd"/>
      <w:r w:rsidRPr="007676AD">
        <w:t xml:space="preserve"> AS</w:t>
      </w:r>
    </w:p>
    <w:p w14:paraId="4EE4EFB9" w14:textId="77777777" w:rsidR="00F83215" w:rsidRPr="007676AD" w:rsidRDefault="00F83215" w:rsidP="007676AD">
      <w:pPr>
        <w:pStyle w:val="opplisting"/>
      </w:pPr>
      <w:r w:rsidRPr="007676AD">
        <w:t xml:space="preserve">Norges </w:t>
      </w:r>
      <w:proofErr w:type="spellStart"/>
      <w:r w:rsidRPr="007676AD">
        <w:t>Farmaceutiske</w:t>
      </w:r>
      <w:proofErr w:type="spellEnd"/>
      <w:r w:rsidRPr="007676AD">
        <w:t xml:space="preserve"> Forening</w:t>
      </w:r>
    </w:p>
    <w:p w14:paraId="3FCD60F4" w14:textId="77777777" w:rsidR="00F83215" w:rsidRPr="007676AD" w:rsidRDefault="00F83215" w:rsidP="007676AD">
      <w:pPr>
        <w:pStyle w:val="opplisting"/>
      </w:pPr>
      <w:r w:rsidRPr="007676AD">
        <w:t>Norske Sykehusfarmasøyters Forening</w:t>
      </w:r>
    </w:p>
    <w:p w14:paraId="450D34D3" w14:textId="77777777" w:rsidR="00F83215" w:rsidRPr="007676AD" w:rsidRDefault="00F83215" w:rsidP="007676AD">
      <w:pPr>
        <w:pStyle w:val="opplisting"/>
      </w:pPr>
      <w:r w:rsidRPr="007676AD">
        <w:t>Norsk Farmasøytisk Selskap</w:t>
      </w:r>
    </w:p>
    <w:p w14:paraId="26B067BC" w14:textId="77777777" w:rsidR="00F83215" w:rsidRPr="007676AD" w:rsidRDefault="00F83215" w:rsidP="007676AD">
      <w:pPr>
        <w:pStyle w:val="opplisting"/>
      </w:pPr>
      <w:r w:rsidRPr="007676AD">
        <w:t>Norsk Medisinaldepot AS</w:t>
      </w:r>
    </w:p>
    <w:p w14:paraId="58884C0C" w14:textId="77777777" w:rsidR="00F83215" w:rsidRPr="007676AD" w:rsidRDefault="00F83215" w:rsidP="007676AD">
      <w:pPr>
        <w:pStyle w:val="opplisting"/>
      </w:pPr>
      <w:r w:rsidRPr="007676AD">
        <w:t>Norsk Pasientforening</w:t>
      </w:r>
    </w:p>
    <w:p w14:paraId="7FDA3D66" w14:textId="77777777" w:rsidR="00F83215" w:rsidRPr="007676AD" w:rsidRDefault="00F83215" w:rsidP="007676AD">
      <w:pPr>
        <w:pStyle w:val="opplisting"/>
      </w:pPr>
      <w:r w:rsidRPr="007676AD">
        <w:t>Norsk sykehus og helsetjenesteforening (NSH)</w:t>
      </w:r>
    </w:p>
    <w:p w14:paraId="72727879" w14:textId="77777777" w:rsidR="00F83215" w:rsidRPr="007676AD" w:rsidRDefault="00F83215" w:rsidP="007676AD">
      <w:pPr>
        <w:pStyle w:val="opplisting"/>
      </w:pPr>
      <w:r w:rsidRPr="007676AD">
        <w:t>Norsk sykepleierforbund</w:t>
      </w:r>
    </w:p>
    <w:p w14:paraId="2C84B511" w14:textId="77777777" w:rsidR="00F83215" w:rsidRPr="007676AD" w:rsidRDefault="00F83215" w:rsidP="007676AD">
      <w:pPr>
        <w:pStyle w:val="opplisting"/>
      </w:pPr>
      <w:r w:rsidRPr="007676AD">
        <w:t>Norsk Tannpleierforening</w:t>
      </w:r>
    </w:p>
    <w:p w14:paraId="7A23116F" w14:textId="77777777" w:rsidR="00F83215" w:rsidRPr="007676AD" w:rsidRDefault="00F83215" w:rsidP="007676AD">
      <w:pPr>
        <w:pStyle w:val="opplisting"/>
      </w:pPr>
      <w:r w:rsidRPr="007676AD">
        <w:t xml:space="preserve">Norsk Tjenestemannslag </w:t>
      </w:r>
      <w:r w:rsidRPr="007676AD">
        <w:t>(NTL)</w:t>
      </w:r>
    </w:p>
    <w:p w14:paraId="2E60BB5F" w14:textId="77777777" w:rsidR="00F83215" w:rsidRPr="007676AD" w:rsidRDefault="00F83215" w:rsidP="007676AD">
      <w:pPr>
        <w:pStyle w:val="opplisting"/>
      </w:pPr>
      <w:r w:rsidRPr="007676AD">
        <w:t>Næringslivets Hovedorganisasjon (NHO)</w:t>
      </w:r>
    </w:p>
    <w:p w14:paraId="500102A7" w14:textId="77777777" w:rsidR="00F83215" w:rsidRPr="007676AD" w:rsidRDefault="00F83215" w:rsidP="007676AD">
      <w:pPr>
        <w:pStyle w:val="opplisting"/>
      </w:pPr>
      <w:r w:rsidRPr="007676AD">
        <w:t>Rådet for legeetikk</w:t>
      </w:r>
    </w:p>
    <w:p w14:paraId="51CFA406" w14:textId="77777777" w:rsidR="00F83215" w:rsidRPr="007676AD" w:rsidRDefault="00F83215" w:rsidP="007676AD">
      <w:pPr>
        <w:rPr>
          <w:rStyle w:val="halvfet0"/>
        </w:rPr>
      </w:pPr>
      <w:r w:rsidRPr="007676AD">
        <w:t>Følgende høringsinstanser ga høringssvar med merknader:</w:t>
      </w:r>
    </w:p>
    <w:p w14:paraId="25D44E7A" w14:textId="77777777" w:rsidR="00F83215" w:rsidRPr="007676AD" w:rsidRDefault="00F83215" w:rsidP="007676AD">
      <w:pPr>
        <w:pStyle w:val="opplisting"/>
      </w:pPr>
      <w:r w:rsidRPr="007676AD">
        <w:t>Forsvarsdepartementet</w:t>
      </w:r>
    </w:p>
    <w:p w14:paraId="5CD35F0F" w14:textId="77777777" w:rsidR="00F83215" w:rsidRPr="007676AD" w:rsidRDefault="00F83215" w:rsidP="007676AD">
      <w:pPr>
        <w:pStyle w:val="opplisting"/>
      </w:pPr>
      <w:r w:rsidRPr="007676AD">
        <w:t>Kommunal- og moderniseringsdepartementet</w:t>
      </w:r>
    </w:p>
    <w:p w14:paraId="33F299E4" w14:textId="77777777" w:rsidR="00F83215" w:rsidRPr="007676AD" w:rsidRDefault="00F83215" w:rsidP="007676AD">
      <w:pPr>
        <w:pStyle w:val="opplisting"/>
      </w:pPr>
      <w:r w:rsidRPr="007676AD">
        <w:t>Folkehelseinstituttet</w:t>
      </w:r>
    </w:p>
    <w:p w14:paraId="7D0698B1" w14:textId="77777777" w:rsidR="00F83215" w:rsidRPr="007676AD" w:rsidRDefault="00F83215" w:rsidP="007676AD">
      <w:pPr>
        <w:pStyle w:val="opplisting"/>
      </w:pPr>
      <w:r w:rsidRPr="007676AD">
        <w:t>Forbrukerrådet</w:t>
      </w:r>
    </w:p>
    <w:p w14:paraId="011CA87A" w14:textId="77777777" w:rsidR="00F83215" w:rsidRPr="007676AD" w:rsidRDefault="00F83215" w:rsidP="007676AD">
      <w:pPr>
        <w:pStyle w:val="opplisting"/>
      </w:pPr>
      <w:r w:rsidRPr="007676AD">
        <w:t>Konkurransetilsynet</w:t>
      </w:r>
    </w:p>
    <w:p w14:paraId="437812A2" w14:textId="77777777" w:rsidR="00F83215" w:rsidRPr="007676AD" w:rsidRDefault="00F83215" w:rsidP="007676AD">
      <w:pPr>
        <w:pStyle w:val="opplisting"/>
      </w:pPr>
      <w:r w:rsidRPr="007676AD">
        <w:t>Regelrådet</w:t>
      </w:r>
    </w:p>
    <w:p w14:paraId="706FA12C" w14:textId="77777777" w:rsidR="00F83215" w:rsidRPr="007676AD" w:rsidRDefault="00F83215" w:rsidP="007676AD">
      <w:pPr>
        <w:pStyle w:val="opplisting"/>
      </w:pPr>
      <w:r w:rsidRPr="007676AD">
        <w:t>State</w:t>
      </w:r>
      <w:r w:rsidRPr="007676AD">
        <w:t>ns legemiddelverk (nå Direktoratet for medisinske produkter)</w:t>
      </w:r>
    </w:p>
    <w:p w14:paraId="058715DD" w14:textId="77777777" w:rsidR="00F83215" w:rsidRPr="007676AD" w:rsidRDefault="00F83215" w:rsidP="007676AD"/>
    <w:p w14:paraId="2A5E82F2" w14:textId="77777777" w:rsidR="00F83215" w:rsidRPr="007676AD" w:rsidRDefault="00F83215" w:rsidP="007676AD">
      <w:pPr>
        <w:pStyle w:val="opplisting"/>
      </w:pPr>
      <w:r w:rsidRPr="007676AD">
        <w:t>Fylkesmannen i Trøndelag (nå Stasforvalteren i Trøndelag)</w:t>
      </w:r>
    </w:p>
    <w:p w14:paraId="06D25895" w14:textId="77777777" w:rsidR="00F83215" w:rsidRPr="007676AD" w:rsidRDefault="00F83215" w:rsidP="007676AD">
      <w:pPr>
        <w:pStyle w:val="opplisting"/>
      </w:pPr>
      <w:r w:rsidRPr="007676AD">
        <w:t>Fylkesmannen i Innlandet (nå Stasforvalteren i Innlandet)</w:t>
      </w:r>
    </w:p>
    <w:p w14:paraId="4E9CF75D" w14:textId="77777777" w:rsidR="00F83215" w:rsidRPr="007676AD" w:rsidRDefault="00F83215" w:rsidP="007676AD"/>
    <w:p w14:paraId="76CA7D34" w14:textId="77777777" w:rsidR="00F83215" w:rsidRPr="007676AD" w:rsidRDefault="00F83215" w:rsidP="007676AD">
      <w:pPr>
        <w:pStyle w:val="opplisting"/>
      </w:pPr>
      <w:proofErr w:type="spellStart"/>
      <w:r w:rsidRPr="007676AD">
        <w:t>OsloMet</w:t>
      </w:r>
      <w:proofErr w:type="spellEnd"/>
      <w:r w:rsidRPr="007676AD">
        <w:t xml:space="preserve"> – storbyuniversitetet, Fakultet for helsevitenskap</w:t>
      </w:r>
    </w:p>
    <w:p w14:paraId="51322C99" w14:textId="77777777" w:rsidR="00F83215" w:rsidRPr="007676AD" w:rsidRDefault="00F83215" w:rsidP="007676AD">
      <w:pPr>
        <w:pStyle w:val="opplisting"/>
      </w:pPr>
      <w:r w:rsidRPr="007676AD">
        <w:t>UiT Norges Arktisk</w:t>
      </w:r>
      <w:r w:rsidRPr="007676AD">
        <w:t>e Universitet</w:t>
      </w:r>
    </w:p>
    <w:p w14:paraId="0CE5DB67" w14:textId="77777777" w:rsidR="00F83215" w:rsidRPr="007676AD" w:rsidRDefault="00F83215" w:rsidP="007676AD"/>
    <w:p w14:paraId="691EAE85" w14:textId="77777777" w:rsidR="00F83215" w:rsidRPr="007676AD" w:rsidRDefault="00F83215" w:rsidP="007676AD">
      <w:pPr>
        <w:pStyle w:val="opplisting"/>
      </w:pPr>
      <w:r w:rsidRPr="007676AD">
        <w:t>Akershus universitetssykehus HF</w:t>
      </w:r>
    </w:p>
    <w:p w14:paraId="591A15AF" w14:textId="77777777" w:rsidR="00F83215" w:rsidRPr="007676AD" w:rsidRDefault="00F83215" w:rsidP="007676AD">
      <w:pPr>
        <w:pStyle w:val="opplisting"/>
      </w:pPr>
      <w:r w:rsidRPr="007676AD">
        <w:t>Diakonhjemmet Sykehus</w:t>
      </w:r>
    </w:p>
    <w:p w14:paraId="58BEAD98" w14:textId="77777777" w:rsidR="00F83215" w:rsidRPr="007676AD" w:rsidRDefault="00F83215" w:rsidP="007676AD">
      <w:pPr>
        <w:pStyle w:val="opplisting"/>
      </w:pPr>
      <w:r w:rsidRPr="007676AD">
        <w:t>Finnmarkssykehuset HF</w:t>
      </w:r>
    </w:p>
    <w:p w14:paraId="261683F3" w14:textId="77777777" w:rsidR="00F83215" w:rsidRPr="007676AD" w:rsidRDefault="00F83215" w:rsidP="007676AD">
      <w:pPr>
        <w:pStyle w:val="opplisting"/>
      </w:pPr>
      <w:r w:rsidRPr="007676AD">
        <w:t>Helse Midt-Norge RHF</w:t>
      </w:r>
    </w:p>
    <w:p w14:paraId="48D0D20D" w14:textId="77777777" w:rsidR="00F83215" w:rsidRPr="007676AD" w:rsidRDefault="00F83215" w:rsidP="007676AD">
      <w:pPr>
        <w:pStyle w:val="opplisting"/>
      </w:pPr>
      <w:r w:rsidRPr="007676AD">
        <w:t>Helse Vest RHF</w:t>
      </w:r>
    </w:p>
    <w:p w14:paraId="0E170F39" w14:textId="77777777" w:rsidR="00F83215" w:rsidRPr="007676AD" w:rsidRDefault="00F83215" w:rsidP="007676AD">
      <w:pPr>
        <w:pStyle w:val="opplisting"/>
      </w:pPr>
      <w:r w:rsidRPr="007676AD">
        <w:t>Helse Sør-Øst RHF</w:t>
      </w:r>
    </w:p>
    <w:p w14:paraId="25AFB0A9" w14:textId="77777777" w:rsidR="00F83215" w:rsidRPr="007676AD" w:rsidRDefault="00F83215" w:rsidP="007676AD">
      <w:pPr>
        <w:pStyle w:val="opplisting"/>
      </w:pPr>
      <w:r w:rsidRPr="007676AD">
        <w:t>Nasjonalt senter for legemiddelmangel og -beredskap i spesialisthelsetjenesten (Mangelsenteret)</w:t>
      </w:r>
    </w:p>
    <w:p w14:paraId="60190AA6" w14:textId="77777777" w:rsidR="00F83215" w:rsidRPr="007676AD" w:rsidRDefault="00F83215" w:rsidP="007676AD">
      <w:pPr>
        <w:pStyle w:val="opplisting"/>
      </w:pPr>
      <w:r w:rsidRPr="007676AD">
        <w:t>Oslo universitetssykehus HF</w:t>
      </w:r>
    </w:p>
    <w:p w14:paraId="3BBA788B" w14:textId="77777777" w:rsidR="00F83215" w:rsidRPr="007676AD" w:rsidRDefault="00F83215" w:rsidP="007676AD">
      <w:pPr>
        <w:pStyle w:val="opplisting"/>
      </w:pPr>
      <w:r w:rsidRPr="007676AD">
        <w:t>Sykehusapotekforetakene i regionene Sør-Øst, Midt og Nord</w:t>
      </w:r>
    </w:p>
    <w:p w14:paraId="7BAF3818" w14:textId="77777777" w:rsidR="00F83215" w:rsidRPr="007676AD" w:rsidRDefault="00F83215" w:rsidP="007676AD">
      <w:pPr>
        <w:pStyle w:val="opplisting"/>
      </w:pPr>
      <w:r w:rsidRPr="007676AD">
        <w:t>Sykehusinnkjøp HF, divisjon legemidler</w:t>
      </w:r>
    </w:p>
    <w:p w14:paraId="0C07FB7D" w14:textId="77777777" w:rsidR="00F83215" w:rsidRPr="007676AD" w:rsidRDefault="00F83215" w:rsidP="007676AD"/>
    <w:p w14:paraId="2947AD2C" w14:textId="77777777" w:rsidR="00F83215" w:rsidRPr="007676AD" w:rsidRDefault="00F83215" w:rsidP="007676AD">
      <w:pPr>
        <w:pStyle w:val="opplisting"/>
      </w:pPr>
      <w:r w:rsidRPr="007676AD">
        <w:t>Apotekforeningen</w:t>
      </w:r>
    </w:p>
    <w:p w14:paraId="3DCB44C1" w14:textId="77777777" w:rsidR="00F83215" w:rsidRPr="007676AD" w:rsidRDefault="00F83215" w:rsidP="007676AD">
      <w:pPr>
        <w:pStyle w:val="opplisting"/>
      </w:pPr>
      <w:r w:rsidRPr="007676AD">
        <w:t>Den norske legefo</w:t>
      </w:r>
      <w:r w:rsidRPr="007676AD">
        <w:t>rening</w:t>
      </w:r>
    </w:p>
    <w:p w14:paraId="3A197CCD" w14:textId="77777777" w:rsidR="00F83215" w:rsidRPr="007676AD" w:rsidRDefault="00F83215" w:rsidP="007676AD">
      <w:pPr>
        <w:pStyle w:val="opplisting"/>
      </w:pPr>
      <w:r w:rsidRPr="007676AD">
        <w:t>EAEPC</w:t>
      </w:r>
    </w:p>
    <w:p w14:paraId="7ED59265" w14:textId="77777777" w:rsidR="00F83215" w:rsidRPr="007676AD" w:rsidRDefault="00F83215" w:rsidP="007676AD">
      <w:pPr>
        <w:pStyle w:val="opplisting"/>
      </w:pPr>
      <w:r w:rsidRPr="007676AD">
        <w:t>Farmasiforbundet</w:t>
      </w:r>
    </w:p>
    <w:p w14:paraId="625E294C" w14:textId="77777777" w:rsidR="00F83215" w:rsidRPr="007676AD" w:rsidRDefault="00F83215" w:rsidP="007676AD">
      <w:pPr>
        <w:pStyle w:val="opplisting"/>
      </w:pPr>
      <w:r w:rsidRPr="007676AD">
        <w:lastRenderedPageBreak/>
        <w:t>Farmasøytisk institutt, UiO</w:t>
      </w:r>
    </w:p>
    <w:p w14:paraId="51632525" w14:textId="77777777" w:rsidR="00F83215" w:rsidRPr="007676AD" w:rsidRDefault="00F83215" w:rsidP="007676AD">
      <w:pPr>
        <w:pStyle w:val="opplisting"/>
      </w:pPr>
      <w:r w:rsidRPr="007676AD">
        <w:t>Legemiddelgrossistforeningen</w:t>
      </w:r>
    </w:p>
    <w:p w14:paraId="6394E2CB" w14:textId="77777777" w:rsidR="00F83215" w:rsidRPr="007676AD" w:rsidRDefault="00F83215" w:rsidP="007676AD">
      <w:pPr>
        <w:pStyle w:val="opplisting"/>
      </w:pPr>
      <w:r w:rsidRPr="007676AD">
        <w:t>Legemiddelindustrien (LMI)</w:t>
      </w:r>
    </w:p>
    <w:p w14:paraId="61CD643B" w14:textId="77777777" w:rsidR="00F83215" w:rsidRPr="007676AD" w:rsidRDefault="00F83215" w:rsidP="007676AD">
      <w:pPr>
        <w:pStyle w:val="opplisting"/>
      </w:pPr>
      <w:r w:rsidRPr="007676AD">
        <w:t>Legemiddelparallellimportørforeningen</w:t>
      </w:r>
    </w:p>
    <w:p w14:paraId="1F8B0726" w14:textId="77777777" w:rsidR="00F83215" w:rsidRPr="007676AD" w:rsidRDefault="00F83215" w:rsidP="007676AD">
      <w:pPr>
        <w:pStyle w:val="opplisting"/>
      </w:pPr>
      <w:r w:rsidRPr="007676AD">
        <w:t xml:space="preserve">Norges </w:t>
      </w:r>
      <w:proofErr w:type="spellStart"/>
      <w:r w:rsidRPr="007676AD">
        <w:t>Farmaceutiske</w:t>
      </w:r>
      <w:proofErr w:type="spellEnd"/>
      <w:r w:rsidRPr="007676AD">
        <w:t xml:space="preserve"> Forening</w:t>
      </w:r>
    </w:p>
    <w:p w14:paraId="339DFCDF" w14:textId="77777777" w:rsidR="00F83215" w:rsidRPr="007676AD" w:rsidRDefault="00F83215" w:rsidP="007676AD">
      <w:pPr>
        <w:pStyle w:val="opplisting"/>
      </w:pPr>
      <w:r w:rsidRPr="007676AD">
        <w:t>Norske Sykehusfarmasøyters Forening</w:t>
      </w:r>
    </w:p>
    <w:p w14:paraId="4EFAB61A" w14:textId="77777777" w:rsidR="00F83215" w:rsidRPr="007676AD" w:rsidRDefault="00F83215" w:rsidP="007676AD">
      <w:pPr>
        <w:pStyle w:val="opplisting"/>
      </w:pPr>
      <w:r w:rsidRPr="007676AD">
        <w:t>Pensjonistforbundet</w:t>
      </w:r>
    </w:p>
    <w:p w14:paraId="0328DB0A" w14:textId="77777777" w:rsidR="00F83215" w:rsidRPr="007676AD" w:rsidRDefault="00F83215" w:rsidP="007676AD">
      <w:pPr>
        <w:pStyle w:val="opplisting"/>
      </w:pPr>
      <w:r w:rsidRPr="007676AD">
        <w:t>Stoffskifteforbund</w:t>
      </w:r>
      <w:r w:rsidRPr="007676AD">
        <w:t>et</w:t>
      </w:r>
    </w:p>
    <w:p w14:paraId="5167CF12" w14:textId="77777777" w:rsidR="00F83215" w:rsidRPr="007676AD" w:rsidRDefault="00F83215" w:rsidP="007676AD">
      <w:pPr>
        <w:rPr>
          <w:rStyle w:val="halvfet0"/>
        </w:rPr>
      </w:pPr>
      <w:r w:rsidRPr="007676AD">
        <w:t>Følgende høringsinstanser støttet forslaget uten ytterligere merknader:</w:t>
      </w:r>
    </w:p>
    <w:p w14:paraId="167FC77A" w14:textId="77777777" w:rsidR="00F83215" w:rsidRPr="007676AD" w:rsidRDefault="00F83215" w:rsidP="007676AD">
      <w:pPr>
        <w:pStyle w:val="opplisting"/>
      </w:pPr>
      <w:r w:rsidRPr="007676AD">
        <w:t>Landbruks- og matdepartementet</w:t>
      </w:r>
    </w:p>
    <w:p w14:paraId="3F1446F2" w14:textId="77777777" w:rsidR="00F83215" w:rsidRPr="007676AD" w:rsidRDefault="00F83215" w:rsidP="007676AD">
      <w:pPr>
        <w:rPr>
          <w:rStyle w:val="halvfet0"/>
        </w:rPr>
      </w:pPr>
      <w:r w:rsidRPr="007676AD">
        <w:t>Følgende høringsinstanser svarte uten merknader:</w:t>
      </w:r>
    </w:p>
    <w:p w14:paraId="07F29187" w14:textId="77777777" w:rsidR="00F83215" w:rsidRPr="007676AD" w:rsidRDefault="00F83215" w:rsidP="007676AD">
      <w:pPr>
        <w:pStyle w:val="opplisting"/>
      </w:pPr>
      <w:r w:rsidRPr="007676AD">
        <w:t>Justis- og beredskapsdepartementet</w:t>
      </w:r>
    </w:p>
    <w:p w14:paraId="7FC592D3" w14:textId="77777777" w:rsidR="00F83215" w:rsidRPr="007676AD" w:rsidRDefault="00F83215" w:rsidP="007676AD">
      <w:pPr>
        <w:pStyle w:val="opplisting"/>
      </w:pPr>
      <w:r w:rsidRPr="007676AD">
        <w:t>Klima- og miljødepartementet</w:t>
      </w:r>
    </w:p>
    <w:p w14:paraId="599E9DFD" w14:textId="77777777" w:rsidR="00F83215" w:rsidRPr="007676AD" w:rsidRDefault="00F83215" w:rsidP="007676AD">
      <w:pPr>
        <w:pStyle w:val="opplisting"/>
      </w:pPr>
      <w:r w:rsidRPr="007676AD">
        <w:t>Samferdselsdepartementet</w:t>
      </w:r>
    </w:p>
    <w:p w14:paraId="351FDE22" w14:textId="77777777" w:rsidR="00F83215" w:rsidRPr="007676AD" w:rsidRDefault="00F83215" w:rsidP="007676AD">
      <w:pPr>
        <w:pStyle w:val="opplisting"/>
      </w:pPr>
      <w:r w:rsidRPr="007676AD">
        <w:t>Utenriksdepartementet</w:t>
      </w:r>
    </w:p>
    <w:p w14:paraId="2299956C" w14:textId="77777777" w:rsidR="00F83215" w:rsidRPr="007676AD" w:rsidRDefault="00F83215" w:rsidP="007676AD"/>
    <w:p w14:paraId="79060641" w14:textId="77777777" w:rsidR="00F83215" w:rsidRPr="007676AD" w:rsidRDefault="00F83215" w:rsidP="007676AD">
      <w:pPr>
        <w:pStyle w:val="opplisting"/>
      </w:pPr>
      <w:r w:rsidRPr="007676AD">
        <w:t>Sykehuset i Vestfold</w:t>
      </w:r>
    </w:p>
    <w:p w14:paraId="772AEA64" w14:textId="77777777" w:rsidR="00F83215" w:rsidRPr="007676AD" w:rsidRDefault="00F83215" w:rsidP="007676AD">
      <w:pPr>
        <w:pStyle w:val="opplisting"/>
      </w:pPr>
      <w:r w:rsidRPr="007676AD">
        <w:t>Vestre Viken HF</w:t>
      </w:r>
    </w:p>
    <w:p w14:paraId="446EE50E" w14:textId="77777777" w:rsidR="00F83215" w:rsidRPr="007676AD" w:rsidRDefault="00F83215" w:rsidP="007676AD">
      <w:pPr>
        <w:pStyle w:val="opplisting"/>
      </w:pPr>
      <w:r w:rsidRPr="007676AD">
        <w:t>Næringslivets Sikkerhetsråd</w:t>
      </w:r>
    </w:p>
    <w:p w14:paraId="6D56251F" w14:textId="77777777" w:rsidR="00F83215" w:rsidRPr="007676AD" w:rsidRDefault="00F83215" w:rsidP="007676AD">
      <w:r w:rsidRPr="007676AD">
        <w:t xml:space="preserve">Det innkom 48 høringssvar. Flertallet av høringsinstansene som hadde merknader var, positive til forslaget. Dette gjelder blant annet </w:t>
      </w:r>
      <w:r w:rsidRPr="007676AD">
        <w:rPr>
          <w:rStyle w:val="kursiv"/>
        </w:rPr>
        <w:t>Helsedirektoratet,</w:t>
      </w:r>
      <w:r w:rsidRPr="007676AD">
        <w:t xml:space="preserve"> </w:t>
      </w:r>
      <w:r w:rsidRPr="007676AD">
        <w:rPr>
          <w:rStyle w:val="kursiv"/>
        </w:rPr>
        <w:t>Folkehelseinsti</w:t>
      </w:r>
      <w:r w:rsidRPr="007676AD">
        <w:rPr>
          <w:rStyle w:val="kursiv"/>
        </w:rPr>
        <w:t>tuttet</w:t>
      </w:r>
      <w:r w:rsidRPr="007676AD">
        <w:t xml:space="preserve">, </w:t>
      </w:r>
      <w:r w:rsidRPr="007676AD">
        <w:rPr>
          <w:rStyle w:val="kursiv"/>
        </w:rPr>
        <w:t>Statens legemiddelverk,</w:t>
      </w:r>
      <w:r w:rsidRPr="007676AD">
        <w:t xml:space="preserve"> samtlige helseforetak og fylkesmenn (nå statsforvaltere) som har uttalt seg, </w:t>
      </w:r>
      <w:r w:rsidRPr="007676AD">
        <w:rPr>
          <w:rStyle w:val="kursiv"/>
        </w:rPr>
        <w:t>Sykehusapotekene HF</w:t>
      </w:r>
      <w:r w:rsidRPr="007676AD">
        <w:t xml:space="preserve">, </w:t>
      </w:r>
      <w:r w:rsidRPr="007676AD">
        <w:rPr>
          <w:rStyle w:val="kursiv"/>
        </w:rPr>
        <w:t>Nasjonalt senter for legemiddelmangel- og beredskap i spesialisthelsetjenesten</w:t>
      </w:r>
      <w:r w:rsidRPr="007676AD">
        <w:t xml:space="preserve">, </w:t>
      </w:r>
      <w:r w:rsidRPr="007676AD">
        <w:rPr>
          <w:rStyle w:val="kursiv"/>
        </w:rPr>
        <w:t>Sykehusinnkjøp HF</w:t>
      </w:r>
      <w:r w:rsidRPr="007676AD">
        <w:t xml:space="preserve">, </w:t>
      </w:r>
      <w:r w:rsidRPr="007676AD">
        <w:rPr>
          <w:rStyle w:val="kursiv"/>
        </w:rPr>
        <w:t>Legemiddelindustrien</w:t>
      </w:r>
      <w:r w:rsidRPr="007676AD">
        <w:t xml:space="preserve"> og </w:t>
      </w:r>
      <w:r w:rsidRPr="007676AD">
        <w:rPr>
          <w:rStyle w:val="kursiv"/>
        </w:rPr>
        <w:t>Pen</w:t>
      </w:r>
      <w:r w:rsidRPr="007676AD">
        <w:rPr>
          <w:rStyle w:val="kursiv"/>
        </w:rPr>
        <w:t>sjonistforbundet</w:t>
      </w:r>
      <w:r w:rsidRPr="007676AD">
        <w:t xml:space="preserve">. </w:t>
      </w:r>
    </w:p>
    <w:p w14:paraId="1CDB0AB4" w14:textId="77777777" w:rsidR="00F83215" w:rsidRPr="007676AD" w:rsidRDefault="00F83215" w:rsidP="007676AD">
      <w:r w:rsidRPr="007676AD">
        <w:rPr>
          <w:rStyle w:val="kursiv"/>
        </w:rPr>
        <w:t>Apotekforeningen</w:t>
      </w:r>
      <w:r w:rsidRPr="007676AD">
        <w:t xml:space="preserve">, </w:t>
      </w:r>
      <w:r w:rsidRPr="007676AD">
        <w:rPr>
          <w:rStyle w:val="kursiv"/>
        </w:rPr>
        <w:t>Legemiddelgrossistforeningen</w:t>
      </w:r>
      <w:r w:rsidRPr="007676AD">
        <w:t>,</w:t>
      </w:r>
      <w:r w:rsidRPr="007676AD">
        <w:t xml:space="preserve"> </w:t>
      </w:r>
      <w:r w:rsidRPr="007676AD">
        <w:rPr>
          <w:rStyle w:val="kursiv"/>
        </w:rPr>
        <w:t>Forbrukertilsynet</w:t>
      </w:r>
      <w:r w:rsidRPr="007676AD">
        <w:t xml:space="preserve">, </w:t>
      </w:r>
      <w:r w:rsidRPr="007676AD">
        <w:rPr>
          <w:rStyle w:val="kursiv"/>
        </w:rPr>
        <w:t xml:space="preserve">European Association </w:t>
      </w:r>
      <w:proofErr w:type="spellStart"/>
      <w:r w:rsidRPr="007676AD">
        <w:rPr>
          <w:rStyle w:val="kursiv"/>
        </w:rPr>
        <w:t>of</w:t>
      </w:r>
      <w:proofErr w:type="spellEnd"/>
      <w:r w:rsidRPr="007676AD">
        <w:rPr>
          <w:rStyle w:val="kursiv"/>
        </w:rPr>
        <w:t xml:space="preserve"> Euro-</w:t>
      </w:r>
      <w:proofErr w:type="spellStart"/>
      <w:r w:rsidRPr="007676AD">
        <w:rPr>
          <w:rStyle w:val="kursiv"/>
        </w:rPr>
        <w:t>Pharmaceutical</w:t>
      </w:r>
      <w:proofErr w:type="spellEnd"/>
      <w:r w:rsidRPr="007676AD">
        <w:rPr>
          <w:rStyle w:val="kursiv"/>
        </w:rPr>
        <w:t xml:space="preserve"> Companies</w:t>
      </w:r>
      <w:r w:rsidRPr="007676AD">
        <w:t xml:space="preserve"> og </w:t>
      </w:r>
      <w:r w:rsidRPr="007676AD">
        <w:rPr>
          <w:rStyle w:val="kursiv"/>
        </w:rPr>
        <w:t xml:space="preserve">Den norske legeforeningen </w:t>
      </w:r>
      <w:r w:rsidRPr="007676AD">
        <w:t>uttaler at de i all hovedsak forstår behovet for å lovfeste det å kunne rasjonere og fo</w:t>
      </w:r>
      <w:r w:rsidRPr="007676AD">
        <w:t xml:space="preserve">rby parallelleksport, men ønsker tydeligere vilkår for at myndighetene skal kunne ta i bruk de foreslåtte tiltakene. </w:t>
      </w:r>
    </w:p>
    <w:p w14:paraId="1A36595C" w14:textId="77777777" w:rsidR="00F83215" w:rsidRPr="007676AD" w:rsidRDefault="00F83215" w:rsidP="007676AD">
      <w:r w:rsidRPr="007676AD">
        <w:rPr>
          <w:rStyle w:val="kursiv"/>
        </w:rPr>
        <w:t>Konkurransetilsynet</w:t>
      </w:r>
      <w:r w:rsidRPr="007676AD">
        <w:t xml:space="preserve"> og </w:t>
      </w:r>
      <w:r w:rsidRPr="007676AD">
        <w:rPr>
          <w:rStyle w:val="kursiv"/>
        </w:rPr>
        <w:t>Regelrådet</w:t>
      </w:r>
      <w:r w:rsidRPr="007676AD">
        <w:t xml:space="preserve"> mener at forslaget må utredes ytterligere.</w:t>
      </w:r>
    </w:p>
    <w:p w14:paraId="320EDA37" w14:textId="77777777" w:rsidR="00F83215" w:rsidRPr="007676AD" w:rsidRDefault="00F83215" w:rsidP="007676AD">
      <w:pPr>
        <w:pStyle w:val="Overskrift1"/>
      </w:pPr>
      <w:r w:rsidRPr="007676AD">
        <w:t>Definisjon av mangelsituasjon</w:t>
      </w:r>
    </w:p>
    <w:p w14:paraId="7ED647DE" w14:textId="77777777" w:rsidR="00F83215" w:rsidRPr="007676AD" w:rsidRDefault="00F83215" w:rsidP="007676AD">
      <w:pPr>
        <w:pStyle w:val="Overskrift2"/>
      </w:pPr>
      <w:r w:rsidRPr="007676AD">
        <w:t>Gjeldende rett</w:t>
      </w:r>
    </w:p>
    <w:p w14:paraId="7D901252" w14:textId="77777777" w:rsidR="00F83215" w:rsidRPr="007676AD" w:rsidRDefault="00F83215" w:rsidP="007676AD">
      <w:r w:rsidRPr="007676AD">
        <w:t>Legemiddelloven og apotekloven inneholder ingen definisjon av mangel. Under pandemien ble det som nevnt under punkt 2. innført midlertidige regler knyttet til særskilte omsetningsrestriksjoner som er hjemlet i helseberedskapsloven §§ 5-2 og 5-3, jf. § 1-5.</w:t>
      </w:r>
      <w:r w:rsidRPr="007676AD">
        <w:t xml:space="preserve"> Terskelen for bruk av omsetningsrestriksjoner etter midlertidig forskrift om tiltak for å ivareta tilgangen til legemidler under covid-19 var knyttet til om det var grunn til å tro at det var fare for tilgangen til legemidler i Norge. Regelverket innehold</w:t>
      </w:r>
      <w:r w:rsidRPr="007676AD">
        <w:t>er likevel ingen definisjon av legemiddelmangel.</w:t>
      </w:r>
    </w:p>
    <w:p w14:paraId="1B1BCB9A" w14:textId="77777777" w:rsidR="00F83215" w:rsidRPr="007676AD" w:rsidRDefault="00F83215" w:rsidP="007676AD">
      <w:r w:rsidRPr="007676AD">
        <w:lastRenderedPageBreak/>
        <w:t xml:space="preserve">Som vist til under punkt 2.2.3 inneholder forordning (EU) 2022/123 om EMAs styrkede rolle artikkel 2 bokstav h) en definisjon av mangel. </w:t>
      </w:r>
      <w:proofErr w:type="spellStart"/>
      <w:r w:rsidRPr="007676AD">
        <w:t>Bestemmelsen</w:t>
      </w:r>
      <w:proofErr w:type="spellEnd"/>
      <w:r w:rsidRPr="007676AD">
        <w:t xml:space="preserve"> </w:t>
      </w:r>
      <w:proofErr w:type="spellStart"/>
      <w:r w:rsidRPr="007676AD">
        <w:t>sier</w:t>
      </w:r>
      <w:proofErr w:type="spellEnd"/>
      <w:r w:rsidRPr="007676AD">
        <w:t xml:space="preserve"> at:</w:t>
      </w:r>
    </w:p>
    <w:p w14:paraId="145E9782" w14:textId="77777777" w:rsidR="00F83215" w:rsidRPr="007676AD" w:rsidRDefault="00F83215" w:rsidP="007676AD">
      <w:pPr>
        <w:pStyle w:val="blokksit"/>
      </w:pPr>
      <w:r w:rsidRPr="007676AD">
        <w:t>(h) ‘shortage’ means a situation in which the su</w:t>
      </w:r>
      <w:r w:rsidRPr="007676AD">
        <w:t xml:space="preserve">pply of a medicinal product that is authorised and placed on the market in a Member State or of a CE-marked medical device does not meet demand for that medicinal product or medical device at a national level, whatever the </w:t>
      </w:r>
      <w:proofErr w:type="gramStart"/>
      <w:r w:rsidRPr="007676AD">
        <w:t>cause;</w:t>
      </w:r>
      <w:proofErr w:type="gramEnd"/>
    </w:p>
    <w:p w14:paraId="0BE7116C" w14:textId="77777777" w:rsidR="00F83215" w:rsidRPr="007676AD" w:rsidRDefault="00F83215" w:rsidP="007676AD">
      <w:r w:rsidRPr="007676AD">
        <w:t>Forordningen anses EØS-rel</w:t>
      </w:r>
      <w:r w:rsidRPr="007676AD">
        <w:t>evant, men er foreløpig ikke innlemmet i EØS-avtalen og gjennomført i norsk rett.</w:t>
      </w:r>
    </w:p>
    <w:p w14:paraId="3A9422BE" w14:textId="77777777" w:rsidR="00F83215" w:rsidRPr="007676AD" w:rsidRDefault="00F83215" w:rsidP="007676AD">
      <w:pPr>
        <w:pStyle w:val="Overskrift2"/>
      </w:pPr>
      <w:r w:rsidRPr="007676AD">
        <w:t>Høringsforslaget</w:t>
      </w:r>
    </w:p>
    <w:p w14:paraId="6005A9F0" w14:textId="77777777" w:rsidR="00F83215" w:rsidRPr="007676AD" w:rsidRDefault="00F83215" w:rsidP="007676AD">
      <w:r w:rsidRPr="007676AD">
        <w:t>Departementet viste i hør</w:t>
      </w:r>
      <w:r w:rsidRPr="007676AD">
        <w:t>ingen til at med mangel, herunder fare for mangel, menes situasjoner hvor det er fare for eller foreligger et midlertidig eller permanent avbrudd i legemiddelforsyningen. Det vil blant annet si tilfeller hvor forsyningen ikke tilfredsstiller etterspørselen</w:t>
      </w:r>
      <w:r w:rsidRPr="007676AD">
        <w:t xml:space="preserve"> på nasjonalt nivå eller står i fare for det. For å unngå de negative konsekvensene av manglende tilgang til legemidler er det et mål at tiltakene som foreslås i denne lovproposisjonen i størst mulig grad skal brukes proaktivt. Mangelbegrepet ble derfor fo</w:t>
      </w:r>
      <w:r w:rsidRPr="007676AD">
        <w:t>reslått å favne både situasjoner hvor det er fare for og hvor det foreligger en etablert mangelsituasjon.</w:t>
      </w:r>
    </w:p>
    <w:p w14:paraId="54555100" w14:textId="77777777" w:rsidR="00F83215" w:rsidRPr="007676AD" w:rsidRDefault="00F83215" w:rsidP="007676AD">
      <w:r w:rsidRPr="007676AD">
        <w:t xml:space="preserve">Departementet har i høringen påpekt at forslaget inkluderer de tilfellene som oppstår i den løpende forvaltningen av legemiddelforsyningen det vil si </w:t>
      </w:r>
      <w:r w:rsidRPr="007676AD">
        <w:t>i normalsituasjonen utenfor krise. Det er derfor i høringen vist til at departementets forslag grenser mot helseberedskapslovens bestemmelser. Det ble ikke foreslått en egen definisjon av mangel.</w:t>
      </w:r>
    </w:p>
    <w:p w14:paraId="68114DA8" w14:textId="77777777" w:rsidR="00F83215" w:rsidRPr="007676AD" w:rsidRDefault="00F83215" w:rsidP="007676AD">
      <w:pPr>
        <w:pStyle w:val="Overskrift2"/>
      </w:pPr>
      <w:r w:rsidRPr="007676AD">
        <w:t>Høringsinstansenes syn</w:t>
      </w:r>
    </w:p>
    <w:p w14:paraId="7ADD0C01" w14:textId="77777777" w:rsidR="00F83215" w:rsidRPr="007676AD" w:rsidRDefault="00F83215" w:rsidP="007676AD">
      <w:r w:rsidRPr="007676AD">
        <w:t>De fleste høringsinstansene h</w:t>
      </w:r>
      <w:r w:rsidRPr="007676AD">
        <w:t xml:space="preserve">ar ikke problematisert spørsmålet om legemiddelmangel skal defineres. </w:t>
      </w:r>
      <w:r w:rsidRPr="007676AD">
        <w:rPr>
          <w:rStyle w:val="kursiv"/>
        </w:rPr>
        <w:t>Apotekforeningen</w:t>
      </w:r>
      <w:r w:rsidRPr="007676AD">
        <w:t xml:space="preserve"> har i sitt høringssvar utrykt at begrepet mangel må være presist og konkret for at ønsket effekt ved tiltak skal være oppnåelig. </w:t>
      </w:r>
      <w:r w:rsidRPr="007676AD">
        <w:rPr>
          <w:rStyle w:val="kursiv"/>
        </w:rPr>
        <w:t xml:space="preserve">Norges </w:t>
      </w:r>
      <w:proofErr w:type="spellStart"/>
      <w:r w:rsidRPr="007676AD">
        <w:rPr>
          <w:rStyle w:val="kursiv"/>
        </w:rPr>
        <w:t>Farmaceutiske</w:t>
      </w:r>
      <w:proofErr w:type="spellEnd"/>
      <w:r w:rsidRPr="007676AD">
        <w:rPr>
          <w:rStyle w:val="kursiv"/>
        </w:rPr>
        <w:t xml:space="preserve"> Forening</w:t>
      </w:r>
      <w:r w:rsidRPr="007676AD">
        <w:t xml:space="preserve"> mener det </w:t>
      </w:r>
      <w:r w:rsidRPr="007676AD">
        <w:t>ikke er klart hva som skal defineres som en mangelsituasjon i forslaget, og viser samtidig til at dette har stor betydning for praktisering av forslaget til tiltak.</w:t>
      </w:r>
    </w:p>
    <w:p w14:paraId="0D228ABC" w14:textId="77777777" w:rsidR="00F83215" w:rsidRPr="007676AD" w:rsidRDefault="00F83215" w:rsidP="007676AD">
      <w:pPr>
        <w:pStyle w:val="Overskrift2"/>
      </w:pPr>
      <w:r w:rsidRPr="007676AD">
        <w:t>Departementets vurdering</w:t>
      </w:r>
    </w:p>
    <w:p w14:paraId="01311841" w14:textId="77777777" w:rsidR="00F83215" w:rsidRPr="007676AD" w:rsidRDefault="00F83215" w:rsidP="007676AD">
      <w:r w:rsidRPr="007676AD">
        <w:t>En mangelsituasjon omfatter i større eller mindre grad føl</w:t>
      </w:r>
      <w:r w:rsidRPr="007676AD">
        <w:t>gende elementer; tilgang versus etterspørsel, varighet og kritikalitet.</w:t>
      </w:r>
    </w:p>
    <w:p w14:paraId="537C33CE" w14:textId="77777777" w:rsidR="00F83215" w:rsidRPr="007676AD" w:rsidRDefault="00F83215" w:rsidP="007676AD">
      <w:r w:rsidRPr="007676AD">
        <w:t>I kjølvannet av pandemien kom EU med en rekke rettsakter for å sikre tilgangen til legemidler og medisinsk utstyr, jf. omtale under punkt 2.2.3 om EUs helseunion og styrket helsebereds</w:t>
      </w:r>
      <w:r w:rsidRPr="007676AD">
        <w:t xml:space="preserve">kapssamarbeid i EU. Departementet viser til Meld. St. 5 (2023–2024) </w:t>
      </w:r>
      <w:r w:rsidRPr="007676AD">
        <w:rPr>
          <w:rStyle w:val="kursiv"/>
        </w:rPr>
        <w:t>En motstandsdyktig helseberedskap — Fra pandemi til krig i Europa</w:t>
      </w:r>
      <w:r w:rsidRPr="007676AD">
        <w:t xml:space="preserve"> for ytterligere omtale av dette.</w:t>
      </w:r>
    </w:p>
    <w:p w14:paraId="5EDC3689" w14:textId="77777777" w:rsidR="00F83215" w:rsidRPr="007676AD" w:rsidRDefault="00F83215" w:rsidP="007676AD">
      <w:r w:rsidRPr="007676AD">
        <w:t>Som del av EUs styrkede helseberedskapssamarbeid, er det europeiske legemiddelbyrået (EMA</w:t>
      </w:r>
      <w:r w:rsidRPr="007676AD">
        <w:t>) gitt et styrket mandat i forordning (EU) 2022/123.</w:t>
      </w:r>
    </w:p>
    <w:p w14:paraId="4124FCC3" w14:textId="77777777" w:rsidR="00F83215" w:rsidRPr="007676AD" w:rsidRDefault="00F83215" w:rsidP="007676AD">
      <w:r w:rsidRPr="007676AD">
        <w:t>Definisjonen av mangel i forordning (EU) 2022/123 som er omtalt i punkt 3.1, omfatter verken krav til varigheten av mangelen eller hvor kritisk mangelen er for pasienten og helsetjenesten.</w:t>
      </w:r>
    </w:p>
    <w:p w14:paraId="43019A42" w14:textId="77777777" w:rsidR="00F83215" w:rsidRPr="007676AD" w:rsidRDefault="00F83215" w:rsidP="007676AD">
      <w:r w:rsidRPr="007676AD">
        <w:lastRenderedPageBreak/>
        <w:t>Meldeplikten t</w:t>
      </w:r>
      <w:r w:rsidRPr="007676AD">
        <w:t xml:space="preserve">il innehaver av markedsføringstillatelse etter legemiddelforskriften § 8-6 bokstav d, pålegger en plikt til å underrette Direktoratet for medisinske produkter, dersom et legemiddel midlertidig eller permanent ikke lenger vil bli markedsført i Norge. Dette </w:t>
      </w:r>
      <w:r w:rsidRPr="007676AD">
        <w:t>er imidlertid heller ingen god definisjon av mangel.</w:t>
      </w:r>
    </w:p>
    <w:p w14:paraId="2F87B284" w14:textId="77777777" w:rsidR="00F83215" w:rsidRPr="007676AD" w:rsidRDefault="00F83215" w:rsidP="007676AD">
      <w:r w:rsidRPr="007676AD">
        <w:t>Departementet har forståelse for at noen hør</w:t>
      </w:r>
      <w:r w:rsidRPr="007676AD">
        <w:t xml:space="preserve">ingsinstanser, som Norges </w:t>
      </w:r>
      <w:proofErr w:type="spellStart"/>
      <w:r w:rsidRPr="007676AD">
        <w:t>Farmaceutiske</w:t>
      </w:r>
      <w:proofErr w:type="spellEnd"/>
      <w:r w:rsidRPr="007676AD">
        <w:t xml:space="preserve"> Forening, etterlyser en definisjon. Det er korrekt at en del mangler heldigvis ikke får store konsekvenser. De kan håndteres i apotek og i helsetjenesten, både fordi det kan være legemidler som ikke er kritiske, det </w:t>
      </w:r>
      <w:r w:rsidRPr="007676AD">
        <w:t>finnes alternativer og fordi mangelen ikke er langvarig. Konsekvensene av en legemiddelmangel kan derfor både misforstås og overdrives.</w:t>
      </w:r>
    </w:p>
    <w:p w14:paraId="03D831F2" w14:textId="77777777" w:rsidR="00F83215" w:rsidRPr="007676AD" w:rsidRDefault="00F83215" w:rsidP="007676AD">
      <w:r w:rsidRPr="007676AD">
        <w:t>Departementet er enig i at alle mangler har sine særegenheter og vanskelig vil kunne ses som like. Heldigvis har de fles</w:t>
      </w:r>
      <w:r w:rsidRPr="007676AD">
        <w:t>te mangelsituasjoner begrensede konsekvenser for pasienten og helsetjenesten. Noen mangelsituasjoner er imidlertid alvorlige, og innebærer behov for tiltak som er uheldig for pasienten som endring av behandling og den usikkerheten det innebærer..</w:t>
      </w:r>
    </w:p>
    <w:p w14:paraId="1800C90A" w14:textId="77777777" w:rsidR="00F83215" w:rsidRPr="007676AD" w:rsidRDefault="00F83215" w:rsidP="007676AD">
      <w:r w:rsidRPr="007676AD">
        <w:t>Likevel m</w:t>
      </w:r>
      <w:r w:rsidRPr="007676AD">
        <w:t>ener departementet at begrepet mangel ikke kan begrenses på generell basis. Alvorligheten ved en mangelsituasjon er en helhetlig vurdering av den konkrete mangelen. Også mangelsituasjoner som har kort varighet kan være alvorlige. Det samme gjelder mangel a</w:t>
      </w:r>
      <w:r w:rsidRPr="007676AD">
        <w:t>v legemidler som i utgangspunktet ikke er ansett som kritiske legemidler. Det vil være Direktoratet for medisinske produkters faglige vurdering av helheten, både knyttet til de helsefaglige konsekvensene og forsyningssikkerheten for det konkrete legemiddel</w:t>
      </w:r>
      <w:r w:rsidRPr="007676AD">
        <w:t>et, som avgjør hvor alvorlig en mangelsituasjon må anses.</w:t>
      </w:r>
    </w:p>
    <w:p w14:paraId="712D39FB" w14:textId="77777777" w:rsidR="00F83215" w:rsidRPr="007676AD" w:rsidRDefault="00F83215" w:rsidP="007676AD">
      <w:r w:rsidRPr="007676AD">
        <w:t>Departementet påpeker at tiltak fra myndighetenes side uansett skal være forholdsmessige. Dette underbygger også at en definisjon ikke bør begrenses til kritiske legemidler eller mangel med lengre v</w:t>
      </w:r>
      <w:r w:rsidRPr="007676AD">
        <w:t>arighet.</w:t>
      </w:r>
    </w:p>
    <w:p w14:paraId="6F16389C" w14:textId="77777777" w:rsidR="00F83215" w:rsidRPr="007676AD" w:rsidRDefault="00F83215" w:rsidP="007676AD">
      <w:r w:rsidRPr="007676AD">
        <w:t>Videre viser departementet til at regelverket som var på plass midlertidig med hjemmel i helseberedskapsloven fra 6. mars 2020 til 14. mai 2023 ikke inneholdt en definisjon av mangel. Vi minner i så måte om at det midlertidige regelverket fungerte</w:t>
      </w:r>
      <w:r w:rsidRPr="007676AD">
        <w:t xml:space="preserve"> godt og ble vurdert som treffsikkert for å iverksette egnede tiltak. Hva som anses som en mangelsituasjon vil måtte følge av vilkårene for å kunne anvende tiltakene som foreslås i denne lovproposisjonen. De vilkårene må knyttes til tilgang og etterspørsel</w:t>
      </w:r>
      <w:r w:rsidRPr="007676AD">
        <w:t>. Departementet mener derfor at det ikke er nødvendig med en definisjon av legemiddelmangel i loven.</w:t>
      </w:r>
    </w:p>
    <w:p w14:paraId="42869E33" w14:textId="77777777" w:rsidR="00F83215" w:rsidRPr="007676AD" w:rsidRDefault="00F83215" w:rsidP="007676AD">
      <w:pPr>
        <w:pStyle w:val="Overskrift1"/>
      </w:pPr>
      <w:r w:rsidRPr="007676AD">
        <w:t>Rasjonering i apotek og fra grossist</w:t>
      </w:r>
    </w:p>
    <w:p w14:paraId="416FE929" w14:textId="77777777" w:rsidR="00F83215" w:rsidRPr="007676AD" w:rsidRDefault="00F83215" w:rsidP="007676AD">
      <w:pPr>
        <w:pStyle w:val="Overskrift2"/>
      </w:pPr>
      <w:r w:rsidRPr="007676AD">
        <w:t>Gjeldene rett</w:t>
      </w:r>
    </w:p>
    <w:p w14:paraId="7D50B38A" w14:textId="77777777" w:rsidR="00F83215" w:rsidRPr="007676AD" w:rsidRDefault="00F83215" w:rsidP="007676AD">
      <w:r w:rsidRPr="007676AD">
        <w:t>Apoteket plikter å utlevere legemidler i oppgitt mengde når det foreligger gyldig resept</w:t>
      </w:r>
      <w:r w:rsidRPr="007676AD">
        <w:t xml:space="preserve">, jf. apotekloven §§ 6-2 og 6-6, jf. apotekforskriften § 26. Tilsvarende har legemiddelgrossister som forsyner apotek en leveringsplikt for de legemidlene grossisten fører i henhold til legemiddelloven § 14 tredje ledd, jf. grossistforskriften § 4. Apotek </w:t>
      </w:r>
      <w:r w:rsidRPr="007676AD">
        <w:t xml:space="preserve">som bestiller legemidlene har dermed rett til å få dem levert fra grossist. Dette innebærer at dersom myndighetene i en mangelsituasjon skal kunne pålegge restriksjoner på utlevering og salg av bestemte legemidler, må det </w:t>
      </w:r>
      <w:r w:rsidRPr="007676AD">
        <w:lastRenderedPageBreak/>
        <w:t>etableres et rettslig grunnlag for</w:t>
      </w:r>
      <w:r w:rsidRPr="007676AD">
        <w:t xml:space="preserve"> dette. Slik regelverket er i dag, kan myndighetene ikke forhindre at en grossist i en mangelsituasjon selger hele sitt lager av legemiddel til noen få apotek, eller forhindre at enkeltpasienter henter ut større mengde enn nødvendig fra apotek for å sikre </w:t>
      </w:r>
      <w:r w:rsidRPr="007676AD">
        <w:t>egen tilgang til legemiddelet.</w:t>
      </w:r>
    </w:p>
    <w:p w14:paraId="1C04B9AF" w14:textId="77777777" w:rsidR="00F83215" w:rsidRPr="007676AD" w:rsidRDefault="00F83215" w:rsidP="007676AD">
      <w:r w:rsidRPr="007676AD">
        <w:t>I noen tilfeller oppfordrer Direktoratet for medisinske produkter apotek til å utlevere en begrenset mengde legemidler til den enkelte kunde i situasjoner hvor mangel oppstår. Det er imidlertid uvisst i hvilket omfang oppford</w:t>
      </w:r>
      <w:r w:rsidRPr="007676AD">
        <w:t>ringen blir fulgt. Apotekene har en leveringsplikt og må utlevere legemiddelet i rekvirert mengde etter gyldig resept. De har ikke adgang til å nekte kunder eller pasienter å få utlevert det som er rekvirert. For å kunne sikre flest mulig tilgang til legem</w:t>
      </w:r>
      <w:r w:rsidRPr="007676AD">
        <w:t>iddel i mangelsituasjoner, er man derfor avhengig av at apotekene følger myndighetenes oppfordringer, og at pasienter og kunder innretter seg etter dette.</w:t>
      </w:r>
    </w:p>
    <w:p w14:paraId="7C542E7C" w14:textId="77777777" w:rsidR="00F83215" w:rsidRPr="007676AD" w:rsidRDefault="00F83215" w:rsidP="007676AD">
      <w:r w:rsidRPr="007676AD">
        <w:t>Grossistene har på samme måte som apotekene en leveringsplikt til apotek. Grossisttillatelsen gir ogs</w:t>
      </w:r>
      <w:r w:rsidRPr="007676AD">
        <w:t>å grossistene en rett til å distribuere sine legemidler. Direktoratet for medisinske produkter har i dag ingen hjemmel for å løse grossister fra kravene om leveringsplikt i en mangelsituasjon.</w:t>
      </w:r>
    </w:p>
    <w:p w14:paraId="448848ED" w14:textId="77777777" w:rsidR="00F83215" w:rsidRPr="007676AD" w:rsidRDefault="00F83215" w:rsidP="007676AD">
      <w:r w:rsidRPr="007676AD">
        <w:t>Helseberedskapsloven § 5-2 inneholder en hjemmel for å fastsett</w:t>
      </w:r>
      <w:r w:rsidRPr="007676AD">
        <w:t xml:space="preserve">e omsetningsrestriksjoner for legemidler, og omfatter </w:t>
      </w:r>
      <w:proofErr w:type="gramStart"/>
      <w:r w:rsidRPr="007676AD">
        <w:t>således</w:t>
      </w:r>
      <w:proofErr w:type="gramEnd"/>
      <w:r w:rsidRPr="007676AD">
        <w:t xml:space="preserve"> muligheten for å rasjonere utlevering av legemidler i apotek og fra grossist. Hjemmelen ble anvendt under hele pandemien, frem til våren 2023, gjennom midlertidig forskrift om tiltak for å ivare</w:t>
      </w:r>
      <w:r w:rsidRPr="007676AD">
        <w:t>ta tilgangen til legemidler, medisinsk utstyr og personlig verneutstyr under covid-19.</w:t>
      </w:r>
    </w:p>
    <w:p w14:paraId="3B628BEE" w14:textId="77777777" w:rsidR="00F83215" w:rsidRPr="007676AD" w:rsidRDefault="00F83215" w:rsidP="007676AD">
      <w:pPr>
        <w:pStyle w:val="Overskrift3"/>
      </w:pPr>
      <w:r w:rsidRPr="007676AD">
        <w:t>Høringsforslaget</w:t>
      </w:r>
    </w:p>
    <w:p w14:paraId="4E9F0F83" w14:textId="77777777" w:rsidR="00F83215" w:rsidRPr="007676AD" w:rsidRDefault="00F83215" w:rsidP="007676AD">
      <w:r w:rsidRPr="007676AD">
        <w:t xml:space="preserve">Departementet viste i høringen til at Legemiddelverkets erfaring med å håndtere mangelsaker viser at det </w:t>
      </w:r>
      <w:r w:rsidRPr="007676AD">
        <w:t>er behov for virkemidler for å kunne styre utleveringen av legemidler. Dagens regelverk gir ikke hjemmel til å rasjonere ved fare for eller ved en etablert mangelsituasjon utenfor krise. I de situasjonene der rasjonering har vært nødvendig for å løse vansk</w:t>
      </w:r>
      <w:r w:rsidRPr="007676AD">
        <w:t>elige forsyningssituasjoner, har dette fungert ved hjelp av velvilje fra fagmiljøer, apotek, grossister og pasienter. Departementet viste videre til at det kan bli utfordrende å sikre at pasienter får nødvendig legemiddelbehandling dersom vi ikke har anled</w:t>
      </w:r>
      <w:r w:rsidRPr="007676AD">
        <w:t>ning til å rasjonere.</w:t>
      </w:r>
    </w:p>
    <w:p w14:paraId="4722FD90" w14:textId="77777777" w:rsidR="00F83215" w:rsidRPr="007676AD" w:rsidRDefault="00F83215" w:rsidP="007676AD">
      <w:r w:rsidRPr="007676AD">
        <w:t>Sett i lys av antallet meldte mangelsituasjoner, og utfordringene som disse fører med seg, foreslo departementet at det i apotekloven gis hjemmel til å kunne pålegge apotek restriksjoner på utlevering og salg av legemidler ved fare fo</w:t>
      </w:r>
      <w:r w:rsidRPr="007676AD">
        <w:t>r eller ved en etablert mangelsituasjon. Dette kan være situasjoner hvor det er begrenset lager og hamstring vil kunne medføre legemiddelmangel eller forverre ytterligere en allerede etablert mangelsituasjon. I tillegg kan fravær av hamstring kunne gi hand</w:t>
      </w:r>
      <w:r w:rsidRPr="007676AD">
        <w:t>lingsrom for å kunne skaffe alternativt legemiddel før det får konsekvenser for pasientene. Det kan imidlertid også være tilfeller hvor man er varslet om at en mangelsituasjon vil kunne oppstå. Forslaget skal såldes bidra til å trygge folkehelsen og pasien</w:t>
      </w:r>
      <w:r w:rsidRPr="007676AD">
        <w:t>tsikkerheten ved å sikre legemiddeltilgangen for flere.</w:t>
      </w:r>
    </w:p>
    <w:p w14:paraId="24666983" w14:textId="77777777" w:rsidR="00F83215" w:rsidRPr="007676AD" w:rsidRDefault="00F83215" w:rsidP="007676AD">
      <w:r w:rsidRPr="007676AD">
        <w:t xml:space="preserve">I en mangelsituasjon vil det kunne oppstå en geografisk skjevdeling av tilgangen til legemidler ved at noen apotek bestiller opp store mengder legemidler fra grossist. Departementet foreslo </w:t>
      </w:r>
      <w:r w:rsidRPr="007676AD">
        <w:lastRenderedPageBreak/>
        <w:t>derfor ogs</w:t>
      </w:r>
      <w:r w:rsidRPr="007676AD">
        <w:t>å at det gis hjemmel for å kunne pålegge grossister restriksjoner på salg og levering av legemidler.</w:t>
      </w:r>
    </w:p>
    <w:p w14:paraId="07EA8529" w14:textId="77777777" w:rsidR="00F83215" w:rsidRPr="007676AD" w:rsidRDefault="00F83215" w:rsidP="007676AD">
      <w:pPr>
        <w:pStyle w:val="Overskrift2"/>
      </w:pPr>
      <w:r w:rsidRPr="007676AD">
        <w:t>Høringsinstansenes syn</w:t>
      </w:r>
    </w:p>
    <w:p w14:paraId="4B031CB5" w14:textId="77777777" w:rsidR="00F83215" w:rsidRPr="007676AD" w:rsidRDefault="00F83215" w:rsidP="007676AD">
      <w:r w:rsidRPr="007676AD">
        <w:t>De fleste høringsinstansene støtter forslaget om at Legemiddelverket (Direktoratet for medisinske produkter) bør gis hjemmel</w:t>
      </w:r>
      <w:r w:rsidRPr="007676AD">
        <w:t xml:space="preserve"> for å kunne innføre rasjonering av legemidler. Blant disse er </w:t>
      </w:r>
      <w:r w:rsidRPr="007676AD">
        <w:rPr>
          <w:rStyle w:val="kursiv"/>
        </w:rPr>
        <w:t>Helsedirektoratet</w:t>
      </w:r>
      <w:r w:rsidRPr="007676AD">
        <w:t xml:space="preserve">, </w:t>
      </w:r>
      <w:r w:rsidRPr="007676AD">
        <w:rPr>
          <w:rStyle w:val="kursiv"/>
        </w:rPr>
        <w:t>Folkehelseinstituttet</w:t>
      </w:r>
      <w:r w:rsidRPr="007676AD">
        <w:t xml:space="preserve">, </w:t>
      </w:r>
      <w:r w:rsidRPr="007676AD">
        <w:rPr>
          <w:rStyle w:val="kursiv"/>
        </w:rPr>
        <w:t>Helse Sør-Øst HF</w:t>
      </w:r>
      <w:r w:rsidRPr="007676AD">
        <w:t xml:space="preserve">, </w:t>
      </w:r>
      <w:r w:rsidRPr="007676AD">
        <w:rPr>
          <w:rStyle w:val="kursiv"/>
        </w:rPr>
        <w:t>Helse Midt-Norge RHF</w:t>
      </w:r>
      <w:r w:rsidRPr="007676AD">
        <w:t xml:space="preserve">, </w:t>
      </w:r>
      <w:r w:rsidRPr="007676AD">
        <w:rPr>
          <w:rStyle w:val="kursiv"/>
        </w:rPr>
        <w:t>Oslo universitetssykehus HF</w:t>
      </w:r>
      <w:r w:rsidRPr="007676AD">
        <w:t xml:space="preserve">, </w:t>
      </w:r>
      <w:r w:rsidRPr="007676AD">
        <w:rPr>
          <w:rStyle w:val="kursiv"/>
        </w:rPr>
        <w:t xml:space="preserve">Sykehusinnkjøp HF divisjon legemidler </w:t>
      </w:r>
      <w:r w:rsidRPr="007676AD">
        <w:t xml:space="preserve">og </w:t>
      </w:r>
      <w:r w:rsidRPr="007676AD">
        <w:rPr>
          <w:rStyle w:val="kursiv"/>
        </w:rPr>
        <w:t>Pensjonistforbundet</w:t>
      </w:r>
      <w:r w:rsidRPr="007676AD">
        <w:t>.</w:t>
      </w:r>
    </w:p>
    <w:p w14:paraId="5171290A" w14:textId="77777777" w:rsidR="00F83215" w:rsidRPr="007676AD" w:rsidRDefault="00F83215" w:rsidP="007676AD">
      <w:pPr>
        <w:rPr>
          <w:rStyle w:val="kursiv"/>
        </w:rPr>
      </w:pPr>
      <w:r w:rsidRPr="007676AD">
        <w:rPr>
          <w:rStyle w:val="kursiv"/>
        </w:rPr>
        <w:t>Forbrukerrådet</w:t>
      </w:r>
      <w:r w:rsidRPr="007676AD">
        <w:t xml:space="preserve"> mener</w:t>
      </w:r>
      <w:r w:rsidRPr="007676AD">
        <w:t xml:space="preserve"> at rasjonering i apotek er uheldig, fordi forbrukerne vil måtte oppsøke apotek oftere for å få utlevert legemidlene. I tillegg peker </w:t>
      </w:r>
      <w:r w:rsidRPr="007676AD">
        <w:rPr>
          <w:rStyle w:val="kursiv"/>
        </w:rPr>
        <w:t>Forbrukertilsynet</w:t>
      </w:r>
      <w:r w:rsidRPr="007676AD">
        <w:t xml:space="preserve"> på at det er en ulempe for de som skal ut å reise.</w:t>
      </w:r>
    </w:p>
    <w:p w14:paraId="7D4043F0" w14:textId="77777777" w:rsidR="00F83215" w:rsidRPr="007676AD" w:rsidRDefault="00F83215" w:rsidP="007676AD">
      <w:pPr>
        <w:rPr>
          <w:rStyle w:val="kursiv"/>
        </w:rPr>
      </w:pPr>
      <w:r w:rsidRPr="007676AD">
        <w:rPr>
          <w:rStyle w:val="kursiv"/>
        </w:rPr>
        <w:t>Legemiddelgrossistforeningen</w:t>
      </w:r>
      <w:r w:rsidRPr="007676AD">
        <w:t xml:space="preserve"> uttaler at den ikke har </w:t>
      </w:r>
      <w:r w:rsidRPr="007676AD">
        <w:t>prinsipielle motforestillinger mot en hjemmel som gir adgang til å pålegge rasjonering, men at den på grunn av vertikalintegreringen av grossistene i det norske apotekmarkedet ikke ser hvordan det skal gi bedre fordeling av legemidler.</w:t>
      </w:r>
    </w:p>
    <w:p w14:paraId="257B5031" w14:textId="77777777" w:rsidR="00F83215" w:rsidRPr="007676AD" w:rsidRDefault="00F83215" w:rsidP="007676AD">
      <w:r w:rsidRPr="007676AD">
        <w:rPr>
          <w:rStyle w:val="kursiv"/>
        </w:rPr>
        <w:t xml:space="preserve">Apotekforeningen </w:t>
      </w:r>
      <w:r w:rsidRPr="007676AD">
        <w:t>utt</w:t>
      </w:r>
      <w:r w:rsidRPr="007676AD">
        <w:t>aler at den er positiv til at det innføres en hjemmel for å pålegge rasjonering.</w:t>
      </w:r>
    </w:p>
    <w:p w14:paraId="06C020FA" w14:textId="77777777" w:rsidR="00F83215" w:rsidRPr="007676AD" w:rsidRDefault="00F83215" w:rsidP="007676AD">
      <w:pPr>
        <w:pStyle w:val="Overskrift2"/>
      </w:pPr>
      <w:r w:rsidRPr="007676AD">
        <w:t>Departementets vurdering</w:t>
      </w:r>
    </w:p>
    <w:p w14:paraId="13BDBAA4" w14:textId="77777777" w:rsidR="00F83215" w:rsidRPr="007676AD" w:rsidRDefault="00F83215" w:rsidP="007676AD">
      <w:r w:rsidRPr="007676AD">
        <w:t>Behovet for rasjonering skal vurderes konkret i hvert tilfelle og må vurderes opp mot tiltakets forholdsmessighet. Forvaltningens saksbehandli</w:t>
      </w:r>
      <w:r w:rsidRPr="007676AD">
        <w:t xml:space="preserve">ng er underlagt krav til forholdsmessighet etter forvaltningsloven. Det vil si at tiltak som rasjonering må være både nødvendig og egnet. Faktorer som tilgjengelighet av andre styrker, </w:t>
      </w:r>
      <w:proofErr w:type="spellStart"/>
      <w:r w:rsidRPr="007676AD">
        <w:t>generika</w:t>
      </w:r>
      <w:proofErr w:type="spellEnd"/>
      <w:r w:rsidRPr="007676AD">
        <w:t>, utenlandske pakninger, tilsvarende legemidler, og om pasientg</w:t>
      </w:r>
      <w:r w:rsidRPr="007676AD">
        <w:t>ruppen er stor må vektes opp mot behovet for rasjonering. Innsyn i lagerstatus hos grossistene og dialog om fremtidige leveranser og forsyningssikkerheten for det enkelte legemiddel vil også være en del av vurderingen av om rasjonering anses egnet og nødve</w:t>
      </w:r>
      <w:r w:rsidRPr="007676AD">
        <w:t xml:space="preserve">ndig for å ivareta tilgangen til det konkrete legemiddelet. Når forholdsmessigheten ikke er oppfylt må rasjoneringen fjernes. Dette har Direktoratet for medisinske produkter lang og god erfaring med fra pandemien. </w:t>
      </w:r>
    </w:p>
    <w:p w14:paraId="70ADD24F" w14:textId="5A8CA6B8" w:rsidR="00F83215" w:rsidRPr="007676AD" w:rsidRDefault="00F83215" w:rsidP="007676AD">
      <w:r w:rsidRPr="007676AD">
        <w:t>De negative føl</w:t>
      </w:r>
      <w:r w:rsidRPr="007676AD">
        <w:t xml:space="preserve">gene av manglende adgang til rasjonering i en slik situasjon vil imidlertid kunne være store. Rasjonering fra apotek kan blant annet omfatte restriksjoner i antall pakninger som leveres ut til den enkelte pasient eller pålegg om </w:t>
      </w:r>
      <w:proofErr w:type="spellStart"/>
      <w:r w:rsidRPr="007676AD">
        <w:t>anbrudd</w:t>
      </w:r>
      <w:proofErr w:type="spellEnd"/>
      <w:r w:rsidRPr="007676AD">
        <w:t xml:space="preserve"> av pakninger. Det k</w:t>
      </w:r>
      <w:r w:rsidRPr="007676AD">
        <w:t>an også rasjoneres ved at legemidler rekvirert på blå resept eller h</w:t>
      </w:r>
      <w:r w:rsidR="007676AD">
        <w:t>-</w:t>
      </w:r>
      <w:r w:rsidRPr="007676AD">
        <w:t>resept prioriteres/forfordeles. Departementets forslag omfatter ikke rasjoneringstiltak som medfører en prioritering mellom pasientgrupper slik at apotek må vurdere diagnose som skal prio</w:t>
      </w:r>
      <w:r w:rsidRPr="007676AD">
        <w:t>riteres innenfor samme refusjonskode. Resepter inneholder riktignok refusjonskoder, men disse er i mange tilfeller ikke av en slik art at apotek entydig kan få informasjon om hvilken pasientgruppe en person tilhører. Vurderingen av behovet for entydige dia</w:t>
      </w:r>
      <w:r w:rsidRPr="007676AD">
        <w:t>gnosekoder og de økonomiske og administrative konsekvensene av et slikt tiltak, vil departementet eventuelt komme tilbake til i en egen høring.</w:t>
      </w:r>
    </w:p>
    <w:p w14:paraId="576A0B65" w14:textId="77777777" w:rsidR="00F83215" w:rsidRPr="007676AD" w:rsidRDefault="00F83215" w:rsidP="007676AD">
      <w:r w:rsidRPr="007676AD">
        <w:t>Departementet viser også til at gjennom bruken av allerede tilgjengelige regler om endringer av reseptstatus, vi</w:t>
      </w:r>
      <w:r w:rsidRPr="007676AD">
        <w:t>l Direktoratet for medisinske produkter gjennom forslaget i denne lovproposi</w:t>
      </w:r>
      <w:r w:rsidRPr="007676AD">
        <w:lastRenderedPageBreak/>
        <w:t>sjonen kunne forfordele ytterligere ved for eksempel rasjonering til sykehus eller at kun resepter som er skrevet ut av definerte spesialistgrupper, kommunelege el. kan utleveres.</w:t>
      </w:r>
    </w:p>
    <w:p w14:paraId="1A4414B5" w14:textId="77777777" w:rsidR="00F83215" w:rsidRPr="007676AD" w:rsidRDefault="00F83215" w:rsidP="007676AD">
      <w:r w:rsidRPr="007676AD">
        <w:t>Rasjonering fra grossist kan omfatte restriksjoner i levering til apotek slik at fordelingen av legemidlene gir en likest mulig tilgang overalt i landet. Departementet viste til at til tross for å gripe sterkt inn i grossistenes interne styring, vil grossi</w:t>
      </w:r>
      <w:r w:rsidRPr="007676AD">
        <w:t>stene fortsatt kunne selge legemidlene sine, men at det blir lagt føringer på salg og levering. Grossistvirksomhet med legemidler er også aktivitet som anses som offentlig tjenesteyting, og av den grunn anser departementet det som nødvendig at myndighetene</w:t>
      </w:r>
      <w:r w:rsidRPr="007676AD">
        <w:t xml:space="preserve"> kan legge slik føringer.</w:t>
      </w:r>
    </w:p>
    <w:p w14:paraId="40DB36A0" w14:textId="77777777" w:rsidR="00F83215" w:rsidRPr="007676AD" w:rsidRDefault="00F83215" w:rsidP="007676AD">
      <w:r w:rsidRPr="007676AD">
        <w:t xml:space="preserve">Rasjonering anses som et godt tiltak for å sikre at så mange pasienter som mulig får tilgang til nødvendige legemidler. Under pandemien ble rasjonering innført med hjemmel i helseberedskapsloven § 5-2. Erfaringene med rasjonering </w:t>
      </w:r>
      <w:r w:rsidRPr="007676AD">
        <w:t>av legemidler under pandemien var positive. Legemiddelverket hadde i løpet av pandemien mange ATC-koder underlagt rasjonering. Rasjoneringstiltakene vurderes å ha hatt god effekt. Vi opplevde at redusert tilgang på legemidler raskt medførte at det oppsto s</w:t>
      </w:r>
      <w:r w:rsidRPr="007676AD">
        <w:t>ituasjoner med hamstring. Rasjonering i for eksempel gjennom å sette grenser mengden som kan utleveres på en gang til pasienter og/eller helseinstitusjoner, ble innført for å hindre hamstring. For legemidler rekvirert på blå resept utleveres normalt legemi</w:t>
      </w:r>
      <w:r w:rsidRPr="007676AD">
        <w:t>dler for tre måneders forbruk. Gjennom rasjonering ble dette redusert til én måned for aktuelle legemidler.</w:t>
      </w:r>
    </w:p>
    <w:p w14:paraId="34CB6DEB" w14:textId="77777777" w:rsidR="00F83215" w:rsidRPr="007676AD" w:rsidRDefault="00F83215" w:rsidP="007676AD">
      <w:r w:rsidRPr="007676AD">
        <w:t>Hjemmel for rasjonering av legemidler vil også være positivt for apotekene. På den måten vil det enkelte apotekpersonell unngå vanskelige situasjone</w:t>
      </w:r>
      <w:r w:rsidRPr="007676AD">
        <w:t>r når de må utlevere mindre enn det kunden ønsker og ville ha hatt krav på å få utlevert dersom det ikke var innført rasjonering.</w:t>
      </w:r>
    </w:p>
    <w:p w14:paraId="7B44A962" w14:textId="77777777" w:rsidR="00F83215" w:rsidRPr="007676AD" w:rsidRDefault="00F83215" w:rsidP="007676AD">
      <w:r w:rsidRPr="007676AD">
        <w:t>Forbrukertilsynet uttaler i sitt høringssvar at rasjonering i apotek er uheldig, fordi forbrukerne vil måtte oppsøke apotek of</w:t>
      </w:r>
      <w:r w:rsidRPr="007676AD">
        <w:t>tere for å få utlevert legemidlene. I tillegg peker Forbrukertilsynet på at det er en ulempe for de som skal ut å reise. Departementet ser at det vil kunne oppfattes som negativt for enkeltpasienter at de for eksempel ikke får utlevert den mengden med lege</w:t>
      </w:r>
      <w:r w:rsidRPr="007676AD">
        <w:t>middel de i en normalsituasjon vil kunne kreve utlevert i henhold til resepten. Man vil måtte gå i apoteket opptil flere ganger når rasjonering medfører at det utleveres mindre enn det resepten tilsier.</w:t>
      </w:r>
    </w:p>
    <w:p w14:paraId="14230CB7" w14:textId="77777777" w:rsidR="00F83215" w:rsidRPr="007676AD" w:rsidRDefault="00F83215" w:rsidP="007676AD">
      <w:r w:rsidRPr="007676AD">
        <w:t xml:space="preserve">Fagmiljøer og andre aktører vil også kunne oppleve å </w:t>
      </w:r>
      <w:r w:rsidRPr="007676AD">
        <w:t>ikke få rekvirert mengde av legemiddelet til sine pasienter. En følge av dette vil kunne være at de får flere spørsmål fra pasienter. Samtidig ønsker vi at flest pasienter som mulig får tilgang til nødvendige legemidler, og det kan vi sikre gjennom rasjone</w:t>
      </w:r>
      <w:r w:rsidRPr="007676AD">
        <w:t>ring. Rasjonere er også positivt fordi det sikrer en enhetlig praksis og begrenser eventuell forskjellsbehandling.</w:t>
      </w:r>
    </w:p>
    <w:p w14:paraId="1FAB828D" w14:textId="77777777" w:rsidR="00F83215" w:rsidRPr="007676AD" w:rsidRDefault="00F83215" w:rsidP="007676AD">
      <w:r w:rsidRPr="007676AD">
        <w:t>Til tross for at departementet vedgår at forslaget kan oppfattes å ha noen negative følger for den enkelte, mener departementet at disse veie</w:t>
      </w:r>
      <w:r w:rsidRPr="007676AD">
        <w:t>s opp av forslagets positive følger ved at flest mulig eller prioriterte pasientgrupper sikres tilgang til sine legemidler. Det bidrar også til å ivareta folkehelsen og pasientsikkerheten i en mangelsituasjon. Alternativet er at færre pasienter får tilgang</w:t>
      </w:r>
      <w:r w:rsidRPr="007676AD">
        <w:t xml:space="preserve"> til nødvendige legemidler. Hvilke som får tilgang til nødvendige legemidler vil i så fall være basert på ren vilkårlighet, og tilfeldigheter for den enkelte. I tillegg vil man ikke ha mulighet til geografisk fordeling slik at bosted kan påvirke tilgangen </w:t>
      </w:r>
      <w:r w:rsidRPr="007676AD">
        <w:t xml:space="preserve">til legemidler. Departementet kan ikke fra et folkehelse- og pasientsikkerhetsperspektiv legge opp til at vi innretter vår legemiddelberedskap på tilfeldigheter og bosted for den enkelte når tilgangen til konkrete </w:t>
      </w:r>
      <w:r w:rsidRPr="007676AD">
        <w:lastRenderedPageBreak/>
        <w:t>legemidler er begrenset. De pasientene som</w:t>
      </w:r>
      <w:r w:rsidRPr="007676AD">
        <w:t xml:space="preserve"> har et større behov for legemidler med begrenset </w:t>
      </w:r>
      <w:proofErr w:type="gramStart"/>
      <w:r w:rsidRPr="007676AD">
        <w:t>tilgang</w:t>
      </w:r>
      <w:proofErr w:type="gramEnd"/>
      <w:r w:rsidRPr="007676AD">
        <w:t xml:space="preserve"> bør forfordeles. I situasjoner hvor det er nok til hele pasientgrupper dersom utleveringen begrenses til færre pakninger enn normalt, bør vi ha anledning til dette. Alternativet vil være at vi </w:t>
      </w:r>
      <w:proofErr w:type="gramStart"/>
      <w:r w:rsidRPr="007676AD">
        <w:t>poten</w:t>
      </w:r>
      <w:r w:rsidRPr="007676AD">
        <w:t>sielt</w:t>
      </w:r>
      <w:proofErr w:type="gramEnd"/>
      <w:r w:rsidRPr="007676AD">
        <w:t xml:space="preserve"> setter enkeltpasienter i alvorlige helsemessige utfordringer imens andre pasienter uten like store utfordringer får utlevert legemidler for en bruk som ligger frem i tid, eller at de pasientene som ikke trenger legemiddelet mest får utlevert foran de</w:t>
      </w:r>
      <w:r w:rsidRPr="007676AD">
        <w:t xml:space="preserve"> hvor bruken er kritisk. Det å skulle vekte ulempen med å måtte gå flere ganger til apoteket tyngre enn dette, slik som Forbrukertilsynet anfører i sitt høringssvar, mener departementet ikke kan forsvares. </w:t>
      </w:r>
      <w:r w:rsidRPr="007676AD">
        <w:rPr>
          <w:rStyle w:val="kursiv"/>
        </w:rPr>
        <w:t>Pensjonistforbundet</w:t>
      </w:r>
      <w:r w:rsidRPr="007676AD">
        <w:t xml:space="preserve"> støtter dette i sitt høringssv</w:t>
      </w:r>
      <w:r w:rsidRPr="007676AD">
        <w:t>ar og uttaler:</w:t>
      </w:r>
    </w:p>
    <w:p w14:paraId="11BC2C4C" w14:textId="77777777" w:rsidR="00F83215" w:rsidRPr="007676AD" w:rsidRDefault="00F83215" w:rsidP="007676AD">
      <w:pPr>
        <w:pStyle w:val="blokksit"/>
      </w:pPr>
      <w:r w:rsidRPr="007676AD">
        <w:t>Tiltaket kan innebære at man må gå til apoteket flere ganger i løpet av et år. Det synes vi imidlertid er en liten byrde hvis det betyr at tilgjengeligheten til medikamentet opprettholdes.</w:t>
      </w:r>
    </w:p>
    <w:p w14:paraId="7AFC279D" w14:textId="77777777" w:rsidR="00F83215" w:rsidRPr="007676AD" w:rsidRDefault="00F83215" w:rsidP="007676AD">
      <w:pPr>
        <w:rPr>
          <w:rStyle w:val="kursiv"/>
        </w:rPr>
      </w:pPr>
      <w:proofErr w:type="spellStart"/>
      <w:r w:rsidRPr="007676AD">
        <w:rPr>
          <w:rStyle w:val="kursiv"/>
        </w:rPr>
        <w:t>OsloMet</w:t>
      </w:r>
      <w:proofErr w:type="spellEnd"/>
      <w:r w:rsidRPr="007676AD">
        <w:rPr>
          <w:rStyle w:val="kursiv"/>
        </w:rPr>
        <w:t xml:space="preserve"> – storbyuniversitetet, Fakultet for helsevit</w:t>
      </w:r>
      <w:r w:rsidRPr="007676AD">
        <w:rPr>
          <w:rStyle w:val="kursiv"/>
        </w:rPr>
        <w:t>enskap</w:t>
      </w:r>
      <w:r w:rsidRPr="007676AD">
        <w:t xml:space="preserve"> har i sitt høringssvar vist til at:</w:t>
      </w:r>
    </w:p>
    <w:p w14:paraId="3688A13B" w14:textId="77777777" w:rsidR="00F83215" w:rsidRPr="007676AD" w:rsidRDefault="00F83215" w:rsidP="007676AD">
      <w:pPr>
        <w:pStyle w:val="blokksit"/>
      </w:pPr>
      <w:r w:rsidRPr="007676AD">
        <w:t>Tiltak som muligheten for salg mellom apotek når ett apotek er tomt, og en utvidet mulighet for retur av legemidler til grossist, burde også vært foreslått som et enkelt tiltak å muliggjøre.</w:t>
      </w:r>
    </w:p>
    <w:p w14:paraId="329E1D31" w14:textId="77777777" w:rsidR="00F83215" w:rsidRPr="007676AD" w:rsidRDefault="00F83215" w:rsidP="007676AD">
      <w:r w:rsidRPr="007676AD">
        <w:t xml:space="preserve">Departementet påpeker </w:t>
      </w:r>
      <w:r w:rsidRPr="007676AD">
        <w:t xml:space="preserve">at endring i forskrift om apotek (apotekforskriften) § 27 som åpner for det </w:t>
      </w:r>
      <w:proofErr w:type="spellStart"/>
      <w:r w:rsidRPr="007676AD">
        <w:t>OsloMet</w:t>
      </w:r>
      <w:proofErr w:type="spellEnd"/>
      <w:r w:rsidRPr="007676AD">
        <w:t xml:space="preserve"> etterspør ble innført midlertidig 27. mars 2020, og trådte i kraft permanent 2. september 2020. For spørsmål om retur av legemidler til grossist viser departementet til kra</w:t>
      </w:r>
      <w:r w:rsidRPr="007676AD">
        <w:t>vene i EU-GDP (god distribusjonspraksis) punkt 6.3 (ii) åpner for at grossist i en viss periode etter salg av legemidler kan ta disse i retur til salgbart lager. Grossistforskriften § 9 gir Direktoratet for medisinske produkter adgang til å gi nærmere retn</w:t>
      </w:r>
      <w:r w:rsidRPr="007676AD">
        <w:t>ingslinjer for retur av varer fra apotek til grossist. Disse retningslinjene er oppdatert.</w:t>
      </w:r>
    </w:p>
    <w:p w14:paraId="76D2A296" w14:textId="77777777" w:rsidR="00F83215" w:rsidRPr="007676AD" w:rsidRDefault="00F83215" w:rsidP="007676AD">
      <w:r w:rsidRPr="007676AD">
        <w:t>Legemiddelgrossistforeningen har i sitt høringssvar uttalt at på grunn av markedet for apotekvirksomhet i Norge og vertikal integrasjon av legemiddelgrossistene, ser</w:t>
      </w:r>
      <w:r w:rsidRPr="007676AD">
        <w:t xml:space="preserve"> den ikke hvordan forslaget skal gi bedre fordeling av legemidler. Når det gjelder Legemiddelgrossistforeningens </w:t>
      </w:r>
      <w:r w:rsidRPr="007676AD">
        <w:t>anførsler knyttet til markedet, viser departementet</w:t>
      </w:r>
      <w:r w:rsidRPr="007676AD">
        <w:t xml:space="preserve"> til at apoteklovens eierskapsregler åpner for en rekke eierkonstellasjoner i det norske gro</w:t>
      </w:r>
      <w:r w:rsidRPr="007676AD">
        <w:t>ssist- og apotekmarkedet. Innenfor disse rammene har dagens apotekmarked utviklet seg. Aktørene må imidlertid operere i henhold til gjeldende rett. Dette innebærer at grossister må forholdes seg til og innrette seg i henhold til de krav som gjelder. Med un</w:t>
      </w:r>
      <w:r w:rsidRPr="007676AD">
        <w:t xml:space="preserve">ntak av fjerningen av fullsortimentskravet i 2015, er grossistenes leveringsplikt ikke endret etter at ny apoteklov trådte i kraft i 2001. Dette innebærer at grossistenes leveringsplikt til apotek etter grossistforskriften § 4 gjelder uavhengig av hvilken </w:t>
      </w:r>
      <w:r w:rsidRPr="007676AD">
        <w:t>tilknytning det er mellom aktørene. I en situasjon hvor det innføres rasjonering vil det samme gjelde.</w:t>
      </w:r>
    </w:p>
    <w:p w14:paraId="09B440C4" w14:textId="77777777" w:rsidR="00F83215" w:rsidRPr="007676AD" w:rsidRDefault="00F83215" w:rsidP="007676AD">
      <w:r w:rsidRPr="007676AD">
        <w:t>Regler om rasjonering ved utlevering fra apotek og fra grossist ble innført under pandemien. Erfaringene fra bruken under pandemien er svært god. Erfarin</w:t>
      </w:r>
      <w:r w:rsidRPr="007676AD">
        <w:t>gen viser også at bruken av vilkår knyttet til tilgang og etterspørsel var en egnet innretning. Dette er materielt sett det samme som departementet sendte på høring, men med et enklere språk. Departementet mener fortsatt at vilkår for rasjonering må være a</w:t>
      </w:r>
      <w:r w:rsidRPr="007676AD">
        <w:t>t forsyningen av legemiddelet ikke dekker etterspørselen. Likevel mener vi at begrepet tilgang er bedre, fordi det omfatter både forsyning og etterspørsel. Begrepet tilgang er også et etablert begrep innenfor legemiddelberedskapen og kjent gjennom bruken i</w:t>
      </w:r>
      <w:r w:rsidRPr="007676AD">
        <w:t xml:space="preserve"> regelverk fra pandemien.</w:t>
      </w:r>
    </w:p>
    <w:p w14:paraId="632564CF" w14:textId="77777777" w:rsidR="00F83215" w:rsidRPr="007676AD" w:rsidRDefault="00F83215" w:rsidP="007676AD">
      <w:r w:rsidRPr="007676AD">
        <w:t xml:space="preserve">Departementet opprettholder derfor forslag om hjemmel for å kunne rasjonere legemidler ved utlevering fra apotek og fra grossist som foreslått i apotekloven § 6-12 og legemiddelloven </w:t>
      </w:r>
      <w:r w:rsidRPr="007676AD">
        <w:lastRenderedPageBreak/>
        <w:t>§ 18 a. Kompetansen tillegges departementet, me</w:t>
      </w:r>
      <w:r w:rsidRPr="007676AD">
        <w:t xml:space="preserve">n vil delegeres til Direktoratet for medisinske produkter. Både Apotekforeningen og Legemiddelgrossistforeningen etterspør hvordan rasjonering skal gjennomføres i praksis. Som under pandemien vil praksis og rutiner etableres av Direktoratet for medisinske </w:t>
      </w:r>
      <w:r w:rsidRPr="007676AD">
        <w:t>produkter. Departementet foreslår også at det gis hjemmel til å fastsette nærmere bestemmelser om gjennomføringen av rasjonering i apotek og fra grossist i forskrift. Denne hjemmelen gir adgang til at det fastsettes forskrifter om saksbehandlingen ved gjen</w:t>
      </w:r>
      <w:r w:rsidRPr="007676AD">
        <w:t xml:space="preserve">nomføringen av rasjonering som for eksempel frister og tidsavgrensning. </w:t>
      </w:r>
    </w:p>
    <w:p w14:paraId="2C994F96" w14:textId="77777777" w:rsidR="00F83215" w:rsidRPr="007676AD" w:rsidRDefault="00F83215" w:rsidP="007676AD">
      <w:pPr>
        <w:pStyle w:val="Overskrift1"/>
      </w:pPr>
      <w:r w:rsidRPr="007676AD">
        <w:t>Forbud mot parallelleksport</w:t>
      </w:r>
    </w:p>
    <w:p w14:paraId="108F0709" w14:textId="77777777" w:rsidR="00F83215" w:rsidRPr="007676AD" w:rsidRDefault="00F83215" w:rsidP="007676AD">
      <w:pPr>
        <w:pStyle w:val="Overskrift2"/>
      </w:pPr>
      <w:r w:rsidRPr="007676AD">
        <w:t>Gjeldende rett</w:t>
      </w:r>
    </w:p>
    <w:p w14:paraId="5A0D9A11" w14:textId="77777777" w:rsidR="00F83215" w:rsidRPr="007676AD" w:rsidRDefault="00F83215" w:rsidP="007676AD">
      <w:r w:rsidRPr="007676AD">
        <w:t>Legemiddelloven inneholder ingen bestemmelser om begrensninger i parallelleksport av legemidler. Likevel er det fra departementets side tydeliggjort at manglende oppfyllelse av leveringsplikten etter grossistforskriften § 4 som følge av parallelleksport må</w:t>
      </w:r>
      <w:r w:rsidRPr="007676AD">
        <w:t xml:space="preserve"> anses som brudd på bestemmelsen.</w:t>
      </w:r>
    </w:p>
    <w:p w14:paraId="56DC680C" w14:textId="77777777" w:rsidR="00F83215" w:rsidRPr="007676AD" w:rsidRDefault="00F83215" w:rsidP="007676AD">
      <w:r w:rsidRPr="007676AD">
        <w:t xml:space="preserve">Helseberedskapsloven § 5-2 inneholder derimot hjemmel for å fastsette omsetningsrestriksjoner for legemidler, og omfatter </w:t>
      </w:r>
      <w:proofErr w:type="gramStart"/>
      <w:r w:rsidRPr="007676AD">
        <w:t>således</w:t>
      </w:r>
      <w:proofErr w:type="gramEnd"/>
      <w:r w:rsidRPr="007676AD">
        <w:t xml:space="preserve"> muligheten for å begrense parallelleksport av legemidler. Hjemmelen ble anvendt under hele p</w:t>
      </w:r>
      <w:r w:rsidRPr="007676AD">
        <w:t>andemien, frem til mai 2023, gjennom midlertidig forskrift om tiltak for å ivareta tilgangen til legemidler, medisinsk utstyr og personlig verneutstyr under covid-19.</w:t>
      </w:r>
    </w:p>
    <w:p w14:paraId="60908773" w14:textId="77777777" w:rsidR="00F83215" w:rsidRPr="007676AD" w:rsidRDefault="00F83215" w:rsidP="007676AD">
      <w:pPr>
        <w:pStyle w:val="Overskrift2"/>
      </w:pPr>
      <w:r w:rsidRPr="007676AD">
        <w:t>Høringsforslaget</w:t>
      </w:r>
    </w:p>
    <w:p w14:paraId="23A9209E" w14:textId="77777777" w:rsidR="00F83215" w:rsidRPr="007676AD" w:rsidRDefault="00F83215" w:rsidP="007676AD">
      <w:r w:rsidRPr="007676AD">
        <w:t>Departementet viste i høringen til at parallelleksport innebærer</w:t>
      </w:r>
      <w:r w:rsidRPr="007676AD">
        <w:t xml:space="preserve"> eksport av legemidler som er produsert og pakket for det norske markedet. Legemidlene har da blant annet norsk merking og bruksanvisning. Parallelleksport er eksport som skjer utenom rettighetshavers ordinære distribusjonsnett. Legemidlene er importert og</w:t>
      </w:r>
      <w:r w:rsidRPr="007676AD">
        <w:t xml:space="preserve"> lagret i Norge, men blir eksportert til et annet EØS-land. Legemiddelgrossistene har i henhold til EØS-retten anledning til å parallelleksportere legemidler til andre EØS-land.</w:t>
      </w:r>
    </w:p>
    <w:p w14:paraId="2A551F12" w14:textId="77777777" w:rsidR="00F83215" w:rsidRPr="007676AD" w:rsidRDefault="00F83215" w:rsidP="007676AD">
      <w:r w:rsidRPr="007676AD">
        <w:t>Parallelleksport fra Norge skyldes at Norge internasjonalt sett har et lavt pr</w:t>
      </w:r>
      <w:r w:rsidRPr="007676AD">
        <w:t>isnivå på legemidler, og at grossistene dermed kan tjene mer penger på å selge legemidlene til andre land enn i Norge.</w:t>
      </w:r>
    </w:p>
    <w:p w14:paraId="1E95CEEE" w14:textId="77777777" w:rsidR="00F83215" w:rsidRPr="007676AD" w:rsidRDefault="00F83215" w:rsidP="007676AD">
      <w:r w:rsidRPr="007676AD">
        <w:t>I høringen redegjorde departementet for behovet for å kunne forby paralleleksport fordi det er gunstig med våre lave legemiddelpriser.</w:t>
      </w:r>
    </w:p>
    <w:p w14:paraId="74304EAF" w14:textId="77777777" w:rsidR="00F83215" w:rsidRPr="007676AD" w:rsidRDefault="00F83215" w:rsidP="007676AD">
      <w:pPr>
        <w:pStyle w:val="Overskrift2"/>
      </w:pPr>
      <w:r w:rsidRPr="007676AD">
        <w:t>Høringsinstansenes syn</w:t>
      </w:r>
    </w:p>
    <w:p w14:paraId="7C4781B0" w14:textId="77777777" w:rsidR="00F83215" w:rsidRPr="007676AD" w:rsidRDefault="00F83215" w:rsidP="007676AD">
      <w:r w:rsidRPr="007676AD">
        <w:t>De fleste høringsinstansene støtter forslaget om hjemmel til å kunne forby parallelleksport av legemidler.</w:t>
      </w:r>
    </w:p>
    <w:p w14:paraId="5E472F5A" w14:textId="77777777" w:rsidR="00F83215" w:rsidRPr="007676AD" w:rsidRDefault="00F83215" w:rsidP="007676AD">
      <w:pPr>
        <w:rPr>
          <w:rStyle w:val="kursiv"/>
        </w:rPr>
      </w:pPr>
      <w:r w:rsidRPr="007676AD">
        <w:rPr>
          <w:rStyle w:val="kursiv"/>
        </w:rPr>
        <w:lastRenderedPageBreak/>
        <w:t>Helsedirektoratet</w:t>
      </w:r>
      <w:r w:rsidRPr="007676AD">
        <w:t xml:space="preserve"> viser til at forslaget ivaretar flere av tiltakene som er foreslått i rapporten Nasjonal legemiddelber</w:t>
      </w:r>
      <w:r w:rsidRPr="007676AD">
        <w:t>edskap- vurderinger og anbefalinger som ble oversendt departementet i 2019, herunder forslaget knyttet til parallelleksport.</w:t>
      </w:r>
    </w:p>
    <w:p w14:paraId="6BF0779E" w14:textId="77777777" w:rsidR="00F83215" w:rsidRPr="007676AD" w:rsidRDefault="00F83215" w:rsidP="007676AD">
      <w:pPr>
        <w:rPr>
          <w:rStyle w:val="kursiv"/>
        </w:rPr>
      </w:pPr>
      <w:r w:rsidRPr="007676AD">
        <w:rPr>
          <w:rStyle w:val="kursiv"/>
        </w:rPr>
        <w:t>Legemiddelindustrien</w:t>
      </w:r>
      <w:r w:rsidRPr="007676AD">
        <w:t xml:space="preserve"> uttaler at:</w:t>
      </w:r>
    </w:p>
    <w:p w14:paraId="0329E622" w14:textId="77777777" w:rsidR="00F83215" w:rsidRPr="007676AD" w:rsidRDefault="00F83215" w:rsidP="007676AD">
      <w:pPr>
        <w:pStyle w:val="blokksit"/>
      </w:pPr>
      <w:r w:rsidRPr="007676AD">
        <w:t>Det e</w:t>
      </w:r>
      <w:r w:rsidRPr="007676AD">
        <w:t>r helt riktig som departementet skriver innledningsvis (s.4) at Norge er et lite marked som gjør oss sårbare i mangelsaker, det er også riktig at Norge ikke nødvendigvis blir prioritert av MT-innehavere. Lite volum og lav pris tror vi er sterkt medvirkende</w:t>
      </w:r>
      <w:r w:rsidRPr="007676AD">
        <w:t xml:space="preserve"> årsaker til det. Siden Norge er så utsatt er det derfor spesielt viktig at vi sikrer oss at de legemidlene som har kommet til Norge faktisk forblir i Norge.</w:t>
      </w:r>
    </w:p>
    <w:p w14:paraId="796E5208" w14:textId="77777777" w:rsidR="00F83215" w:rsidRPr="007676AD" w:rsidRDefault="00F83215" w:rsidP="007676AD">
      <w:pPr>
        <w:rPr>
          <w:rStyle w:val="kursiv"/>
        </w:rPr>
      </w:pPr>
      <w:r w:rsidRPr="007676AD">
        <w:rPr>
          <w:rStyle w:val="kursiv"/>
        </w:rPr>
        <w:t xml:space="preserve">Apotekforeningen, Legemiddelgrossistforeningen </w:t>
      </w:r>
      <w:r w:rsidRPr="007676AD">
        <w:t>og</w:t>
      </w:r>
      <w:r w:rsidRPr="007676AD">
        <w:rPr>
          <w:rStyle w:val="kursiv"/>
        </w:rPr>
        <w:t xml:space="preserve"> European Association </w:t>
      </w:r>
      <w:proofErr w:type="spellStart"/>
      <w:r w:rsidRPr="007676AD">
        <w:rPr>
          <w:rStyle w:val="kursiv"/>
        </w:rPr>
        <w:t>of</w:t>
      </w:r>
      <w:proofErr w:type="spellEnd"/>
      <w:r w:rsidRPr="007676AD">
        <w:rPr>
          <w:rStyle w:val="kursiv"/>
        </w:rPr>
        <w:t xml:space="preserve"> Euro-</w:t>
      </w:r>
      <w:proofErr w:type="spellStart"/>
      <w:r w:rsidRPr="007676AD">
        <w:rPr>
          <w:rStyle w:val="kursiv"/>
        </w:rPr>
        <w:t>Pharmaceutical</w:t>
      </w:r>
      <w:proofErr w:type="spellEnd"/>
      <w:r w:rsidRPr="007676AD">
        <w:rPr>
          <w:rStyle w:val="kursiv"/>
        </w:rPr>
        <w:t xml:space="preserve"> Comp</w:t>
      </w:r>
      <w:r w:rsidRPr="007676AD">
        <w:rPr>
          <w:rStyle w:val="kursiv"/>
        </w:rPr>
        <w:t>anies</w:t>
      </w:r>
      <w:r w:rsidRPr="007676AD">
        <w:t xml:space="preserve"> uttaler at de i all hovedsak forstår behovet for å lovfeste det å kunne rasjonere og forby parallelleksport. Disse høringsinstansene etterspør tydeligere vilkår for at myndighetene skal kunne ta i bruk de foreslåtte tiltakene. </w:t>
      </w:r>
      <w:r w:rsidRPr="007676AD">
        <w:rPr>
          <w:rStyle w:val="kursiv"/>
        </w:rPr>
        <w:t>Legemiddelgrossistforen</w:t>
      </w:r>
      <w:r w:rsidRPr="007676AD">
        <w:rPr>
          <w:rStyle w:val="kursiv"/>
        </w:rPr>
        <w:t>ingen</w:t>
      </w:r>
      <w:r w:rsidRPr="007676AD">
        <w:t xml:space="preserve"> påpeker at den er bekymret for praktiseringen av forslaget og at EØS-retten setter rammer for en hjemmel som er foreslått.</w:t>
      </w:r>
    </w:p>
    <w:p w14:paraId="184DF924" w14:textId="77777777" w:rsidR="00F83215" w:rsidRPr="007676AD" w:rsidRDefault="00F83215" w:rsidP="007676AD">
      <w:r w:rsidRPr="007676AD">
        <w:rPr>
          <w:rStyle w:val="kursiv"/>
        </w:rPr>
        <w:t>Konkurransetilsynet</w:t>
      </w:r>
      <w:r w:rsidRPr="007676AD">
        <w:t xml:space="preserve">, </w:t>
      </w:r>
      <w:r w:rsidRPr="007676AD">
        <w:rPr>
          <w:rStyle w:val="kursiv"/>
        </w:rPr>
        <w:t xml:space="preserve">Legeforeningen </w:t>
      </w:r>
      <w:r w:rsidRPr="007676AD">
        <w:t xml:space="preserve">og </w:t>
      </w:r>
      <w:r w:rsidRPr="007676AD">
        <w:rPr>
          <w:rStyle w:val="kursiv"/>
        </w:rPr>
        <w:t>Regelrådet</w:t>
      </w:r>
      <w:r w:rsidRPr="007676AD">
        <w:t xml:space="preserve"> mener at forslaget må utredes ytterligere.</w:t>
      </w:r>
    </w:p>
    <w:p w14:paraId="025BAAC8" w14:textId="77777777" w:rsidR="00F83215" w:rsidRPr="007676AD" w:rsidRDefault="00F83215" w:rsidP="007676AD">
      <w:pPr>
        <w:pStyle w:val="Overskrift2"/>
      </w:pPr>
      <w:r w:rsidRPr="007676AD">
        <w:t>Departementets vurdering</w:t>
      </w:r>
    </w:p>
    <w:p w14:paraId="11B35FD3" w14:textId="77777777" w:rsidR="00F83215" w:rsidRPr="007676AD" w:rsidRDefault="00F83215" w:rsidP="007676AD">
      <w:r w:rsidRPr="007676AD">
        <w:t>P</w:t>
      </w:r>
      <w:r w:rsidRPr="007676AD">
        <w:t xml:space="preserve">risreguleringen av legemidler i Norge er god. Det medfører at legemidler er billigere enn i mange andre europeiske land. Parallelleksport fra Norge er derfor attraktivt. Tall fra </w:t>
      </w:r>
      <w:proofErr w:type="spellStart"/>
      <w:r w:rsidRPr="007676AD">
        <w:t>Affordable</w:t>
      </w:r>
      <w:proofErr w:type="spellEnd"/>
      <w:r w:rsidRPr="007676AD">
        <w:t xml:space="preserve"> </w:t>
      </w:r>
      <w:proofErr w:type="spellStart"/>
      <w:r w:rsidRPr="007676AD">
        <w:t>Medicines</w:t>
      </w:r>
      <w:proofErr w:type="spellEnd"/>
      <w:r w:rsidRPr="007676AD">
        <w:t xml:space="preserve"> Europe viste at Norge var Europas største parallellekspo</w:t>
      </w:r>
      <w:r w:rsidRPr="007676AD">
        <w:t>rtør av legemidler i Europa per innbygger i 2020. Det er grunn til å anta at dette fortsatt er tilfelle gitt at Norge har effektive virkemidler for prisfastsettelse gjennom maksimalprisregulering og offentlige anskaffelser. Begge bidrar til at Norge oppnår</w:t>
      </w:r>
      <w:r w:rsidRPr="007676AD">
        <w:t xml:space="preserve"> lave priser sammenlignet med flere andre europeiske land.</w:t>
      </w:r>
    </w:p>
    <w:p w14:paraId="296FD8BB" w14:textId="77777777" w:rsidR="00F83215" w:rsidRPr="007676AD" w:rsidRDefault="00F83215" w:rsidP="007676AD">
      <w:r w:rsidRPr="007676AD">
        <w:t xml:space="preserve">I følge </w:t>
      </w:r>
      <w:proofErr w:type="spellStart"/>
      <w:r w:rsidRPr="007676AD">
        <w:t>Affordable</w:t>
      </w:r>
      <w:proofErr w:type="spellEnd"/>
      <w:r w:rsidRPr="007676AD">
        <w:t xml:space="preserve"> </w:t>
      </w:r>
      <w:proofErr w:type="spellStart"/>
      <w:r w:rsidRPr="007676AD">
        <w:t>Medicines</w:t>
      </w:r>
      <w:proofErr w:type="spellEnd"/>
      <w:r w:rsidRPr="007676AD">
        <w:t xml:space="preserve"> Europe, hadde 19 av EUs medlemsland regler om forbud mot parallelleksport knyttet til legemiddelmangel.</w:t>
      </w:r>
    </w:p>
    <w:p w14:paraId="42DA3575" w14:textId="77777777" w:rsidR="00F83215" w:rsidRPr="007676AD" w:rsidRDefault="00F83215" w:rsidP="007676AD">
      <w:r w:rsidRPr="007676AD">
        <w:t>Parallellhandel foregår på spotmarkeder hvor handel gjennomføres</w:t>
      </w:r>
      <w:r w:rsidRPr="007676AD">
        <w:t xml:space="preserve"> innenfor et begrenset tidsrom. Parallellhandel kan medføre at grossistene bygger ned lagrene sine i Norge. Direktoratet for medisinske produkter erfarer at det kan ta tid før grossistene klarer å bygge opp igjen lagrene. Bakgrunnen for dette er at produks</w:t>
      </w:r>
      <w:r w:rsidRPr="007676AD">
        <w:t>jon av legemidler til det norske markedet skjer basert på estimert behov i Norge for en viss periode. Siden Norge er et lite marked, kan det derfor ta lang tid mellom hver gang det produseres legemidler til dette markedet. Dette kan føre til mangel på nors</w:t>
      </w:r>
      <w:r w:rsidRPr="007676AD">
        <w:t>ke pakninger, spesielt dersom det foreligger en mangelsituasjon i hele Europa eller andre steder i verden. Parallelleksport kan dermed svekke forsyningssikkerheten i Norge dersom den fører til at grossistene ikke er i stand til å dekke etterspørselen fra n</w:t>
      </w:r>
      <w:r w:rsidRPr="007676AD">
        <w:t>orske apotek og sykehus.</w:t>
      </w:r>
    </w:p>
    <w:p w14:paraId="484193D5" w14:textId="77777777" w:rsidR="00F83215" w:rsidRPr="007676AD" w:rsidRDefault="00F83215" w:rsidP="007676AD">
      <w:r w:rsidRPr="007676AD">
        <w:t>Legemiddelgrossister har etter grossistforskriften § 4 en leveringsplikt. Leveringsplikten anses brutt dersom den ikke kan overholdes som følge av parallelleksport hvor grossisten skjønte eller burde ha skjønt at eksporten ville fø</w:t>
      </w:r>
      <w:r w:rsidRPr="007676AD">
        <w:t>re til at etterspørselen i Norge ikke kunne dekkes. Hvilke forhold grossisten må forutsettes å ha skjønt eller burde ha skjønt er en vurdering som må gjøres i hvert konkret tilfelle.</w:t>
      </w:r>
    </w:p>
    <w:p w14:paraId="16D1336A" w14:textId="77777777" w:rsidR="00F83215" w:rsidRPr="007676AD" w:rsidRDefault="00F83215" w:rsidP="007676AD">
      <w:r w:rsidRPr="007676AD">
        <w:lastRenderedPageBreak/>
        <w:t>En regulering av parallelleksport gjennom leveringsplikten i § 4 er imidl</w:t>
      </w:r>
      <w:r w:rsidRPr="007676AD">
        <w:t>ertid etter departementets vurdering ikke tilstrekkelig og krevende å praktisere. Spørsmålet om hvorvidt grossisten skjønte eller burde skjønne at parallelleksporten ville føre til at etterspørselen ikke kunne dekkes, innebærer etter departementets vurderi</w:t>
      </w:r>
      <w:r w:rsidRPr="007676AD">
        <w:t>ng betydelig usikkerhet og fremstår som utydelig både for grossister og Direktoratet for medisinske produkter. Departementet påpekte også i høringen at det er liten nytte i å fastslå at leveringsplikten er brutt som følge av parallelleksport. Legemidlene e</w:t>
      </w:r>
      <w:r w:rsidRPr="007676AD">
        <w:t>r da allerede ute av landet, og en eventuell mangelsituasjon har oppstått. Direktoratet for medisinske produkter må kunne agere proaktivt for å unngå mangel, ikke reaktivt for å håndtere en allerede oppstått mangelsituasjon.</w:t>
      </w:r>
    </w:p>
    <w:p w14:paraId="72AE2599" w14:textId="77777777" w:rsidR="00F83215" w:rsidRPr="007676AD" w:rsidRDefault="00F83215" w:rsidP="007676AD">
      <w:r w:rsidRPr="007676AD">
        <w:t>Hvorvidt parallelleksport gjenn</w:t>
      </w:r>
      <w:r w:rsidRPr="007676AD">
        <w:t>omføres, beror på den informasjon grossistene besitter. Ved fare for tilgangen til legemidler i Norge, er det viktig at myndighetene tidlig tar en overordnet styring for å sikre tilgangen til legemidler. Hjemmel for å kunne forby parallelleksport gjør at g</w:t>
      </w:r>
      <w:r w:rsidRPr="007676AD">
        <w:t>rossistene vil ha et klart og tydelig vedtak å forholde seg til, og etterlater ikke usikkerhet og tvil om hva grossistene burde skjønne eller ha skjønt. Forbudet vil ramme grossister med varer på lager i Norge.</w:t>
      </w:r>
    </w:p>
    <w:p w14:paraId="1DE55259" w14:textId="77777777" w:rsidR="00F83215" w:rsidRPr="007676AD" w:rsidRDefault="00F83215" w:rsidP="007676AD">
      <w:r w:rsidRPr="007676AD">
        <w:t>Videre påpeker departementet at når det gjeld</w:t>
      </w:r>
      <w:r w:rsidRPr="007676AD">
        <w:t>er hva grossistene har forutsetning for å vite, så har grossistene kun oversikt over egen lagerbeholdning. Grossistene vurderer muligheten for parallelleksport og samtidig oppfyllelse av leveringsplikt opp mot sin egen lagerbeholdning og salgshistorikk. De</w:t>
      </w:r>
      <w:r w:rsidRPr="007676AD">
        <w:t xml:space="preserve"> kjenner ikke til om andre grossister allerede kan ha eksportert samme legemiddel. De kan dermed bli møtt med kvotering fra innehaver av markedsføringstillatelsen, fordi denne mener de har levert nok legemidler til å dekke salget i Norge.</w:t>
      </w:r>
    </w:p>
    <w:p w14:paraId="0194EC3D" w14:textId="77777777" w:rsidR="00F83215" w:rsidRPr="007676AD" w:rsidRDefault="00F83215" w:rsidP="007676AD">
      <w:r w:rsidRPr="007676AD">
        <w:t>Departementet men</w:t>
      </w:r>
      <w:r w:rsidRPr="007676AD">
        <w:t>er dette taler i retning av at en hjemmel for å kunne forby parallelleksport er nødvendig.</w:t>
      </w:r>
    </w:p>
    <w:p w14:paraId="493793B6" w14:textId="77777777" w:rsidR="00F83215" w:rsidRPr="007676AD" w:rsidRDefault="00F83215" w:rsidP="007676AD">
      <w:r w:rsidRPr="007676AD">
        <w:t>Hjemmel til å pålegge forbud mot parallelleksport innebærer ingen lemping av leveringsplikten, herunder en lemping av de vurderingene som grossisten skal foreta i fo</w:t>
      </w:r>
      <w:r w:rsidRPr="007676AD">
        <w:t xml:space="preserve">rkant av eventuell parallelleksport. Forslaget har ikke til hensikt å undergrave grossistenes kompetanse. Mangelsituasjoner medfører ofte at det oppstår en form for dominoeffekt ved at det også oppstår mangel knyttet til legemiddelet som skal erstatte det </w:t>
      </w:r>
      <w:r w:rsidRPr="007676AD">
        <w:t xml:space="preserve">legemiddelet som mangelsituasjonen gjelder. Erstatningen kan være for eksempel være en annen styrke av det samme legemiddelet eller et tilsvarende legemiddel som </w:t>
      </w:r>
      <w:proofErr w:type="spellStart"/>
      <w:r w:rsidRPr="007676AD">
        <w:t>generika</w:t>
      </w:r>
      <w:proofErr w:type="spellEnd"/>
      <w:r w:rsidRPr="007676AD">
        <w:t xml:space="preserve"> eller parallellimportert legemiddel. En meldt mangel på et legemiddel vil </w:t>
      </w:r>
      <w:proofErr w:type="gramStart"/>
      <w:r w:rsidRPr="007676AD">
        <w:t>således</w:t>
      </w:r>
      <w:proofErr w:type="gramEnd"/>
      <w:r w:rsidRPr="007676AD">
        <w:t xml:space="preserve"> ras</w:t>
      </w:r>
      <w:r w:rsidRPr="007676AD">
        <w:t>kt kunne få konsekvenser for andre styrker av samme legemiddel og/eller tilsvarende legemiddel. Parallelleksport av disse legemidlene vil dermed være uheldig, og kan få alvorlig konsekvenser for pasientene. I et slikt tilfelle er det ikke nødvendigvis slik</w:t>
      </w:r>
      <w:r w:rsidRPr="007676AD">
        <w:t xml:space="preserve"> at grossisten vil skjønne eller burde ha skjønt at parallelleksport av det tilsvarende produktet vil kunne føre til at etterspørselen i Norge ikke kunne dekkes.</w:t>
      </w:r>
    </w:p>
    <w:p w14:paraId="742A85C1" w14:textId="77777777" w:rsidR="00F83215" w:rsidRPr="007676AD" w:rsidRDefault="00F83215" w:rsidP="007676AD">
      <w:r w:rsidRPr="007676AD">
        <w:t xml:space="preserve">Konkurransetilsynet uttaler i sitt høringssvar at markedsmekanismer i legemiddelmarkedet selv </w:t>
      </w:r>
      <w:r w:rsidRPr="007676AD">
        <w:t>vil korrigere mangelsituasjoner ut ifra generell økonomisk teori, slik at økt etterspørsel gir økt produksjon og derfor vil etterspørsel dekkes uten at myndighetene må gå inn og korrigere markedet. Det sier seg selv at dersom dette var tilfellet ville vi i</w:t>
      </w:r>
      <w:r w:rsidRPr="007676AD">
        <w:t>kke hatt legemiddelmangel. Departementet viser til at hadde legemiddelmarkedet fungert etter ordinær økonomisk teori ville vi for eksempel ikke hatt behov for den omfattende styringen av hvilke deler av befolkningen som skulle prioriteres da covid-19-vaksi</w:t>
      </w:r>
      <w:r w:rsidRPr="007676AD">
        <w:t>nen måtte rasjoneres.</w:t>
      </w:r>
    </w:p>
    <w:p w14:paraId="1E5A4436" w14:textId="77777777" w:rsidR="00F83215" w:rsidRPr="007676AD" w:rsidRDefault="00F83215" w:rsidP="007676AD">
      <w:r w:rsidRPr="007676AD">
        <w:lastRenderedPageBreak/>
        <w:t>Departementet mener at forutsetningene Konkurransetilsynet legger til grunn for sine anførsler, ikke tar hensyn til hvordan produktene og markedet faktisk er regulert og fungerer. Det er korrekt at legemiddellovgivningen i all hovedsa</w:t>
      </w:r>
      <w:r w:rsidRPr="007676AD">
        <w:t xml:space="preserve">k er harmonisert innenfor EØS-området. Det er likevel ikke korrekt at man derfor ikke har nasjonale markeder slik som Konkurransetilsynet påstår. EØS-retten stiller krav til nasjonale språk på pakning og i pakningsvedlegg. Legemidler produseres derfor for </w:t>
      </w:r>
      <w:r w:rsidRPr="007676AD">
        <w:t>nasjonale markeder, og man kan i utgangspunktet ikke selge legemidler ment for andre EØS-land med mindre det gis unntak for det fra nasjonale legemiddelmyndigheter. Departementet kan derfor ikke se at dette er et holdbart argument.</w:t>
      </w:r>
    </w:p>
    <w:p w14:paraId="07F79247" w14:textId="77777777" w:rsidR="00F83215" w:rsidRPr="007676AD" w:rsidRDefault="00F83215" w:rsidP="007676AD">
      <w:pPr>
        <w:rPr>
          <w:rStyle w:val="kursiv"/>
        </w:rPr>
      </w:pPr>
      <w:r w:rsidRPr="007676AD">
        <w:rPr>
          <w:rStyle w:val="kursiv"/>
        </w:rPr>
        <w:t>Legeforeningen</w:t>
      </w:r>
      <w:r w:rsidRPr="007676AD">
        <w:t xml:space="preserve"> uttaler i</w:t>
      </w:r>
      <w:r w:rsidRPr="007676AD">
        <w:t xml:space="preserve"> sitt høringssvar at:</w:t>
      </w:r>
    </w:p>
    <w:p w14:paraId="3FB36C49" w14:textId="77777777" w:rsidR="00F83215" w:rsidRPr="007676AD" w:rsidRDefault="00F83215" w:rsidP="007676AD">
      <w:pPr>
        <w:pStyle w:val="blokksit"/>
      </w:pPr>
      <w:r w:rsidRPr="007676AD">
        <w:t xml:space="preserve">Vi kan ikke se at departementet redegjør for om, og eventuelt i hvilken grad, myndighetene har hatt kontakt med apotek, grossister eller leverandører med sikte på å avklare hvordan utfordringene kan løses. Det kan tenkes at bransjens </w:t>
      </w:r>
      <w:r w:rsidRPr="007676AD">
        <w:t>aktører ville ha hatt verdifulle innspill som både kunne ivaretatt legemiddelberedskapen mer effektivt, f.eks. gjennom de allerede eksisterende avtalene, og samtidig ivaretatt formålet på en mindre inngripende måte.</w:t>
      </w:r>
    </w:p>
    <w:p w14:paraId="614DF2BA" w14:textId="77777777" w:rsidR="00F83215" w:rsidRPr="007676AD" w:rsidRDefault="00F83215" w:rsidP="007676AD">
      <w:r w:rsidRPr="007676AD">
        <w:t xml:space="preserve">Som det </w:t>
      </w:r>
      <w:proofErr w:type="gramStart"/>
      <w:r w:rsidRPr="007676AD">
        <w:t>fremgår</w:t>
      </w:r>
      <w:proofErr w:type="gramEnd"/>
      <w:r w:rsidRPr="007676AD">
        <w:t xml:space="preserve"> av høringen, og som påpe</w:t>
      </w:r>
      <w:r w:rsidRPr="007676AD">
        <w:t>kt av Helsedirektoratet i deres høringssvar er forslaget basert på Helsedirektoratets gjennomgang av norsk legemiddelberedskap, se Nasjonal legemiddelberedskap – Helsedirektoratet. Apotekforeningen og Legemiddelgrossistforeningen tok del i utarbeidelsen av</w:t>
      </w:r>
      <w:r w:rsidRPr="007676AD">
        <w:t xml:space="preserve"> Helsedirektoratets rapport. Nasjonal legemiddelberedskapskomite, hvor Apotekforeningen og Legemiddelgrossistforeningen er representert, utgjorde prosjektets referansegruppe. De deltok også i rådslag og fikk rapportutkastet til gjennomgang. Helsedirektorat</w:t>
      </w:r>
      <w:r w:rsidRPr="007676AD">
        <w:t xml:space="preserve">et mottok skriftlige kommentarer fra begge. Departementet har fått opplyst fra Helsedirektoratet at både Apotekforeningen og Legemiddelgrossistforeningen gjennom arbeidet med rapporten støttet forslagene, men de har vært opptatt av at vilkår for </w:t>
      </w:r>
      <w:proofErr w:type="gramStart"/>
      <w:r w:rsidRPr="007676AD">
        <w:t>anvendelse</w:t>
      </w:r>
      <w:r w:rsidRPr="007676AD">
        <w:t>n</w:t>
      </w:r>
      <w:proofErr w:type="gramEnd"/>
      <w:r w:rsidRPr="007676AD">
        <w:t xml:space="preserve"> av de foreslåtte tiltakene må være tydeligere. Legemiddelindustrien (LMI) har også deltatt inn i det samme arbeidet. Som det </w:t>
      </w:r>
      <w:proofErr w:type="gramStart"/>
      <w:r w:rsidRPr="007676AD">
        <w:t>fremgår</w:t>
      </w:r>
      <w:proofErr w:type="gramEnd"/>
      <w:r w:rsidRPr="007676AD">
        <w:t xml:space="preserve"> av LMI sitt høringssvar, støtter den forslagene fult ut. Departementet anser derfor aktørene Legeforeningen viser til som</w:t>
      </w:r>
      <w:r w:rsidRPr="007676AD">
        <w:t xml:space="preserve"> godt ivaretatt.</w:t>
      </w:r>
    </w:p>
    <w:p w14:paraId="0665AAFB" w14:textId="77777777" w:rsidR="00F83215" w:rsidRPr="007676AD" w:rsidRDefault="00F83215" w:rsidP="007676AD">
      <w:pPr>
        <w:pStyle w:val="avsnitt-undertittel"/>
        <w:rPr>
          <w:rStyle w:val="kursiv"/>
        </w:rPr>
      </w:pPr>
      <w:r w:rsidRPr="007676AD">
        <w:t>Forholdet til EØS-regelverket</w:t>
      </w:r>
    </w:p>
    <w:p w14:paraId="055D17C2" w14:textId="77777777" w:rsidR="00F83215" w:rsidRPr="007676AD" w:rsidRDefault="00F83215" w:rsidP="007676AD">
      <w:r w:rsidRPr="007676AD">
        <w:t>Eksport av legemidler er, som for alle andre varer, underlagt bestemmelser i EØS-avtalen om fri vareflyt over landegrensene. Departementet legger til grunn at et forbud mot parallelleksport av bestemte legemid</w:t>
      </w:r>
      <w:r w:rsidRPr="007676AD">
        <w:t>ler vil omfattes av EØS-avtalen artikkel 12 som forbyr kvantitative eksportrestriksjoner eller andre tiltak med tilsvarende virkning.</w:t>
      </w:r>
    </w:p>
    <w:p w14:paraId="5F652645" w14:textId="77777777" w:rsidR="00F83215" w:rsidRPr="007676AD" w:rsidRDefault="00F83215" w:rsidP="007676AD">
      <w:r w:rsidRPr="007676AD">
        <w:t>EØS-avtalen artikkel 13 inneholder tiltak som likevel er lovlige. Hjemmel for å kunne forby parallelleksport av bestemte l</w:t>
      </w:r>
      <w:r w:rsidRPr="007676AD">
        <w:t>egemidler har som formål å sikre tilgangen til legemidler i Norge slik at mangelsituasjonen får minst mulig konsekvenser for pasienten. Et forbud mot parallelleksport er begrunnet ut fra hensynet til vernet om menneskers og dyrs liv og helse, vil etter dep</w:t>
      </w:r>
      <w:r w:rsidRPr="007676AD">
        <w:t>artementets vurdering omfattes av unntaksadgangen i EØS-avtalen artikkel 13. Dette er også i tråd med rettspraksis fra EU-domstolen, se sakene C-468/06 til C-478/06.</w:t>
      </w:r>
    </w:p>
    <w:p w14:paraId="467A1921" w14:textId="441C6340" w:rsidR="00F83215" w:rsidRPr="007676AD" w:rsidRDefault="00F83215" w:rsidP="007676AD">
      <w:r w:rsidRPr="007676AD">
        <w:t xml:space="preserve">Den nærmere </w:t>
      </w:r>
      <w:proofErr w:type="gramStart"/>
      <w:r w:rsidRPr="007676AD">
        <w:t>anvendelsen</w:t>
      </w:r>
      <w:proofErr w:type="gramEnd"/>
      <w:r w:rsidRPr="007676AD">
        <w:t xml:space="preserve"> av unntaksregelen forutsetter en vurdering av om det er forholdsme</w:t>
      </w:r>
      <w:r w:rsidRPr="007676AD">
        <w:t>ssighet mellom restriksjonen og det hensynet som skal ivaretas. For å gjøre unntak fra forbudet mot eksportrestriksjoner i EØS-avtalen artikkel 12, må tiltaket være forholdsmessig. EU-domstolen og EFTA-domstolen har understreket at det er opp til statene å</w:t>
      </w:r>
      <w:r w:rsidRPr="007676AD">
        <w:t xml:space="preserve"> fastsette nivået </w:t>
      </w:r>
      <w:r w:rsidRPr="007676AD">
        <w:lastRenderedPageBreak/>
        <w:t>for beskyttelse av folkehelsen og hvordan denne beskyttelsen skal oppnås. Det innebærer at landene har en viss skjønnsmargin, men likevel slik at skjønnsmarginen må ivaretas innenfor rammene av forholdsmessighetsprinsippet. I dette ligger</w:t>
      </w:r>
      <w:r w:rsidRPr="007676AD">
        <w:t xml:space="preserve"> at tiltaket må være egnet til å oppnå målsetningen, og at den samme målsetningen ikke like effektivt vil kunne oppnås ved tiltak som i mindre grad hindrer handelen i EØS, jf. EFTA-domstolens uttalelse i sak E</w:t>
      </w:r>
      <w:r w:rsidR="007676AD">
        <w:t>-</w:t>
      </w:r>
      <w:r w:rsidRPr="007676AD">
        <w:t xml:space="preserve">4/04 </w:t>
      </w:r>
      <w:proofErr w:type="spellStart"/>
      <w:r w:rsidRPr="007676AD">
        <w:t>Pedicel</w:t>
      </w:r>
      <w:proofErr w:type="spellEnd"/>
      <w:r w:rsidRPr="007676AD">
        <w:t xml:space="preserve"> avsnitt 56. Forholdsmessighetstes</w:t>
      </w:r>
      <w:r w:rsidRPr="007676AD">
        <w:t>ten består av to hovedelementer: Egnethet og nødvendighet.</w:t>
      </w:r>
    </w:p>
    <w:p w14:paraId="5522EEB0" w14:textId="77777777" w:rsidR="00F83215" w:rsidRPr="007676AD" w:rsidRDefault="00F83215" w:rsidP="007676AD">
      <w:r w:rsidRPr="007676AD">
        <w:t>Departementet mener tiltaket er egnet til å</w:t>
      </w:r>
      <w:r w:rsidRPr="007676AD">
        <w:t xml:space="preserve"> sikre tilgangen til legemidler i Norge slik at konsekvensene for befolkningen ved en mangelsituasjon i størst mulig grad begrenses. Formålet med en hjemmel for å kunne forby parallelleksport av legemidler er å iverksette tiltak som kan begrense eller føre</w:t>
      </w:r>
      <w:r w:rsidRPr="007676AD">
        <w:t xml:space="preserve"> til at mangel unngås. Det antas at et slikt tiltak vil kunne ha effekt på tilgangen til legemidler ved fare for mangel. Videre er det etter departementets vurdering et sentralt moment i egnethetsvurderingen at overtredelsesgebyr ikke egner seg som sanksjo</w:t>
      </w:r>
      <w:r w:rsidRPr="007676AD">
        <w:t xml:space="preserve">n ved brudd på leveringsplikten i grossistforskriften § 4, ettersom tolkningen av bestemmelsen er skjønnsmessig, og handlingsnormen, hva parallelleksport angår, ikke fremgår klart av bestemmelsen. Det vil som regel være bevismessig vanskelig å fastslå hva </w:t>
      </w:r>
      <w:r w:rsidRPr="007676AD">
        <w:t>grossisten burde vite på eksporttidspunktet, og å vurdere hva som må anses som forsvarlig i et slikt tilfelle.</w:t>
      </w:r>
    </w:p>
    <w:p w14:paraId="382BBEC3" w14:textId="77777777" w:rsidR="00F83215" w:rsidRPr="007676AD" w:rsidRDefault="00F83215" w:rsidP="007676AD">
      <w:r w:rsidRPr="007676AD">
        <w:t>Kravet til egnethet innebærer at det må være «rimelig å tro at tiltaket ville kunne bidra til å beskytte menneskers helse», jf. sak E-16/10 Phili</w:t>
      </w:r>
      <w:r w:rsidRPr="007676AD">
        <w:t>p Morris avsnitt 83. Departementet mener at det er grunn til å tro at det å kunne pålegge et forbud mot parallelleksport er egnet til å nå målsetningen. På denne bakgrunn legger departementet til grunn at tiltaket oppfyller egnethetskravet etter EØS-avtale</w:t>
      </w:r>
      <w:r w:rsidRPr="007676AD">
        <w:t>n artikkel 13.</w:t>
      </w:r>
    </w:p>
    <w:p w14:paraId="01421D1B" w14:textId="77777777" w:rsidR="00F83215" w:rsidRPr="007676AD" w:rsidRDefault="00F83215" w:rsidP="007676AD">
      <w:r w:rsidRPr="007676AD">
        <w:t>Norge er et lite marked, og legemiddelmangel er et globalt problem. I en mangelsituasjon kan en derfor tenke seg at legemidler på lager hos norske grossister tiltenkt det norske markedet, vil bli eksportert til et marked som er villige til å</w:t>
      </w:r>
      <w:r w:rsidRPr="007676AD">
        <w:t xml:space="preserve"> betale en høyere pris for dem. For å kunne ivareta befolkningens tilgang til legemidler, foreslår departementet å gi hjemmel til å kunne pålegge eksportrestriksjoner ved fare for at tilgangen ikke kan ivaretas. Kompetansen vil delegeres til Direktoratet f</w:t>
      </w:r>
      <w:r w:rsidRPr="007676AD">
        <w:t>or medisinske produkter.</w:t>
      </w:r>
    </w:p>
    <w:p w14:paraId="60633540" w14:textId="77777777" w:rsidR="00F83215" w:rsidRPr="007676AD" w:rsidRDefault="00F83215" w:rsidP="007676AD">
      <w:r w:rsidRPr="007676AD">
        <w:t>Det vil også kunne være slik at mangel andre steder i verden fører til at tilgangen i det norske markedet synker som følge av eksport. Det er da nødvendig at myndighetene har gjort det man kan for å sikre at det antall varer som er</w:t>
      </w:r>
      <w:r w:rsidRPr="007676AD">
        <w:t xml:space="preserve"> tiltenkt det norske markedet, faktisk kommer til det norske markedet og forblir der til en normal forsyningssituasjon har gjenoppstått.</w:t>
      </w:r>
    </w:p>
    <w:p w14:paraId="58FECB0A" w14:textId="77777777" w:rsidR="00F83215" w:rsidRPr="007676AD" w:rsidRDefault="00F83215" w:rsidP="007676AD">
      <w:r w:rsidRPr="007676AD">
        <w:t>Departementet mener derfor at det er nødvendig med et rettslig grunnlag for å kunne forby grossist å eksportere bestemt</w:t>
      </w:r>
      <w:r w:rsidRPr="007676AD">
        <w:t>e legemidler når det er fare for at tilgangen ikke kan ivaretas. Forslaget omfatter òg tilvirkere som i kraft av sin tilvirkertillatelse også kan drive grossistvirksomhet.</w:t>
      </w:r>
    </w:p>
    <w:p w14:paraId="41C02E6D" w14:textId="77777777" w:rsidR="00F83215" w:rsidRPr="007676AD" w:rsidRDefault="00F83215" w:rsidP="007676AD">
      <w:pPr>
        <w:pStyle w:val="avsnitt-undertittel"/>
        <w:rPr>
          <w:rStyle w:val="kursiv"/>
        </w:rPr>
      </w:pPr>
      <w:r w:rsidRPr="007676AD">
        <w:t>Forholdet til WTO-retten</w:t>
      </w:r>
    </w:p>
    <w:p w14:paraId="04C1E5BE" w14:textId="77777777" w:rsidR="00F83215" w:rsidRPr="007676AD" w:rsidRDefault="00F83215" w:rsidP="007676AD">
      <w:r w:rsidRPr="007676AD">
        <w:t>I henhold til GATT 1994 artikkel XI:1 er det i utgangspunktet ikke tillatt med forbud mot import eller eksport eller øvrige kvantitative restriksjoner på import og eksport (annet enn toll, skatter eller andre avgifter).</w:t>
      </w:r>
    </w:p>
    <w:p w14:paraId="1D974AD8" w14:textId="77777777" w:rsidR="00F83215" w:rsidRPr="007676AD" w:rsidRDefault="00F83215" w:rsidP="007676AD">
      <w:r w:rsidRPr="007676AD">
        <w:lastRenderedPageBreak/>
        <w:t>En «restriksjon» er i rettspraksis i</w:t>
      </w:r>
      <w:r w:rsidRPr="007676AD">
        <w:t xml:space="preserve"> WTO blitt tolket som noe som har begrensende virkning («</w:t>
      </w:r>
      <w:proofErr w:type="spellStart"/>
      <w:r w:rsidRPr="007676AD">
        <w:t>limiting</w:t>
      </w:r>
      <w:proofErr w:type="spellEnd"/>
      <w:r w:rsidRPr="007676AD">
        <w:t xml:space="preserve"> </w:t>
      </w:r>
      <w:proofErr w:type="spellStart"/>
      <w:r w:rsidRPr="007676AD">
        <w:t>effect</w:t>
      </w:r>
      <w:proofErr w:type="spellEnd"/>
      <w:r w:rsidRPr="007676AD">
        <w:t>») på handel. Et forbud mot parallelleksport vil etter departementets vurdering falle inn under bestemmelsen.</w:t>
      </w:r>
    </w:p>
    <w:p w14:paraId="501F0960" w14:textId="77777777" w:rsidR="00F83215" w:rsidRPr="007676AD" w:rsidRDefault="00F83215" w:rsidP="007676AD">
      <w:r w:rsidRPr="007676AD">
        <w:t>Departementet fremholder at tiltaket faller inn under unntaket i GATT 1994</w:t>
      </w:r>
      <w:r w:rsidRPr="007676AD">
        <w:t xml:space="preserve"> artikkel XI:2 bokstav a, som lyder:</w:t>
      </w:r>
    </w:p>
    <w:p w14:paraId="51B77799" w14:textId="77777777" w:rsidR="00F83215" w:rsidRPr="007676AD" w:rsidRDefault="00F83215" w:rsidP="007676AD">
      <w:pPr>
        <w:pStyle w:val="blokksit"/>
      </w:pPr>
      <w:r w:rsidRPr="007676AD">
        <w:t xml:space="preserve">Export prohibitions or restrictions temporarily applied to prevent or relieve critical shortages of foodstuffs or other products essential to the exporting contracting </w:t>
      </w:r>
      <w:proofErr w:type="gramStart"/>
      <w:r w:rsidRPr="007676AD">
        <w:t>party;</w:t>
      </w:r>
      <w:proofErr w:type="gramEnd"/>
    </w:p>
    <w:p w14:paraId="06740C9D" w14:textId="77777777" w:rsidR="00F83215" w:rsidRPr="007676AD" w:rsidRDefault="00F83215" w:rsidP="007676AD">
      <w:r w:rsidRPr="007676AD">
        <w:t>Bestemmelsen gir anledning til eksportrestri</w:t>
      </w:r>
      <w:r w:rsidRPr="007676AD">
        <w:t>ksjoner dersom tiltaket er midlertidig og innføres for å unngå eller lette kritisk mangel på matvarer eller andre grunnleggende produkter for den eksporterende part. Legemidler må anses for å falle inn under denne bestemmelsen da det er en type produkt som</w:t>
      </w:r>
      <w:r w:rsidRPr="007676AD">
        <w:t xml:space="preserve"> er grunnleggende i et samfunn. Videre vises til at et forbud mot parallelleksport vil være midlertidige tiltak som kan iverksettes dersom det er fare for at tilgangen i Norge ikke kan ivaretas.</w:t>
      </w:r>
    </w:p>
    <w:p w14:paraId="2D14A952" w14:textId="77777777" w:rsidR="00F83215" w:rsidRPr="007676AD" w:rsidRDefault="00F83215" w:rsidP="007676AD">
      <w:r w:rsidRPr="007676AD">
        <w:t>Uansett mener departementet at forslaget faller inn under art</w:t>
      </w:r>
      <w:r w:rsidRPr="007676AD">
        <w:t>ikkel XX i GATT 1994 som inneholder en unntaksadgang dersom begrensningen for parallelleksport anses for å være i strid med artikkel XI:1.</w:t>
      </w:r>
    </w:p>
    <w:p w14:paraId="0CB070CE" w14:textId="77777777" w:rsidR="00F83215" w:rsidRPr="007676AD" w:rsidRDefault="00F83215" w:rsidP="007676AD">
      <w:r w:rsidRPr="007676AD">
        <w:t>Departementet viser til drøftelsen av tiltakets formål under punkt 5.4 og særlig vurderingen av forholdet til EØS-ret</w:t>
      </w:r>
      <w:r w:rsidRPr="007676AD">
        <w:t>ten. Unntaksadgangen i artikkel XX bokstav b i GATT 1994 omfatter tiltak som er nødvendige å beskytte liv og helse. Forslaget til hjemmel for å kunne vedta forbud mot parallelleksport skal ivareta dette hensynet. Forslaget innebærer ikke et generelt forbud</w:t>
      </w:r>
      <w:r w:rsidRPr="007676AD">
        <w:t xml:space="preserve"> mot parallelleksport. Departementets forslag innebærer at det gis hjemmel for å pålegge et eksportforbud av bestemte legemidler i mangelsituasjoner og ved fare for det. Dersom hjemmelen tas i bruk vil det være fordi det er nødvendig med et slikt tiltak fo</w:t>
      </w:r>
      <w:r w:rsidRPr="007676AD">
        <w:t>r å ivareta den norske befolkningens tilgang på legemidler.</w:t>
      </w:r>
    </w:p>
    <w:p w14:paraId="67E44349" w14:textId="77777777" w:rsidR="00F83215" w:rsidRPr="007676AD" w:rsidRDefault="00F83215" w:rsidP="007676AD">
      <w:r w:rsidRPr="007676AD">
        <w:t xml:space="preserve">Paneler og ankeorganet har tolket nødvendighetskravet i GATT 1994 artikkel XX-som følger, se f.eks. </w:t>
      </w:r>
      <w:proofErr w:type="spellStart"/>
      <w:r w:rsidRPr="007676AD">
        <w:t>ankeorgansrapporten</w:t>
      </w:r>
      <w:proofErr w:type="spellEnd"/>
      <w:r w:rsidRPr="007676AD">
        <w:t xml:space="preserve"> i Brazil – </w:t>
      </w:r>
      <w:proofErr w:type="spellStart"/>
      <w:r w:rsidRPr="007676AD">
        <w:t>Retreaded</w:t>
      </w:r>
      <w:proofErr w:type="spellEnd"/>
      <w:r w:rsidRPr="007676AD">
        <w:t xml:space="preserve"> </w:t>
      </w:r>
      <w:proofErr w:type="spellStart"/>
      <w:r w:rsidRPr="007676AD">
        <w:t>Tyres</w:t>
      </w:r>
      <w:proofErr w:type="spellEnd"/>
      <w:r w:rsidRPr="007676AD">
        <w:t xml:space="preserve">, para. </w:t>
      </w:r>
      <w:r w:rsidRPr="007676AD">
        <w:t>156:</w:t>
      </w:r>
    </w:p>
    <w:p w14:paraId="3AF6270E" w14:textId="77777777" w:rsidR="00F83215" w:rsidRPr="007676AD" w:rsidRDefault="00F83215" w:rsidP="007676AD">
      <w:pPr>
        <w:pStyle w:val="blokksit"/>
      </w:pPr>
      <w:proofErr w:type="gramStart"/>
      <w:r w:rsidRPr="007676AD">
        <w:t>In order to</w:t>
      </w:r>
      <w:proofErr w:type="gramEnd"/>
      <w:r w:rsidRPr="007676AD">
        <w:t xml:space="preserve"> determine whether a measu</w:t>
      </w:r>
      <w:r w:rsidRPr="007676AD">
        <w:t>re is «necessary» […], a panel must assess all the relevant factors, particularly the extent of the contribution to the achievement of a measure’s objective and its trade restrictiveness, in the light of the importance of the interests and values at stake.</w:t>
      </w:r>
      <w:r w:rsidRPr="007676AD">
        <w:t xml:space="preserve"> If this analysis yields a preliminary conclusion that the measure is necessary, this result must be confirmed by comparing the measure with its possible alternatives, which may be less trade restrictive while providing an equivalent contribution to the ac</w:t>
      </w:r>
      <w:r w:rsidRPr="007676AD">
        <w:t>hievement of the objective pursued.</w:t>
      </w:r>
    </w:p>
    <w:p w14:paraId="10450E45" w14:textId="77777777" w:rsidR="00F83215" w:rsidRPr="007676AD" w:rsidRDefault="00F83215" w:rsidP="007676AD">
      <w:r w:rsidRPr="007676AD">
        <w:t>Utgangspunktet for nødvendighetskriteriet er at tiltaket må bidra til oppfyllelsen av det aktuelle formålet («</w:t>
      </w:r>
      <w:proofErr w:type="spellStart"/>
      <w:r w:rsidRPr="007676AD">
        <w:t>contribution</w:t>
      </w:r>
      <w:proofErr w:type="spellEnd"/>
      <w:r w:rsidRPr="007676AD">
        <w:t>») og at det ikke må være mer handelsrestriktivt enn det som er nødvendig for å oppnå formålet. Et</w:t>
      </w:r>
      <w:r w:rsidRPr="007676AD">
        <w:t xml:space="preserve"> sentralt spørsmål vil være om det finnes et annet tiltak som er mindre handelshindrende som kan anvendes for å oppnå samme formål og som ikke er teknisk eller administrativt vanskelig anvendelig. </w:t>
      </w:r>
      <w:proofErr w:type="spellStart"/>
      <w:r w:rsidRPr="007676AD">
        <w:t>WTOs</w:t>
      </w:r>
      <w:proofErr w:type="spellEnd"/>
      <w:r w:rsidRPr="007676AD">
        <w:t xml:space="preserve"> medlemmer har rett til å fastsette sitt eget beskyttel</w:t>
      </w:r>
      <w:r w:rsidRPr="007676AD">
        <w:t>sesnivå, og kravet til nødvendighet må vurderes i forhold til dette nivået.</w:t>
      </w:r>
    </w:p>
    <w:p w14:paraId="444119CC" w14:textId="77777777" w:rsidR="00F83215" w:rsidRPr="007676AD" w:rsidRDefault="00F83215" w:rsidP="007676AD">
      <w:r w:rsidRPr="007676AD">
        <w:t>Begrepet «nødvendig» er ikke tolket så strengt at det må være tvingende nødvendig («</w:t>
      </w:r>
      <w:proofErr w:type="spellStart"/>
      <w:r w:rsidRPr="007676AD">
        <w:t>indispensable</w:t>
      </w:r>
      <w:proofErr w:type="spellEnd"/>
      <w:r w:rsidRPr="007676AD">
        <w:t>») med akkurat det valgte tiltaket. Det må foretas et visst skjønn sett hen til sak</w:t>
      </w:r>
      <w:r w:rsidRPr="007676AD">
        <w:t xml:space="preserve">ens natur, herunder tiltakets karakter. Tiltaket skal sikre liv og helse som anses ha en svært høy beskyttelsesinteresse. Legemiddelmangel er en utfordring som ofte bunner i forhold utenfor </w:t>
      </w:r>
      <w:r w:rsidRPr="007676AD">
        <w:lastRenderedPageBreak/>
        <w:t>Norges landegrenser. Det er derfor viktig at vi har gode verktøy f</w:t>
      </w:r>
      <w:r w:rsidRPr="007676AD">
        <w:t xml:space="preserve">or å kunne treffe nasjonale tiltak som kan bidra til å sikre Norges tilgang til legemidler. Andre tiltak vil ikke kunne bidra i like stor grad til å sikre Norges tilgang til legemidler i mangelsituasjoner. Tiltaket medfører at legemidler produsert og ment </w:t>
      </w:r>
      <w:r w:rsidRPr="007676AD">
        <w:t>for det norske markedet forblir i Norge dersom tilgangen ikke kan ivaretas. I så måte mener departementet at tiltaket er både målrettet og effektivt for å nå beskyttelsesmålsetningen.</w:t>
      </w:r>
    </w:p>
    <w:p w14:paraId="108791CF" w14:textId="77777777" w:rsidR="00F83215" w:rsidRPr="007676AD" w:rsidRDefault="00F83215" w:rsidP="007676AD">
      <w:r w:rsidRPr="007676AD">
        <w:t>Bestemmelsen vil rette seg mot enhver grossist med varer på lager i Norg</w:t>
      </w:r>
      <w:r w:rsidRPr="007676AD">
        <w:t>e. Videre vil tiltaket ikke medføre vilkårlig og uberettiget diskriminering mellom land da et forbud mot parallelleksport vil gjelde legemidler knyttet til en mangelsituasjon. Departementet mener derfor at forslaget også oppfyller kravene i det såkalte «</w:t>
      </w:r>
      <w:proofErr w:type="spellStart"/>
      <w:r w:rsidRPr="007676AD">
        <w:t>ch</w:t>
      </w:r>
      <w:r w:rsidRPr="007676AD">
        <w:t>apeauet</w:t>
      </w:r>
      <w:proofErr w:type="spellEnd"/>
      <w:r w:rsidRPr="007676AD">
        <w:t>» i GATT 1994 artikkel XX, som er en forutsetning for at bestemmelsens bokstav b kan komme til anvendelse.</w:t>
      </w:r>
    </w:p>
    <w:p w14:paraId="3BF17EDA" w14:textId="77777777" w:rsidR="00F83215" w:rsidRPr="007676AD" w:rsidRDefault="00F83215" w:rsidP="007676AD">
      <w:r w:rsidRPr="007676AD">
        <w:t>Departementet anser på denne bakgrunn at hjemmel for å kunne forby parallelleksport av legemidler er nødvendig for å oppnå et legitimt formål,</w:t>
      </w:r>
      <w:r w:rsidRPr="007676AD">
        <w:t xml:space="preserve"> og at vilkårene i artikkel XX bokstav b er oppfylt.</w:t>
      </w:r>
    </w:p>
    <w:p w14:paraId="3A9C4411" w14:textId="77777777" w:rsidR="00F83215" w:rsidRPr="007676AD" w:rsidRDefault="00F83215" w:rsidP="007676AD">
      <w:r w:rsidRPr="007676AD">
        <w:t>Det kan fremstå som noen høringsinstanser legger til grunn at terskelen for å innføre forbud mot parallelleksport skal være lav. Redegjørelsen over viser at dette ikke er tilfelle. Likevel er det et verk</w:t>
      </w:r>
      <w:r w:rsidRPr="007676AD">
        <w:t>tøy vi mener at Direktoratet for medisinske produkter bør ha tilgjengelig.</w:t>
      </w:r>
    </w:p>
    <w:p w14:paraId="17EC15F9" w14:textId="77777777" w:rsidR="00F83215" w:rsidRPr="007676AD" w:rsidRDefault="00F83215" w:rsidP="007676AD">
      <w:r w:rsidRPr="007676AD">
        <w:t>Departementet viser til at regler om forbud om parallelleksport ble innført under pandemien, med hjemmel i helseberedskapsloven. I situasjoner hvor forsyningssikkerheten er truet og</w:t>
      </w:r>
      <w:r w:rsidRPr="007676AD">
        <w:t xml:space="preserve"> forsyningen av konkete legemidler av en slik karakter at vi ikke kan ivareta vår tilgang uten å sikre at legemidler som allerede er i Norge forblir her, kan forbud mot parallelleksport være et egnet tiltak inntil vi får kontroll over forsyningssituasjonen</w:t>
      </w:r>
      <w:r w:rsidRPr="007676AD">
        <w:t xml:space="preserve"> for disse legemidlene. Terskelen for dette er høy, det viser også praksis under pandemien.</w:t>
      </w:r>
    </w:p>
    <w:p w14:paraId="5713A41C" w14:textId="77777777" w:rsidR="00F83215" w:rsidRPr="007676AD" w:rsidRDefault="00F83215" w:rsidP="007676AD">
      <w:r w:rsidRPr="007676AD">
        <w:t xml:space="preserve">Både Konkurransetilsynet og Regelrådet hevder at hjemmel for å kunne innføre forbud mot parallelleksport kan virke negativt på muligheten Norge har til å </w:t>
      </w:r>
      <w:proofErr w:type="spellStart"/>
      <w:r w:rsidRPr="007676AD">
        <w:t>parallelli</w:t>
      </w:r>
      <w:r w:rsidRPr="007676AD">
        <w:t>mportere</w:t>
      </w:r>
      <w:proofErr w:type="spellEnd"/>
      <w:r w:rsidRPr="007676AD">
        <w:t>. Det er korrekt at et av tiltakene Direktoratet for medisinske produkter bruker for å sikre tilgang til konkrete legemidler som vi opplever mangel av er å godkjenne utenlandske pakninger gjennom parallellimport. Likevel må ikke dette forveksles so</w:t>
      </w:r>
      <w:r w:rsidRPr="007676AD">
        <w:t>m to like forhold. Parallelleksport fra Norge gjøres i større grad enn parallellimport, rett og slett fordi prisen ved eksport er mer gunstig enn import, fordi Norge har gode regler for prisregulering som medfører at vi har lave priser. Påstanden fra Konku</w:t>
      </w:r>
      <w:r w:rsidRPr="007676AD">
        <w:t>rransetilsynet og Regelrådet vil derfor ikke kunne underbygges ut ifra den reelle situasjonen i markedet.</w:t>
      </w:r>
    </w:p>
    <w:p w14:paraId="278B97EC" w14:textId="15A591C7" w:rsidR="00F83215" w:rsidRPr="007676AD" w:rsidRDefault="00F83215" w:rsidP="007676AD">
      <w:r w:rsidRPr="007676AD">
        <w:t>Departementet viser til at regler om forbud mot parallelleksport ble innført under pandemien med hjemmel i helseberedskapsloven. De midlertidige regle</w:t>
      </w:r>
      <w:r w:rsidRPr="007676AD">
        <w:t>ne var gjeldende fra første gang kongelig resolusjon om bruk av fullmaktene etter § 1</w:t>
      </w:r>
      <w:r w:rsidR="007676AD">
        <w:t>-</w:t>
      </w:r>
      <w:r w:rsidRPr="007676AD">
        <w:t xml:space="preserve">5 ble fremmet 6. mars 2020 til 14. april 2023. Erfaringen fra denne perioden er </w:t>
      </w:r>
      <w:proofErr w:type="gramStart"/>
      <w:r w:rsidRPr="007676AD">
        <w:t>god</w:t>
      </w:r>
      <w:proofErr w:type="gramEnd"/>
      <w:r w:rsidRPr="007676AD">
        <w:t xml:space="preserve"> men viser samtidig at det er behov for dette tiltaket utover </w:t>
      </w:r>
      <w:r w:rsidRPr="007676AD">
        <w:t>helseberedskapslovens vir</w:t>
      </w:r>
      <w:r w:rsidRPr="007676AD">
        <w:t>keområde. De avhengig</w:t>
      </w:r>
      <w:r w:rsidRPr="007676AD">
        <w:t>hetene og sårbarhetene i legemiddelmarkedet tas ikke høyde for i loven. Alvorlige mangelsituasjoner kan oppstå uten at kriser eller katastrofer truer Norge.</w:t>
      </w:r>
    </w:p>
    <w:p w14:paraId="314FF2BB" w14:textId="77777777" w:rsidR="00F83215" w:rsidRPr="007676AD" w:rsidRDefault="00F83215" w:rsidP="007676AD">
      <w:r w:rsidRPr="007676AD">
        <w:t>Departementet viser til at begrepet eksport slik det ble hørt favner videre en</w:t>
      </w:r>
      <w:r w:rsidRPr="007676AD">
        <w:t xml:space="preserve">n det forslaget er ment å demme opp for. Under pandemien ble også regelverket begrenset til parallelleksport. </w:t>
      </w:r>
      <w:r w:rsidRPr="007676AD">
        <w:lastRenderedPageBreak/>
        <w:t>Videre viser departementet til at vi har et fåtall legemiddelprodusenter i Norge. Forslaget er ment å dekke legemidler som er produsert og kjøpt i</w:t>
      </w:r>
      <w:r w:rsidRPr="007676AD">
        <w:t>nn for det norske markedet. I dette inngår også legemidler plassert på det norske markedet gjennom godkjenningsfritak som nevnes av Sykehusinnkjøp HF i deres høringssvar. Departementet mener at begrepet i forslag til ny § 18 a derfor bør endres fra eksport</w:t>
      </w:r>
      <w:r w:rsidRPr="007676AD">
        <w:t xml:space="preserve"> til parallelleksport. Ellers opprettholder forslaget hjemmel som er inntatt i utkastet til § 18 a i legemiddelloven. Kompetansen tillegges departementet, men vil delegeres til Direktoratet for medisinske produkter.</w:t>
      </w:r>
    </w:p>
    <w:p w14:paraId="631FBA09" w14:textId="77777777" w:rsidR="00F83215" w:rsidRPr="007676AD" w:rsidRDefault="00F83215" w:rsidP="007676AD">
      <w:r w:rsidRPr="007676AD">
        <w:t>Endringer av språklig karakter i tråd me</w:t>
      </w:r>
      <w:r w:rsidRPr="007676AD">
        <w:t>d forslaget om hjemmel til rasjonering er også inntatt her. Departementet foreslår også at det gis hjemmel til å fastsette i forskrift nærmere bestemmelser om gjennomføringen av bestemmelsen.</w:t>
      </w:r>
    </w:p>
    <w:p w14:paraId="5330DDC2" w14:textId="77777777" w:rsidR="00F83215" w:rsidRPr="007676AD" w:rsidRDefault="00F83215" w:rsidP="007676AD">
      <w:pPr>
        <w:pStyle w:val="Overskrift1"/>
      </w:pPr>
      <w:r w:rsidRPr="007676AD">
        <w:t>Tilgang på opplysninger om lagerstatus fra grossist</w:t>
      </w:r>
    </w:p>
    <w:p w14:paraId="14B84A4C" w14:textId="77777777" w:rsidR="00F83215" w:rsidRPr="007676AD" w:rsidRDefault="00F83215" w:rsidP="007676AD">
      <w:pPr>
        <w:pStyle w:val="Overskrift2"/>
      </w:pPr>
      <w:r w:rsidRPr="007676AD">
        <w:t>Gjeldende rett</w:t>
      </w:r>
    </w:p>
    <w:p w14:paraId="7D0711E2" w14:textId="77777777" w:rsidR="00F83215" w:rsidRPr="007676AD" w:rsidRDefault="00F83215" w:rsidP="007676AD">
      <w:r w:rsidRPr="007676AD">
        <w:t>Av legemiddelforskriften § 8-6 første ledd bokstav d følger det at innehaver av markedsføringstillatelsen plikter å underrette Direktoratet for medisinske produkter dersom legemiddelet midlertidig eller permanent ikke lenger vil bli mar</w:t>
      </w:r>
      <w:r w:rsidRPr="007676AD">
        <w:t>kedsført i Norge. Videre fremgår det av bestemmelsens andre ledd at underretningen skal skje senest to måneder før avbrytelsen av markedsføringen, med mindre det foreligger særlige omstendigheter som hindret varsel på et slikt tidspunkt. I underretningen s</w:t>
      </w:r>
      <w:r w:rsidRPr="007676AD">
        <w:t>kal det opplyses om årsaken til avbrytelsen. I praksis omtales denne meldeplikten som «melding om legemiddelmangel».</w:t>
      </w:r>
    </w:p>
    <w:p w14:paraId="134607DC" w14:textId="77777777" w:rsidR="00F83215" w:rsidRPr="007676AD" w:rsidRDefault="00F83215" w:rsidP="007676AD">
      <w:pPr>
        <w:pStyle w:val="Overskrift2"/>
      </w:pPr>
      <w:r w:rsidRPr="007676AD">
        <w:t>Høringsforslaget</w:t>
      </w:r>
    </w:p>
    <w:p w14:paraId="00A84709" w14:textId="77777777" w:rsidR="00F83215" w:rsidRPr="007676AD" w:rsidRDefault="00F83215" w:rsidP="007676AD">
      <w:r w:rsidRPr="007676AD">
        <w:t>Departementet foreslo i forslaget til lovendringer at Legemiddelverket skulle gis tilgang til får elektronisk tilg</w:t>
      </w:r>
      <w:r w:rsidRPr="007676AD">
        <w:t>ang til grossistenes og apotekenes lagerstatus. Tilgang til lagerstatus er avgjørende for bruk av hjemlene om rasjonering og forbud mot parallelleksport. Meldeplikten for innehavere av markedsføringstillatelse ble heller ikke ansett tilstrekkelig for at Le</w:t>
      </w:r>
      <w:r w:rsidRPr="007676AD">
        <w:t>gemiddelverket kunne danne seg et bilde av det totale nasjonale legemiddellageret. Legemiddelloven § 28 andre ledd vil heller ikke kunne anvendes i håndteringen av mangelsituasjoner da denne bestemmelsen er knyttet til Legemiddelverkets (nå Direktoratet fo</w:t>
      </w:r>
      <w:r w:rsidRPr="007676AD">
        <w:t>r medisinske produkters) ordinære tilsynsvirksomhet.</w:t>
      </w:r>
    </w:p>
    <w:p w14:paraId="52B9DC04" w14:textId="77777777" w:rsidR="00F83215" w:rsidRPr="007676AD" w:rsidRDefault="00F83215" w:rsidP="007676AD">
      <w:pPr>
        <w:pStyle w:val="Overskrift2"/>
      </w:pPr>
      <w:r w:rsidRPr="007676AD">
        <w:t>Høringsinstansenes syn</w:t>
      </w:r>
    </w:p>
    <w:p w14:paraId="3F3A64B0" w14:textId="77777777" w:rsidR="00F83215" w:rsidRPr="007676AD" w:rsidRDefault="00F83215" w:rsidP="007676AD">
      <w:r w:rsidRPr="007676AD">
        <w:t>Hovedandelen av høringsinstansene støt</w:t>
      </w:r>
      <w:r w:rsidRPr="007676AD">
        <w:t xml:space="preserve">ter forslaget om Legemiddelverkets innsyn inn lagerstatus, herunder blant annet </w:t>
      </w:r>
      <w:r w:rsidRPr="007676AD">
        <w:rPr>
          <w:rStyle w:val="kursiv"/>
        </w:rPr>
        <w:t xml:space="preserve">Helse Sør-Øst RHF, Helse Vest RHF, Sykehusapotekene HF, Nasjonalt senter for legemiddelmangel og -beredskap i spesialisthelsetjenesten (Mangelsenteret) </w:t>
      </w:r>
      <w:r w:rsidRPr="007676AD">
        <w:t xml:space="preserve">og </w:t>
      </w:r>
      <w:r w:rsidRPr="007676AD">
        <w:rPr>
          <w:rStyle w:val="kursiv"/>
        </w:rPr>
        <w:t xml:space="preserve">Legemiddelindustrien </w:t>
      </w:r>
      <w:r w:rsidRPr="007676AD">
        <w:rPr>
          <w:rStyle w:val="kursiv"/>
        </w:rPr>
        <w:t>(LMI</w:t>
      </w:r>
      <w:r w:rsidRPr="007676AD">
        <w:t>).</w:t>
      </w:r>
    </w:p>
    <w:p w14:paraId="3E359412" w14:textId="77777777" w:rsidR="00F83215" w:rsidRPr="007676AD" w:rsidRDefault="00F83215" w:rsidP="007676AD">
      <w:r w:rsidRPr="007676AD">
        <w:rPr>
          <w:rStyle w:val="kursiv"/>
        </w:rPr>
        <w:t>Apotekforeningen</w:t>
      </w:r>
      <w:r w:rsidRPr="007676AD">
        <w:t xml:space="preserve"> og </w:t>
      </w:r>
      <w:r w:rsidRPr="007676AD">
        <w:rPr>
          <w:rStyle w:val="kursiv"/>
        </w:rPr>
        <w:t>Legemiddelgrossistforeningen</w:t>
      </w:r>
      <w:r w:rsidRPr="007676AD">
        <w:t xml:space="preserve"> uttaler at en frivillig løsning som har vært grunnlaget for tilgangen til disse opplysningene hittil vil være vesentlig enklere, billigere og raskere å gjennomføre, enn pålegg overfor alle grossister </w:t>
      </w:r>
      <w:r w:rsidRPr="007676AD">
        <w:t>og apotek.</w:t>
      </w:r>
    </w:p>
    <w:p w14:paraId="287E521A" w14:textId="77777777" w:rsidR="00F83215" w:rsidRPr="007676AD" w:rsidRDefault="00F83215" w:rsidP="007676AD">
      <w:pPr>
        <w:pStyle w:val="Overskrift2"/>
      </w:pPr>
      <w:r w:rsidRPr="007676AD">
        <w:lastRenderedPageBreak/>
        <w:t>Departementets vurdering</w:t>
      </w:r>
    </w:p>
    <w:p w14:paraId="112087F0" w14:textId="77777777" w:rsidR="00F83215" w:rsidRPr="007676AD" w:rsidRDefault="00F83215" w:rsidP="007676AD">
      <w:r w:rsidRPr="007676AD">
        <w:t xml:space="preserve">Legemiddelforskriften § 8-6 første ledd bokstav d er hjemlet i legemiddelloven § 10 første ledd og </w:t>
      </w:r>
      <w:proofErr w:type="gramStart"/>
      <w:r w:rsidRPr="007676AD">
        <w:t>implementerer</w:t>
      </w:r>
      <w:proofErr w:type="gramEnd"/>
      <w:r w:rsidRPr="007676AD">
        <w:t xml:space="preserve"> artikkel 23a andre avsnitt i direktiv 2001/83/EF (legemiddeldirektivet). Bestemmelsen er sentral fo</w:t>
      </w:r>
      <w:r w:rsidRPr="007676AD">
        <w:t>r planlegging og gjennomføring av riktige og best mulige tiltak ved endringer i tilgangen til legemidler. Direktoratet for medisinske produkter erfarer imidlertid at innehavere av markedsføringstillatelse i mange tilfeller ikke overholder meldeplikten i le</w:t>
      </w:r>
      <w:r w:rsidRPr="007676AD">
        <w:t>gemiddelforskriften § 8-6 første ledd bokstav d.</w:t>
      </w:r>
    </w:p>
    <w:p w14:paraId="280BC985" w14:textId="77777777" w:rsidR="00F83215" w:rsidRPr="007676AD" w:rsidRDefault="00F83215" w:rsidP="007676AD">
      <w:r w:rsidRPr="007676AD">
        <w:t>Nedenfor følger en mer detaljert oversikt over når Legemiddelverket mottok mangelmeldingene fra innehaverne av markedsføringstillatelse i 2023.</w:t>
      </w:r>
    </w:p>
    <w:p w14:paraId="673ECA28" w14:textId="0A94C16C" w:rsidR="00F83215" w:rsidRPr="007676AD" w:rsidRDefault="008C4041" w:rsidP="007676AD">
      <w:r>
        <w:rPr>
          <w:noProof/>
        </w:rPr>
        <w:drawing>
          <wp:inline distT="0" distB="0" distL="0" distR="0" wp14:anchorId="654AA334" wp14:editId="59C235BF">
            <wp:extent cx="6076950" cy="288607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EDE4E60" w14:textId="77777777" w:rsidR="00F83215" w:rsidRPr="007676AD" w:rsidRDefault="00F83215" w:rsidP="007676AD">
      <w:pPr>
        <w:pStyle w:val="figur-tittel"/>
      </w:pPr>
    </w:p>
    <w:p w14:paraId="61719DA7" w14:textId="77777777" w:rsidR="00F83215" w:rsidRPr="007676AD" w:rsidRDefault="00F83215" w:rsidP="007676AD">
      <w:pPr>
        <w:pStyle w:val="Kilde"/>
      </w:pPr>
      <w:r w:rsidRPr="007676AD">
        <w:t>Kilde: Direktoratet for medisinske produkter</w:t>
      </w:r>
    </w:p>
    <w:p w14:paraId="5EB9F558" w14:textId="77777777" w:rsidR="00F83215" w:rsidRPr="007676AD" w:rsidRDefault="00F83215" w:rsidP="007676AD">
      <w:r w:rsidRPr="007676AD">
        <w:t>Bakgrunnen for at meldeplikten utløses grunner ofte iblant annet råstoffmangel, produksjonssvikt, feilberegning av forholdet mellom tilbud og etterspørsel, samt kompliserte omsetningsstrukturer i det globale leg</w:t>
      </w:r>
      <w:r w:rsidRPr="007676AD">
        <w:t>emiddelmarkedet. For innehavere av markedsføringstillatelse i Norge, er dette forhold som er krevende å ha kontroll over gitt komplekse verdi- og forsyningskjeder i et globalt legemiddelmarked. Det forventes imidlertid at innehavere av markedsføringstillat</w:t>
      </w:r>
      <w:r w:rsidRPr="007676AD">
        <w:t>else har god oversikt over alle forhold som berører produksjonskjeden, også i et globalisert marked.</w:t>
      </w:r>
    </w:p>
    <w:p w14:paraId="1F061D78" w14:textId="77777777" w:rsidR="00F83215" w:rsidRPr="007676AD" w:rsidRDefault="00F83215" w:rsidP="007676AD">
      <w:r w:rsidRPr="007676AD">
        <w:t>Grossistene innehar mye informasjon om markedssituasjonen, men har ingen plikt til å underrette Direktoratet for medisinske produkter. Tilgangen til grossi</w:t>
      </w:r>
      <w:r w:rsidRPr="007676AD">
        <w:t>stenes og apotekenes lagerstatus har i en årrekke vært basert på frivillighet og samarbeid. Utviklingen i mangelsituasjoner de siste årene medfører at tilgangen til opplysninger for å danne seg et bilde av den totale lagerbeholdningen i Norge spiller en la</w:t>
      </w:r>
      <w:r w:rsidRPr="007676AD">
        <w:t>ngt viktigere rolle i overvåkingen av forsyningssikkerheten enn tidligere. Apotekforeningen og Legemiddelgrossistforeningen ønsker en videreføring av den frivillige rapporteringen og heller en løsning knyttet til en privatrettslig avtale med Direktoratet f</w:t>
      </w:r>
      <w:r w:rsidRPr="007676AD">
        <w:t>or medisinske produkter. Departementet mener imidlertid at tilgang til lagerstatus er avgjørende for oppfyllelse av Direktoratet for medisinske produkters myndighetsoppgaver. Et</w:t>
      </w:r>
      <w:r w:rsidRPr="007676AD">
        <w:lastRenderedPageBreak/>
        <w:t xml:space="preserve">ter departementets syn er derfor en privatrettslig avtaleform for å få tilgang </w:t>
      </w:r>
      <w:r w:rsidRPr="007676AD">
        <w:t>til lagerstatus lite egnet for fremtiden. Departementet mener imidlertid at behovet for oversikt over lagerstatus ivaretas mer effektivt og formålstjenlig ved å heller sikre Direktoratet for medisinske produkter direkte tilgang til denne informasjonen. I D</w:t>
      </w:r>
      <w:r w:rsidRPr="007676AD">
        <w:t>anmark er det fremmet et lovforslag for Folketinget om åpenhet i lagerstatus og rapportering fra grossistene til myndighetene. Sverige bruker en ordning om innsyn i lagerstatus i apotek på ordinær basis som gjør informasjonsflyten raskere og mer effektiv.</w:t>
      </w:r>
    </w:p>
    <w:p w14:paraId="48A538AB" w14:textId="77777777" w:rsidR="00F83215" w:rsidRPr="007676AD" w:rsidRDefault="00F83215" w:rsidP="007676AD">
      <w:r w:rsidRPr="007676AD">
        <w:t xml:space="preserve">Departementet viser </w:t>
      </w:r>
      <w:proofErr w:type="gramStart"/>
      <w:r w:rsidRPr="007676AD">
        <w:t>for øvrig</w:t>
      </w:r>
      <w:proofErr w:type="gramEnd"/>
      <w:r w:rsidRPr="007676AD">
        <w:t xml:space="preserve"> til at Mangelsenteret til spesialisthelsetjenesten har direkte webtilgang til lagerstatus for den grossisten som de har grossistavtale med. Apotekforeningen påpeker at dette er en privatrettslig avtale som departementet ikke ø</w:t>
      </w:r>
      <w:r w:rsidRPr="007676AD">
        <w:t>nsker for Direktoratet for medisinske produkter. Departementet mener likefult at innsyn i denne informasjonen derfor også bør være mulig for Direktoratet for medisinske produkter gjennom regelverk gitt at det er knyttet til etatens forvaltningsoppgaver.</w:t>
      </w:r>
    </w:p>
    <w:p w14:paraId="057BDB2E" w14:textId="77777777" w:rsidR="00F83215" w:rsidRPr="007676AD" w:rsidRDefault="00F83215" w:rsidP="007676AD">
      <w:r w:rsidRPr="007676AD">
        <w:t>Da</w:t>
      </w:r>
      <w:r w:rsidRPr="007676AD">
        <w:t>gens innretning er etter departementets vurdering ikke egnet. Direktoratet for medisinske produkter overvåker tilgangen til legemidler, og iverksetter nødvendige tiltak i mangelsituasjoner. Når Direktoratet for medisinske produkter mottar en mangelmelding,</w:t>
      </w:r>
      <w:r w:rsidRPr="007676AD">
        <w:t xml:space="preserve"> kontaktes hver enkelt grossist separat via e-post. Formålet fra Direktoratet for medisinske produkters side er å få totaloversikt over lagerstatus for det aktuelle legemiddelet for å kunne vurdere konsekvenser og egnede tiltak. Denne arbeidsformen er ette</w:t>
      </w:r>
      <w:r w:rsidRPr="007676AD">
        <w:t>r departementets vurdering uhensiktsmessig og lite effektiv. Det tar unødvendig lang tid for Direktoratet for medisinske produkter å skaffe seg totaloversikt, fordi svarene kommer inn til ulik tid, og samtidig må Direktoratet for medisinske produkter bruke</w:t>
      </w:r>
      <w:r w:rsidRPr="007676AD">
        <w:t xml:space="preserve"> tid og ressurser på å sammenstille ulik informasjon. I dag har Direktoratet for medisinske produkter ingen mulighet for selv å innhente et øyeblikksbilde av lagerstatus ved fare for eller etablert midlertidig eller permanent avbrudd i legemiddelforsyninge</w:t>
      </w:r>
      <w:r w:rsidRPr="007676AD">
        <w:t>n. Legemiddelloven § 28 andre ledd inneholder en hjemmel for å innhente opplysninger i tilsynsøyemed, blant annet for å se om grossistene overholder lagringsplikten sin. Departementet mener dog at denne hjemmelen ikke kan anvendes for å kreve tilgang til g</w:t>
      </w:r>
      <w:r w:rsidRPr="007676AD">
        <w:t xml:space="preserve">rossistenes og apotekenes lagertall for hurtig å skaffe seg et øyeblikksbilde over den totale lagerstatusen i Norge og raskt kunne håndtere en mangelsituasjon. Dette er problematisk da tidsaspektet er viktig i Direktoratet for medisinske produkters arbeid </w:t>
      </w:r>
      <w:r w:rsidRPr="007676AD">
        <w:t>med legemiddelmangel. Det er etter departementets syn av vesentlig betydning for legemiddelberedskapen at Direktoratet for medisinske produkter får elektronisk tilgang til grossistenes og apotekenes lagerstatus, slik at man kan treffe tiltak på et så tidli</w:t>
      </w:r>
      <w:r w:rsidRPr="007676AD">
        <w:t>g tidspunkt som mulig for å trygge legemiddeltilgangen. I dette ligger det at Direktoratet for medisinske produkter får løpende og elektronisk tilgang til lagerstatus hos grossist og i apotek, både for det aktuelle legemiddelet og for alle andre legemidler</w:t>
      </w:r>
      <w:r w:rsidRPr="007676AD">
        <w:t xml:space="preserve"> som kan være erstatning eller tilsvarende. Som vil bidra til å danne et øyeblikksbilde med aggregert lagerstatus per grossist og per apotekkjede. Direktoratet for medisinske produkter bør derfor sikres uhindret tilgang for å kunne hente ut tall på egenhån</w:t>
      </w:r>
      <w:r w:rsidRPr="007676AD">
        <w:t>d.</w:t>
      </w:r>
    </w:p>
    <w:p w14:paraId="7B942C21" w14:textId="77777777" w:rsidR="00F83215" w:rsidRPr="007676AD" w:rsidRDefault="00F83215" w:rsidP="007676AD">
      <w:r w:rsidRPr="007676AD">
        <w:t>Tilgang til lagerstatus er også avgjørende for bruk av hjemlene om rasjonering og forbud mot parallelleksport, men også andre virkemidler som iverksettes i en mangelsituasjon. I utgangspunktet skal tiltak som omfatter rasjonering og parallelleksport vær</w:t>
      </w:r>
      <w:r w:rsidRPr="007676AD">
        <w:t xml:space="preserve">e proaktive tiltak i den forstand at de skal bidra til å sikre tilgangen på legemidler. Dette formålet er vanskelig gjennomførbart dersom Direktoratet for medisinske produkter ikke har elektronisk tilgang til lagerstatus </w:t>
      </w:r>
      <w:r w:rsidRPr="007676AD">
        <w:lastRenderedPageBreak/>
        <w:t>på en enkel måte. Som redegjort for</w:t>
      </w:r>
      <w:r w:rsidRPr="007676AD">
        <w:t xml:space="preserve"> er ikke meldeplikten for innehavere av markedsføringstillatelse tilstrekkelig for at Direktoratet for medisinske produkter kan danne seg et bilde av det totale legemiddellageret. Legemiddelloven § 28 andre ledd vil heller ikke kunne anvendes i håndteringe</w:t>
      </w:r>
      <w:r w:rsidRPr="007676AD">
        <w:t>n av mangelsituasjoner da denne bestemmelsen er knyttet til Direktoratet for medisinske produkters ordinære tilsynsvirksomhet. For å kunne følge opp sitt ansvar for å trygge legemiddeltilgangen foreslår departementet derfor at det gis hjemmel for at grossi</w:t>
      </w:r>
      <w:r w:rsidRPr="007676AD">
        <w:t>ster og apotek skal gi Direktoratet for medisinske produkter elektronisk tilgang til lagerstatus slik at Direktoratet for medisinske produkter på eget initiativ kan innhente et øyeblikksbilde over lagerstatus for legemidler som omfattes av en mangelsituasj</w:t>
      </w:r>
      <w:r w:rsidRPr="007676AD">
        <w:t>on, eventuelt legemidler som er tilsvarende eller som kan erstatte det aktuelle legemiddelet. Hjemmelen skal bidra til å sikre en rask og egnet håndtering av mangelsituasjoner. Forslaget omfatter kun situasjoner hvor Direktoratet for medisinske produkter h</w:t>
      </w:r>
      <w:r w:rsidRPr="007676AD">
        <w:t>ar behov for å innhente opplysninger knyttet til lagerstatus for å håndtere tilfeller hvor det er fare for tilgangen til legemidler i Norge.</w:t>
      </w:r>
    </w:p>
    <w:p w14:paraId="7E6DE592" w14:textId="77777777" w:rsidR="00F83215" w:rsidRPr="007676AD" w:rsidRDefault="00F83215" w:rsidP="007676AD">
      <w:r w:rsidRPr="007676AD">
        <w:t>Legemiddelverket fikk under pandemien innsyn i grossistenes lagerbeholdning via en midlertidig innloggingsfunksjon.</w:t>
      </w:r>
      <w:r w:rsidRPr="007676AD">
        <w:t xml:space="preserve"> Innsynsadgangen gjorde at både grossistene og Legemiddelverket sparte tid og at vurderingene ble basert på et mest mulig korrekt grunnlag. Innsyn i lagerbeholdning er en forutsetning for å kunne foreta en god vurdering av mangelsituasjonene og iverksette </w:t>
      </w:r>
      <w:r w:rsidRPr="007676AD">
        <w:t>egnede tiltak. Uten innsyn i lagerstatus vil ikke Direktoratet for medisinske produkter settes i stand til å vurdere om tiltak er forholdsmessige på en god måte, som er en forutsetning for en tilfredsstillende bruk av de virkemidlene Direktoratet for medis</w:t>
      </w:r>
      <w:r w:rsidRPr="007676AD">
        <w:t>inske produkter har mulighet for å iverksette ved mangel.</w:t>
      </w:r>
    </w:p>
    <w:p w14:paraId="590D0E58" w14:textId="77777777" w:rsidR="00F83215" w:rsidRPr="007676AD" w:rsidRDefault="00F83215" w:rsidP="007676AD">
      <w:r w:rsidRPr="007676AD">
        <w:t xml:space="preserve">Departementet opprettholder derfor forslaget som </w:t>
      </w:r>
      <w:proofErr w:type="gramStart"/>
      <w:r w:rsidRPr="007676AD">
        <w:t>fremgår</w:t>
      </w:r>
      <w:proofErr w:type="gramEnd"/>
      <w:r w:rsidRPr="007676AD">
        <w:t xml:space="preserve"> av utkast til legemiddellov § 14 sjette ledd og apotekloven § 5-4 tredje ledd. Forslaget endres slik at tilgangen skal gis til departementet,</w:t>
      </w:r>
      <w:r w:rsidRPr="007676AD">
        <w:t xml:space="preserve"> men myndigheten vil delegeres til Direktoratet for medisinske produkter.</w:t>
      </w:r>
    </w:p>
    <w:p w14:paraId="64EC2CFE" w14:textId="77777777" w:rsidR="00F83215" w:rsidRPr="007676AD" w:rsidRDefault="00F83215" w:rsidP="007676AD">
      <w:r w:rsidRPr="007676AD">
        <w:t xml:space="preserve">Departementet foreslår at det i forskrift kan gis nærmere bestemmelser om grossist og apoteks plikt til å gi departementet elektronisk tilgang til lagerstatus i legemiddelloven § 14 </w:t>
      </w:r>
      <w:r w:rsidRPr="007676AD">
        <w:t>syvende ledd og apotekloven § 5-4 siste ledd.</w:t>
      </w:r>
    </w:p>
    <w:p w14:paraId="5387031C" w14:textId="77777777" w:rsidR="00F83215" w:rsidRPr="007676AD" w:rsidRDefault="00F83215" w:rsidP="007676AD">
      <w:pPr>
        <w:pStyle w:val="Overskrift1"/>
      </w:pPr>
      <w:r w:rsidRPr="007676AD">
        <w:t>Overtredelsesgebyr og tvangsmulkt</w:t>
      </w:r>
    </w:p>
    <w:p w14:paraId="7D8F2628" w14:textId="77777777" w:rsidR="00F83215" w:rsidRPr="007676AD" w:rsidRDefault="00F83215" w:rsidP="007676AD">
      <w:pPr>
        <w:pStyle w:val="Overskrift2"/>
      </w:pPr>
      <w:r w:rsidRPr="007676AD">
        <w:t>Gjeldende rett</w:t>
      </w:r>
    </w:p>
    <w:p w14:paraId="77B7B654" w14:textId="77777777" w:rsidR="00F83215" w:rsidRPr="007676AD" w:rsidRDefault="00F83215" w:rsidP="007676AD">
      <w:r w:rsidRPr="007676AD">
        <w:t>Med hjemmel i legemiddelloven, kan myndighetene fastsette ulike pålegg rettet mot pliktsubjekter etter loven. Dette vil eksempelvis være tilvirke</w:t>
      </w:r>
      <w:r w:rsidRPr="007676AD">
        <w:t>re, innehavere av markedsføringstillatelse og grossister. Dersom frist for oppfyllelse av slikt pålegg oversittes, kan departementet fastsette tvangsmulkt overfor den ansvarlige i form av engangsmulkt eller løpende dagsmulkt, jf. § 28 femte ledd.</w:t>
      </w:r>
    </w:p>
    <w:p w14:paraId="5DDAA0A3" w14:textId="77777777" w:rsidR="00F83215" w:rsidRPr="007676AD" w:rsidRDefault="00F83215" w:rsidP="007676AD">
      <w:r w:rsidRPr="007676AD">
        <w:t>Etter sam</w:t>
      </w:r>
      <w:r w:rsidRPr="007676AD">
        <w:t>me lov § 28 a kan det gis overtredelsesgebyr for brudd på regelverket. Dette gjelder blant annet ved import av legemidler fra land utenfor EØS når det ikke foreligger tillatelse til dette, jf. legemiddelloven § 13 første ledd. Overtredelsesgebyr kan også i</w:t>
      </w:r>
      <w:r w:rsidRPr="007676AD">
        <w:t>legges ved import av legemidler fra EØS uten nødvendig tillatelse, jf. § 13 fjerde ledd. Det samme gjelder der grossistvirksomhet drives uten nødvendig tillatelse, jf. § 14 andre ledd og ved brudd på reklamebe</w:t>
      </w:r>
      <w:r w:rsidRPr="007676AD">
        <w:lastRenderedPageBreak/>
        <w:t>stemmelsene i legemiddelloven §§ 19 og 21. Over</w:t>
      </w:r>
      <w:r w:rsidRPr="007676AD">
        <w:t>tredelsesgebyr kan også ilegges når markedsføringstillatelsens innehaver bryter plikten til å underrette Direktoratet for medisinske produkter om alle nye opplysninger som kan medføre endringer av opplysninger og dokumenter oversendt myndighetene i forbind</w:t>
      </w:r>
      <w:r w:rsidRPr="007676AD">
        <w:t>else med søknad om markedsføringstillatelse for et legemiddel, jf. legemiddelforskriften § 8-6 første ledd bokstav a. Også brudd på tilsvarende bestemmelser i legemiddelloven § 2 b, jf. forordning (EU) 2019/6 kan ilegges overtredelsesgebyr. Dette gjelder f</w:t>
      </w:r>
      <w:r w:rsidRPr="007676AD">
        <w:t>orordningen om legemidler til dyr artikkel 58 nr. 3, 4 og 10 som pålegger innehaveren av markedsføringstillatelsen informasjonsplikt. Det gjelder videre artikkel 88 nr. 1 bokstav c som stiller krav om tilvirkertillatelse for import av legemidler til dyr fr</w:t>
      </w:r>
      <w:r w:rsidRPr="007676AD">
        <w:t xml:space="preserve">a land utenfor EØS og artikkel 99 nr. 1 som stiller krav til grossisttillatelse for utøvelse av grossistvirksomhet. Endelig gjelder det forordningens artikkel 119 til 121 som regulerer reklame for legemidler til dyr, jf. </w:t>
      </w:r>
      <w:proofErr w:type="spellStart"/>
      <w:r w:rsidRPr="007676AD">
        <w:t>Prop</w:t>
      </w:r>
      <w:proofErr w:type="spellEnd"/>
      <w:r w:rsidRPr="007676AD">
        <w:t xml:space="preserve">. 102 LS (2021–2022) </w:t>
      </w:r>
      <w:r w:rsidRPr="007676AD">
        <w:rPr>
          <w:rStyle w:val="kursiv"/>
        </w:rPr>
        <w:t xml:space="preserve">Endringer </w:t>
      </w:r>
      <w:r w:rsidRPr="007676AD">
        <w:rPr>
          <w:rStyle w:val="kursiv"/>
        </w:rPr>
        <w:t xml:space="preserve">i legemiddelloven (legemidler til dyr) og samtykke til godkjenning av EØS-komiteens beslutning nr. 371/2021 om innlemmelse i EØS-avtalen av forordning (EU) 2019/6 om legemidler til </w:t>
      </w:r>
      <w:proofErr w:type="gramStart"/>
      <w:r w:rsidRPr="007676AD">
        <w:rPr>
          <w:rStyle w:val="kursiv"/>
        </w:rPr>
        <w:t xml:space="preserve">dyr </w:t>
      </w:r>
      <w:r w:rsidRPr="007676AD">
        <w:t>punkt 26</w:t>
      </w:r>
      <w:proofErr w:type="gramEnd"/>
      <w:r w:rsidRPr="007676AD">
        <w:t>.</w:t>
      </w:r>
    </w:p>
    <w:p w14:paraId="27516B40" w14:textId="77777777" w:rsidR="00F83215" w:rsidRPr="007676AD" w:rsidRDefault="00F83215" w:rsidP="007676AD">
      <w:pPr>
        <w:pStyle w:val="Overskrift2"/>
      </w:pPr>
      <w:r w:rsidRPr="007676AD">
        <w:t>Høringsforslaget</w:t>
      </w:r>
    </w:p>
    <w:p w14:paraId="798C4E83" w14:textId="77777777" w:rsidR="00F83215" w:rsidRPr="007676AD" w:rsidRDefault="00F83215" w:rsidP="007676AD">
      <w:r w:rsidRPr="007676AD">
        <w:t>I hør</w:t>
      </w:r>
      <w:r w:rsidRPr="007676AD">
        <w:t xml:space="preserve">ingen viste departementet til at overtredelsesgebyr er en administrativ reaksjon ved brudd på en plikt (handlingsnorm) som er fastsatt i lov eller i bestemmelser i </w:t>
      </w:r>
      <w:proofErr w:type="gramStart"/>
      <w:r w:rsidRPr="007676AD">
        <w:t>medhold av</w:t>
      </w:r>
      <w:proofErr w:type="gramEnd"/>
      <w:r w:rsidRPr="007676AD">
        <w:t xml:space="preserve"> lov (forskrift eller en individuell avgjørelse, typisk enkeltvedtak).</w:t>
      </w:r>
    </w:p>
    <w:p w14:paraId="16ACF6BF" w14:textId="77777777" w:rsidR="00F83215" w:rsidRPr="007676AD" w:rsidRDefault="00F83215" w:rsidP="007676AD">
      <w:r w:rsidRPr="007676AD">
        <w:t>Departement</w:t>
      </w:r>
      <w:r w:rsidRPr="007676AD">
        <w:t xml:space="preserve">et </w:t>
      </w:r>
      <w:proofErr w:type="spellStart"/>
      <w:r w:rsidRPr="007676AD">
        <w:t>fremoldt</w:t>
      </w:r>
      <w:proofErr w:type="spellEnd"/>
      <w:r w:rsidRPr="007676AD">
        <w:t xml:space="preserve"> at det er helt sentralt for gjennomføringen av forslaget i høringen at aktørene overholder pliktene som følger av vedtak og lovpålagte plikter. I motsatt fall vil lovbestemmelsene som foreslås miste sin funksjon med mulige negative konsekvenser</w:t>
      </w:r>
      <w:r w:rsidRPr="007676AD">
        <w:t xml:space="preserve"> for folkehelsen. Mangelfull overholdelse av et vedtak om rasjonering vil kunne medføre en forverret mangelsituasjon, utgjøre en fare for folkehelsen og kan få store konsekvenser pasientene. Det samme kan være tilfelle ved forbud mot parallelleksport. Det </w:t>
      </w:r>
      <w:r w:rsidRPr="007676AD">
        <w:t xml:space="preserve">er derfor viktig at sanksjonssystemet bidrar til at aktørene ser seg tjent med å overholde regelverket. Hjemmel for ileggelse av overtredelsesgebyr ville etter </w:t>
      </w:r>
      <w:proofErr w:type="spellStart"/>
      <w:r w:rsidRPr="007676AD">
        <w:t>departementes</w:t>
      </w:r>
      <w:proofErr w:type="spellEnd"/>
      <w:r w:rsidRPr="007676AD">
        <w:t xml:space="preserve"> syn gi et signal til aktørene om viktigheten av å etterleve regelverket og vil kun</w:t>
      </w:r>
      <w:r w:rsidRPr="007676AD">
        <w:t>ne virke forebyggende. Legemiddelverkets elektroniske tilgang til grossisters og apoteks lagerstatus ble fremholdt som et viktig element i legemiddelberedskapsarbeidet. Mangelfull overholdelse ville følgelig også kunne medføre fare for at en mangelsituasjo</w:t>
      </w:r>
      <w:r w:rsidRPr="007676AD">
        <w:t>n ikke håndteres tidlig nok og forverres. Innsikt i grossistenes og apotekenes lagerstatus ble omtalt som et viktig bidrag i Legemiddelverkets arbeid for å overvåke tilgangen til legemidler i landet.</w:t>
      </w:r>
    </w:p>
    <w:p w14:paraId="0482BA4F" w14:textId="77777777" w:rsidR="00F83215" w:rsidRPr="007676AD" w:rsidRDefault="00F83215" w:rsidP="007676AD">
      <w:r w:rsidRPr="007676AD">
        <w:t>Departementet fremholdt at de øvrige reaksjonsmidlene so</w:t>
      </w:r>
      <w:r w:rsidRPr="007676AD">
        <w:t>m finnes i apotekloven og legemiddelloven ikke ble ansett som egnede i tilfeller hvor rasjonering og forbud mot parallelleksport er aktuelt. Blant annet vil et pålegg om retting og tvangsmulkt ha begrenset forebyggende effekt ettersom disse reaksjonsmidlen</w:t>
      </w:r>
      <w:r w:rsidRPr="007676AD">
        <w:t>e har som formål å fremtvinge opphør av et pågående regelbrudd. Mangelfull overholdelse av et vedtak om rasjonering og forbud mot parallelleksport vil være en overtredelse som allerede er gjennomført. Videre vil tilbakekall av apotekkonsesjon eller grossis</w:t>
      </w:r>
      <w:r w:rsidRPr="007676AD">
        <w:t xml:space="preserve">ttillatelse ikke være aktuelt i et tilfelle hvor det er fare for eller foreligger en etablert mangelsituasjon, da dette normalt må forventes å forverre situasjonen ytterligere. Innføring </w:t>
      </w:r>
      <w:r w:rsidRPr="007676AD">
        <w:lastRenderedPageBreak/>
        <w:t>av overtredelsesgebyr som sanksjonsmulighet ved overtredelse av disse</w:t>
      </w:r>
      <w:r w:rsidRPr="007676AD">
        <w:t xml:space="preserve"> bestemmelsene vil </w:t>
      </w:r>
      <w:proofErr w:type="gramStart"/>
      <w:r w:rsidRPr="007676AD">
        <w:t>således</w:t>
      </w:r>
      <w:proofErr w:type="gramEnd"/>
      <w:r w:rsidRPr="007676AD">
        <w:t xml:space="preserve"> kunne bidra til å sikre etterlevelse av regelverket.</w:t>
      </w:r>
    </w:p>
    <w:p w14:paraId="26320FAA" w14:textId="77777777" w:rsidR="00F83215" w:rsidRPr="007676AD" w:rsidRDefault="00F83215" w:rsidP="007676AD">
      <w:r w:rsidRPr="007676AD">
        <w:t>I høringen viste departementet til at disse argumentene også er gyldige for mangelfull elektronisk tilgang til grossistenes og apotekenes lagerstatus. Departementet uttrykte im</w:t>
      </w:r>
      <w:r w:rsidRPr="007676AD">
        <w:t>idlertid at det er en forskjell mellom brudd på vedtak om rasjonering og forbud mot parallelleksport sammenlignet med manglende elektronisk tilgang til lagerstatus. Ved på brudd på vedtak om rasjonering og forbud mot parallelleksport, har regelbruddet funn</w:t>
      </w:r>
      <w:r w:rsidRPr="007676AD">
        <w:t xml:space="preserve">et sted og kan ikke avhjelpes. Ved manglende elektronisk tilgang til lagerstatus vil det være mulig å fortsatt få tilgang til lagerstatus, men ikke i tide. Et slikt regelbrudd kan </w:t>
      </w:r>
      <w:r w:rsidRPr="007676AD">
        <w:t>derfor avhjelpes ved tvangsmulkt. Departementet</w:t>
      </w:r>
      <w:r w:rsidRPr="007676AD">
        <w:t xml:space="preserve"> foreslo at hjemmel for tvang</w:t>
      </w:r>
      <w:r w:rsidRPr="007676AD">
        <w:t>smulkt inntas i legemiddelloven § 28 nytt femte ledd og apotekloven § 9-3.</w:t>
      </w:r>
    </w:p>
    <w:p w14:paraId="698FB19D" w14:textId="77777777" w:rsidR="00F83215" w:rsidRPr="007676AD" w:rsidRDefault="00F83215" w:rsidP="007676AD">
      <w:r w:rsidRPr="007676AD">
        <w:t>Departementet foreslo derfor å gjøre overtredelsesgebyr til en reaksjonsmulighet ved brudd på handlingsnormene, med unntak av grossistenes og apotekenes plikt til å gi Legemiddelver</w:t>
      </w:r>
      <w:r w:rsidRPr="007676AD">
        <w:t xml:space="preserve">ket elektronisk tilgang til lagerstatus, jf. </w:t>
      </w:r>
      <w:proofErr w:type="spellStart"/>
      <w:r w:rsidRPr="007676AD">
        <w:t>Prop</w:t>
      </w:r>
      <w:proofErr w:type="spellEnd"/>
      <w:r w:rsidRPr="007676AD">
        <w:t>. 62 L (2018–2019) om bakgrunnen for innføring av overtredelsesgebyr som sanksjon. Når det gjelder saksbehandlingsregler, hvem gebyret skal tilfalle, bestemmelser om betaling og innkreving, foreldelse og utm</w:t>
      </w:r>
      <w:r w:rsidRPr="007676AD">
        <w:t xml:space="preserve">åling viste departementet til vurderingene som </w:t>
      </w:r>
      <w:proofErr w:type="gramStart"/>
      <w:r w:rsidRPr="007676AD">
        <w:t>fremgår</w:t>
      </w:r>
      <w:proofErr w:type="gramEnd"/>
      <w:r w:rsidRPr="007676AD">
        <w:t xml:space="preserve"> av </w:t>
      </w:r>
      <w:proofErr w:type="spellStart"/>
      <w:r w:rsidRPr="007676AD">
        <w:t>Prop</w:t>
      </w:r>
      <w:proofErr w:type="spellEnd"/>
      <w:r w:rsidRPr="007676AD">
        <w:t xml:space="preserve">. 60 L (2017–2018) </w:t>
      </w:r>
      <w:r w:rsidRPr="007676AD">
        <w:rPr>
          <w:rStyle w:val="kursiv"/>
        </w:rPr>
        <w:t>Endringer i alkoholloven, atomenergiloven, folkehelseloven, legemiddelloven, lov om medisinsk utstyr, strålevernloven og tobakksskadeloven mv. (overtredelsesgebyr mv.)</w:t>
      </w:r>
      <w:r w:rsidRPr="007676AD">
        <w:t xml:space="preserve"> og </w:t>
      </w:r>
      <w:proofErr w:type="spellStart"/>
      <w:r w:rsidRPr="007676AD">
        <w:t>Prop</w:t>
      </w:r>
      <w:proofErr w:type="spellEnd"/>
      <w:r w:rsidRPr="007676AD">
        <w:t>. 62 L (2018–2019) som også ble lagt til grunn for høringen.</w:t>
      </w:r>
    </w:p>
    <w:p w14:paraId="489DD177" w14:textId="77777777" w:rsidR="00F83215" w:rsidRPr="007676AD" w:rsidRDefault="00F83215" w:rsidP="007676AD">
      <w:r w:rsidRPr="007676AD">
        <w:t xml:space="preserve">Det </w:t>
      </w:r>
      <w:proofErr w:type="gramStart"/>
      <w:r w:rsidRPr="007676AD">
        <w:t>fremgår</w:t>
      </w:r>
      <w:proofErr w:type="gramEnd"/>
      <w:r w:rsidRPr="007676AD">
        <w:t xml:space="preserve"> av </w:t>
      </w:r>
      <w:proofErr w:type="spellStart"/>
      <w:r w:rsidRPr="007676AD">
        <w:t>Prop</w:t>
      </w:r>
      <w:proofErr w:type="spellEnd"/>
      <w:r w:rsidRPr="007676AD">
        <w:t>. 60 L (2017–2018) punkt 4.5.4 at ansvaret for foretak i utgangspunktet er objektivt, under henvisning til forvaltningslovens § 46, med en avgrensning av ansvaret for forhold u</w:t>
      </w:r>
      <w:r w:rsidRPr="007676AD">
        <w:t>tenfor foretakets kontroll, slik som hendelige uhell og force majeure. Departementet kunne ikke se at det var grunnlag for å velge et annet skyldkrav for foretak som overtrer de særlovene som vurderes i proposisjonen.</w:t>
      </w:r>
    </w:p>
    <w:p w14:paraId="69799E9D" w14:textId="77777777" w:rsidR="00F83215" w:rsidRPr="007676AD" w:rsidRDefault="00F83215" w:rsidP="007676AD">
      <w:r w:rsidRPr="007676AD">
        <w:t>Departementet fremholdt at dette stand</w:t>
      </w:r>
      <w:r w:rsidRPr="007676AD">
        <w:t xml:space="preserve">punktet kan videreføres for brudd på handlingsnormene som ble foreslått i høringsnotatet. Det ble derfor foreslått et objektivt skyldkrav slik at foretaket som er ansvarlig blir ansvarlig selv om ingen fysisk person kan lastes. Departementet viste til den </w:t>
      </w:r>
      <w:r w:rsidRPr="007676AD">
        <w:t xml:space="preserve">vedtatte bestemmelsen i legemiddelloven § 28 a og apotekloven § 9-6, jf. </w:t>
      </w:r>
      <w:proofErr w:type="spellStart"/>
      <w:r w:rsidRPr="007676AD">
        <w:t>Prop</w:t>
      </w:r>
      <w:proofErr w:type="spellEnd"/>
      <w:r w:rsidRPr="007676AD">
        <w:t xml:space="preserve">. 60 L (2017–2018) og </w:t>
      </w:r>
      <w:proofErr w:type="spellStart"/>
      <w:r w:rsidRPr="007676AD">
        <w:t>Prop</w:t>
      </w:r>
      <w:proofErr w:type="spellEnd"/>
      <w:r w:rsidRPr="007676AD">
        <w:t>. 62 L (2018–2019).</w:t>
      </w:r>
    </w:p>
    <w:p w14:paraId="79C6EBD0" w14:textId="77777777" w:rsidR="00F83215" w:rsidRPr="007676AD" w:rsidRDefault="00F83215" w:rsidP="007676AD">
      <w:r w:rsidRPr="007676AD">
        <w:t>Departementet ga også uttrykk for at det er naturlig at Legemiddelverket, som fatter vedtak om rasjonering og forbud mot parallelleks</w:t>
      </w:r>
      <w:r w:rsidRPr="007676AD">
        <w:t>port, kan ilegge overtredelsesgebyr for brudd på disse handlingsnormene.</w:t>
      </w:r>
    </w:p>
    <w:p w14:paraId="5F51714A" w14:textId="77777777" w:rsidR="00F83215" w:rsidRPr="007676AD" w:rsidRDefault="00F83215" w:rsidP="007676AD">
      <w:pPr>
        <w:pStyle w:val="Overskrift2"/>
      </w:pPr>
      <w:r w:rsidRPr="007676AD">
        <w:t>Høringsinstansenes syn</w:t>
      </w:r>
    </w:p>
    <w:p w14:paraId="5273FEEB" w14:textId="77777777" w:rsidR="00F83215" w:rsidRPr="007676AD" w:rsidRDefault="00F83215" w:rsidP="007676AD">
      <w:pPr>
        <w:rPr>
          <w:rStyle w:val="kursiv"/>
        </w:rPr>
      </w:pPr>
      <w:r w:rsidRPr="007676AD">
        <w:rPr>
          <w:rStyle w:val="kursiv"/>
        </w:rPr>
        <w:t xml:space="preserve">Apotekforeningen, Helse Sør-Øst RHF, Konkurransetilsynet, Legemiddelkomiteen ved Sykehuset i Vestfold, </w:t>
      </w:r>
      <w:proofErr w:type="spellStart"/>
      <w:r w:rsidRPr="007676AD">
        <w:rPr>
          <w:rStyle w:val="kursiv"/>
        </w:rPr>
        <w:t>Farmaceutene</w:t>
      </w:r>
      <w:proofErr w:type="spellEnd"/>
      <w:r w:rsidRPr="007676AD">
        <w:rPr>
          <w:rStyle w:val="kursiv"/>
        </w:rPr>
        <w:t>, Farmasiforbundet, Norges Farmasøyti</w:t>
      </w:r>
      <w:r w:rsidRPr="007676AD">
        <w:rPr>
          <w:rStyle w:val="kursiv"/>
        </w:rPr>
        <w:t xml:space="preserve">ske Forening, Diakonhjemmet sykehus </w:t>
      </w:r>
      <w:r w:rsidRPr="007676AD">
        <w:t>og</w:t>
      </w:r>
      <w:r w:rsidRPr="007676AD">
        <w:rPr>
          <w:rStyle w:val="kursiv"/>
        </w:rPr>
        <w:t xml:space="preserve"> Diakonhjemmet Sykehusapotek </w:t>
      </w:r>
      <w:r w:rsidRPr="007676AD">
        <w:t>har kommentert forslaget om tvangsmulkt og overtredelsesgebyr.</w:t>
      </w:r>
    </w:p>
    <w:p w14:paraId="470771CF" w14:textId="77777777" w:rsidR="00F83215" w:rsidRPr="007676AD" w:rsidRDefault="00F83215" w:rsidP="007676AD">
      <w:pPr>
        <w:rPr>
          <w:rStyle w:val="kursiv"/>
        </w:rPr>
      </w:pPr>
      <w:r w:rsidRPr="007676AD">
        <w:rPr>
          <w:rStyle w:val="kursiv"/>
        </w:rPr>
        <w:t>Helse Sør-Øst RHF</w:t>
      </w:r>
      <w:r w:rsidRPr="007676AD">
        <w:t xml:space="preserve"> deler departementets vurdering av at det må finnes mulighet for sanksjoner som bidrar til at aktørene ser se</w:t>
      </w:r>
      <w:r w:rsidRPr="007676AD">
        <w:t xml:space="preserve">g tjent med å overholde regelverket. </w:t>
      </w:r>
      <w:r w:rsidRPr="007676AD">
        <w:rPr>
          <w:rStyle w:val="kursiv"/>
        </w:rPr>
        <w:t>Legemiddelkomiteen ved Sykehuset i Vestfold</w:t>
      </w:r>
      <w:r w:rsidRPr="007676AD">
        <w:t xml:space="preserve"> støtter forslaget til endringer i legemiddelloven og apotekloven. </w:t>
      </w:r>
      <w:r w:rsidRPr="007676AD">
        <w:rPr>
          <w:rStyle w:val="kursiv"/>
        </w:rPr>
        <w:t>Diakonhjemmet sykehus</w:t>
      </w:r>
      <w:r w:rsidRPr="007676AD">
        <w:t xml:space="preserve"> og </w:t>
      </w:r>
      <w:r w:rsidRPr="007676AD">
        <w:rPr>
          <w:rStyle w:val="kursiv"/>
        </w:rPr>
        <w:t>Diakonhjemmet Sykehusapotek</w:t>
      </w:r>
      <w:r w:rsidRPr="007676AD">
        <w:t xml:space="preserve"> har forståelse for at reaksjonsmuligheter fra myndighet</w:t>
      </w:r>
      <w:r w:rsidRPr="007676AD">
        <w:lastRenderedPageBreak/>
        <w:t>e</w:t>
      </w:r>
      <w:r w:rsidRPr="007676AD">
        <w:t>ne i form av tvangsmulkt eller overtredelsesgebyr innføres ved mislighold av vedtatte forskriftsendringer, men er usikre på hvordan dette kan følges opp av myndighetene.</w:t>
      </w:r>
    </w:p>
    <w:p w14:paraId="03A5F662" w14:textId="77777777" w:rsidR="00F83215" w:rsidRPr="007676AD" w:rsidRDefault="00F83215" w:rsidP="007676AD">
      <w:pPr>
        <w:rPr>
          <w:rStyle w:val="kursiv"/>
        </w:rPr>
      </w:pPr>
      <w:proofErr w:type="spellStart"/>
      <w:r w:rsidRPr="007676AD">
        <w:rPr>
          <w:rStyle w:val="kursiv"/>
        </w:rPr>
        <w:t>Farmaceutene</w:t>
      </w:r>
      <w:proofErr w:type="spellEnd"/>
      <w:r w:rsidRPr="007676AD">
        <w:rPr>
          <w:rStyle w:val="kursiv"/>
        </w:rPr>
        <w:t>, Farmasiforbundet</w:t>
      </w:r>
      <w:r w:rsidRPr="007676AD">
        <w:t xml:space="preserve"> og </w:t>
      </w:r>
      <w:r w:rsidRPr="007676AD">
        <w:rPr>
          <w:rStyle w:val="kursiv"/>
        </w:rPr>
        <w:t>Norges Farmasøytiske Forening</w:t>
      </w:r>
      <w:r w:rsidRPr="007676AD">
        <w:t xml:space="preserve"> støtter ikke forslaget</w:t>
      </w:r>
      <w:r w:rsidRPr="007676AD">
        <w:t xml:space="preserve">. </w:t>
      </w:r>
      <w:proofErr w:type="spellStart"/>
      <w:r w:rsidRPr="007676AD">
        <w:rPr>
          <w:rStyle w:val="kursiv"/>
        </w:rPr>
        <w:t>Farmaceutene</w:t>
      </w:r>
      <w:proofErr w:type="spellEnd"/>
      <w:r w:rsidRPr="007676AD">
        <w:t xml:space="preserve"> finner det ikke naturlig at legemiddelgrossister og apotek skal måtte betale overtredelsesgebyr når andre aktører i legemiddelleveransekjeden ikke gjør dette. </w:t>
      </w:r>
      <w:proofErr w:type="spellStart"/>
      <w:r w:rsidRPr="007676AD">
        <w:rPr>
          <w:rStyle w:val="kursiv"/>
        </w:rPr>
        <w:t>Farmaceutene</w:t>
      </w:r>
      <w:proofErr w:type="spellEnd"/>
      <w:r w:rsidRPr="007676AD">
        <w:rPr>
          <w:rStyle w:val="kursiv"/>
        </w:rPr>
        <w:t xml:space="preserve"> </w:t>
      </w:r>
      <w:r w:rsidRPr="007676AD">
        <w:t>uttaler videre at:</w:t>
      </w:r>
    </w:p>
    <w:p w14:paraId="10E9BB76" w14:textId="77777777" w:rsidR="00F83215" w:rsidRPr="007676AD" w:rsidRDefault="00F83215" w:rsidP="007676AD">
      <w:pPr>
        <w:pStyle w:val="blokksit"/>
      </w:pPr>
      <w:r w:rsidRPr="007676AD">
        <w:t>Videre finner vi det merkelig at Legemiddelverket i retrospekt skal kunne overprøve faglige beslutninger gjort av apotekfarmasøyter i resept-rasjoneringssituasjoner, slik lovverket da vil åpne opp for.</w:t>
      </w:r>
    </w:p>
    <w:p w14:paraId="71C957A2" w14:textId="77777777" w:rsidR="00F83215" w:rsidRPr="007676AD" w:rsidRDefault="00F83215" w:rsidP="007676AD">
      <w:pPr>
        <w:pStyle w:val="blokksit"/>
      </w:pPr>
      <w:r w:rsidRPr="007676AD">
        <w:t>Dersom det likevel skulle innføres slike overtredelses</w:t>
      </w:r>
      <w:r w:rsidRPr="007676AD">
        <w:t>gebyrer er det spesielt viktig at det er mangelsentrene for primærhelsetjenesten og spesialisthelsetjenesten som avgjør hvilke legemidler det er en fare for eller er et etablert midlertidig eller permanent avbrudd i legemiddelforsyningen for. Alternativt a</w:t>
      </w:r>
      <w:r w:rsidRPr="007676AD">
        <w:t>t dette gjøres av en gruppering bestående av et fast utvalg av aktører i legemiddelforsyningskjeden – i tillegg til Legemiddelverket. I tillegg bør også restriksjoner for salg i apotek være unntatt på lik linje med elektronisk lagerstatustilgang.</w:t>
      </w:r>
    </w:p>
    <w:p w14:paraId="5433E3C7" w14:textId="77777777" w:rsidR="00F83215" w:rsidRPr="007676AD" w:rsidRDefault="00F83215" w:rsidP="007676AD">
      <w:pPr>
        <w:rPr>
          <w:rStyle w:val="kursiv"/>
        </w:rPr>
      </w:pPr>
      <w:proofErr w:type="spellStart"/>
      <w:r w:rsidRPr="007676AD">
        <w:rPr>
          <w:rStyle w:val="kursiv"/>
        </w:rPr>
        <w:t>Farmaceut</w:t>
      </w:r>
      <w:r w:rsidRPr="007676AD">
        <w:rPr>
          <w:rStyle w:val="kursiv"/>
        </w:rPr>
        <w:t>ene</w:t>
      </w:r>
      <w:proofErr w:type="spellEnd"/>
      <w:r w:rsidRPr="007676AD">
        <w:t xml:space="preserve"> uttaler at dersom overtredelsesgebyr fastsettes ber de om at restriksjoner for salg i apotek unntas. </w:t>
      </w:r>
      <w:r w:rsidRPr="007676AD">
        <w:rPr>
          <w:rStyle w:val="kursiv"/>
        </w:rPr>
        <w:t>Farmasiforbundet</w:t>
      </w:r>
      <w:r w:rsidRPr="007676AD">
        <w:t xml:space="preserve"> oppfatter pålegg om overtredelsesgebyr som et tegn på lite tillitt til at bransjen håndterer legemiddelmangelutfordringene og uttaler </w:t>
      </w:r>
      <w:r w:rsidRPr="007676AD">
        <w:t>følgende:</w:t>
      </w:r>
    </w:p>
    <w:p w14:paraId="65B621EE" w14:textId="77777777" w:rsidR="00F83215" w:rsidRPr="007676AD" w:rsidRDefault="00F83215" w:rsidP="007676AD">
      <w:pPr>
        <w:pStyle w:val="blokksit"/>
      </w:pPr>
      <w:r w:rsidRPr="007676AD">
        <w:t>Apotekbransjen trenger ikke tvangsmulkt for å håndtere legemiddelmangel utfordringene, men gode verktøy.</w:t>
      </w:r>
    </w:p>
    <w:p w14:paraId="1740A318" w14:textId="77777777" w:rsidR="00F83215" w:rsidRPr="007676AD" w:rsidRDefault="00F83215" w:rsidP="007676AD">
      <w:r w:rsidRPr="007676AD">
        <w:rPr>
          <w:rStyle w:val="kursiv"/>
        </w:rPr>
        <w:t>Apotekforeningen</w:t>
      </w:r>
      <w:r w:rsidRPr="007676AD">
        <w:t xml:space="preserve"> mener det er inkonsekvent at departementet nå foreslår</w:t>
      </w:r>
      <w:r w:rsidRPr="007676AD">
        <w:t xml:space="preserve"> hjemmel for overtredelsesgebyr og tvangsmulkt for apotek og grossist ved brudd på forslag til bestemmelser om rasjonering, eksportforbud og tilgang til </w:t>
      </w:r>
      <w:proofErr w:type="spellStart"/>
      <w:r w:rsidRPr="007676AD">
        <w:t>lagerdata</w:t>
      </w:r>
      <w:proofErr w:type="spellEnd"/>
      <w:r w:rsidRPr="007676AD">
        <w:t>, samtidig som det samme departement lar legemiddelindustrien fortsette med manglende etterlev</w:t>
      </w:r>
      <w:r w:rsidRPr="007676AD">
        <w:t>else av rapporteringsplikten.</w:t>
      </w:r>
    </w:p>
    <w:p w14:paraId="25BD9E52" w14:textId="77777777" w:rsidR="00F83215" w:rsidRPr="007676AD" w:rsidRDefault="00F83215" w:rsidP="007676AD">
      <w:pPr>
        <w:pStyle w:val="Overskrift2"/>
      </w:pPr>
      <w:r w:rsidRPr="007676AD">
        <w:t>Departementets vurdering</w:t>
      </w:r>
    </w:p>
    <w:p w14:paraId="766F7804" w14:textId="77777777" w:rsidR="00F83215" w:rsidRPr="007676AD" w:rsidRDefault="00F83215" w:rsidP="007676AD">
      <w:r w:rsidRPr="007676AD">
        <w:t>Som fremholdt i høringen mener departementet at det er helt sentralt for gjennomføringen av høringsforslaget at aktørene overholder pliktene som følger av vedtak og lovpålagte plikter. I motsat</w:t>
      </w:r>
      <w:r w:rsidRPr="007676AD">
        <w:t>t fall vil lovbestemmelsene som foreslås miste sin funksjon med mulige negative konsekvenser for folkehelsen. Mangelfull overholdelse av et vedtak om rasjonering vil kunne medføre en forverret mangelsituasjon, utgjøre en fare for folkehelsen og kan få stor</w:t>
      </w:r>
      <w:r w:rsidRPr="007676AD">
        <w:t xml:space="preserve">e konsekvenser pasientene. Det samme kan være tilfelle ved forbud om parallelleksport. Det er derfor viktig at sanksjonssystemet bidrar til at aktørene ser seg tjent med å overholde regelverket. Hjemmel for ileggelse av overtredelsesgebyr vil gi et signal </w:t>
      </w:r>
      <w:r w:rsidRPr="007676AD">
        <w:t>til aktørene om viktigheten av å etterleve regelverket, og vil kunne virke forebyggende. Direktoratet for medisinske produkters elektroniske tilgang til grossisters og apoteks lagerstatus anses som et viktig element i legemiddelberedskapsarbeidet. Mangelfu</w:t>
      </w:r>
      <w:r w:rsidRPr="007676AD">
        <w:t>ll overholdelse vil følgelig også kunne medføre fare for at en mangelsituasjon ikke håndteres tidlig nok og forverres. Innsikt i grossistenes og apotekenes lagerstatus er et viktig bidrag i Direktoratet for medisinske produkters arbeid for å overvåke tilga</w:t>
      </w:r>
      <w:r w:rsidRPr="007676AD">
        <w:t>ngen til legemidler i Norge.</w:t>
      </w:r>
    </w:p>
    <w:p w14:paraId="2D5C358E" w14:textId="77777777" w:rsidR="00F83215" w:rsidRPr="007676AD" w:rsidRDefault="00F83215" w:rsidP="007676AD">
      <w:r w:rsidRPr="007676AD">
        <w:t xml:space="preserve">Som det </w:t>
      </w:r>
      <w:proofErr w:type="gramStart"/>
      <w:r w:rsidRPr="007676AD">
        <w:t>fremkommer</w:t>
      </w:r>
      <w:proofErr w:type="gramEnd"/>
      <w:r w:rsidRPr="007676AD">
        <w:t xml:space="preserve"> av gjennomgangen over, er det en rekke aktører i omsetningskjeden for legemidler som kan ilegges overtredelsesgebyr og tvangsmulkt. Departementet kan derfor ikke </w:t>
      </w:r>
      <w:r w:rsidRPr="007676AD">
        <w:lastRenderedPageBreak/>
        <w:t>se at apotek på denne måten behandles annerled</w:t>
      </w:r>
      <w:r w:rsidRPr="007676AD">
        <w:t>es enn andre aktører. Tvangsmulkt og overtredelsesgebyr skal benyttes ved brudd på plikten om å gi tilgang til opplysninger om lagerstatus og brudd på restriksjoner på salg, utlevering og parallelleksport av legemidler.</w:t>
      </w:r>
    </w:p>
    <w:p w14:paraId="457F450E" w14:textId="77777777" w:rsidR="00F83215" w:rsidRPr="007676AD" w:rsidRDefault="00F83215" w:rsidP="007676AD">
      <w:r w:rsidRPr="007676AD">
        <w:t>Departementet påpeker at det er Dire</w:t>
      </w:r>
      <w:r w:rsidRPr="007676AD">
        <w:t>ktoratet for medisinske produkter som er fagmyndighet for legemidler i Norge. Etaten er tillagt et overordnet ansvar for forsyningssikkerhet og beredskap av legemidler. I dette arbeidet vil det være naturlig at Direktoratet for medisinske produkter innhent</w:t>
      </w:r>
      <w:r w:rsidRPr="007676AD">
        <w:t>er nødvendig innspill fra relevante aktører i vurderingen av om rasjonering skal innføres. Departementet viser i så måte til Meld. St. 5 (2023–2024) side 16 og omtalen av utvalg for forsyningssikkerhet for medisinske produkter.</w:t>
      </w:r>
    </w:p>
    <w:p w14:paraId="3E88F3F7" w14:textId="77777777" w:rsidR="00F83215" w:rsidRPr="007676AD" w:rsidRDefault="00F83215" w:rsidP="007676AD">
      <w:r w:rsidRPr="007676AD">
        <w:t>Når deg gjelder Farmasiforbu</w:t>
      </w:r>
      <w:r w:rsidRPr="007676AD">
        <w:t>ndets uttalelse, har departementet stor tillitt til at aktørene vil følge opp de tiltak som iverksettes. Bestemmelser om overtredelsesgebyr og tvangsmulkt skal imidlertid kun brukes der hvor dette ikke gjøres.</w:t>
      </w:r>
    </w:p>
    <w:p w14:paraId="27042851" w14:textId="77777777" w:rsidR="00F83215" w:rsidRPr="007676AD" w:rsidRDefault="00F83215" w:rsidP="007676AD">
      <w:r w:rsidRPr="007676AD">
        <w:t xml:space="preserve">Apotekforeningen uttaler i høringen at det er </w:t>
      </w:r>
      <w:r w:rsidRPr="007676AD">
        <w:t xml:space="preserve">inkonsekvent at departementet nå foreslår hjemmel for overtredelsesgebyr og tvangsmulkt for apotek og grossist ved brudd på forslag til bestemmelser om rasjonering, eksportforbud og tilgang til </w:t>
      </w:r>
      <w:proofErr w:type="spellStart"/>
      <w:r w:rsidRPr="007676AD">
        <w:t>lagerdata</w:t>
      </w:r>
      <w:proofErr w:type="spellEnd"/>
      <w:r w:rsidRPr="007676AD">
        <w:t>, samtidig som det samme departement lar legemiddelin</w:t>
      </w:r>
      <w:r w:rsidRPr="007676AD">
        <w:t>dustrien fortsette med manglende etterlevelse av rapporteringsplikten.</w:t>
      </w:r>
    </w:p>
    <w:p w14:paraId="658B803E" w14:textId="77777777" w:rsidR="00F83215" w:rsidRPr="007676AD" w:rsidRDefault="00F83215" w:rsidP="007676AD">
      <w:r w:rsidRPr="007676AD">
        <w:t>Departementet viser til at det er en vesentlig forskjell på det å skulle innrette seg etter et rasjoneringsvedtak sammenlignet med det å overholde en meldeplikt. I tillegg viser departe</w:t>
      </w:r>
      <w:r w:rsidRPr="007676AD">
        <w:t>mentet til at meldeplikten til innehavere av markedsføringstillatelse i Norge i all hovedsak er knyttet til forhold de ikke har kontroll over. Som tabell 6.1. viser, er meldeplikten etter legemiddelforskriften § 8-6 krevende for både myndigheter og innehav</w:t>
      </w:r>
      <w:r w:rsidRPr="007676AD">
        <w:t>ere av markedsføringstillatelser. Dette er en utfordring Norge deler med så å si alle europeiske land. Dette er også noe av årsaken til at meldeplikten foreslås endret i Kommisjonens forslag til revidert legemiddelregelverk. Dette er også bakgrunnen for at</w:t>
      </w:r>
      <w:r w:rsidRPr="007676AD">
        <w:t xml:space="preserve"> det ikke er knyttet overtredelsesgebyr til denne bestemmelsen. </w:t>
      </w:r>
    </w:p>
    <w:p w14:paraId="33C3BC0A" w14:textId="77777777" w:rsidR="00F83215" w:rsidRPr="007676AD" w:rsidRDefault="00F83215" w:rsidP="007676AD">
      <w:r w:rsidRPr="007676AD">
        <w:t xml:space="preserve">Det </w:t>
      </w:r>
      <w:proofErr w:type="gramStart"/>
      <w:r w:rsidRPr="007676AD">
        <w:t>fremgår</w:t>
      </w:r>
      <w:proofErr w:type="gramEnd"/>
      <w:r w:rsidRPr="007676AD">
        <w:t xml:space="preserve"> av </w:t>
      </w:r>
      <w:proofErr w:type="spellStart"/>
      <w:r w:rsidRPr="007676AD">
        <w:t>Prop</w:t>
      </w:r>
      <w:proofErr w:type="spellEnd"/>
      <w:r w:rsidRPr="007676AD">
        <w:t>. 60 L (2017–2018) punkt 4.5.4 at ansvaret for foretak i utgangspunktet er objektivt, under henvisning til forvaltningslovens § 46, med en avgrensning av ansvaret for forho</w:t>
      </w:r>
      <w:r w:rsidRPr="007676AD">
        <w:t>ld utenfor foretakets kontroll, slik som hendelige uhell og force majeure. I høringen viste departementet til at det ikke var grunnlag for å velge et annet skyldkrav for foretak som overtrer de særlovene som vurderes i proposisjonen.</w:t>
      </w:r>
    </w:p>
    <w:p w14:paraId="7711AC96" w14:textId="77777777" w:rsidR="00F83215" w:rsidRPr="007676AD" w:rsidRDefault="00F83215" w:rsidP="007676AD">
      <w:r w:rsidRPr="007676AD">
        <w:t>Det følger av legemidd</w:t>
      </w:r>
      <w:r w:rsidRPr="007676AD">
        <w:t>elloven § 28 fjerde ledd at</w:t>
      </w:r>
    </w:p>
    <w:p w14:paraId="7C16F857" w14:textId="77777777" w:rsidR="00F83215" w:rsidRPr="007676AD" w:rsidRDefault="00F83215" w:rsidP="007676AD">
      <w:pPr>
        <w:pStyle w:val="blokksit"/>
      </w:pPr>
      <w:r w:rsidRPr="007676AD">
        <w:t xml:space="preserve">Fysiske personer kan bare ilegges overtredelsesgebyr for forsettlige eller uaktsomme overtredelser. Foretak kan ilegges overtredelsesgebyr når overtredelsen er begått av noen som har handlet på vegne av foretaket, selv om ingen </w:t>
      </w:r>
      <w:r w:rsidRPr="007676AD">
        <w:t>enkeltperson har utvist skyld.</w:t>
      </w:r>
    </w:p>
    <w:p w14:paraId="18421992" w14:textId="77777777" w:rsidR="00F83215" w:rsidRPr="007676AD" w:rsidRDefault="00F83215" w:rsidP="007676AD">
      <w:r w:rsidRPr="007676AD">
        <w:t>Fra 1. juli 2022 ble skyldkravet for foretak i forvaltningsloven § 46 første ledd endret. Endringen innebærer at hovedregelen om skyldkrav nå skal være uaktsomhet. Lovendringen ble foreslått på bakgrunn av Knut Høiviks enkelt</w:t>
      </w:r>
      <w:r w:rsidRPr="007676AD">
        <w:t>personsutredning «Foretaksstraff og korrupsjon», praksis fra EMD og Høyesteretts dom av 15. april 2021 (HR-2021-797-A). Helse- og omsorgsdepartementet sendte 9. februar 2023 på høring et forslag blant annet endringer i skyldkravet for foretak i legemiddell</w:t>
      </w:r>
      <w:r w:rsidRPr="007676AD">
        <w:t>oven slik at det stilles krav om at forsettlig eller uaktsom overtredelse. Departementet foreslo dermed at det objektive ansvaret for foretak bortfaller. Depar</w:t>
      </w:r>
      <w:r w:rsidRPr="007676AD">
        <w:lastRenderedPageBreak/>
        <w:t xml:space="preserve">tementet fulgte opp forslaget i </w:t>
      </w:r>
      <w:proofErr w:type="spellStart"/>
      <w:r w:rsidRPr="007676AD">
        <w:t>Prop</w:t>
      </w:r>
      <w:proofErr w:type="spellEnd"/>
      <w:r w:rsidRPr="007676AD">
        <w:t xml:space="preserve">. 60 L (2023-2024) </w:t>
      </w:r>
      <w:proofErr w:type="spellStart"/>
      <w:r w:rsidRPr="007676AD">
        <w:rPr>
          <w:rStyle w:val="kursiv"/>
        </w:rPr>
        <w:t>Endringar</w:t>
      </w:r>
      <w:proofErr w:type="spellEnd"/>
      <w:r w:rsidRPr="007676AD">
        <w:rPr>
          <w:rStyle w:val="kursiv"/>
        </w:rPr>
        <w:t xml:space="preserve"> i lov om tannhelsetjenesten mv. </w:t>
      </w:r>
      <w:r w:rsidRPr="007676AD">
        <w:rPr>
          <w:rStyle w:val="kursiv"/>
        </w:rPr>
        <w:t xml:space="preserve">(rett til </w:t>
      </w:r>
      <w:proofErr w:type="spellStart"/>
      <w:r w:rsidRPr="007676AD">
        <w:rPr>
          <w:rStyle w:val="kursiv"/>
        </w:rPr>
        <w:t>tannhelsetenester</w:t>
      </w:r>
      <w:proofErr w:type="spellEnd"/>
      <w:r w:rsidRPr="007676AD">
        <w:rPr>
          <w:rStyle w:val="kursiv"/>
        </w:rPr>
        <w:t xml:space="preserve"> for unge </w:t>
      </w:r>
      <w:proofErr w:type="spellStart"/>
      <w:r w:rsidRPr="007676AD">
        <w:rPr>
          <w:rStyle w:val="kursiv"/>
        </w:rPr>
        <w:t>vaksne</w:t>
      </w:r>
      <w:proofErr w:type="spellEnd"/>
      <w:r w:rsidRPr="007676AD">
        <w:rPr>
          <w:rStyle w:val="kursiv"/>
        </w:rPr>
        <w:t xml:space="preserve">, </w:t>
      </w:r>
      <w:proofErr w:type="spellStart"/>
      <w:r w:rsidRPr="007676AD">
        <w:rPr>
          <w:rStyle w:val="kursiv"/>
        </w:rPr>
        <w:t>personar</w:t>
      </w:r>
      <w:proofErr w:type="spellEnd"/>
      <w:r w:rsidRPr="007676AD">
        <w:rPr>
          <w:rStyle w:val="kursiv"/>
        </w:rPr>
        <w:t xml:space="preserve"> med </w:t>
      </w:r>
      <w:proofErr w:type="spellStart"/>
      <w:r w:rsidRPr="007676AD">
        <w:rPr>
          <w:rStyle w:val="kursiv"/>
        </w:rPr>
        <w:t>rusmiddelavhengigheit</w:t>
      </w:r>
      <w:proofErr w:type="spellEnd"/>
      <w:r w:rsidRPr="007676AD">
        <w:rPr>
          <w:rStyle w:val="kursiv"/>
        </w:rPr>
        <w:t xml:space="preserve"> mv.)</w:t>
      </w:r>
      <w:r w:rsidRPr="007676AD">
        <w:t xml:space="preserve">. I merknadene til endringen </w:t>
      </w:r>
      <w:proofErr w:type="gramStart"/>
      <w:r w:rsidRPr="007676AD">
        <w:t>fremkommer</w:t>
      </w:r>
      <w:proofErr w:type="gramEnd"/>
      <w:r w:rsidRPr="007676AD">
        <w:t xml:space="preserve">: </w:t>
      </w:r>
    </w:p>
    <w:p w14:paraId="3ADBA22C" w14:textId="77777777" w:rsidR="00F83215" w:rsidRPr="007676AD" w:rsidRDefault="00F83215" w:rsidP="007676AD">
      <w:pPr>
        <w:pStyle w:val="blokksit"/>
      </w:pPr>
      <w:r w:rsidRPr="007676AD">
        <w:t xml:space="preserve">Andre ledd første punktum presiserer at </w:t>
      </w:r>
      <w:proofErr w:type="spellStart"/>
      <w:r w:rsidRPr="007676AD">
        <w:t>skuldkravet</w:t>
      </w:r>
      <w:proofErr w:type="spellEnd"/>
      <w:r w:rsidRPr="007676AD">
        <w:t xml:space="preserve"> er forsett eller </w:t>
      </w:r>
      <w:proofErr w:type="spellStart"/>
      <w:r w:rsidRPr="007676AD">
        <w:t>aktløyse</w:t>
      </w:r>
      <w:proofErr w:type="spellEnd"/>
      <w:r w:rsidRPr="007676AD">
        <w:t xml:space="preserve">. Regelen </w:t>
      </w:r>
      <w:proofErr w:type="spellStart"/>
      <w:r w:rsidRPr="007676AD">
        <w:t>skil</w:t>
      </w:r>
      <w:proofErr w:type="spellEnd"/>
      <w:r w:rsidRPr="007676AD">
        <w:t xml:space="preserve"> </w:t>
      </w:r>
      <w:proofErr w:type="spellStart"/>
      <w:r w:rsidRPr="007676AD">
        <w:t>ikkje</w:t>
      </w:r>
      <w:proofErr w:type="spellEnd"/>
      <w:r w:rsidRPr="007676AD">
        <w:t xml:space="preserve"> mellom fysiske </w:t>
      </w:r>
      <w:proofErr w:type="spellStart"/>
      <w:r w:rsidRPr="007676AD">
        <w:t>personar</w:t>
      </w:r>
      <w:proofErr w:type="spellEnd"/>
      <w:r w:rsidRPr="007676AD">
        <w:t xml:space="preserve"> og </w:t>
      </w:r>
      <w:proofErr w:type="spellStart"/>
      <w:r w:rsidRPr="007676AD">
        <w:t>føret</w:t>
      </w:r>
      <w:r w:rsidRPr="007676AD">
        <w:t>ak</w:t>
      </w:r>
      <w:proofErr w:type="spellEnd"/>
      <w:r w:rsidRPr="007676AD">
        <w:t xml:space="preserve">. </w:t>
      </w:r>
      <w:proofErr w:type="spellStart"/>
      <w:r w:rsidRPr="007676AD">
        <w:t>Skuldkravet</w:t>
      </w:r>
      <w:proofErr w:type="spellEnd"/>
      <w:r w:rsidRPr="007676AD">
        <w:t xml:space="preserve"> blir </w:t>
      </w:r>
      <w:proofErr w:type="spellStart"/>
      <w:r w:rsidRPr="007676AD">
        <w:t>no</w:t>
      </w:r>
      <w:proofErr w:type="spellEnd"/>
      <w:r w:rsidRPr="007676AD">
        <w:t xml:space="preserve"> likt for fysiske </w:t>
      </w:r>
      <w:proofErr w:type="spellStart"/>
      <w:r w:rsidRPr="007676AD">
        <w:t>personar</w:t>
      </w:r>
      <w:proofErr w:type="spellEnd"/>
      <w:r w:rsidRPr="007676AD">
        <w:t xml:space="preserve"> og </w:t>
      </w:r>
      <w:proofErr w:type="spellStart"/>
      <w:r w:rsidRPr="007676AD">
        <w:t>føretak</w:t>
      </w:r>
      <w:proofErr w:type="spellEnd"/>
      <w:r w:rsidRPr="007676AD">
        <w:t>.</w:t>
      </w:r>
    </w:p>
    <w:p w14:paraId="16E94B4D" w14:textId="77777777" w:rsidR="00F83215" w:rsidRPr="007676AD" w:rsidRDefault="00F83215" w:rsidP="007676AD">
      <w:r w:rsidRPr="007676AD">
        <w:t xml:space="preserve">Av apotekloven § 9-6 </w:t>
      </w:r>
      <w:proofErr w:type="gramStart"/>
      <w:r w:rsidRPr="007676AD">
        <w:t>fremgår</w:t>
      </w:r>
      <w:proofErr w:type="gramEnd"/>
      <w:r w:rsidRPr="007676AD">
        <w:t xml:space="preserve"> at </w:t>
      </w:r>
    </w:p>
    <w:p w14:paraId="0EFA903C" w14:textId="77777777" w:rsidR="00F83215" w:rsidRPr="007676AD" w:rsidRDefault="00F83215" w:rsidP="007676AD">
      <w:pPr>
        <w:pStyle w:val="blokksit"/>
      </w:pPr>
      <w:r w:rsidRPr="007676AD">
        <w:t>Departementet kan ilegge foretak eller fysisk person som bryter meldeplikten etter § 3-8 andre ledd overtredelsesgebyr. Fysiske personer kan bare ilegges overtre</w:t>
      </w:r>
      <w:r w:rsidRPr="007676AD">
        <w:t xml:space="preserve">delsesgebyr for forsettlige eller uaktsomme overtredelser. </w:t>
      </w:r>
    </w:p>
    <w:p w14:paraId="3D7BF74F" w14:textId="77777777" w:rsidR="00F83215" w:rsidRPr="007676AD" w:rsidRDefault="00F83215" w:rsidP="007676AD">
      <w:r w:rsidRPr="007676AD">
        <w:t>Apotekloven har ingen uttrykkelig bestemmelse om objektivt ansvar for foretak, og departementet legger til grunn at det også for ileggelse av overtredelsesgebyr etter apotekloven nå gjelder et sky</w:t>
      </w:r>
      <w:r w:rsidRPr="007676AD">
        <w:t>ldkrav om forsettlige eller uaktsomme overtredelser.</w:t>
      </w:r>
    </w:p>
    <w:p w14:paraId="57CB5D4D" w14:textId="77777777" w:rsidR="00F83215" w:rsidRPr="007676AD" w:rsidRDefault="00F83215" w:rsidP="007676AD">
      <w:r w:rsidRPr="007676AD">
        <w:t xml:space="preserve">Departementet opprettholder derfor forslag i høringen om at tilsynsmyndigheten kan pålegge apotek en løpende tvangsmulkt ved brudd på plikten til å gi elektronisk tilgang til opplysninger om lagerstatus </w:t>
      </w:r>
      <w:r w:rsidRPr="007676AD">
        <w:t xml:space="preserve">ved fare for tilgangen til legemidler i Norge. Videre opprettholdes forslaget om at departementet kan ilegge overtredelsesgebyr ved apoteks brudd på pålagte restriksjoner på salg og utlevering av legemidler. Skyldkravet vil imidlertid endres i samsvar med </w:t>
      </w:r>
      <w:r w:rsidRPr="007676AD">
        <w:t xml:space="preserve">lovforslaget i </w:t>
      </w:r>
      <w:proofErr w:type="spellStart"/>
      <w:r w:rsidRPr="007676AD">
        <w:t>Prop</w:t>
      </w:r>
      <w:proofErr w:type="spellEnd"/>
      <w:r w:rsidRPr="007676AD">
        <w:t>. 60 L (2023-2024).</w:t>
      </w:r>
    </w:p>
    <w:p w14:paraId="2FC73761" w14:textId="77777777" w:rsidR="00F83215" w:rsidRPr="007676AD" w:rsidRDefault="00F83215" w:rsidP="007676AD">
      <w:pPr>
        <w:pStyle w:val="Overskrift1"/>
      </w:pPr>
      <w:r w:rsidRPr="007676AD">
        <w:t>Endringer i legemiddelloven om grossistvirksomhet med legemidler til mennesker</w:t>
      </w:r>
    </w:p>
    <w:p w14:paraId="08A44701" w14:textId="77777777" w:rsidR="00F83215" w:rsidRPr="007676AD" w:rsidRDefault="00F83215" w:rsidP="007676AD">
      <w:pPr>
        <w:pStyle w:val="Overskrift2"/>
      </w:pPr>
      <w:r w:rsidRPr="007676AD">
        <w:t>Bakgrunn og gjeldende rett</w:t>
      </w:r>
    </w:p>
    <w:p w14:paraId="21449EC6" w14:textId="77777777" w:rsidR="00F83215" w:rsidRPr="007676AD" w:rsidRDefault="00F83215" w:rsidP="007676AD">
      <w:r w:rsidRPr="007676AD">
        <w:t>Direktiv 2001/83/EF (legemiddeldirektivet) er del av EØS-avtalen og omhandler blant annet grossistvirksomhet med legemidler til mennesker. Bestemmelsene er en videreføring av reglene i tidligere direktiv 92/25/EØF. Regelverket om grossistvirksomhet med leg</w:t>
      </w:r>
      <w:r w:rsidRPr="007676AD">
        <w:t>emidler til mennesker er harmonisert innenfor EØS- området.</w:t>
      </w:r>
    </w:p>
    <w:p w14:paraId="608BC840" w14:textId="77777777" w:rsidR="00F83215" w:rsidRPr="007676AD" w:rsidRDefault="00F83215" w:rsidP="007676AD">
      <w:r w:rsidRPr="007676AD">
        <w:t>Det er legemiddelloven og grossistforskriften som i hovedsak gjennomfører direktivenes bestemmelser i norsk rett. Legemiddelloven kapittel VI gir nærmere regler om formidling, grossist- og detaljo</w:t>
      </w:r>
      <w:r w:rsidRPr="007676AD">
        <w:t>msetning av legemidler. Legemiddelloven § 14 første ledd definerer grossistvirksomhet («</w:t>
      </w:r>
      <w:proofErr w:type="spellStart"/>
      <w:r w:rsidRPr="007676AD">
        <w:t>engrosvisksomhet</w:t>
      </w:r>
      <w:proofErr w:type="spellEnd"/>
      <w:r w:rsidRPr="007676AD">
        <w:t>») som «all virksomhet som går ut på anskaffelse, oppbevaring, utlevering eller eksport av legemidler, med unntak for utlevering av legemidler til allme</w:t>
      </w:r>
      <w:r w:rsidRPr="007676AD">
        <w:t xml:space="preserve">nnheten. Med grossist menes virksomhet eller person som driver med </w:t>
      </w:r>
      <w:proofErr w:type="spellStart"/>
      <w:r w:rsidRPr="007676AD">
        <w:t>engrosomsetning</w:t>
      </w:r>
      <w:proofErr w:type="spellEnd"/>
      <w:r w:rsidRPr="007676AD">
        <w:t>.» Grossister vil typisk kjøpe legemidler fra tilvirkere eller andre grossister og videreselger legemidlene til apotek eller til profesjonelle sluttbrukere.</w:t>
      </w:r>
    </w:p>
    <w:p w14:paraId="6D8E3389" w14:textId="77777777" w:rsidR="00F83215" w:rsidRPr="007676AD" w:rsidRDefault="00F83215" w:rsidP="007676AD">
      <w:r w:rsidRPr="007676AD">
        <w:t>Av § 14 andre led</w:t>
      </w:r>
      <w:r w:rsidRPr="007676AD">
        <w:t>d fremgår det at det stilles krav om særskilt godkjenning for å drive grossistvirksomhet med legemidler. Departementet er i bestemmelsens tredje ledd gitt hjemmel til i forskrift å fastsette nærmere vilkår for slik godkjenning. Lovens § 15 angir hvem gross</w:t>
      </w:r>
      <w:r w:rsidRPr="007676AD">
        <w:t>ister kan motta fra og utlevere legemidler til. Departementet kan i forskrift regulere dette nærmere. I § 16 er det gitt nærmere regler om hva som anses som detaljomsetning. Det er i § 18 gitt ad</w:t>
      </w:r>
      <w:r w:rsidRPr="007676AD">
        <w:lastRenderedPageBreak/>
        <w:t>gang til å kreve sektoravgift på salg av legemidler fra gross</w:t>
      </w:r>
      <w:r w:rsidRPr="007676AD">
        <w:t xml:space="preserve">ister og andre som driver </w:t>
      </w:r>
      <w:proofErr w:type="spellStart"/>
      <w:r w:rsidRPr="007676AD">
        <w:t>engrosomsetning</w:t>
      </w:r>
      <w:proofErr w:type="spellEnd"/>
      <w:r w:rsidRPr="007676AD">
        <w:t>.</w:t>
      </w:r>
    </w:p>
    <w:p w14:paraId="035C0B61" w14:textId="77777777" w:rsidR="00F83215" w:rsidRPr="007676AD" w:rsidRDefault="00F83215" w:rsidP="007676AD">
      <w:r w:rsidRPr="007676AD">
        <w:t>Grossistvirksomhet med legemidler til dyr reguleres ikke av ovennevnte bestemmelser. Slik virksomhet reguleres i stedet av legemiddelloven § 2 b som bestemmer at forordning (EU) 2019/6 om legemidler til dyr gjelde</w:t>
      </w:r>
      <w:r w:rsidRPr="007676AD">
        <w:t xml:space="preserve">r som lov, jf. </w:t>
      </w:r>
      <w:proofErr w:type="spellStart"/>
      <w:r w:rsidRPr="007676AD">
        <w:t>Prop</w:t>
      </w:r>
      <w:proofErr w:type="spellEnd"/>
      <w:r w:rsidRPr="007676AD">
        <w:t xml:space="preserve">. 102 LS (2021–2022) punkt 20 som omtaler forordningens innhold </w:t>
      </w:r>
      <w:proofErr w:type="gramStart"/>
      <w:r w:rsidRPr="007676AD">
        <w:t>vedrørende</w:t>
      </w:r>
      <w:proofErr w:type="gramEnd"/>
      <w:r w:rsidRPr="007676AD">
        <w:t xml:space="preserve"> grossistvirksomhet med legemidler til dyr. Legemiddelloven § 14 femte ledd om grossistenes registreringsplikt og rapporteringsplikt om omsetning gjelder imidlerti</w:t>
      </w:r>
      <w:r w:rsidRPr="007676AD">
        <w:t>d også for grossistvirksomhet med legemidler til dyr.</w:t>
      </w:r>
    </w:p>
    <w:p w14:paraId="7D2D3E68" w14:textId="77777777" w:rsidR="00F83215" w:rsidRPr="007676AD" w:rsidRDefault="00F83215" w:rsidP="007676AD">
      <w:pPr>
        <w:pStyle w:val="Overskrift2"/>
      </w:pPr>
      <w:r w:rsidRPr="007676AD">
        <w:t>Høringen</w:t>
      </w:r>
    </w:p>
    <w:p w14:paraId="4BC0287F" w14:textId="77777777" w:rsidR="00F83215" w:rsidRPr="007676AD" w:rsidRDefault="00F83215" w:rsidP="007676AD">
      <w:r w:rsidRPr="007676AD">
        <w:t>Grossistregelverket har siden vedtakelsen i 1993 vært gjenstand for endring flere ganger. Både antall år siden vedtakelsen, det store antallet endringsforskrifter og den senere utviklin</w:t>
      </w:r>
      <w:r w:rsidRPr="007676AD">
        <w:t>gen, medfører etter departementets syn et behov for en gjennomgang og revisjon av lov og forskrift.</w:t>
      </w:r>
    </w:p>
    <w:p w14:paraId="25DE6EC6" w14:textId="77777777" w:rsidR="00F83215" w:rsidRPr="007676AD" w:rsidRDefault="00F83215" w:rsidP="007676AD">
      <w:r w:rsidRPr="007676AD">
        <w:t>Helse- og omsorgsdepartementet sendte 6. november 2020 på høring forslag om endringer i reglene for grossistvirksomhet i lov 4. desember 1992 nr. 132 om leg</w:t>
      </w:r>
      <w:r w:rsidRPr="007676AD">
        <w:t>emidler (legemiddelloven) og tilhørende forskrifter. Forslaget skulle ivareta behovet for oppdatering av regelverket slik at det er tilpasset den til dels omfattende utviklingen som har skjedd på området. Dette forslaget følger opp departementets forslag t</w:t>
      </w:r>
      <w:r w:rsidRPr="007676AD">
        <w:t>il endringer i legemiddelloven.</w:t>
      </w:r>
    </w:p>
    <w:p w14:paraId="614C6537" w14:textId="77777777" w:rsidR="00F83215" w:rsidRPr="007676AD" w:rsidRDefault="00F83215" w:rsidP="007676AD">
      <w:r w:rsidRPr="007676AD">
        <w:t>Høringsfrist var 8. januar 2021. Høringsnotatet ble sendt til følgende høringsinstanser:</w:t>
      </w:r>
    </w:p>
    <w:p w14:paraId="4AD3CD2A" w14:textId="77777777" w:rsidR="00F83215" w:rsidRPr="007676AD" w:rsidRDefault="00F83215" w:rsidP="007676AD">
      <w:pPr>
        <w:pStyle w:val="opplisting"/>
      </w:pPr>
      <w:r w:rsidRPr="007676AD">
        <w:t>Departementene</w:t>
      </w:r>
    </w:p>
    <w:p w14:paraId="3A72AA76" w14:textId="77777777" w:rsidR="00F83215" w:rsidRPr="007676AD" w:rsidRDefault="00F83215" w:rsidP="007676AD"/>
    <w:p w14:paraId="5C02416A" w14:textId="77777777" w:rsidR="00F83215" w:rsidRPr="007676AD" w:rsidRDefault="00F83215" w:rsidP="007676AD">
      <w:pPr>
        <w:pStyle w:val="opplisting"/>
      </w:pPr>
      <w:r w:rsidRPr="007676AD">
        <w:t>Barneombudet</w:t>
      </w:r>
    </w:p>
    <w:p w14:paraId="5D946376" w14:textId="77777777" w:rsidR="00F83215" w:rsidRPr="007676AD" w:rsidRDefault="00F83215" w:rsidP="007676AD">
      <w:pPr>
        <w:pStyle w:val="opplisting"/>
      </w:pPr>
      <w:r w:rsidRPr="007676AD">
        <w:t>Datatilsynet</w:t>
      </w:r>
    </w:p>
    <w:p w14:paraId="20B88B8C" w14:textId="77777777" w:rsidR="00F83215" w:rsidRPr="007676AD" w:rsidRDefault="00F83215" w:rsidP="007676AD">
      <w:pPr>
        <w:pStyle w:val="opplisting"/>
      </w:pPr>
      <w:r w:rsidRPr="007676AD">
        <w:t>Direktoratet for e-helse</w:t>
      </w:r>
    </w:p>
    <w:p w14:paraId="62CE3FFE" w14:textId="77777777" w:rsidR="00F83215" w:rsidRPr="007676AD" w:rsidRDefault="00F83215" w:rsidP="007676AD">
      <w:pPr>
        <w:pStyle w:val="opplisting"/>
      </w:pPr>
      <w:r w:rsidRPr="007676AD">
        <w:t>Folkehelseinstituttet</w:t>
      </w:r>
    </w:p>
    <w:p w14:paraId="1D79CDB7" w14:textId="77777777" w:rsidR="00F83215" w:rsidRPr="007676AD" w:rsidRDefault="00F83215" w:rsidP="007676AD">
      <w:pPr>
        <w:pStyle w:val="opplisting"/>
      </w:pPr>
      <w:r w:rsidRPr="007676AD">
        <w:t>Forbrukertilsynet</w:t>
      </w:r>
    </w:p>
    <w:p w14:paraId="64D5A22C" w14:textId="77777777" w:rsidR="00F83215" w:rsidRPr="007676AD" w:rsidRDefault="00F83215" w:rsidP="007676AD">
      <w:pPr>
        <w:pStyle w:val="opplisting"/>
      </w:pPr>
      <w:r w:rsidRPr="007676AD">
        <w:t>Forbrukerrådet</w:t>
      </w:r>
    </w:p>
    <w:p w14:paraId="72BB50C4" w14:textId="77777777" w:rsidR="00F83215" w:rsidRPr="007676AD" w:rsidRDefault="00F83215" w:rsidP="007676AD">
      <w:pPr>
        <w:pStyle w:val="opplisting"/>
      </w:pPr>
      <w:r w:rsidRPr="007676AD">
        <w:t>Helsedirektoratet</w:t>
      </w:r>
    </w:p>
    <w:p w14:paraId="171666CB" w14:textId="77777777" w:rsidR="00F83215" w:rsidRPr="007676AD" w:rsidRDefault="00F83215" w:rsidP="007676AD">
      <w:pPr>
        <w:pStyle w:val="opplisting"/>
      </w:pPr>
      <w:r w:rsidRPr="007676AD">
        <w:t>Helse- og sosialombudet i Oslo (nå Sosial og eldreombudet i Oslo kommune)</w:t>
      </w:r>
    </w:p>
    <w:p w14:paraId="51722953" w14:textId="77777777" w:rsidR="00F83215" w:rsidRPr="007676AD" w:rsidRDefault="00F83215" w:rsidP="007676AD">
      <w:pPr>
        <w:pStyle w:val="opplisting"/>
      </w:pPr>
      <w:r w:rsidRPr="007676AD">
        <w:t>Kreftregisteret</w:t>
      </w:r>
    </w:p>
    <w:p w14:paraId="23A83C1B" w14:textId="77777777" w:rsidR="00F83215" w:rsidRPr="007676AD" w:rsidRDefault="00F83215" w:rsidP="007676AD">
      <w:pPr>
        <w:pStyle w:val="opplisting"/>
      </w:pPr>
      <w:r w:rsidRPr="007676AD">
        <w:t>Landets fylkesmenn (nå landets statsforvaltere)</w:t>
      </w:r>
    </w:p>
    <w:p w14:paraId="0816A151" w14:textId="77777777" w:rsidR="00F83215" w:rsidRPr="007676AD" w:rsidRDefault="00F83215" w:rsidP="007676AD">
      <w:pPr>
        <w:pStyle w:val="opplisting"/>
      </w:pPr>
      <w:r w:rsidRPr="007676AD">
        <w:t>Landets pasient- og brukerombud</w:t>
      </w:r>
    </w:p>
    <w:p w14:paraId="67375B2B" w14:textId="77777777" w:rsidR="00F83215" w:rsidRPr="007676AD" w:rsidRDefault="00F83215" w:rsidP="007676AD">
      <w:pPr>
        <w:pStyle w:val="opplisting"/>
      </w:pPr>
      <w:r w:rsidRPr="007676AD">
        <w:t>Likestillings- og diskrimineringsombudet</w:t>
      </w:r>
    </w:p>
    <w:p w14:paraId="51B16A0B" w14:textId="77777777" w:rsidR="00F83215" w:rsidRPr="007676AD" w:rsidRDefault="00F83215" w:rsidP="007676AD">
      <w:pPr>
        <w:pStyle w:val="opplisting"/>
      </w:pPr>
      <w:r w:rsidRPr="007676AD">
        <w:t>Mattilsynet</w:t>
      </w:r>
    </w:p>
    <w:p w14:paraId="1E3E17A4" w14:textId="77777777" w:rsidR="00F83215" w:rsidRPr="007676AD" w:rsidRDefault="00F83215" w:rsidP="007676AD">
      <w:pPr>
        <w:pStyle w:val="opplisting"/>
      </w:pPr>
      <w:r w:rsidRPr="007676AD">
        <w:t>Nasjonalt kompe</w:t>
      </w:r>
      <w:r w:rsidRPr="007676AD">
        <w:t xml:space="preserve">tansesenter for migrasjons- og </w:t>
      </w:r>
      <w:proofErr w:type="spellStart"/>
      <w:r w:rsidRPr="007676AD">
        <w:t>minioritetshelse</w:t>
      </w:r>
      <w:proofErr w:type="spellEnd"/>
      <w:r w:rsidRPr="007676AD">
        <w:t xml:space="preserve"> NAKMI</w:t>
      </w:r>
    </w:p>
    <w:p w14:paraId="4F1DBAC8" w14:textId="77777777" w:rsidR="00F83215" w:rsidRPr="007676AD" w:rsidRDefault="00F83215" w:rsidP="007676AD">
      <w:pPr>
        <w:pStyle w:val="opplisting"/>
      </w:pPr>
      <w:r w:rsidRPr="007676AD">
        <w:t>Nasjonalt klageorgan for helsetjenesten</w:t>
      </w:r>
    </w:p>
    <w:p w14:paraId="42935A15" w14:textId="77777777" w:rsidR="00F83215" w:rsidRPr="007676AD" w:rsidRDefault="00F83215" w:rsidP="007676AD">
      <w:pPr>
        <w:pStyle w:val="opplisting"/>
      </w:pPr>
      <w:r w:rsidRPr="007676AD">
        <w:t>Norges forskningsråd</w:t>
      </w:r>
    </w:p>
    <w:p w14:paraId="29F39FC9" w14:textId="77777777" w:rsidR="00F83215" w:rsidRPr="007676AD" w:rsidRDefault="00F83215" w:rsidP="007676AD">
      <w:pPr>
        <w:pStyle w:val="opplisting"/>
      </w:pPr>
      <w:r w:rsidRPr="007676AD">
        <w:t>Norsk Pasientskadeerstatning (NPE)</w:t>
      </w:r>
    </w:p>
    <w:p w14:paraId="0245B8CA" w14:textId="77777777" w:rsidR="00F83215" w:rsidRPr="007676AD" w:rsidRDefault="00F83215" w:rsidP="007676AD">
      <w:pPr>
        <w:pStyle w:val="opplisting"/>
      </w:pPr>
      <w:r w:rsidRPr="007676AD">
        <w:t>Personvernnemnda</w:t>
      </w:r>
    </w:p>
    <w:p w14:paraId="47CEDDE5" w14:textId="77777777" w:rsidR="00F83215" w:rsidRPr="007676AD" w:rsidRDefault="00F83215" w:rsidP="007676AD">
      <w:pPr>
        <w:pStyle w:val="opplisting"/>
      </w:pPr>
      <w:r w:rsidRPr="007676AD">
        <w:t>Regjeringsadvokaten</w:t>
      </w:r>
    </w:p>
    <w:p w14:paraId="66238317" w14:textId="77777777" w:rsidR="00F83215" w:rsidRPr="007676AD" w:rsidRDefault="00F83215" w:rsidP="007676AD">
      <w:pPr>
        <w:pStyle w:val="opplisting"/>
      </w:pPr>
      <w:r w:rsidRPr="007676AD">
        <w:t>Regelrådet</w:t>
      </w:r>
    </w:p>
    <w:p w14:paraId="7B690595" w14:textId="77777777" w:rsidR="00F83215" w:rsidRPr="007676AD" w:rsidRDefault="00F83215" w:rsidP="007676AD">
      <w:pPr>
        <w:pStyle w:val="opplisting"/>
      </w:pPr>
      <w:r w:rsidRPr="007676AD">
        <w:lastRenderedPageBreak/>
        <w:t>Statens helsetilsyn</w:t>
      </w:r>
    </w:p>
    <w:p w14:paraId="07082B7B" w14:textId="77777777" w:rsidR="00F83215" w:rsidRPr="007676AD" w:rsidRDefault="00F83215" w:rsidP="007676AD">
      <w:pPr>
        <w:pStyle w:val="opplisting"/>
      </w:pPr>
      <w:r w:rsidRPr="007676AD">
        <w:t>Statens legemiddelverk (nå Direktorate</w:t>
      </w:r>
      <w:r w:rsidRPr="007676AD">
        <w:t>t for medisinske produkter)</w:t>
      </w:r>
    </w:p>
    <w:p w14:paraId="5F78B505" w14:textId="77777777" w:rsidR="00F83215" w:rsidRPr="007676AD" w:rsidRDefault="00F83215" w:rsidP="007676AD">
      <w:pPr>
        <w:pStyle w:val="opplisting"/>
      </w:pPr>
      <w:r w:rsidRPr="007676AD">
        <w:t>Statens råd for likestilling av funksjonshemmede</w:t>
      </w:r>
    </w:p>
    <w:p w14:paraId="34C56885" w14:textId="77777777" w:rsidR="00F83215" w:rsidRPr="007676AD" w:rsidRDefault="00F83215" w:rsidP="007676AD">
      <w:pPr>
        <w:pStyle w:val="opplisting"/>
      </w:pPr>
      <w:r w:rsidRPr="007676AD">
        <w:t>Statens seniorråd</w:t>
      </w:r>
    </w:p>
    <w:p w14:paraId="144778C8" w14:textId="77777777" w:rsidR="00F83215" w:rsidRPr="007676AD" w:rsidRDefault="00F83215" w:rsidP="007676AD">
      <w:pPr>
        <w:pStyle w:val="opplisting"/>
      </w:pPr>
      <w:r w:rsidRPr="007676AD">
        <w:t>Stortingets ombudsmann for forvaltningen</w:t>
      </w:r>
    </w:p>
    <w:p w14:paraId="14F1488E" w14:textId="77777777" w:rsidR="00F83215" w:rsidRPr="007676AD" w:rsidRDefault="00F83215" w:rsidP="007676AD">
      <w:pPr>
        <w:pStyle w:val="opplisting"/>
      </w:pPr>
      <w:r w:rsidRPr="007676AD">
        <w:t>Sysselmesteren på Svalbard</w:t>
      </w:r>
    </w:p>
    <w:p w14:paraId="07793666" w14:textId="77777777" w:rsidR="00F83215" w:rsidRPr="007676AD" w:rsidRDefault="00F83215" w:rsidP="007676AD"/>
    <w:p w14:paraId="50288D1E" w14:textId="77777777" w:rsidR="00F83215" w:rsidRPr="007676AD" w:rsidRDefault="00F83215" w:rsidP="007676AD">
      <w:pPr>
        <w:pStyle w:val="opplisting"/>
      </w:pPr>
      <w:r w:rsidRPr="007676AD">
        <w:t>Institutt for helse og samfunn HELSAM</w:t>
      </w:r>
    </w:p>
    <w:p w14:paraId="3EBA9C3A" w14:textId="77777777" w:rsidR="00F83215" w:rsidRPr="007676AD" w:rsidRDefault="00F83215" w:rsidP="007676AD">
      <w:pPr>
        <w:pStyle w:val="opplisting"/>
      </w:pPr>
      <w:r w:rsidRPr="007676AD">
        <w:t>Institutt for samfunnsforskning</w:t>
      </w:r>
    </w:p>
    <w:p w14:paraId="18083F3B" w14:textId="77777777" w:rsidR="00F83215" w:rsidRPr="007676AD" w:rsidRDefault="00F83215" w:rsidP="007676AD">
      <w:pPr>
        <w:pStyle w:val="opplisting"/>
      </w:pPr>
      <w:r w:rsidRPr="007676AD">
        <w:t>Norges arktiske universitet, Det helsevitenskapelige fakultet</w:t>
      </w:r>
    </w:p>
    <w:p w14:paraId="0F6E6BF7" w14:textId="77777777" w:rsidR="00F83215" w:rsidRPr="007676AD" w:rsidRDefault="00F83215" w:rsidP="007676AD">
      <w:pPr>
        <w:pStyle w:val="opplisting"/>
      </w:pPr>
      <w:r w:rsidRPr="007676AD">
        <w:t>Norges arktiske universitet, Farmasøytisk institutt</w:t>
      </w:r>
    </w:p>
    <w:p w14:paraId="1A3098AE" w14:textId="77777777" w:rsidR="00F83215" w:rsidRPr="007676AD" w:rsidRDefault="00F83215" w:rsidP="007676AD">
      <w:pPr>
        <w:pStyle w:val="opplisting"/>
      </w:pPr>
      <w:r w:rsidRPr="007676AD">
        <w:t>Norges arktiske universitet, fakultet for biovitenskap, fiskeri og økonomi (fiskerihøgskolen)</w:t>
      </w:r>
    </w:p>
    <w:p w14:paraId="555E1CA8" w14:textId="77777777" w:rsidR="00F83215" w:rsidRPr="007676AD" w:rsidRDefault="00F83215" w:rsidP="007676AD">
      <w:pPr>
        <w:pStyle w:val="opplisting"/>
      </w:pPr>
      <w:r w:rsidRPr="007676AD">
        <w:t>Norges miljø- og</w:t>
      </w:r>
      <w:r w:rsidRPr="007676AD">
        <w:t xml:space="preserve"> biovitenskapelige universitet, NMBU</w:t>
      </w:r>
    </w:p>
    <w:p w14:paraId="167E43E2" w14:textId="77777777" w:rsidR="00F83215" w:rsidRPr="007676AD" w:rsidRDefault="00F83215" w:rsidP="007676AD">
      <w:pPr>
        <w:pStyle w:val="opplisting"/>
      </w:pPr>
      <w:r w:rsidRPr="007676AD">
        <w:t>NTNU, Det medisinske fakultet</w:t>
      </w:r>
    </w:p>
    <w:p w14:paraId="04FEE955" w14:textId="77777777" w:rsidR="00F83215" w:rsidRPr="007676AD" w:rsidRDefault="00F83215" w:rsidP="007676AD">
      <w:pPr>
        <w:pStyle w:val="opplisting"/>
      </w:pPr>
      <w:proofErr w:type="spellStart"/>
      <w:r w:rsidRPr="007676AD">
        <w:t>OsloMet</w:t>
      </w:r>
      <w:proofErr w:type="spellEnd"/>
      <w:r w:rsidRPr="007676AD">
        <w:t xml:space="preserve"> storbyuniversitetet, Fakultet for helsevitenskap (Bachelorutdanningen i Farmasi)</w:t>
      </w:r>
    </w:p>
    <w:p w14:paraId="424A0625" w14:textId="77777777" w:rsidR="00F83215" w:rsidRPr="007676AD" w:rsidRDefault="00F83215" w:rsidP="007676AD">
      <w:pPr>
        <w:pStyle w:val="opplisting"/>
      </w:pPr>
      <w:r w:rsidRPr="007676AD">
        <w:t>Senter for medisinsk etikk ved universitetet i Oslo</w:t>
      </w:r>
    </w:p>
    <w:p w14:paraId="2CDA8FFC" w14:textId="77777777" w:rsidR="00F83215" w:rsidRPr="007676AD" w:rsidRDefault="00F83215" w:rsidP="007676AD">
      <w:pPr>
        <w:pStyle w:val="opplisting"/>
      </w:pPr>
      <w:r w:rsidRPr="007676AD">
        <w:t>Universitetet i Oslo, Det medisinske fakultet</w:t>
      </w:r>
    </w:p>
    <w:p w14:paraId="57D28884" w14:textId="77777777" w:rsidR="00F83215" w:rsidRPr="007676AD" w:rsidRDefault="00F83215" w:rsidP="007676AD">
      <w:pPr>
        <w:pStyle w:val="opplisting"/>
      </w:pPr>
      <w:r w:rsidRPr="007676AD">
        <w:t>Un</w:t>
      </w:r>
      <w:r w:rsidRPr="007676AD">
        <w:t>iversitetet i Bergen, Det medisinske fakultet</w:t>
      </w:r>
    </w:p>
    <w:p w14:paraId="42CC2537" w14:textId="77777777" w:rsidR="00F83215" w:rsidRPr="007676AD" w:rsidRDefault="00F83215" w:rsidP="007676AD">
      <w:pPr>
        <w:pStyle w:val="opplisting"/>
      </w:pPr>
      <w:r w:rsidRPr="007676AD">
        <w:t>Universitetet i Oslo, Farmasøytisk institutt</w:t>
      </w:r>
    </w:p>
    <w:p w14:paraId="2CBC9316" w14:textId="77777777" w:rsidR="00F83215" w:rsidRPr="007676AD" w:rsidRDefault="00F83215" w:rsidP="007676AD">
      <w:pPr>
        <w:pStyle w:val="opplisting"/>
      </w:pPr>
      <w:r w:rsidRPr="007676AD">
        <w:t>Universitetet i Oslo, seksjon for odontologisk farmakologi og farmakoterapi</w:t>
      </w:r>
    </w:p>
    <w:p w14:paraId="5963803E" w14:textId="77777777" w:rsidR="00F83215" w:rsidRPr="007676AD" w:rsidRDefault="00F83215" w:rsidP="007676AD">
      <w:pPr>
        <w:pStyle w:val="opplisting"/>
      </w:pPr>
      <w:r w:rsidRPr="007676AD">
        <w:t>Veterinærinstituttet</w:t>
      </w:r>
    </w:p>
    <w:p w14:paraId="593BAEC7" w14:textId="77777777" w:rsidR="00F83215" w:rsidRPr="007676AD" w:rsidRDefault="00F83215" w:rsidP="007676AD"/>
    <w:p w14:paraId="61ACE37B" w14:textId="77777777" w:rsidR="00F83215" w:rsidRPr="007676AD" w:rsidRDefault="00F83215" w:rsidP="007676AD">
      <w:pPr>
        <w:pStyle w:val="opplisting"/>
      </w:pPr>
      <w:r w:rsidRPr="007676AD">
        <w:t>Landets regionale helseforetak</w:t>
      </w:r>
    </w:p>
    <w:p w14:paraId="409FC1B2" w14:textId="77777777" w:rsidR="00F83215" w:rsidRPr="007676AD" w:rsidRDefault="00F83215" w:rsidP="007676AD">
      <w:pPr>
        <w:pStyle w:val="opplisting"/>
      </w:pPr>
      <w:r w:rsidRPr="007676AD">
        <w:t>Landets helseforetak</w:t>
      </w:r>
    </w:p>
    <w:p w14:paraId="4BD6A59A" w14:textId="77777777" w:rsidR="00F83215" w:rsidRPr="007676AD" w:rsidRDefault="00F83215" w:rsidP="007676AD">
      <w:pPr>
        <w:pStyle w:val="opplisting"/>
      </w:pPr>
      <w:r w:rsidRPr="007676AD">
        <w:t>Norsk helsenett</w:t>
      </w:r>
      <w:r w:rsidRPr="007676AD">
        <w:t xml:space="preserve"> SF</w:t>
      </w:r>
    </w:p>
    <w:p w14:paraId="049BD9EB" w14:textId="77777777" w:rsidR="00F83215" w:rsidRPr="007676AD" w:rsidRDefault="00F83215" w:rsidP="007676AD">
      <w:pPr>
        <w:pStyle w:val="opplisting"/>
      </w:pPr>
      <w:r w:rsidRPr="007676AD">
        <w:t>Sykehusapotekene HF</w:t>
      </w:r>
    </w:p>
    <w:p w14:paraId="6A03BF18" w14:textId="77777777" w:rsidR="00F83215" w:rsidRPr="007676AD" w:rsidRDefault="00F83215" w:rsidP="007676AD">
      <w:pPr>
        <w:pStyle w:val="opplisting"/>
      </w:pPr>
      <w:r w:rsidRPr="007676AD">
        <w:t>Sykehusapotekene Vest HF</w:t>
      </w:r>
    </w:p>
    <w:p w14:paraId="2CC6FACC" w14:textId="77777777" w:rsidR="00F83215" w:rsidRPr="007676AD" w:rsidRDefault="00F83215" w:rsidP="007676AD">
      <w:pPr>
        <w:pStyle w:val="opplisting"/>
      </w:pPr>
      <w:r w:rsidRPr="007676AD">
        <w:t>Sykehusapotekene Nord HF</w:t>
      </w:r>
    </w:p>
    <w:p w14:paraId="68904058" w14:textId="77777777" w:rsidR="00F83215" w:rsidRPr="007676AD" w:rsidRDefault="00F83215" w:rsidP="007676AD">
      <w:pPr>
        <w:pStyle w:val="opplisting"/>
      </w:pPr>
      <w:r w:rsidRPr="007676AD">
        <w:t>Sykehusapotekene Midt-Norge HF</w:t>
      </w:r>
    </w:p>
    <w:p w14:paraId="010160D1" w14:textId="77777777" w:rsidR="00F83215" w:rsidRPr="007676AD" w:rsidRDefault="00F83215" w:rsidP="007676AD">
      <w:pPr>
        <w:pStyle w:val="opplisting"/>
      </w:pPr>
      <w:r w:rsidRPr="007676AD">
        <w:t>Sykehusinnkjøp HF – legemidler</w:t>
      </w:r>
    </w:p>
    <w:p w14:paraId="2CEBD42B" w14:textId="77777777" w:rsidR="00F83215" w:rsidRPr="007676AD" w:rsidRDefault="00F83215" w:rsidP="007676AD"/>
    <w:p w14:paraId="6E374FD5" w14:textId="77777777" w:rsidR="00F83215" w:rsidRPr="007676AD" w:rsidRDefault="00F83215" w:rsidP="007676AD">
      <w:pPr>
        <w:pStyle w:val="opplisting"/>
      </w:pPr>
      <w:r w:rsidRPr="007676AD">
        <w:t>Sametinget</w:t>
      </w:r>
    </w:p>
    <w:p w14:paraId="5AFE9E65" w14:textId="77777777" w:rsidR="00F83215" w:rsidRPr="007676AD" w:rsidRDefault="00F83215" w:rsidP="007676AD"/>
    <w:p w14:paraId="750F5C3C" w14:textId="77777777" w:rsidR="00F83215" w:rsidRPr="007676AD" w:rsidRDefault="00F83215" w:rsidP="007676AD">
      <w:pPr>
        <w:pStyle w:val="opplisting"/>
      </w:pPr>
      <w:r w:rsidRPr="007676AD">
        <w:t>ACOS AS</w:t>
      </w:r>
    </w:p>
    <w:p w14:paraId="695257F0" w14:textId="77777777" w:rsidR="00F83215" w:rsidRPr="007676AD" w:rsidRDefault="00F83215" w:rsidP="007676AD">
      <w:pPr>
        <w:pStyle w:val="opplisting"/>
      </w:pPr>
      <w:r w:rsidRPr="007676AD">
        <w:t>Akademikerne</w:t>
      </w:r>
    </w:p>
    <w:p w14:paraId="170492FE" w14:textId="77777777" w:rsidR="00F83215" w:rsidRPr="007676AD" w:rsidRDefault="00F83215" w:rsidP="007676AD">
      <w:pPr>
        <w:pStyle w:val="opplisting"/>
      </w:pPr>
      <w:r w:rsidRPr="007676AD">
        <w:t>Alliance Healthcare Norge AS</w:t>
      </w:r>
    </w:p>
    <w:p w14:paraId="2587D6F8" w14:textId="77777777" w:rsidR="00F83215" w:rsidRPr="007676AD" w:rsidRDefault="00F83215" w:rsidP="007676AD">
      <w:pPr>
        <w:pStyle w:val="opplisting"/>
      </w:pPr>
      <w:r w:rsidRPr="007676AD">
        <w:t>Allmennlegeforeningen</w:t>
      </w:r>
    </w:p>
    <w:p w14:paraId="674EA083" w14:textId="77777777" w:rsidR="00F83215" w:rsidRPr="007676AD" w:rsidRDefault="00F83215" w:rsidP="007676AD">
      <w:pPr>
        <w:pStyle w:val="opplisting"/>
      </w:pPr>
      <w:proofErr w:type="spellStart"/>
      <w:r w:rsidRPr="007676AD">
        <w:t>Amathea</w:t>
      </w:r>
      <w:proofErr w:type="spellEnd"/>
    </w:p>
    <w:p w14:paraId="4E70B92D" w14:textId="77777777" w:rsidR="00F83215" w:rsidRPr="007676AD" w:rsidRDefault="00F83215" w:rsidP="007676AD">
      <w:pPr>
        <w:pStyle w:val="opplisting"/>
      </w:pPr>
      <w:r w:rsidRPr="007676AD">
        <w:t>Apotekforeningen</w:t>
      </w:r>
    </w:p>
    <w:p w14:paraId="557CC94A" w14:textId="77777777" w:rsidR="00F83215" w:rsidRPr="007676AD" w:rsidRDefault="00F83215" w:rsidP="007676AD">
      <w:pPr>
        <w:pStyle w:val="opplisting"/>
      </w:pPr>
      <w:r w:rsidRPr="007676AD">
        <w:t>Apotek 1 Gruppen AS</w:t>
      </w:r>
    </w:p>
    <w:p w14:paraId="2F4302D6" w14:textId="77777777" w:rsidR="00F83215" w:rsidRPr="007676AD" w:rsidRDefault="00F83215" w:rsidP="007676AD">
      <w:pPr>
        <w:pStyle w:val="opplisting"/>
      </w:pPr>
      <w:r w:rsidRPr="007676AD">
        <w:t>Apotekergruppen</w:t>
      </w:r>
    </w:p>
    <w:p w14:paraId="38D0953F" w14:textId="77777777" w:rsidR="00F83215" w:rsidRPr="007676AD" w:rsidRDefault="00F83215" w:rsidP="007676AD">
      <w:pPr>
        <w:pStyle w:val="opplisting"/>
      </w:pPr>
      <w:r w:rsidRPr="007676AD">
        <w:t>CGM (</w:t>
      </w:r>
      <w:proofErr w:type="spellStart"/>
      <w:r w:rsidRPr="007676AD">
        <w:t>Compugroup</w:t>
      </w:r>
      <w:proofErr w:type="spellEnd"/>
      <w:r w:rsidRPr="007676AD">
        <w:t xml:space="preserve"> Medical Norway AS)</w:t>
      </w:r>
    </w:p>
    <w:p w14:paraId="34FA72FF" w14:textId="77777777" w:rsidR="00F83215" w:rsidRPr="007676AD" w:rsidRDefault="00F83215" w:rsidP="007676AD">
      <w:pPr>
        <w:pStyle w:val="opplisting"/>
      </w:pPr>
      <w:r w:rsidRPr="007676AD">
        <w:t>Den Norske Jordmorforening</w:t>
      </w:r>
    </w:p>
    <w:p w14:paraId="071A63B4" w14:textId="77777777" w:rsidR="00F83215" w:rsidRPr="007676AD" w:rsidRDefault="00F83215" w:rsidP="007676AD">
      <w:pPr>
        <w:pStyle w:val="opplisting"/>
      </w:pPr>
      <w:r w:rsidRPr="007676AD">
        <w:lastRenderedPageBreak/>
        <w:t>Den norske legeforening</w:t>
      </w:r>
    </w:p>
    <w:p w14:paraId="1A6F934F" w14:textId="77777777" w:rsidR="00F83215" w:rsidRPr="007676AD" w:rsidRDefault="00F83215" w:rsidP="007676AD">
      <w:pPr>
        <w:pStyle w:val="opplisting"/>
      </w:pPr>
      <w:r w:rsidRPr="007676AD">
        <w:t>Den norske tannlegeforening</w:t>
      </w:r>
    </w:p>
    <w:p w14:paraId="457309E7" w14:textId="77777777" w:rsidR="00F83215" w:rsidRPr="007676AD" w:rsidRDefault="00F83215" w:rsidP="007676AD">
      <w:pPr>
        <w:pStyle w:val="opplisting"/>
      </w:pPr>
      <w:r w:rsidRPr="007676AD">
        <w:t>Den norske veterinærforening</w:t>
      </w:r>
    </w:p>
    <w:p w14:paraId="694FB257" w14:textId="77777777" w:rsidR="00F83215" w:rsidRPr="007676AD" w:rsidRDefault="00F83215" w:rsidP="007676AD">
      <w:pPr>
        <w:pStyle w:val="opplisting"/>
      </w:pPr>
      <w:r w:rsidRPr="007676AD">
        <w:t>DIPS ASA</w:t>
      </w:r>
    </w:p>
    <w:p w14:paraId="3179A220" w14:textId="77777777" w:rsidR="00F83215" w:rsidRPr="007676AD" w:rsidRDefault="00F83215" w:rsidP="007676AD">
      <w:pPr>
        <w:pStyle w:val="opplisting"/>
      </w:pPr>
      <w:r w:rsidRPr="007676AD">
        <w:t>Fagforbundet</w:t>
      </w:r>
    </w:p>
    <w:p w14:paraId="224D7C65" w14:textId="77777777" w:rsidR="00F83215" w:rsidRPr="007676AD" w:rsidRDefault="00F83215" w:rsidP="007676AD">
      <w:pPr>
        <w:pStyle w:val="opplisting"/>
      </w:pPr>
      <w:r w:rsidRPr="007676AD">
        <w:t>Fellesorganisasjonen FO</w:t>
      </w:r>
    </w:p>
    <w:p w14:paraId="11A9EF35" w14:textId="77777777" w:rsidR="00F83215" w:rsidRPr="007676AD" w:rsidRDefault="00F83215" w:rsidP="007676AD">
      <w:pPr>
        <w:pStyle w:val="opplisting"/>
      </w:pPr>
      <w:r w:rsidRPr="007676AD">
        <w:t>Forskerforbund</w:t>
      </w:r>
      <w:r w:rsidRPr="007676AD">
        <w:t>et</w:t>
      </w:r>
    </w:p>
    <w:p w14:paraId="3F4A86CA" w14:textId="77777777" w:rsidR="00F83215" w:rsidRPr="007676AD" w:rsidRDefault="00F83215" w:rsidP="007676AD">
      <w:pPr>
        <w:pStyle w:val="opplisting"/>
      </w:pPr>
      <w:r w:rsidRPr="007676AD">
        <w:t>Forskningsstiftelsen FAFO</w:t>
      </w:r>
    </w:p>
    <w:p w14:paraId="2921D89D" w14:textId="77777777" w:rsidR="00F83215" w:rsidRPr="007676AD" w:rsidRDefault="00F83215" w:rsidP="007676AD">
      <w:pPr>
        <w:pStyle w:val="opplisting"/>
      </w:pPr>
      <w:r w:rsidRPr="007676AD">
        <w:t>Fri</w:t>
      </w:r>
    </w:p>
    <w:p w14:paraId="127FC1B9" w14:textId="77777777" w:rsidR="00F83215" w:rsidRPr="007676AD" w:rsidRDefault="00F83215" w:rsidP="007676AD">
      <w:pPr>
        <w:pStyle w:val="opplisting"/>
      </w:pPr>
      <w:r w:rsidRPr="007676AD">
        <w:t>Funksjonshemmedes Fellesorganisasjon (FFO)</w:t>
      </w:r>
    </w:p>
    <w:p w14:paraId="4A37A302" w14:textId="77777777" w:rsidR="00F83215" w:rsidRPr="007676AD" w:rsidRDefault="00F83215" w:rsidP="007676AD">
      <w:pPr>
        <w:pStyle w:val="opplisting"/>
      </w:pPr>
      <w:r w:rsidRPr="007676AD">
        <w:t>Helsetjenestens Lederforbund</w:t>
      </w:r>
    </w:p>
    <w:p w14:paraId="53756488" w14:textId="77777777" w:rsidR="00F83215" w:rsidRPr="007676AD" w:rsidRDefault="00F83215" w:rsidP="007676AD">
      <w:pPr>
        <w:pStyle w:val="opplisting"/>
      </w:pPr>
      <w:r w:rsidRPr="007676AD">
        <w:t>HIV-Norge</w:t>
      </w:r>
    </w:p>
    <w:p w14:paraId="599EA952" w14:textId="77777777" w:rsidR="00F83215" w:rsidRPr="007676AD" w:rsidRDefault="00F83215" w:rsidP="007676AD">
      <w:pPr>
        <w:pStyle w:val="opplisting"/>
      </w:pPr>
      <w:r w:rsidRPr="007676AD">
        <w:t>IKT Norge</w:t>
      </w:r>
    </w:p>
    <w:p w14:paraId="36D2888E" w14:textId="77777777" w:rsidR="00F83215" w:rsidRPr="007676AD" w:rsidRDefault="00F83215" w:rsidP="007676AD">
      <w:pPr>
        <w:pStyle w:val="opplisting"/>
      </w:pPr>
      <w:proofErr w:type="spellStart"/>
      <w:r w:rsidRPr="007676AD">
        <w:t>Infodoc</w:t>
      </w:r>
      <w:proofErr w:type="spellEnd"/>
    </w:p>
    <w:p w14:paraId="45CD7A4A" w14:textId="77777777" w:rsidR="00F83215" w:rsidRPr="007676AD" w:rsidRDefault="00F83215" w:rsidP="007676AD">
      <w:pPr>
        <w:pStyle w:val="opplisting"/>
      </w:pPr>
      <w:r w:rsidRPr="007676AD">
        <w:t>Institutt for Energiteknikk (IFE)</w:t>
      </w:r>
    </w:p>
    <w:p w14:paraId="76D94664" w14:textId="77777777" w:rsidR="00F83215" w:rsidRPr="007676AD" w:rsidRDefault="00F83215" w:rsidP="007676AD">
      <w:pPr>
        <w:pStyle w:val="opplisting"/>
      </w:pPr>
      <w:r w:rsidRPr="007676AD">
        <w:t>Kliniske ernæringsfysiologiske forening</w:t>
      </w:r>
    </w:p>
    <w:p w14:paraId="086E5E8C" w14:textId="77777777" w:rsidR="00F83215" w:rsidRPr="007676AD" w:rsidRDefault="00F83215" w:rsidP="007676AD">
      <w:pPr>
        <w:pStyle w:val="opplisting"/>
      </w:pPr>
      <w:r w:rsidRPr="007676AD">
        <w:t>Kreftforeningen</w:t>
      </w:r>
    </w:p>
    <w:p w14:paraId="0D2DC9D9" w14:textId="77777777" w:rsidR="00F83215" w:rsidRPr="007676AD" w:rsidRDefault="00F83215" w:rsidP="007676AD">
      <w:pPr>
        <w:pStyle w:val="opplisting"/>
      </w:pPr>
      <w:r w:rsidRPr="007676AD">
        <w:t>KS</w:t>
      </w:r>
    </w:p>
    <w:p w14:paraId="30A54B05" w14:textId="77777777" w:rsidR="00F83215" w:rsidRPr="007676AD" w:rsidRDefault="00F83215" w:rsidP="007676AD">
      <w:pPr>
        <w:pStyle w:val="opplisting"/>
      </w:pPr>
      <w:r w:rsidRPr="007676AD">
        <w:t>Landsgruppen av helsesøstre, N</w:t>
      </w:r>
      <w:r w:rsidRPr="007676AD">
        <w:t>SF</w:t>
      </w:r>
    </w:p>
    <w:p w14:paraId="503BD9B4" w14:textId="77777777" w:rsidR="00F83215" w:rsidRPr="007676AD" w:rsidRDefault="00F83215" w:rsidP="007676AD">
      <w:pPr>
        <w:pStyle w:val="opplisting"/>
      </w:pPr>
      <w:r w:rsidRPr="007676AD">
        <w:t>LO – Landsorganisasjonen i Norge</w:t>
      </w:r>
    </w:p>
    <w:p w14:paraId="231BB4E5" w14:textId="77777777" w:rsidR="00F83215" w:rsidRPr="007676AD" w:rsidRDefault="00F83215" w:rsidP="007676AD">
      <w:pPr>
        <w:pStyle w:val="opplisting"/>
      </w:pPr>
      <w:r w:rsidRPr="007676AD">
        <w:t>Legeforeningens forskningsinstitutt</w:t>
      </w:r>
    </w:p>
    <w:p w14:paraId="78F77B3F" w14:textId="77777777" w:rsidR="00F83215" w:rsidRPr="007676AD" w:rsidRDefault="00F83215" w:rsidP="007676AD">
      <w:pPr>
        <w:pStyle w:val="opplisting"/>
      </w:pPr>
      <w:r w:rsidRPr="007676AD">
        <w:t>Legemiddelindustrien</w:t>
      </w:r>
    </w:p>
    <w:p w14:paraId="494019B8" w14:textId="77777777" w:rsidR="00F83215" w:rsidRPr="007676AD" w:rsidRDefault="00F83215" w:rsidP="007676AD">
      <w:pPr>
        <w:pStyle w:val="opplisting"/>
      </w:pPr>
      <w:r w:rsidRPr="007676AD">
        <w:t>Legemiddelparallellimportørforeningen</w:t>
      </w:r>
    </w:p>
    <w:p w14:paraId="3B278F2C" w14:textId="77777777" w:rsidR="00F83215" w:rsidRPr="007676AD" w:rsidRDefault="00F83215" w:rsidP="007676AD">
      <w:pPr>
        <w:pStyle w:val="opplisting"/>
      </w:pPr>
      <w:r w:rsidRPr="007676AD">
        <w:t>Mental Helse Norge</w:t>
      </w:r>
    </w:p>
    <w:p w14:paraId="77AC50F7" w14:textId="77777777" w:rsidR="00F83215" w:rsidRPr="007676AD" w:rsidRDefault="00F83215" w:rsidP="007676AD">
      <w:pPr>
        <w:pStyle w:val="opplisting"/>
      </w:pPr>
      <w:proofErr w:type="spellStart"/>
      <w:r w:rsidRPr="007676AD">
        <w:t>Nomvec</w:t>
      </w:r>
      <w:proofErr w:type="spellEnd"/>
      <w:r w:rsidRPr="007676AD">
        <w:t xml:space="preserve"> AS</w:t>
      </w:r>
    </w:p>
    <w:p w14:paraId="28AB0699" w14:textId="77777777" w:rsidR="00F83215" w:rsidRPr="007676AD" w:rsidRDefault="00F83215" w:rsidP="007676AD">
      <w:pPr>
        <w:pStyle w:val="opplisting"/>
      </w:pPr>
      <w:r w:rsidRPr="007676AD">
        <w:t>Norsk legemiddelhåndbok</w:t>
      </w:r>
    </w:p>
    <w:p w14:paraId="4428E097" w14:textId="77777777" w:rsidR="00F83215" w:rsidRPr="007676AD" w:rsidRDefault="00F83215" w:rsidP="007676AD">
      <w:pPr>
        <w:pStyle w:val="opplisting"/>
      </w:pPr>
      <w:r w:rsidRPr="007676AD">
        <w:t>Nasjonalforeningen for folkehelsen</w:t>
      </w:r>
    </w:p>
    <w:p w14:paraId="6F3CE5DB" w14:textId="77777777" w:rsidR="00F83215" w:rsidRPr="007676AD" w:rsidRDefault="00F83215" w:rsidP="007676AD">
      <w:pPr>
        <w:pStyle w:val="opplisting"/>
      </w:pPr>
      <w:r w:rsidRPr="007676AD">
        <w:t>Norges Blindeforbund</w:t>
      </w:r>
    </w:p>
    <w:p w14:paraId="0E4AFD12" w14:textId="77777777" w:rsidR="00F83215" w:rsidRPr="007676AD" w:rsidRDefault="00F83215" w:rsidP="007676AD">
      <w:pPr>
        <w:pStyle w:val="opplisting"/>
      </w:pPr>
      <w:r w:rsidRPr="007676AD">
        <w:t>Norges Døveforbund</w:t>
      </w:r>
    </w:p>
    <w:p w14:paraId="6DDB4E6A" w14:textId="77777777" w:rsidR="00F83215" w:rsidRPr="007676AD" w:rsidRDefault="00F83215" w:rsidP="007676AD">
      <w:pPr>
        <w:pStyle w:val="opplisting"/>
      </w:pPr>
      <w:r w:rsidRPr="007676AD">
        <w:t xml:space="preserve">Norges </w:t>
      </w:r>
      <w:proofErr w:type="spellStart"/>
      <w:r w:rsidRPr="007676AD">
        <w:t>Farmaceutiske</w:t>
      </w:r>
      <w:proofErr w:type="spellEnd"/>
      <w:r w:rsidRPr="007676AD">
        <w:t xml:space="preserve"> Forening</w:t>
      </w:r>
    </w:p>
    <w:p w14:paraId="115C1F2A" w14:textId="77777777" w:rsidR="00F83215" w:rsidRPr="007676AD" w:rsidRDefault="00F83215" w:rsidP="007676AD">
      <w:pPr>
        <w:pStyle w:val="opplisting"/>
      </w:pPr>
      <w:r w:rsidRPr="007676AD">
        <w:t>Norges Handikapforbund</w:t>
      </w:r>
    </w:p>
    <w:p w14:paraId="16243C0B" w14:textId="77777777" w:rsidR="00F83215" w:rsidRPr="007676AD" w:rsidRDefault="00F83215" w:rsidP="007676AD">
      <w:pPr>
        <w:pStyle w:val="opplisting"/>
      </w:pPr>
      <w:r w:rsidRPr="007676AD">
        <w:t>Norges kristelige legeforening</w:t>
      </w:r>
    </w:p>
    <w:p w14:paraId="072024CD" w14:textId="77777777" w:rsidR="00F83215" w:rsidRPr="007676AD" w:rsidRDefault="00F83215" w:rsidP="007676AD">
      <w:pPr>
        <w:pStyle w:val="opplisting"/>
      </w:pPr>
      <w:r w:rsidRPr="007676AD">
        <w:t>Norges Optikerforbund</w:t>
      </w:r>
    </w:p>
    <w:p w14:paraId="773085CA" w14:textId="77777777" w:rsidR="00F83215" w:rsidRPr="007676AD" w:rsidRDefault="00F83215" w:rsidP="007676AD">
      <w:pPr>
        <w:pStyle w:val="opplisting"/>
      </w:pPr>
      <w:r w:rsidRPr="007676AD">
        <w:t>Norsk Farmasøytisk Selskap</w:t>
      </w:r>
    </w:p>
    <w:p w14:paraId="1B8994DD" w14:textId="77777777" w:rsidR="00F83215" w:rsidRPr="007676AD" w:rsidRDefault="00F83215" w:rsidP="007676AD">
      <w:pPr>
        <w:pStyle w:val="opplisting"/>
      </w:pPr>
      <w:r w:rsidRPr="007676AD">
        <w:t>Norsk Forening for Ernæringsfysiologer</w:t>
      </w:r>
    </w:p>
    <w:p w14:paraId="0820AD24" w14:textId="77777777" w:rsidR="00F83215" w:rsidRPr="007676AD" w:rsidRDefault="00F83215" w:rsidP="007676AD">
      <w:pPr>
        <w:pStyle w:val="opplisting"/>
      </w:pPr>
      <w:r w:rsidRPr="007676AD">
        <w:t>Norsk Medisinaldepot AS</w:t>
      </w:r>
    </w:p>
    <w:p w14:paraId="689F0329" w14:textId="77777777" w:rsidR="00F83215" w:rsidRPr="007676AD" w:rsidRDefault="00F83215" w:rsidP="007676AD">
      <w:pPr>
        <w:pStyle w:val="opplisting"/>
      </w:pPr>
      <w:r w:rsidRPr="007676AD">
        <w:t>Norsk Pasientforenin</w:t>
      </w:r>
      <w:r w:rsidRPr="007676AD">
        <w:t>g</w:t>
      </w:r>
    </w:p>
    <w:p w14:paraId="374927DE" w14:textId="77777777" w:rsidR="00F83215" w:rsidRPr="007676AD" w:rsidRDefault="00F83215" w:rsidP="007676AD">
      <w:pPr>
        <w:pStyle w:val="opplisting"/>
      </w:pPr>
      <w:r w:rsidRPr="007676AD">
        <w:t>Norsk Psykiatrisk Forening</w:t>
      </w:r>
    </w:p>
    <w:p w14:paraId="0C8B3FAD" w14:textId="77777777" w:rsidR="00F83215" w:rsidRPr="007676AD" w:rsidRDefault="00F83215" w:rsidP="007676AD">
      <w:pPr>
        <w:pStyle w:val="opplisting"/>
      </w:pPr>
      <w:r w:rsidRPr="007676AD">
        <w:t>Norsk sykehus og helsetjenesteforening (NSH)</w:t>
      </w:r>
    </w:p>
    <w:p w14:paraId="55168306" w14:textId="77777777" w:rsidR="00F83215" w:rsidRPr="007676AD" w:rsidRDefault="00F83215" w:rsidP="007676AD">
      <w:pPr>
        <w:pStyle w:val="opplisting"/>
      </w:pPr>
      <w:r w:rsidRPr="007676AD">
        <w:t>Norsk sykepleierforbund</w:t>
      </w:r>
    </w:p>
    <w:p w14:paraId="5BAD5957" w14:textId="77777777" w:rsidR="00F83215" w:rsidRPr="007676AD" w:rsidRDefault="00F83215" w:rsidP="007676AD">
      <w:pPr>
        <w:pStyle w:val="opplisting"/>
      </w:pPr>
      <w:r w:rsidRPr="007676AD">
        <w:t>Norsk Tannpleierforening</w:t>
      </w:r>
    </w:p>
    <w:p w14:paraId="2449487B" w14:textId="77777777" w:rsidR="00F83215" w:rsidRPr="007676AD" w:rsidRDefault="00F83215" w:rsidP="007676AD">
      <w:pPr>
        <w:pStyle w:val="opplisting"/>
      </w:pPr>
      <w:r w:rsidRPr="007676AD">
        <w:t>Norsk Tjenestemannslag (NTL)</w:t>
      </w:r>
    </w:p>
    <w:p w14:paraId="2A6E6369" w14:textId="77777777" w:rsidR="00F83215" w:rsidRPr="007676AD" w:rsidRDefault="00F83215" w:rsidP="007676AD">
      <w:pPr>
        <w:pStyle w:val="opplisting"/>
      </w:pPr>
      <w:r w:rsidRPr="007676AD">
        <w:t>Norske Homeopaters Landsforbund</w:t>
      </w:r>
    </w:p>
    <w:p w14:paraId="67E88CFB" w14:textId="77777777" w:rsidR="00F83215" w:rsidRPr="007676AD" w:rsidRDefault="00F83215" w:rsidP="007676AD">
      <w:pPr>
        <w:pStyle w:val="opplisting"/>
      </w:pPr>
      <w:r w:rsidRPr="007676AD">
        <w:t>Norske Sykehusfarmasøyters Forening</w:t>
      </w:r>
    </w:p>
    <w:p w14:paraId="5F757138" w14:textId="77777777" w:rsidR="00F83215" w:rsidRPr="007676AD" w:rsidRDefault="00F83215" w:rsidP="007676AD">
      <w:pPr>
        <w:pStyle w:val="opplisting"/>
      </w:pPr>
      <w:r w:rsidRPr="007676AD">
        <w:lastRenderedPageBreak/>
        <w:t>NHO – Næringslivets Hovedorganisasjo</w:t>
      </w:r>
      <w:r w:rsidRPr="007676AD">
        <w:t>n</w:t>
      </w:r>
    </w:p>
    <w:p w14:paraId="37854ABC" w14:textId="77777777" w:rsidR="00F83215" w:rsidRPr="007676AD" w:rsidRDefault="00F83215" w:rsidP="007676AD">
      <w:pPr>
        <w:pStyle w:val="opplisting"/>
      </w:pPr>
      <w:r w:rsidRPr="007676AD">
        <w:t>Parat</w:t>
      </w:r>
    </w:p>
    <w:p w14:paraId="0F90DC86" w14:textId="77777777" w:rsidR="00F83215" w:rsidRPr="007676AD" w:rsidRDefault="00F83215" w:rsidP="007676AD">
      <w:pPr>
        <w:pStyle w:val="opplisting"/>
      </w:pPr>
      <w:r w:rsidRPr="007676AD">
        <w:t>Pensjonistforbundet</w:t>
      </w:r>
    </w:p>
    <w:p w14:paraId="4368CC6F" w14:textId="77777777" w:rsidR="00F83215" w:rsidRPr="007676AD" w:rsidRDefault="00F83215" w:rsidP="007676AD">
      <w:pPr>
        <w:pStyle w:val="opplisting"/>
      </w:pPr>
      <w:r w:rsidRPr="007676AD">
        <w:t>Rådet for legeetikk</w:t>
      </w:r>
    </w:p>
    <w:p w14:paraId="26778A4E" w14:textId="77777777" w:rsidR="00F83215" w:rsidRPr="007676AD" w:rsidRDefault="00F83215" w:rsidP="007676AD">
      <w:pPr>
        <w:pStyle w:val="opplisting"/>
      </w:pPr>
      <w:r w:rsidRPr="007676AD">
        <w:t>Samarbeidsforumet av funksjonshemmedes organisasjoner SAFO</w:t>
      </w:r>
    </w:p>
    <w:p w14:paraId="53018CDB" w14:textId="77777777" w:rsidR="00F83215" w:rsidRPr="007676AD" w:rsidRDefault="00F83215" w:rsidP="007676AD">
      <w:pPr>
        <w:pStyle w:val="opplisting"/>
      </w:pPr>
      <w:r w:rsidRPr="007676AD">
        <w:t>Sex – og samfunn</w:t>
      </w:r>
    </w:p>
    <w:p w14:paraId="7D858213" w14:textId="77777777" w:rsidR="00F83215" w:rsidRPr="007676AD" w:rsidRDefault="00F83215" w:rsidP="007676AD">
      <w:pPr>
        <w:pStyle w:val="opplisting"/>
      </w:pPr>
      <w:r w:rsidRPr="007676AD">
        <w:t>SINTEF Helse</w:t>
      </w:r>
    </w:p>
    <w:p w14:paraId="05DC0EEA" w14:textId="77777777" w:rsidR="00F83215" w:rsidRPr="007676AD" w:rsidRDefault="00F83215" w:rsidP="007676AD">
      <w:pPr>
        <w:pStyle w:val="opplisting"/>
      </w:pPr>
      <w:r w:rsidRPr="007676AD">
        <w:t>Spekter</w:t>
      </w:r>
    </w:p>
    <w:p w14:paraId="6634CBCC" w14:textId="77777777" w:rsidR="00F83215" w:rsidRPr="007676AD" w:rsidRDefault="00F83215" w:rsidP="007676AD">
      <w:pPr>
        <w:pStyle w:val="opplisting"/>
      </w:pPr>
      <w:r w:rsidRPr="007676AD">
        <w:t>UNIO</w:t>
      </w:r>
    </w:p>
    <w:p w14:paraId="127B3212" w14:textId="77777777" w:rsidR="00F83215" w:rsidRPr="007676AD" w:rsidRDefault="00F83215" w:rsidP="007676AD">
      <w:pPr>
        <w:pStyle w:val="opplisting"/>
      </w:pPr>
      <w:r w:rsidRPr="007676AD">
        <w:t>Utdanningsforbundet</w:t>
      </w:r>
    </w:p>
    <w:p w14:paraId="1B3C91AA" w14:textId="77777777" w:rsidR="00F83215" w:rsidRPr="007676AD" w:rsidRDefault="00F83215" w:rsidP="007676AD">
      <w:pPr>
        <w:pStyle w:val="opplisting"/>
      </w:pPr>
      <w:r w:rsidRPr="007676AD">
        <w:t>Velferdsforskningsinstituttet NOVA</w:t>
      </w:r>
    </w:p>
    <w:p w14:paraId="7DACF847" w14:textId="77777777" w:rsidR="00F83215" w:rsidRPr="007676AD" w:rsidRDefault="00F83215" w:rsidP="007676AD">
      <w:pPr>
        <w:pStyle w:val="opplisting"/>
      </w:pPr>
      <w:r w:rsidRPr="007676AD">
        <w:t>Virke</w:t>
      </w:r>
    </w:p>
    <w:p w14:paraId="6FBDAD9B" w14:textId="77777777" w:rsidR="00F83215" w:rsidRPr="007676AD" w:rsidRDefault="00F83215" w:rsidP="007676AD">
      <w:pPr>
        <w:pStyle w:val="opplisting"/>
      </w:pPr>
      <w:r w:rsidRPr="007676AD">
        <w:t>Visma</w:t>
      </w:r>
    </w:p>
    <w:p w14:paraId="5ABA1036" w14:textId="77777777" w:rsidR="00F83215" w:rsidRPr="007676AD" w:rsidRDefault="00F83215" w:rsidP="007676AD">
      <w:pPr>
        <w:pStyle w:val="opplisting"/>
      </w:pPr>
      <w:r w:rsidRPr="007676AD">
        <w:t>Yngre legers forening</w:t>
      </w:r>
    </w:p>
    <w:p w14:paraId="2F0CE007" w14:textId="77777777" w:rsidR="00F83215" w:rsidRPr="007676AD" w:rsidRDefault="00F83215" w:rsidP="007676AD">
      <w:pPr>
        <w:pStyle w:val="opplisting"/>
      </w:pPr>
      <w:r w:rsidRPr="007676AD">
        <w:t>Yrkesorganisasjonenes Sentralforbund (YS)</w:t>
      </w:r>
    </w:p>
    <w:p w14:paraId="1BFB426A" w14:textId="77777777" w:rsidR="00F83215" w:rsidRPr="007676AD" w:rsidRDefault="00F83215" w:rsidP="007676AD">
      <w:r w:rsidRPr="007676AD">
        <w:t>Det innkom 24 høringssvar, hvorav 18 var med merknader. 12 av disse hadde merknader til lovforslagene. Departementet mottok slike merknader fra følgende høringsinstanser:</w:t>
      </w:r>
    </w:p>
    <w:p w14:paraId="112F9621" w14:textId="77777777" w:rsidR="00F83215" w:rsidRPr="007676AD" w:rsidRDefault="00F83215" w:rsidP="007676AD">
      <w:pPr>
        <w:pStyle w:val="opplisting"/>
      </w:pPr>
      <w:r w:rsidRPr="007676AD">
        <w:t>Statens legemiddelver</w:t>
      </w:r>
      <w:r w:rsidRPr="007676AD">
        <w:t>k</w:t>
      </w:r>
    </w:p>
    <w:p w14:paraId="699F3D9D" w14:textId="77777777" w:rsidR="00F83215" w:rsidRPr="007676AD" w:rsidRDefault="00F83215" w:rsidP="007676AD"/>
    <w:p w14:paraId="1D0B90C5" w14:textId="77777777" w:rsidR="00F83215" w:rsidRPr="007676AD" w:rsidRDefault="00F83215" w:rsidP="007676AD">
      <w:pPr>
        <w:pStyle w:val="opplisting"/>
      </w:pPr>
      <w:r w:rsidRPr="007676AD">
        <w:t>Helse Midt-Norge RHF</w:t>
      </w:r>
    </w:p>
    <w:p w14:paraId="5FBD9C26" w14:textId="77777777" w:rsidR="00F83215" w:rsidRPr="007676AD" w:rsidRDefault="00F83215" w:rsidP="007676AD">
      <w:pPr>
        <w:pStyle w:val="opplisting"/>
      </w:pPr>
      <w:r w:rsidRPr="007676AD">
        <w:t>Helse Vest RHF</w:t>
      </w:r>
    </w:p>
    <w:p w14:paraId="081C3BB2" w14:textId="77777777" w:rsidR="00F83215" w:rsidRPr="007676AD" w:rsidRDefault="00F83215" w:rsidP="007676AD">
      <w:pPr>
        <w:pStyle w:val="opplisting"/>
      </w:pPr>
      <w:r w:rsidRPr="007676AD">
        <w:t>Helse Sør-Øst RHF</w:t>
      </w:r>
    </w:p>
    <w:p w14:paraId="3E2ABFA1" w14:textId="77777777" w:rsidR="00F83215" w:rsidRPr="007676AD" w:rsidRDefault="00F83215" w:rsidP="007676AD">
      <w:pPr>
        <w:pStyle w:val="opplisting"/>
      </w:pPr>
      <w:r w:rsidRPr="007676AD">
        <w:t>Oslo Universitetssykehus</w:t>
      </w:r>
    </w:p>
    <w:p w14:paraId="09066486" w14:textId="77777777" w:rsidR="00F83215" w:rsidRPr="007676AD" w:rsidRDefault="00F83215" w:rsidP="007676AD">
      <w:pPr>
        <w:pStyle w:val="opplisting"/>
      </w:pPr>
      <w:r w:rsidRPr="007676AD">
        <w:t>St. Olavs hospital HF</w:t>
      </w:r>
    </w:p>
    <w:p w14:paraId="554B24C5" w14:textId="77777777" w:rsidR="00F83215" w:rsidRPr="007676AD" w:rsidRDefault="00F83215" w:rsidP="007676AD">
      <w:pPr>
        <w:pStyle w:val="opplisting"/>
      </w:pPr>
      <w:r w:rsidRPr="007676AD">
        <w:t>Sykehuset i Vestfold</w:t>
      </w:r>
    </w:p>
    <w:p w14:paraId="3ECE8D55" w14:textId="77777777" w:rsidR="00F83215" w:rsidRPr="007676AD" w:rsidRDefault="00F83215" w:rsidP="007676AD">
      <w:pPr>
        <w:pStyle w:val="opplisting"/>
      </w:pPr>
      <w:r w:rsidRPr="007676AD">
        <w:t>Sykehusinnkjøp HF, divisjon legemidler</w:t>
      </w:r>
    </w:p>
    <w:p w14:paraId="1510C1B6" w14:textId="77777777" w:rsidR="00F83215" w:rsidRPr="007676AD" w:rsidRDefault="00F83215" w:rsidP="007676AD"/>
    <w:p w14:paraId="3EE40FB3" w14:textId="77777777" w:rsidR="00F83215" w:rsidRPr="007676AD" w:rsidRDefault="00F83215" w:rsidP="007676AD">
      <w:pPr>
        <w:pStyle w:val="opplisting"/>
      </w:pPr>
      <w:r w:rsidRPr="007676AD">
        <w:t>Apotekforeningen</w:t>
      </w:r>
    </w:p>
    <w:p w14:paraId="4E3B22CA" w14:textId="77777777" w:rsidR="00F83215" w:rsidRPr="007676AD" w:rsidRDefault="00F83215" w:rsidP="007676AD">
      <w:pPr>
        <w:pStyle w:val="opplisting"/>
      </w:pPr>
      <w:r w:rsidRPr="007676AD">
        <w:t>Institutt for Energiteknikk</w:t>
      </w:r>
    </w:p>
    <w:p w14:paraId="4DB27447" w14:textId="77777777" w:rsidR="00F83215" w:rsidRPr="007676AD" w:rsidRDefault="00F83215" w:rsidP="007676AD">
      <w:pPr>
        <w:pStyle w:val="opplisting"/>
      </w:pPr>
      <w:r w:rsidRPr="007676AD">
        <w:t>Legemiddelgrossistforeningen</w:t>
      </w:r>
    </w:p>
    <w:p w14:paraId="522399EA" w14:textId="77777777" w:rsidR="00F83215" w:rsidRPr="007676AD" w:rsidRDefault="00F83215" w:rsidP="007676AD">
      <w:pPr>
        <w:pStyle w:val="opplisting"/>
      </w:pPr>
      <w:r w:rsidRPr="007676AD">
        <w:t>Legemiddelindustr</w:t>
      </w:r>
      <w:r w:rsidRPr="007676AD">
        <w:t>ien</w:t>
      </w:r>
    </w:p>
    <w:p w14:paraId="3AD482D8" w14:textId="77777777" w:rsidR="00F83215" w:rsidRPr="007676AD" w:rsidRDefault="00F83215" w:rsidP="007676AD">
      <w:r w:rsidRPr="007676AD">
        <w:t xml:space="preserve">Følgende instanser som </w:t>
      </w:r>
      <w:proofErr w:type="gramStart"/>
      <w:r w:rsidRPr="007676AD">
        <w:t>avga</w:t>
      </w:r>
      <w:proofErr w:type="gramEnd"/>
      <w:r w:rsidRPr="007676AD">
        <w:t xml:space="preserve"> høringssvar, hadde ikke merknader til lovforslagene:</w:t>
      </w:r>
    </w:p>
    <w:p w14:paraId="05AC7456" w14:textId="77777777" w:rsidR="00F83215" w:rsidRPr="007676AD" w:rsidRDefault="00F83215" w:rsidP="007676AD">
      <w:pPr>
        <w:pStyle w:val="opplisting"/>
      </w:pPr>
      <w:r w:rsidRPr="007676AD">
        <w:t>Folkehelseinstituttet</w:t>
      </w:r>
    </w:p>
    <w:p w14:paraId="43F7AEE1" w14:textId="77777777" w:rsidR="00F83215" w:rsidRPr="007676AD" w:rsidRDefault="00F83215" w:rsidP="007676AD">
      <w:pPr>
        <w:pStyle w:val="opplisting"/>
      </w:pPr>
      <w:r w:rsidRPr="007676AD">
        <w:t>Mattilsynet</w:t>
      </w:r>
    </w:p>
    <w:p w14:paraId="0FFCCAF4" w14:textId="77777777" w:rsidR="00F83215" w:rsidRPr="007676AD" w:rsidRDefault="00F83215" w:rsidP="007676AD"/>
    <w:p w14:paraId="7002A49D" w14:textId="77777777" w:rsidR="00F83215" w:rsidRPr="007676AD" w:rsidRDefault="00F83215" w:rsidP="007676AD">
      <w:pPr>
        <w:pStyle w:val="opplisting"/>
      </w:pPr>
      <w:r w:rsidRPr="007676AD">
        <w:t>Helse Bergen HF, Legemiddelkomiteen</w:t>
      </w:r>
    </w:p>
    <w:p w14:paraId="30722128" w14:textId="77777777" w:rsidR="00F83215" w:rsidRPr="007676AD" w:rsidRDefault="00F83215" w:rsidP="007676AD"/>
    <w:p w14:paraId="256EDAC4" w14:textId="77777777" w:rsidR="00F83215" w:rsidRPr="007676AD" w:rsidRDefault="00F83215" w:rsidP="007676AD">
      <w:pPr>
        <w:pStyle w:val="opplisting"/>
      </w:pPr>
      <w:r w:rsidRPr="007676AD">
        <w:t xml:space="preserve">Norges </w:t>
      </w:r>
      <w:proofErr w:type="spellStart"/>
      <w:r w:rsidRPr="007676AD">
        <w:t>Farmaceutiske</w:t>
      </w:r>
      <w:proofErr w:type="spellEnd"/>
      <w:r w:rsidRPr="007676AD">
        <w:t xml:space="preserve"> Forening</w:t>
      </w:r>
    </w:p>
    <w:p w14:paraId="28CB65E0" w14:textId="77777777" w:rsidR="00F83215" w:rsidRPr="007676AD" w:rsidRDefault="00F83215" w:rsidP="007676AD">
      <w:pPr>
        <w:pStyle w:val="opplisting"/>
      </w:pPr>
      <w:r w:rsidRPr="007676AD">
        <w:t>Norske Sykehusfarmasøyters Forening</w:t>
      </w:r>
    </w:p>
    <w:p w14:paraId="1E0FFF98" w14:textId="77777777" w:rsidR="00F83215" w:rsidRPr="007676AD" w:rsidRDefault="00F83215" w:rsidP="007676AD">
      <w:pPr>
        <w:pStyle w:val="opplisting"/>
      </w:pPr>
      <w:r w:rsidRPr="007676AD">
        <w:t>Norsk Sykepleierforbund</w:t>
      </w:r>
    </w:p>
    <w:p w14:paraId="66CD2D0E" w14:textId="77777777" w:rsidR="00F83215" w:rsidRPr="007676AD" w:rsidRDefault="00F83215" w:rsidP="007676AD">
      <w:r w:rsidRPr="007676AD">
        <w:t xml:space="preserve">Følgende instanser som </w:t>
      </w:r>
      <w:proofErr w:type="gramStart"/>
      <w:r w:rsidRPr="007676AD">
        <w:t>avga</w:t>
      </w:r>
      <w:proofErr w:type="gramEnd"/>
      <w:r w:rsidRPr="007676AD">
        <w:t xml:space="preserve"> høringssvar, hadde ikke merknader:</w:t>
      </w:r>
    </w:p>
    <w:p w14:paraId="68464CD2" w14:textId="77777777" w:rsidR="00F83215" w:rsidRPr="007676AD" w:rsidRDefault="00F83215" w:rsidP="007676AD">
      <w:pPr>
        <w:pStyle w:val="opplisting"/>
      </w:pPr>
      <w:r w:rsidRPr="007676AD">
        <w:lastRenderedPageBreak/>
        <w:t>Forsvarsdepartementet</w:t>
      </w:r>
    </w:p>
    <w:p w14:paraId="6BFE1337" w14:textId="77777777" w:rsidR="00F83215" w:rsidRPr="007676AD" w:rsidRDefault="00F83215" w:rsidP="007676AD">
      <w:pPr>
        <w:pStyle w:val="opplisting"/>
      </w:pPr>
      <w:r w:rsidRPr="007676AD">
        <w:t>Justis- og beredskapsdepartementet</w:t>
      </w:r>
    </w:p>
    <w:p w14:paraId="0D3419A6" w14:textId="77777777" w:rsidR="00F83215" w:rsidRPr="007676AD" w:rsidRDefault="00F83215" w:rsidP="007676AD">
      <w:pPr>
        <w:pStyle w:val="opplisting"/>
      </w:pPr>
      <w:r w:rsidRPr="007676AD">
        <w:t>Klima- og miljødepartementet</w:t>
      </w:r>
    </w:p>
    <w:p w14:paraId="22C8A1BD" w14:textId="77777777" w:rsidR="00F83215" w:rsidRPr="007676AD" w:rsidRDefault="00F83215" w:rsidP="007676AD">
      <w:pPr>
        <w:pStyle w:val="opplisting"/>
      </w:pPr>
      <w:r w:rsidRPr="007676AD">
        <w:t>Samferdselsdepartementet</w:t>
      </w:r>
    </w:p>
    <w:p w14:paraId="05F19E7D" w14:textId="77777777" w:rsidR="00F83215" w:rsidRPr="007676AD" w:rsidRDefault="00F83215" w:rsidP="007676AD">
      <w:pPr>
        <w:pStyle w:val="opplisting"/>
      </w:pPr>
      <w:r w:rsidRPr="007676AD">
        <w:t>Utenriksdepartementet</w:t>
      </w:r>
    </w:p>
    <w:p w14:paraId="2159D82F" w14:textId="77777777" w:rsidR="00F83215" w:rsidRPr="007676AD" w:rsidRDefault="00F83215" w:rsidP="007676AD"/>
    <w:p w14:paraId="0EC75473" w14:textId="77777777" w:rsidR="00F83215" w:rsidRPr="007676AD" w:rsidRDefault="00F83215" w:rsidP="007676AD">
      <w:pPr>
        <w:pStyle w:val="opplisting"/>
      </w:pPr>
      <w:r w:rsidRPr="007676AD">
        <w:t>Vestre Viken HF</w:t>
      </w:r>
    </w:p>
    <w:p w14:paraId="0FFF7D4C" w14:textId="77777777" w:rsidR="00F83215" w:rsidRPr="007676AD" w:rsidRDefault="00F83215" w:rsidP="007676AD">
      <w:pPr>
        <w:pStyle w:val="Overskrift2"/>
      </w:pPr>
      <w:r w:rsidRPr="007676AD">
        <w:t>Myndighetsf</w:t>
      </w:r>
      <w:r w:rsidRPr="007676AD">
        <w:t>astsatt grossistavanse</w:t>
      </w:r>
    </w:p>
    <w:p w14:paraId="577684F4" w14:textId="77777777" w:rsidR="00F83215" w:rsidRPr="007676AD" w:rsidRDefault="00F83215" w:rsidP="007676AD">
      <w:pPr>
        <w:pStyle w:val="Overskrift3"/>
      </w:pPr>
      <w:r w:rsidRPr="007676AD">
        <w:t>Gjeldende rett</w:t>
      </w:r>
    </w:p>
    <w:p w14:paraId="78D77541" w14:textId="77777777" w:rsidR="00F83215" w:rsidRPr="007676AD" w:rsidRDefault="00F83215" w:rsidP="007676AD">
      <w:r w:rsidRPr="007676AD">
        <w:t>Direktoratet for medisinske produkter fastsetter legemidlers maksimale innkjøpspris til apotek (maksimal AIP), jf. legemiddelforskriften §§ </w:t>
      </w:r>
      <w:r w:rsidRPr="007676AD">
        <w:t>12-1 og 12-2. Legemiddelprodusentenes pris til grossist og grossistens avanse er ikke regulert i legemiddelforskriften. Produsentenes pris til grossist og dermed også grossistens avanse bestemmes som utgangspunkt i avtaler mellom legemiddelprodusenter og g</w:t>
      </w:r>
      <w:r w:rsidRPr="007676AD">
        <w:t xml:space="preserve">rossister. Maksimal AIP er også den høyeste prisen grossister kan selge legemidler for til apotek. Maksimal utsalgspris fra apotek (AUP) </w:t>
      </w:r>
      <w:proofErr w:type="gramStart"/>
      <w:r w:rsidRPr="007676AD">
        <w:t>fremkommer</w:t>
      </w:r>
      <w:proofErr w:type="gramEnd"/>
      <w:r w:rsidRPr="007676AD">
        <w:t xml:space="preserve"> ved å legge til maksimal avanse jf. legemiddelforskriften § 12-3 og merverdiavgift. Maksimal avanse fastsett</w:t>
      </w:r>
      <w:r w:rsidRPr="007676AD">
        <w:t>es av Direktoratet for medisinske produkter.</w:t>
      </w:r>
    </w:p>
    <w:p w14:paraId="7CBA3F09" w14:textId="3471D536" w:rsidR="00F83215" w:rsidRPr="007676AD" w:rsidRDefault="00F83215" w:rsidP="007676AD">
      <w:r w:rsidRPr="007676AD">
        <w:t xml:space="preserve">Der spesialisthelsetjenesten har behandlingsansvar for en legemiddelbehandling, plasseres finansieringsansvaret hos de regionale helseforetakene, jf. Meld. St. 34 (2015–2016) s. 149, </w:t>
      </w:r>
      <w:proofErr w:type="spellStart"/>
      <w:r w:rsidRPr="007676AD">
        <w:t>Innst</w:t>
      </w:r>
      <w:proofErr w:type="spellEnd"/>
      <w:r w:rsidRPr="007676AD">
        <w:t>. 57 S (2016–2017) s. 2</w:t>
      </w:r>
      <w:r w:rsidRPr="007676AD">
        <w:t>1, jf. blåreseptforskriften § 1b. Det gjelder også legemiddelbehandling som skjer utenfor sykehus. Dette omfatter såkalte h</w:t>
      </w:r>
      <w:r w:rsidR="007676AD">
        <w:t>-</w:t>
      </w:r>
      <w:r w:rsidRPr="007676AD">
        <w:t>reseptlegemidler i tillegg til LAR-legemidler og legemidler til tarmtømming. H-reseptlegemidler kan hentes ut ved alle landets apote</w:t>
      </w:r>
      <w:r w:rsidRPr="007676AD">
        <w:t>k.</w:t>
      </w:r>
    </w:p>
    <w:p w14:paraId="1011495D" w14:textId="77777777" w:rsidR="00F83215" w:rsidRPr="007676AD" w:rsidRDefault="00F83215" w:rsidP="007676AD">
      <w:r w:rsidRPr="007676AD">
        <w:t>Sykehusinnkjøp HF anskaffer legemidler til spesialisthelsetjenesten gjennom anbud, hvor legemiddelleverandørene inngir tilbud om grossist innkjøpspris (RHF-GIP). Sykehusinnkjøp HF har også inngåt</w:t>
      </w:r>
      <w:r w:rsidRPr="007676AD">
        <w:t xml:space="preserve">t avtaler med alle de tre landsdekkende legemiddelgrossistene Alliance </w:t>
      </w:r>
      <w:proofErr w:type="spellStart"/>
      <w:r w:rsidRPr="007676AD">
        <w:t>HealthCare</w:t>
      </w:r>
      <w:proofErr w:type="spellEnd"/>
      <w:r w:rsidRPr="007676AD">
        <w:t xml:space="preserve"> Norge AS (AHN), Norsk Medisinaldepot AS og Apotek1 Gruppen AS om distribusjon av helseforetaksfinansierte legemidler (h-reseptlegemidler) og LAR-legemidler til private apotek</w:t>
      </w:r>
      <w:r w:rsidRPr="007676AD">
        <w:t>. I tillegg har Sykehusapotekene HF avtale med AHN om distribusjon av legemidler til alle landets sykehus og sykehusapotek. Avtalene som blir inngått med legemiddelprodusenter og grossistene medfører at helseforetakene anskaffer legemidler til lavere prise</w:t>
      </w:r>
      <w:r w:rsidRPr="007676AD">
        <w:t>r enn den myndighetsfastsatte maksimale AIP.</w:t>
      </w:r>
    </w:p>
    <w:p w14:paraId="02382977" w14:textId="77777777" w:rsidR="00F83215" w:rsidRPr="007676AD" w:rsidRDefault="00F83215" w:rsidP="007676AD">
      <w:r w:rsidRPr="007676AD">
        <w:t xml:space="preserve">I </w:t>
      </w:r>
      <w:proofErr w:type="gramStart"/>
      <w:r w:rsidRPr="007676AD">
        <w:t>medhold av</w:t>
      </w:r>
      <w:proofErr w:type="gramEnd"/>
      <w:r w:rsidRPr="007676AD">
        <w:t xml:space="preserve"> legemiddelloven § 6 fjerde ledd, kan departementet i forskrift pålegge grossister en maksimal avanse ved distribusjon av legemidler som apotek har fremforhandlet direkte med leverandør. Bestemmelsen</w:t>
      </w:r>
      <w:r w:rsidRPr="007676AD">
        <w:t xml:space="preserve"> er fastsatt med bakgrunn i trinnprissystemet. Fra departementets høring av bestemmelsen i 2006 hitsettes:</w:t>
      </w:r>
    </w:p>
    <w:p w14:paraId="3F9B61F1" w14:textId="77777777" w:rsidR="00F83215" w:rsidRPr="007676AD" w:rsidRDefault="00F83215" w:rsidP="007676AD">
      <w:pPr>
        <w:pStyle w:val="blokksit"/>
      </w:pPr>
      <w:r w:rsidRPr="007676AD">
        <w:t>Departementet ønsker å sikre apoteks mulighet til å inngå direkte avtaler med leverandør. Det er viktig at de rabattene som oppnås i direkte i forhan</w:t>
      </w:r>
      <w:r w:rsidRPr="007676AD">
        <w:t>dlinger med leverandør videreføres gjennom grossistleddet. Departementet vurderer derfor å fastsette et generelt tak på grossistavansen for apoteks leveranser fremforhandlet direkte med produsent, slik at apotek kan nyte godt av opp</w:t>
      </w:r>
      <w:r w:rsidRPr="007676AD">
        <w:lastRenderedPageBreak/>
        <w:t>nådd forhandlingsresulta</w:t>
      </w:r>
      <w:r w:rsidRPr="007676AD">
        <w:t>t i form av økt apotekavanse. Ordlyden i legemiddelforskriften § 12-19 er foreslått endret slik at grossistavansen, i tilfeller der apotek selv inngår avtaler med leverandørene, reguleres til maksimalt 15 prosent av GIP (grossistens innkjøpspris). Endringe</w:t>
      </w:r>
      <w:r w:rsidRPr="007676AD">
        <w:t>n innebærer at dagens ordning, som bare gjelder to av landets grossister og selvstendige apotek, kan utvides til å gjelde alle grossister og alle apotek.</w:t>
      </w:r>
    </w:p>
    <w:p w14:paraId="47093EBB" w14:textId="77777777" w:rsidR="00F83215" w:rsidRPr="007676AD" w:rsidRDefault="00F83215" w:rsidP="007676AD">
      <w:pPr>
        <w:pStyle w:val="Overskrift3"/>
      </w:pPr>
      <w:r w:rsidRPr="007676AD">
        <w:t>Høringsforslaget</w:t>
      </w:r>
    </w:p>
    <w:p w14:paraId="48B87728" w14:textId="77777777" w:rsidR="00F83215" w:rsidRPr="007676AD" w:rsidRDefault="00F83215" w:rsidP="007676AD">
      <w:r w:rsidRPr="007676AD">
        <w:t>Tilsvarende som omtalt i høringen nevnt over, er det viktig at de rabatte</w:t>
      </w:r>
      <w:r w:rsidRPr="007676AD">
        <w:t>ne som Sykehusinnkjøp HF oppnår i anskaffelser og direkte i forhandlinger med legemiddelprodusent videreføres gjennom grossistleddet. I høringen fremholdt departementet at så langt har rabattene vært sikret ved at grossister gjennom grossistavtaler har for</w:t>
      </w:r>
      <w:r w:rsidRPr="007676AD">
        <w:t>pliktet seg til å distribuere legemidlene til fremforhandlet pris (RHF-GIP) med tillegg av avtalt grossistavanse. Skulle det imidlertid oppstå en situasjon hvor slik grossistavtale ikke foreligger, er det den fastsatte maksimal AIP som bestemmer sykehusene</w:t>
      </w:r>
      <w:r w:rsidRPr="007676AD">
        <w:t>s maksimale innkjøpspris. Dette kan medføre at fremforhandlede rabatter ikke nødvendigvis når frem til helseforetakene. Departementet foreslo derfor at det gis hjemmel i legemiddelloven til å fastsette grossistavansen for helseforetaksfinansierte legemidle</w:t>
      </w:r>
      <w:r w:rsidRPr="007676AD">
        <w:t>r i forskrift. I tillegg ble det foreslått hjemmel for å fastsette forskrifter om gjennomføringen av slik distribusjon.</w:t>
      </w:r>
    </w:p>
    <w:p w14:paraId="67C01099" w14:textId="77777777" w:rsidR="00F83215" w:rsidRPr="007676AD" w:rsidRDefault="00F83215" w:rsidP="007676AD">
      <w:pPr>
        <w:pStyle w:val="Overskrift3"/>
      </w:pPr>
      <w:r w:rsidRPr="007676AD">
        <w:t>Høringsinstansenes syn</w:t>
      </w:r>
    </w:p>
    <w:p w14:paraId="4E4999F8" w14:textId="77777777" w:rsidR="00F83215" w:rsidRPr="007676AD" w:rsidRDefault="00F83215" w:rsidP="007676AD">
      <w:pPr>
        <w:rPr>
          <w:rStyle w:val="kursiv"/>
        </w:rPr>
      </w:pPr>
      <w:r w:rsidRPr="007676AD">
        <w:rPr>
          <w:rStyle w:val="kursiv"/>
        </w:rPr>
        <w:t>Statens legemiddelverk, Helse Midt-Norge RHF, Helse Vest RHF, Helse Sør-Øst RHF, Oslo Universitetssyk</w:t>
      </w:r>
      <w:r w:rsidRPr="007676AD">
        <w:rPr>
          <w:rStyle w:val="kursiv"/>
        </w:rPr>
        <w:t xml:space="preserve">ehus, Sykehuset i Vestfold, Sykehusinnkjøp HF, divisjon legemidler, Apotekforeningen, Institutt for Energiteknikk </w:t>
      </w:r>
      <w:r w:rsidRPr="007676AD">
        <w:t>og</w:t>
      </w:r>
      <w:r w:rsidRPr="007676AD">
        <w:rPr>
          <w:rStyle w:val="kursiv"/>
        </w:rPr>
        <w:t xml:space="preserve"> Legemiddelgrossistforeningen </w:t>
      </w:r>
      <w:r w:rsidRPr="007676AD">
        <w:t>har kommentert forslaget.</w:t>
      </w:r>
    </w:p>
    <w:p w14:paraId="78A49782" w14:textId="77777777" w:rsidR="00F83215" w:rsidRPr="007676AD" w:rsidRDefault="00F83215" w:rsidP="007676AD">
      <w:pPr>
        <w:rPr>
          <w:rStyle w:val="kursiv"/>
        </w:rPr>
      </w:pPr>
      <w:r w:rsidRPr="007676AD">
        <w:rPr>
          <w:rStyle w:val="kursiv"/>
        </w:rPr>
        <w:t>Institutt for Energiteknikk, Helse Midt-Norge RHF, Helse Vest RHF, Helse Sør-Øst RHF</w:t>
      </w:r>
      <w:r w:rsidRPr="007676AD">
        <w:rPr>
          <w:rStyle w:val="kursiv"/>
        </w:rPr>
        <w:t xml:space="preserve">, Oslo universitetssykehus, Sykehuset i Vestfold </w:t>
      </w:r>
      <w:r w:rsidRPr="007676AD">
        <w:t xml:space="preserve">og </w:t>
      </w:r>
      <w:r w:rsidRPr="007676AD">
        <w:rPr>
          <w:rStyle w:val="kursiv"/>
        </w:rPr>
        <w:t xml:space="preserve">Sykehusinnkjøp HF, divisjon legemidler </w:t>
      </w:r>
      <w:r w:rsidRPr="007676AD">
        <w:t>støtter forslaget om myndighetsfastsatt grossistavanse.</w:t>
      </w:r>
    </w:p>
    <w:p w14:paraId="5D553CF4" w14:textId="77777777" w:rsidR="00F83215" w:rsidRPr="007676AD" w:rsidRDefault="00F83215" w:rsidP="007676AD">
      <w:pPr>
        <w:rPr>
          <w:rStyle w:val="kursiv"/>
        </w:rPr>
      </w:pPr>
      <w:r w:rsidRPr="007676AD">
        <w:rPr>
          <w:rStyle w:val="kursiv"/>
        </w:rPr>
        <w:t xml:space="preserve">Institutt for Energiteknikk </w:t>
      </w:r>
      <w:r w:rsidRPr="007676AD">
        <w:t>støtter også at det gis hjemmel for fastsettelse av forskrifter om gjennomføringe</w:t>
      </w:r>
      <w:r w:rsidRPr="007676AD">
        <w:t>n av slik distribusjon, herunder krav til sortimentsomfang for helseforetaksfinansierte legemidler, jf. legemiddelloven § 14 tredje ledd. IFE vil imidlertid vektlegge at skal forskriften omfatte radiofarmaka, må forskriften avspeile de særskilte forhold so</w:t>
      </w:r>
      <w:r w:rsidRPr="007676AD">
        <w:t>m gjelder grossist og detaljistvirksomhet med radiofarmaka (avanse/kostnadsgrunnlag). IFE stiller seg positiv til å bidra i arbeidet og høring av eventuelle forskrift som skal regulere grossistavanse for radiofarmaka.</w:t>
      </w:r>
    </w:p>
    <w:p w14:paraId="2A1037AE" w14:textId="77777777" w:rsidR="00F83215" w:rsidRPr="007676AD" w:rsidRDefault="00F83215" w:rsidP="007676AD">
      <w:pPr>
        <w:rPr>
          <w:rStyle w:val="kursiv"/>
        </w:rPr>
      </w:pPr>
      <w:r w:rsidRPr="007676AD">
        <w:rPr>
          <w:rStyle w:val="kursiv"/>
        </w:rPr>
        <w:t>Statens legemiddelverk</w:t>
      </w:r>
      <w:r w:rsidRPr="007676AD">
        <w:t xml:space="preserve"> foreslår å erst</w:t>
      </w:r>
      <w:r w:rsidRPr="007676AD">
        <w:t>atte «pålegge grossister en maksimal avanse» med «fastsette en maksimal grossistavanse». Det vises til at det er frivillig om grossisten vil ta en lavere avanse enn den maksimale. Av den grunn brukes «fastsette» i andre reguleringer og omtaler om maksimale</w:t>
      </w:r>
      <w:r w:rsidRPr="007676AD">
        <w:t xml:space="preserve"> priser og avanser. Eksisterende bestemmelse om maksimal grossistavanse på priser apotek har fremforhandlet selv, bruker også formuleringen «pålegge grossister en maksimal avanse». For å være konsekvent, bør dette også endres.</w:t>
      </w:r>
    </w:p>
    <w:p w14:paraId="4B34DC49" w14:textId="77777777" w:rsidR="00F83215" w:rsidRPr="007676AD" w:rsidRDefault="00F83215" w:rsidP="007676AD">
      <w:r w:rsidRPr="007676AD">
        <w:t>Apotekforeningen uttrykker fo</w:t>
      </w:r>
      <w:r w:rsidRPr="007676AD">
        <w:t xml:space="preserve">rståelse for at myndighetene ønsker en slik sikkerhet som det vil innebære å kunne fastsette grossistmarginen. Det vises til at det for apotekene er det viktig å </w:t>
      </w:r>
      <w:r w:rsidRPr="007676AD">
        <w:lastRenderedPageBreak/>
        <w:t>kunne benytte sin faste grossist også for helseforetaksfinansierte legemidler. De støtter derf</w:t>
      </w:r>
      <w:r w:rsidRPr="007676AD">
        <w:t>or en løsning som sikrer distribusjon gjennom alle de tre store grossistene.</w:t>
      </w:r>
    </w:p>
    <w:p w14:paraId="45F3C0B3" w14:textId="77777777" w:rsidR="00F83215" w:rsidRPr="007676AD" w:rsidRDefault="00F83215" w:rsidP="007676AD">
      <w:pPr>
        <w:rPr>
          <w:rStyle w:val="kursiv"/>
        </w:rPr>
      </w:pPr>
      <w:r w:rsidRPr="007676AD">
        <w:rPr>
          <w:rStyle w:val="kursiv"/>
        </w:rPr>
        <w:t xml:space="preserve">Apotekforeningen </w:t>
      </w:r>
      <w:r w:rsidRPr="007676AD">
        <w:t>og</w:t>
      </w:r>
      <w:r w:rsidRPr="007676AD">
        <w:rPr>
          <w:rStyle w:val="kursiv"/>
        </w:rPr>
        <w:t xml:space="preserve"> Legemiddelgrossistforeningen</w:t>
      </w:r>
      <w:r w:rsidRPr="007676AD">
        <w:t xml:space="preserve"> fremholder at et alternativ til myndighetsfastsatt grossistavanse, er at apotek kjøper og selger legemidlene til maksimalpriser, o</w:t>
      </w:r>
      <w:r w:rsidRPr="007676AD">
        <w:t xml:space="preserve">g at helseforetakene får refundert rabattene direkte fra legemiddelprodusentene. Ordningen vil etter deres syn gjøre det vesentlig enklere å opprettholde hemmelige priser. </w:t>
      </w:r>
      <w:r w:rsidRPr="007676AD">
        <w:rPr>
          <w:rStyle w:val="kursiv"/>
        </w:rPr>
        <w:t>Apotekforeningen</w:t>
      </w:r>
      <w:r w:rsidRPr="007676AD">
        <w:t xml:space="preserve"> mener hjemmelen for myndighetsfastsatt grossistavanse må begrenses </w:t>
      </w:r>
      <w:r w:rsidRPr="007676AD">
        <w:t>til de legemidlene som omfattes av forskrift om helseforetaksfinansierte reseptlegemidler til bruk utenom sykehus. Dette innebærer at legemidler som brukes på sykehus holdes utenfor. Apotekforeningen viser til at det for slike legemidler er konkurranse mel</w:t>
      </w:r>
      <w:r w:rsidRPr="007676AD">
        <w:t>lom alle grossistene i Norge om å levere legemidler til sykehus, og det er ikke behov for å regulere avansen. Videre bør også legemidler som brukes utenfor sykehus, men som ikke skrives ut på h-resept, holdes utenfor. Dette er legemidler som i dag ikke reg</w:t>
      </w:r>
      <w:r w:rsidRPr="007676AD">
        <w:t>uleres av samme grossistavtale som h-reseptlegemidler, f.eks. legemidler i LAR og tarmtømmingsmidler.</w:t>
      </w:r>
    </w:p>
    <w:p w14:paraId="3334673F" w14:textId="77777777" w:rsidR="00F83215" w:rsidRPr="007676AD" w:rsidRDefault="00F83215" w:rsidP="007676AD">
      <w:pPr>
        <w:rPr>
          <w:rStyle w:val="kursiv"/>
        </w:rPr>
      </w:pPr>
      <w:r w:rsidRPr="007676AD">
        <w:rPr>
          <w:rStyle w:val="kursiv"/>
        </w:rPr>
        <w:t xml:space="preserve">Legemiddelgrossistforeningen </w:t>
      </w:r>
      <w:r w:rsidRPr="007676AD">
        <w:t>gir uttrykk for at de ikke ser behov for at det ved myndighetsfastsatt grossistavanse for helseforetaksfinansierte legemidler</w:t>
      </w:r>
      <w:r w:rsidRPr="007676AD">
        <w:t xml:space="preserve"> som selges gjennom primærapotekene skal kombineres med et krav til sortimentsbredde. De viser til at i Norge er grossistene og apotekene vertikal integrerte og det er viktig for apotekene å få leveranser av legemidler fra sin </w:t>
      </w:r>
      <w:proofErr w:type="spellStart"/>
      <w:r w:rsidRPr="007676AD">
        <w:t>hovedgrossist</w:t>
      </w:r>
      <w:proofErr w:type="spellEnd"/>
      <w:r w:rsidRPr="007676AD">
        <w:t>. Grossistene ha</w:t>
      </w:r>
      <w:r w:rsidRPr="007676AD">
        <w:t>r derfor en interesse i å få til en løsning for leveranser av helseforetaksfinansierte legemidler som selges gjennom primærapotekene, slik at det ikke vil være behov for en hjemmel om krav til sortimentsomfang på disse varene.</w:t>
      </w:r>
    </w:p>
    <w:p w14:paraId="7C69BC04" w14:textId="77777777" w:rsidR="00F83215" w:rsidRPr="007676AD" w:rsidRDefault="00F83215" w:rsidP="007676AD">
      <w:r w:rsidRPr="007676AD">
        <w:t>Dersom dagens praksis med avt</w:t>
      </w:r>
      <w:r w:rsidRPr="007676AD">
        <w:t>aler ikke skulle fungere ser</w:t>
      </w:r>
      <w:r w:rsidRPr="007676AD">
        <w:rPr>
          <w:rStyle w:val="kursiv"/>
        </w:rPr>
        <w:t xml:space="preserve"> Legemiddelgrossistforeningen</w:t>
      </w:r>
      <w:r w:rsidRPr="007676AD">
        <w:t xml:space="preserve"> behov for hjemmel for å fastsette grossistavansen i forskrift og krav om sortimentsomfang for legemidlene som benyttes i sykehus. De forutsetter at de tas med i dialogen om fastsettelse av grossista</w:t>
      </w:r>
      <w:r w:rsidRPr="007676AD">
        <w:t>vanse.</w:t>
      </w:r>
    </w:p>
    <w:p w14:paraId="7F5EE760" w14:textId="77777777" w:rsidR="00F83215" w:rsidRPr="007676AD" w:rsidRDefault="00F83215" w:rsidP="007676AD">
      <w:pPr>
        <w:pStyle w:val="Overskrift3"/>
      </w:pPr>
      <w:r w:rsidRPr="007676AD">
        <w:t>Departementets vurdering</w:t>
      </w:r>
    </w:p>
    <w:p w14:paraId="76DF4CE0" w14:textId="77777777" w:rsidR="00F83215" w:rsidRPr="007676AD" w:rsidRDefault="00F83215" w:rsidP="007676AD">
      <w:r w:rsidRPr="007676AD">
        <w:t>Departementet viser til at et stort flertall av høringsinstansene støt</w:t>
      </w:r>
      <w:r w:rsidRPr="007676AD">
        <w:t>ter departementets forslag. Som fremholdt av Apotekforeningen vil forslaget kunne bidra til at kjedeapotekene får legemidler fra egen grossist.</w:t>
      </w:r>
    </w:p>
    <w:p w14:paraId="6F952914" w14:textId="77777777" w:rsidR="00F83215" w:rsidRPr="007676AD" w:rsidRDefault="00F83215" w:rsidP="007676AD">
      <w:pPr>
        <w:rPr>
          <w:rStyle w:val="kursiv"/>
        </w:rPr>
      </w:pPr>
      <w:r w:rsidRPr="007676AD">
        <w:rPr>
          <w:rStyle w:val="kursiv"/>
        </w:rPr>
        <w:t xml:space="preserve">Apotekforeningen </w:t>
      </w:r>
      <w:r w:rsidRPr="007676AD">
        <w:t>og</w:t>
      </w:r>
      <w:r w:rsidRPr="007676AD">
        <w:rPr>
          <w:rStyle w:val="kursiv"/>
        </w:rPr>
        <w:t xml:space="preserve"> Legemiddelgrossistforeningen</w:t>
      </w:r>
      <w:r w:rsidRPr="007676AD">
        <w:t xml:space="preserve"> viser til at et alternativ til myndighetsfastsatt grossistavans</w:t>
      </w:r>
      <w:r w:rsidRPr="007676AD">
        <w:t>e, er at apotek kjøper og selger legemidlene til maksimalpriser og at helseforetakene får refundert rabattene direkte fra legemiddelprodusentene.</w:t>
      </w:r>
    </w:p>
    <w:p w14:paraId="4855E046" w14:textId="77777777" w:rsidR="00F83215" w:rsidRPr="007676AD" w:rsidRDefault="00F83215" w:rsidP="007676AD">
      <w:r w:rsidRPr="007676AD">
        <w:t>Forslaget innebærer at myndighetsfastsatt grossistavanse kan for eksempel benyttes i tilfeller hvor det ikke o</w:t>
      </w:r>
      <w:r w:rsidRPr="007676AD">
        <w:t>ppnås avtaler om grossistenes avanse for distribusjon av h-reseptlegemidler, eller de tilbud som mottas er urimelig høye. Dette gjelder både for legemidler til bruk i eller utenom sykehus. Hjemmelen er imidlertid ikke til hinder for at partene fremforhandl</w:t>
      </w:r>
      <w:r w:rsidRPr="007676AD">
        <w:t>er andre avtalebaserte løsninger, slik tilfellet er i dag.</w:t>
      </w:r>
    </w:p>
    <w:p w14:paraId="2189A896" w14:textId="77777777" w:rsidR="00F83215" w:rsidRPr="007676AD" w:rsidRDefault="00F83215" w:rsidP="007676AD">
      <w:r w:rsidRPr="007676AD">
        <w:t>Når det gjelder eventuelle krav til sortimentsbredde, er det hjemmel for å stille krav om dette i legemiddelloven § 14 tredje ledd. Hvorvidt det skal stilles slikt krav vil utredes og være gjen</w:t>
      </w:r>
      <w:r w:rsidRPr="007676AD">
        <w:lastRenderedPageBreak/>
        <w:t>stan</w:t>
      </w:r>
      <w:r w:rsidRPr="007676AD">
        <w:t>d for høring dersom myndighetene benytter adgangen til å fastsette grossistavansen for helseforetaksfinansierte legemidler.</w:t>
      </w:r>
    </w:p>
    <w:p w14:paraId="39153D16" w14:textId="77777777" w:rsidR="00F83215" w:rsidRPr="007676AD" w:rsidRDefault="00F83215" w:rsidP="007676AD">
      <w:r w:rsidRPr="007676AD">
        <w:t xml:space="preserve">Departementet foreslår å endre lovforslaget i samsvar med Legemiddelverkets forslag slik at «pålegge grossister en maksimal avanse» </w:t>
      </w:r>
      <w:r w:rsidRPr="007676AD">
        <w:t xml:space="preserve">erstattes av «fastsette en maksimal grossistavanse». Det </w:t>
      </w:r>
      <w:proofErr w:type="gramStart"/>
      <w:r w:rsidRPr="007676AD">
        <w:t>fremgår</w:t>
      </w:r>
      <w:proofErr w:type="gramEnd"/>
      <w:r w:rsidRPr="007676AD">
        <w:t xml:space="preserve"> ved dette klart at grossisten står fritt til å ta en lavere avanse.</w:t>
      </w:r>
    </w:p>
    <w:p w14:paraId="7ED5507A" w14:textId="77777777" w:rsidR="00F83215" w:rsidRPr="007676AD" w:rsidRDefault="00F83215" w:rsidP="007676AD">
      <w:pPr>
        <w:pStyle w:val="Overskrift2"/>
      </w:pPr>
      <w:r w:rsidRPr="007676AD">
        <w:t>Definisjon av grossistvirksomhet med legemidler til mennesker</w:t>
      </w:r>
    </w:p>
    <w:p w14:paraId="587D5034" w14:textId="77777777" w:rsidR="00F83215" w:rsidRPr="007676AD" w:rsidRDefault="00F83215" w:rsidP="007676AD">
      <w:pPr>
        <w:pStyle w:val="Overskrift3"/>
      </w:pPr>
      <w:r w:rsidRPr="007676AD">
        <w:t>Gjeldende rett</w:t>
      </w:r>
    </w:p>
    <w:p w14:paraId="5A7ACCB5" w14:textId="77777777" w:rsidR="00F83215" w:rsidRPr="007676AD" w:rsidRDefault="00F83215" w:rsidP="007676AD">
      <w:r w:rsidRPr="007676AD">
        <w:t>Grossistvirksomhet med leg</w:t>
      </w:r>
      <w:r w:rsidRPr="007676AD">
        <w:t>emidler er definert ulikt i regelverket. Slik virksomhet er i direktiv 2001/83/EF artikkel 1 nr. 17 definert som:</w:t>
      </w:r>
    </w:p>
    <w:p w14:paraId="340C1239" w14:textId="77777777" w:rsidR="00F83215" w:rsidRPr="007676AD" w:rsidRDefault="00F83215" w:rsidP="007676AD">
      <w:pPr>
        <w:pStyle w:val="blokksit"/>
      </w:pPr>
      <w:r w:rsidRPr="007676AD">
        <w:t>Alle former for virksomhet som består i å skaffe til veie, oppbevare, utlevere eller eksportere legemidler, med unntak av utlevering av legemi</w:t>
      </w:r>
      <w:r w:rsidRPr="007676AD">
        <w:t>dler til offentligheten. Slik virksomhet drives sammen med produsenter eller deres depositarer, importører, andre grossister eller med farmasøyter og personer med tillatelse eller rett til å utlevere legemidler til offentligheten i den berørte medlemsstat.</w:t>
      </w:r>
    </w:p>
    <w:p w14:paraId="4E23DFB6" w14:textId="77777777" w:rsidR="00F83215" w:rsidRPr="007676AD" w:rsidRDefault="00F83215" w:rsidP="007676AD">
      <w:r w:rsidRPr="007676AD">
        <w:t>I legemiddelloven § 14 er grossistvirksomhet og hvem som anses som grossist definert slik:</w:t>
      </w:r>
    </w:p>
    <w:p w14:paraId="514A1C23" w14:textId="77777777" w:rsidR="00F83215" w:rsidRPr="007676AD" w:rsidRDefault="00F83215" w:rsidP="007676AD">
      <w:pPr>
        <w:pStyle w:val="blokksit"/>
      </w:pPr>
      <w:r w:rsidRPr="007676AD">
        <w:t xml:space="preserve">Med </w:t>
      </w:r>
      <w:proofErr w:type="spellStart"/>
      <w:r w:rsidRPr="007676AD">
        <w:t>engrosomsetning</w:t>
      </w:r>
      <w:proofErr w:type="spellEnd"/>
      <w:r w:rsidRPr="007676AD">
        <w:t xml:space="preserve"> menes all virksomhet som går ut på</w:t>
      </w:r>
      <w:r w:rsidRPr="007676AD">
        <w:t xml:space="preserve"> anskaffelse, oppbevaring, utlevering eller eksport av legemidler, med unntak for utlevering av legemidler til allmennheten. Med grossist menes virksomhet eller person som driver med </w:t>
      </w:r>
      <w:proofErr w:type="spellStart"/>
      <w:r w:rsidRPr="007676AD">
        <w:t>engrosomsetning</w:t>
      </w:r>
      <w:proofErr w:type="spellEnd"/>
      <w:r w:rsidRPr="007676AD">
        <w:t>.</w:t>
      </w:r>
    </w:p>
    <w:p w14:paraId="23264E72" w14:textId="77777777" w:rsidR="00F83215" w:rsidRPr="007676AD" w:rsidRDefault="00F83215" w:rsidP="007676AD">
      <w:r w:rsidRPr="007676AD">
        <w:t>Grossistvirksomhet er definert noe annerledes i grossist</w:t>
      </w:r>
      <w:r w:rsidRPr="007676AD">
        <w:t>forskriften § 1 første ledd:</w:t>
      </w:r>
    </w:p>
    <w:p w14:paraId="0F9C3C31" w14:textId="77777777" w:rsidR="00F83215" w:rsidRPr="007676AD" w:rsidRDefault="00F83215" w:rsidP="007676AD">
      <w:pPr>
        <w:pStyle w:val="blokksit"/>
      </w:pPr>
      <w:r w:rsidRPr="007676AD">
        <w:t>Med grossistvirksomhet med legemidler menes alle aktiviteter som omfatter innkjøp, oppbevaring, utlevering og utførsel av legemidler, med unntak for utlevering til allmenheten og vanlig apotekvirksomhet.</w:t>
      </w:r>
    </w:p>
    <w:p w14:paraId="77BDCFEE" w14:textId="77777777" w:rsidR="00F83215" w:rsidRPr="007676AD" w:rsidRDefault="00F83215" w:rsidP="007676AD">
      <w:r w:rsidRPr="007676AD">
        <w:t>Hvem som anses som gros</w:t>
      </w:r>
      <w:r w:rsidRPr="007676AD">
        <w:t xml:space="preserve">sist etter forskriften </w:t>
      </w:r>
      <w:proofErr w:type="gramStart"/>
      <w:r w:rsidRPr="007676AD">
        <w:t>fremgår</w:t>
      </w:r>
      <w:proofErr w:type="gramEnd"/>
      <w:r w:rsidRPr="007676AD">
        <w:t xml:space="preserve"> av § 1 andre ledd. Denne lyder:</w:t>
      </w:r>
    </w:p>
    <w:p w14:paraId="47DEDD23" w14:textId="77777777" w:rsidR="00F83215" w:rsidRPr="007676AD" w:rsidRDefault="00F83215" w:rsidP="007676AD">
      <w:pPr>
        <w:pStyle w:val="blokksit"/>
      </w:pPr>
      <w:r w:rsidRPr="007676AD">
        <w:t>Med grossist forstås innehaver av grossisttillatelse eller av annen tillatelse som gir rett til å utøve grossistvirksomhet med legemidler.</w:t>
      </w:r>
    </w:p>
    <w:p w14:paraId="4BD67556" w14:textId="77777777" w:rsidR="00F83215" w:rsidRPr="007676AD" w:rsidRDefault="00F83215" w:rsidP="007676AD">
      <w:r w:rsidRPr="007676AD">
        <w:t>I tilvirknings- og importforskriften § 1-2 første ledd</w:t>
      </w:r>
      <w:r w:rsidRPr="007676AD">
        <w:t xml:space="preserve"> bokstav s defineres grossistvirksomhet slik:</w:t>
      </w:r>
    </w:p>
    <w:p w14:paraId="7D60341D" w14:textId="77777777" w:rsidR="00F83215" w:rsidRPr="007676AD" w:rsidRDefault="00F83215" w:rsidP="007676AD">
      <w:pPr>
        <w:pStyle w:val="blokksit"/>
      </w:pPr>
      <w:r w:rsidRPr="007676AD">
        <w:t>Alle aktiviteter som omfatter anskaffelse, oppbevaring, utlevering og eksport av legemidler, med unntak av utlevering av legemidler til allmennheten.</w:t>
      </w:r>
    </w:p>
    <w:p w14:paraId="6EBC2E80" w14:textId="77777777" w:rsidR="00F83215" w:rsidRPr="007676AD" w:rsidRDefault="00F83215" w:rsidP="007676AD">
      <w:pPr>
        <w:pStyle w:val="Overskrift3"/>
      </w:pPr>
      <w:r w:rsidRPr="007676AD">
        <w:t>Høringsforslaget</w:t>
      </w:r>
    </w:p>
    <w:p w14:paraId="4450C8FB" w14:textId="77777777" w:rsidR="00F83215" w:rsidRPr="007676AD" w:rsidRDefault="00F83215" w:rsidP="007676AD">
      <w:r w:rsidRPr="007676AD">
        <w:t xml:space="preserve">I høringen viste departementet </w:t>
      </w:r>
      <w:r w:rsidRPr="007676AD">
        <w:t>til at definisjonen av grossistvirksomhet i legemiddelloven § 14, grossistforskriften § 1 og tilvirknings- og importforskriften § 1-2 første ledd bokstav s ikke er likelydende. Departementet fremholdt at definisjonene i realiteten har samme innhold, men an</w:t>
      </w:r>
      <w:r w:rsidRPr="007676AD">
        <w:t xml:space="preserve">ser at det er uheldig at ordlyden ikke er sammenfallende, all den tid dette kan skape tvil om innholdet er ment å være det samme. Departementet foreslo i høringen å endre legemiddelloven § 14 slik at innholdet tilsvarer definisjonen i direktiv 2001/83/EF, </w:t>
      </w:r>
      <w:r w:rsidRPr="007676AD">
        <w:t>med en presisering av at or</w:t>
      </w:r>
      <w:r w:rsidRPr="007676AD">
        <w:lastRenderedPageBreak/>
        <w:t>det «</w:t>
      </w:r>
      <w:proofErr w:type="spellStart"/>
      <w:r w:rsidRPr="007676AD">
        <w:t>supply</w:t>
      </w:r>
      <w:proofErr w:type="spellEnd"/>
      <w:r w:rsidRPr="007676AD">
        <w:t xml:space="preserve">» i direktivet ikke kun oversettes med «utlevering», men også omfatter «salg» slik som definert i EU-GDP </w:t>
      </w:r>
      <w:proofErr w:type="spellStart"/>
      <w:r w:rsidRPr="007676AD">
        <w:t>annex</w:t>
      </w:r>
      <w:proofErr w:type="spellEnd"/>
      <w:r w:rsidRPr="007676AD">
        <w:t xml:space="preserve"> «</w:t>
      </w:r>
      <w:proofErr w:type="spellStart"/>
      <w:r w:rsidRPr="007676AD">
        <w:t>Glossary</w:t>
      </w:r>
      <w:proofErr w:type="spellEnd"/>
      <w:r w:rsidRPr="007676AD">
        <w:t xml:space="preserve"> </w:t>
      </w:r>
      <w:proofErr w:type="spellStart"/>
      <w:r w:rsidRPr="007676AD">
        <w:t>of</w:t>
      </w:r>
      <w:proofErr w:type="spellEnd"/>
      <w:r w:rsidRPr="007676AD">
        <w:t xml:space="preserve"> terms».</w:t>
      </w:r>
    </w:p>
    <w:p w14:paraId="6A3B0EFC" w14:textId="77777777" w:rsidR="00F83215" w:rsidRPr="007676AD" w:rsidRDefault="00F83215" w:rsidP="007676AD">
      <w:r w:rsidRPr="007676AD">
        <w:t>Etter legemiddelloven er alle som driver med grossistvirksomhet med legemidler grossis</w:t>
      </w:r>
      <w:r w:rsidRPr="007676AD">
        <w:t>t, uavhengig av om man har tillatelse til dette, mens grossistforskriften angir at det kun er innehavere av grossisttillatelse som er å anse som grossist. Departementet fremholdt i høringen at siden grossistvirksomhet krever tillatelse, bør begrepet grossi</w:t>
      </w:r>
      <w:r w:rsidRPr="007676AD">
        <w:t>st forbeholdes de som innehar slik tillatelse. Departementet foreslo derfor at lovens definisjon endres slik at grossistbegrepet etter loven, i likhet med grossistforskriften, kun omfatter innehavere av grossisttillatelse eller annen tillatelse som gir ret</w:t>
      </w:r>
      <w:r w:rsidRPr="007676AD">
        <w:t>t til å utøve grossistvirksomhet med legemidler, og ikke de som eventuelt utfører grossistaktiviteter uten å inneha slik tillatelse.</w:t>
      </w:r>
    </w:p>
    <w:p w14:paraId="76BAD686" w14:textId="77777777" w:rsidR="00F83215" w:rsidRPr="007676AD" w:rsidRDefault="00F83215" w:rsidP="007676AD">
      <w:r w:rsidRPr="007676AD">
        <w:t xml:space="preserve">I legemiddelloven benyttes begrepet </w:t>
      </w:r>
      <w:proofErr w:type="spellStart"/>
      <w:r w:rsidRPr="007676AD">
        <w:t>engrosomsetning</w:t>
      </w:r>
      <w:proofErr w:type="spellEnd"/>
      <w:r w:rsidRPr="007676AD">
        <w:t xml:space="preserve"> for å omtale grossistenes virksomhet. Departementet foreslo at «</w:t>
      </w:r>
      <w:proofErr w:type="spellStart"/>
      <w:r w:rsidRPr="007676AD">
        <w:t>engroso</w:t>
      </w:r>
      <w:r w:rsidRPr="007676AD">
        <w:t>msetning</w:t>
      </w:r>
      <w:proofErr w:type="spellEnd"/>
      <w:r w:rsidRPr="007676AD">
        <w:t xml:space="preserve">» erstattes med «grossistvirksomhet» i legemiddelloven slik at begrepet </w:t>
      </w:r>
      <w:proofErr w:type="spellStart"/>
      <w:r w:rsidRPr="007676AD">
        <w:t>engrosomsetning</w:t>
      </w:r>
      <w:proofErr w:type="spellEnd"/>
      <w:r w:rsidRPr="007676AD">
        <w:t xml:space="preserve"> ikke lenger brukes. Departementet viste til at dette ikke var ment å medføre noen realitetsendring, men kun ment som en modernisering av ordlyden.</w:t>
      </w:r>
    </w:p>
    <w:p w14:paraId="78C4D1FB" w14:textId="77777777" w:rsidR="00F83215" w:rsidRPr="007676AD" w:rsidRDefault="00F83215" w:rsidP="007676AD">
      <w:pPr>
        <w:pStyle w:val="Overskrift3"/>
      </w:pPr>
      <w:r w:rsidRPr="007676AD">
        <w:t>H</w:t>
      </w:r>
      <w:r w:rsidRPr="007676AD">
        <w:t>øringsinstansenes synspunkter og departementets vurdering</w:t>
      </w:r>
    </w:p>
    <w:p w14:paraId="31B87B67" w14:textId="77777777" w:rsidR="00F83215" w:rsidRPr="007676AD" w:rsidRDefault="00F83215" w:rsidP="007676AD">
      <w:pPr>
        <w:rPr>
          <w:rStyle w:val="kursiv"/>
        </w:rPr>
      </w:pPr>
      <w:r w:rsidRPr="007676AD">
        <w:rPr>
          <w:rStyle w:val="kursiv"/>
        </w:rPr>
        <w:t>Helse Vest RHF, Helse Sør-Øst RHF</w:t>
      </w:r>
      <w:r w:rsidRPr="007676AD">
        <w:t xml:space="preserve"> og </w:t>
      </w:r>
      <w:r w:rsidRPr="007676AD">
        <w:rPr>
          <w:rStyle w:val="kursiv"/>
        </w:rPr>
        <w:t>Legemiddelindustrien</w:t>
      </w:r>
      <w:r w:rsidRPr="007676AD">
        <w:t xml:space="preserve"> har gitt kommentarer til forslaget. </w:t>
      </w:r>
      <w:r w:rsidRPr="007676AD">
        <w:rPr>
          <w:rStyle w:val="kursiv"/>
        </w:rPr>
        <w:t>Helse Vest RHF</w:t>
      </w:r>
      <w:r w:rsidRPr="007676AD">
        <w:t xml:space="preserve"> og </w:t>
      </w:r>
      <w:r w:rsidRPr="007676AD">
        <w:rPr>
          <w:rStyle w:val="kursiv"/>
        </w:rPr>
        <w:t>Helse Sør-Øst RHF</w:t>
      </w:r>
      <w:r w:rsidRPr="007676AD">
        <w:t xml:space="preserve"> støtter forslaget om å endre definisjonen slik at den samsvarer med </w:t>
      </w:r>
      <w:r w:rsidRPr="007676AD">
        <w:t>definisjonen i direktiv 2001/83/EF, samt å erstatte «</w:t>
      </w:r>
      <w:proofErr w:type="spellStart"/>
      <w:r w:rsidRPr="007676AD">
        <w:t>engrosomsetning</w:t>
      </w:r>
      <w:proofErr w:type="spellEnd"/>
      <w:r w:rsidRPr="007676AD">
        <w:t>» med «grossistvirksomhet».</w:t>
      </w:r>
    </w:p>
    <w:p w14:paraId="0D62E395" w14:textId="77777777" w:rsidR="00F83215" w:rsidRPr="007676AD" w:rsidRDefault="00F83215" w:rsidP="007676AD">
      <w:pPr>
        <w:rPr>
          <w:rStyle w:val="kursiv"/>
        </w:rPr>
      </w:pPr>
      <w:r w:rsidRPr="007676AD">
        <w:rPr>
          <w:rStyle w:val="kursiv"/>
        </w:rPr>
        <w:t xml:space="preserve">Legemiddelindustrien </w:t>
      </w:r>
      <w:r w:rsidRPr="007676AD">
        <w:t>gir uttrykk for at de er enige i at definisjonene i de ulike bestemmelsene bør være like for å unngå tvil. De ønsker imidlertid klarhet i om endring av ordlyd i legemiddelloven § 14 vil ha betydning for hvordan såkalt fiskal import skal vurderes. Legemidde</w:t>
      </w:r>
      <w:r w:rsidRPr="007676AD">
        <w:t>lindustrien mener med dette situasjoner der den norske enheten betaler til en enhet i et land utenfor EØS, såkalte tredjeland, mens legemidlene leveres fysisk fra et EØS-land.</w:t>
      </w:r>
    </w:p>
    <w:p w14:paraId="25C17158" w14:textId="77777777" w:rsidR="00F83215" w:rsidRPr="007676AD" w:rsidRDefault="00F83215" w:rsidP="007676AD">
      <w:r w:rsidRPr="007676AD">
        <w:t>Fiskal import foreligger der legemiddelet fysisk befinner seg innenfor EØS, mens</w:t>
      </w:r>
      <w:r w:rsidRPr="007676AD">
        <w:t xml:space="preserve"> eiendomsretten tilligger et selskap utenfor EØS. I praksis oppstår eksempelvis denne problemstillingen når legemiddelet selges fra en sveitsisk til en norsk legemiddelgrossist, mens produktet er tilvirket og befinner seg innenfor EØS-området.</w:t>
      </w:r>
    </w:p>
    <w:p w14:paraId="092608E0" w14:textId="77777777" w:rsidR="00F83215" w:rsidRPr="007676AD" w:rsidRDefault="00F83215" w:rsidP="007676AD">
      <w:r w:rsidRPr="007676AD">
        <w:t>Ved import a</w:t>
      </w:r>
      <w:r w:rsidRPr="007676AD">
        <w:t xml:space="preserve">v legemidler fra tredjeland kreves tilvirkertillatelse i form av en importtillatelse. Handel med legemidler innen EØS-området kan skje i </w:t>
      </w:r>
      <w:proofErr w:type="gramStart"/>
      <w:r w:rsidRPr="007676AD">
        <w:t>medhold av</w:t>
      </w:r>
      <w:proofErr w:type="gramEnd"/>
      <w:r w:rsidRPr="007676AD">
        <w:t xml:space="preserve"> en grossisttillatelse. Det er imidlertid et krav i om at grossisten kjøper legemiddelet fra en grossist med </w:t>
      </w:r>
      <w:r w:rsidRPr="007676AD">
        <w:t>grossisttillatelse.</w:t>
      </w:r>
    </w:p>
    <w:p w14:paraId="132F2CEE" w14:textId="77777777" w:rsidR="00F83215" w:rsidRPr="007676AD" w:rsidRDefault="00F83215" w:rsidP="007676AD">
      <w:r w:rsidRPr="007676AD">
        <w:t>Direktoratet for medisinske produkter har i sin forvaltningspraksis lagt til grunn at legemiddel- og grossistlovgivningen i Norge ikke åp</w:t>
      </w:r>
      <w:r w:rsidRPr="007676AD">
        <w:t>ner for fiskal import av legemidler. Ved tilsyn har de derfor gitt avvik ved slik virksomhet. De viser blant annet til at legemiddelloven § 14 allerede i dag definerer anskaffelse av legemidler som grossistvirksomhet. Videre viser de til at grossistforskri</w:t>
      </w:r>
      <w:r w:rsidRPr="007676AD">
        <w:t>ften § 1 definerer grossistvirksomhet som innkjøp, noe den har gjort siden den ble fastsatt i 1993. Norske grossister kan ikke kjøpe legemidler fra Sveits, fordi de sveitsiske aktørene ikke har grossisttillatelse utstedt av en EØS-myndighet. Videre fremhol</w:t>
      </w:r>
      <w:r w:rsidRPr="007676AD">
        <w:t xml:space="preserve">der Direktoratet for medisinske produkter at fiskal import ikke er import i legemiddelregelverkets forstand, og at </w:t>
      </w:r>
      <w:r w:rsidRPr="007676AD">
        <w:lastRenderedPageBreak/>
        <w:t>aktørene dermed ikke kan gis tillatelse til import fra tredjeland. Innenfor EØS-området er det ulik praksis med hensyn til om fiskal import t</w:t>
      </w:r>
      <w:r w:rsidRPr="007676AD">
        <w:t>illates av myndighetene.</w:t>
      </w:r>
    </w:p>
    <w:p w14:paraId="13DB58BE" w14:textId="77777777" w:rsidR="00F83215" w:rsidRPr="007676AD" w:rsidRDefault="00F83215" w:rsidP="007676AD">
      <w:r w:rsidRPr="007676AD">
        <w:t>I Kommisjonens forslag til nytt legemiddelregelverk fremkommer det at «</w:t>
      </w:r>
      <w:proofErr w:type="spellStart"/>
      <w:r w:rsidRPr="007676AD">
        <w:t>obtain</w:t>
      </w:r>
      <w:proofErr w:type="spellEnd"/>
      <w:r w:rsidRPr="007676AD">
        <w:t xml:space="preserve">, </w:t>
      </w:r>
      <w:proofErr w:type="spellStart"/>
      <w:r w:rsidRPr="007676AD">
        <w:t>including</w:t>
      </w:r>
      <w:proofErr w:type="spellEnd"/>
      <w:r w:rsidRPr="007676AD">
        <w:t xml:space="preserve"> by </w:t>
      </w:r>
      <w:proofErr w:type="spellStart"/>
      <w:r w:rsidRPr="007676AD">
        <w:t>financial</w:t>
      </w:r>
      <w:proofErr w:type="spellEnd"/>
      <w:r w:rsidRPr="007676AD">
        <w:t xml:space="preserve"> </w:t>
      </w:r>
      <w:proofErr w:type="spellStart"/>
      <w:r w:rsidRPr="007676AD">
        <w:t>transactions</w:t>
      </w:r>
      <w:proofErr w:type="spellEnd"/>
      <w:r w:rsidRPr="007676AD">
        <w:t>» er å anse som en grossistvirksomhet, og at de ved slikt kjøp må få legemidlene fra en aktør med en tillatelse utste</w:t>
      </w:r>
      <w:r w:rsidRPr="007676AD">
        <w:t>dt i EØS. Forslaget forstås derfor slik at det utelukker fiskal import.</w:t>
      </w:r>
    </w:p>
    <w:p w14:paraId="60E81FED" w14:textId="77777777" w:rsidR="00F83215" w:rsidRPr="007676AD" w:rsidRDefault="00F83215" w:rsidP="007676AD">
      <w:r w:rsidRPr="007676AD">
        <w:t xml:space="preserve">Etter departementets vurdering vil forslaget til endring av § 14 ikke ha betydning for hvordan såkalt fiskal import skal forstås. Vurderingen må uansett skje i henhold til </w:t>
      </w:r>
      <w:proofErr w:type="spellStart"/>
      <w:r w:rsidRPr="007676AD">
        <w:t>bakgrunnsret</w:t>
      </w:r>
      <w:r w:rsidRPr="007676AD">
        <w:t>ten</w:t>
      </w:r>
      <w:proofErr w:type="spellEnd"/>
      <w:r w:rsidRPr="007676AD">
        <w:t>, hvor nye felleseuropeiske retningslinjer om god tilvirkningspraksis og eventuelle fremtidige avgjørelser fra EU-domstolen eller EFTA-domstolen også må hensyntas.</w:t>
      </w:r>
    </w:p>
    <w:p w14:paraId="441DBC10" w14:textId="77777777" w:rsidR="00F83215" w:rsidRPr="007676AD" w:rsidRDefault="00F83215" w:rsidP="007676AD">
      <w:r w:rsidRPr="007676AD">
        <w:t xml:space="preserve">Departementet fastholder derfor forslaget slik det ble sendt på høring hvor definisjonen </w:t>
      </w:r>
      <w:r w:rsidRPr="007676AD">
        <w:t>endres slik at den tilsvarer definisjonen i direktiv 2001/83/EF, med en presisering av at ordet «</w:t>
      </w:r>
      <w:proofErr w:type="spellStart"/>
      <w:r w:rsidRPr="007676AD">
        <w:t>supply</w:t>
      </w:r>
      <w:proofErr w:type="spellEnd"/>
      <w:r w:rsidRPr="007676AD">
        <w:t>» i direktivet ikke kun oversettes med «utlevering», men også omfatter «salg» slik som definert i EU-GDP.</w:t>
      </w:r>
    </w:p>
    <w:p w14:paraId="43C47A0B" w14:textId="77777777" w:rsidR="00F83215" w:rsidRPr="007676AD" w:rsidRDefault="00F83215" w:rsidP="007676AD">
      <w:pPr>
        <w:pStyle w:val="Overskrift2"/>
      </w:pPr>
      <w:r w:rsidRPr="007676AD">
        <w:t>Direkteleveranser til profesjonelle slu</w:t>
      </w:r>
      <w:r w:rsidRPr="007676AD">
        <w:t>ttbrukere</w:t>
      </w:r>
    </w:p>
    <w:p w14:paraId="638AD5BB" w14:textId="77777777" w:rsidR="00F83215" w:rsidRPr="007676AD" w:rsidRDefault="00F83215" w:rsidP="007676AD">
      <w:pPr>
        <w:pStyle w:val="Overskrift3"/>
      </w:pPr>
      <w:r w:rsidRPr="007676AD">
        <w:t>Gjeldende rett</w:t>
      </w:r>
    </w:p>
    <w:p w14:paraId="603649B0" w14:textId="77777777" w:rsidR="00F83215" w:rsidRPr="007676AD" w:rsidRDefault="00F83215" w:rsidP="007676AD">
      <w:r w:rsidRPr="007676AD">
        <w:t>Legemiddelloven § 15 andre ledd bestemmer at grossister som hovedregel bare kan selge legemidler (til mennesker) til andre grossister, tilvirkere, importører eller til personer eller virksomhet som driver med detaljomse</w:t>
      </w:r>
      <w:r w:rsidRPr="007676AD">
        <w:t>tning av legemidler. Av bestemmelsens tredje ledd fremgår det imidlertid at grossister likevel kan utlevere legemidler til profesjonelle sluttbrukere etter nærmere bestemmelser fastsatt av departementet. Som eksempel på profesjonelle sluttbrukere nevner lo</w:t>
      </w:r>
      <w:r w:rsidRPr="007676AD">
        <w:t>ven sykehus, lege- og tannlegekontorer, offentlige og offentlig godkjente helseinstitusjoner, laboratorier, vitenskapelige institusjoner og andre lignende institusjoner eller bedrifter. Listen er ikke uttømmende. Departementet er gitt adgang til å bestemme</w:t>
      </w:r>
      <w:r w:rsidRPr="007676AD">
        <w:t xml:space="preserve"> dette nærmere.</w:t>
      </w:r>
    </w:p>
    <w:p w14:paraId="1DB5CE37" w14:textId="77777777" w:rsidR="00F83215" w:rsidRPr="007676AD" w:rsidRDefault="00F83215" w:rsidP="007676AD">
      <w:pPr>
        <w:pStyle w:val="Overskrift3"/>
      </w:pPr>
      <w:r w:rsidRPr="007676AD">
        <w:t>Høringsforslaget</w:t>
      </w:r>
    </w:p>
    <w:p w14:paraId="62B4CF52" w14:textId="77777777" w:rsidR="00F83215" w:rsidRPr="007676AD" w:rsidRDefault="00F83215" w:rsidP="007676AD">
      <w:r w:rsidRPr="007676AD">
        <w:t>I høringen fremholdt departementet at det ikke så noen grunn til å ha en opplisting av profesjonelle sluttbrukere i loven all den tid denne ikke er uttømmende. I tillegg ga departementet uttrykk for at behovet f</w:t>
      </w:r>
      <w:r w:rsidRPr="007676AD">
        <w:t xml:space="preserve">or revisjon og oppdatering tilsier at hvilke grupper som anses som profesjonelle sluttbrukere bør </w:t>
      </w:r>
      <w:proofErr w:type="gramStart"/>
      <w:r w:rsidRPr="007676AD">
        <w:t>fremkomme</w:t>
      </w:r>
      <w:proofErr w:type="gramEnd"/>
      <w:r w:rsidRPr="007676AD">
        <w:t xml:space="preserve"> av forskrift. Av den grunn foreslo departementet at lovens § 15 tredje ledd endres slik at den kun inneholder en hjemmel for at grossister kan selge</w:t>
      </w:r>
      <w:r w:rsidRPr="007676AD">
        <w:t xml:space="preserve"> til profesjonelle sluttbrukere, og at departementet kan fastsette hvilke dette er i forskrift. I dag fremgår det av grossistforskriftens § 13 hvilke aktører grossistene kan selge legemidler til.</w:t>
      </w:r>
    </w:p>
    <w:p w14:paraId="4D827799" w14:textId="77777777" w:rsidR="00F83215" w:rsidRPr="007676AD" w:rsidRDefault="00F83215" w:rsidP="007676AD">
      <w:pPr>
        <w:pStyle w:val="Overskrift3"/>
      </w:pPr>
      <w:r w:rsidRPr="007676AD">
        <w:t>Høringsinstansenes synspunkter og departementets</w:t>
      </w:r>
      <w:r w:rsidRPr="007676AD">
        <w:t xml:space="preserve"> vurdering</w:t>
      </w:r>
    </w:p>
    <w:p w14:paraId="2132F742" w14:textId="77777777" w:rsidR="00F83215" w:rsidRPr="007676AD" w:rsidRDefault="00F83215" w:rsidP="007676AD">
      <w:r w:rsidRPr="007676AD">
        <w:rPr>
          <w:rStyle w:val="kursiv"/>
        </w:rPr>
        <w:t>Helse Sør-Øst</w:t>
      </w:r>
      <w:r w:rsidRPr="007676AD">
        <w:t xml:space="preserve"> støtter forslaget. Ingen andre høringsinstanser hadde merknader til forslaget. </w:t>
      </w:r>
    </w:p>
    <w:p w14:paraId="3B446E2D" w14:textId="77777777" w:rsidR="00F83215" w:rsidRPr="007676AD" w:rsidRDefault="00F83215" w:rsidP="007676AD">
      <w:r w:rsidRPr="007676AD">
        <w:lastRenderedPageBreak/>
        <w:t>Departementet fastholder forslaget om at § 15 tredje ledd endres</w:t>
      </w:r>
      <w:r w:rsidRPr="007676AD">
        <w:t xml:space="preserve"> slik at den bestemmer at grossister kan utlevere legemidler til profesjonelle sluttbrukere, og at departementet kan gi forskrift om hvem som skal anses som profesjonelle sluttbrukere.</w:t>
      </w:r>
    </w:p>
    <w:p w14:paraId="4B438DF6" w14:textId="77777777" w:rsidR="00F83215" w:rsidRPr="007676AD" w:rsidRDefault="00F83215" w:rsidP="007676AD">
      <w:pPr>
        <w:pStyle w:val="Overskrift2"/>
      </w:pPr>
      <w:r w:rsidRPr="007676AD">
        <w:t>Salg av legemidler til ikke-medisinsk bruk</w:t>
      </w:r>
    </w:p>
    <w:p w14:paraId="79A9F97E" w14:textId="77777777" w:rsidR="00F83215" w:rsidRPr="007676AD" w:rsidRDefault="00F83215" w:rsidP="007676AD">
      <w:pPr>
        <w:pStyle w:val="Overskrift3"/>
      </w:pPr>
      <w:r w:rsidRPr="007676AD">
        <w:t>Gjeldend</w:t>
      </w:r>
      <w:r w:rsidRPr="007676AD">
        <w:t>e rett</w:t>
      </w:r>
    </w:p>
    <w:p w14:paraId="08D562E5" w14:textId="77777777" w:rsidR="00F83215" w:rsidRPr="007676AD" w:rsidRDefault="00F83215" w:rsidP="007676AD">
      <w:r w:rsidRPr="007676AD">
        <w:t xml:space="preserve">Detaljomsetning av legemidler skal, med de unntak som er fastsatt i eller i </w:t>
      </w:r>
      <w:proofErr w:type="gramStart"/>
      <w:r w:rsidRPr="007676AD">
        <w:t>medhold av</w:t>
      </w:r>
      <w:proofErr w:type="gramEnd"/>
      <w:r w:rsidRPr="007676AD">
        <w:t xml:space="preserve"> lov, bare forestås av apotek og medisinutsalg underlagt et apotek, jf. legemiddelloven § 16 andre ledd. Av bestemmelsens tredje ledd fremkommer videre at legemidl</w:t>
      </w:r>
      <w:r w:rsidRPr="007676AD">
        <w:t>er til teknisk, vitenskapelig og annet ikke-medisinsk bruk likevel kan selges av tilvirkere og kjøpmenn i samsvar med forskrifter gitt av departementet. Slike bestemmelser er gitt i forskrift 1. mars 1983 nr. 628 om salg av legemidler til ikke-medisinsk br</w:t>
      </w:r>
      <w:r w:rsidRPr="007676AD">
        <w:t xml:space="preserve">uk § 2 hvor det bestemmes at Norsk Medisinaldepot, apotek og andre som har fått Direktoratet for medisinske produkters tillatelse har rett til å selge legemidler til ikke-medisinsk bruk. Forskriften regulerer videre omsetningen blant annet ved å gi regler </w:t>
      </w:r>
      <w:r w:rsidRPr="007676AD">
        <w:t>om legitimasjon, rekvisisjon, emballasje, merking, oppbevaring og bruk.</w:t>
      </w:r>
    </w:p>
    <w:p w14:paraId="7D3F9213" w14:textId="77777777" w:rsidR="00F83215" w:rsidRPr="007676AD" w:rsidRDefault="00F83215" w:rsidP="007676AD">
      <w:pPr>
        <w:pStyle w:val="Overskrift3"/>
      </w:pPr>
      <w:r w:rsidRPr="007676AD">
        <w:t>Høringsforslaget</w:t>
      </w:r>
    </w:p>
    <w:p w14:paraId="0AD3ED86" w14:textId="77777777" w:rsidR="00F83215" w:rsidRPr="007676AD" w:rsidRDefault="00F83215" w:rsidP="007676AD">
      <w:r w:rsidRPr="007676AD">
        <w:t>Departementet foreslo i høringen at legemiddelloven § </w:t>
      </w:r>
      <w:r w:rsidRPr="007676AD">
        <w:t>16 tredje ledd endres slik at apotek, tilvirkere, grossister og andre som har fått departementets tillatelse, kan selge legemidler til teknisk, vitenskapelig og annen ikke-medisinsk bruk.</w:t>
      </w:r>
    </w:p>
    <w:p w14:paraId="7F4BE2A7" w14:textId="77777777" w:rsidR="00F83215" w:rsidRPr="007676AD" w:rsidRDefault="00F83215" w:rsidP="007676AD">
      <w:pPr>
        <w:pStyle w:val="Overskrift3"/>
      </w:pPr>
      <w:r w:rsidRPr="007676AD">
        <w:t>Høringsinstansenes syn og departementets vurdering</w:t>
      </w:r>
    </w:p>
    <w:p w14:paraId="1D430A9E" w14:textId="77777777" w:rsidR="00F83215" w:rsidRPr="007676AD" w:rsidRDefault="00F83215" w:rsidP="007676AD">
      <w:r w:rsidRPr="007676AD">
        <w:t>Ingen</w:t>
      </w:r>
      <w:r w:rsidRPr="007676AD">
        <w:t xml:space="preserve"> av høringsinstansene hadde merknader til forslaget.</w:t>
      </w:r>
    </w:p>
    <w:p w14:paraId="2FFB233F" w14:textId="77777777" w:rsidR="00F83215" w:rsidRPr="007676AD" w:rsidRDefault="00F83215" w:rsidP="007676AD">
      <w:r w:rsidRPr="007676AD">
        <w:t>Den foreslåtte endringen i bestemmelsen av salg av legemidler til ikke-medisinsk bruk samsvarer med den gjeldende omsetningskjeden for legemidler, og de nærmere fastsatte forskriftene. Departementet fast</w:t>
      </w:r>
      <w:r w:rsidRPr="007676AD">
        <w:t>holder forslaget om at § 16 tredje ledd endres slik at apotek, tilvirkere, grossister og andre som har fått departementets tillatelse, kan selge legemidler til teknisk, vitenskapelig og annen ikke-medisinsk bruk i samsvar med forskrifter gitt av departemen</w:t>
      </w:r>
      <w:r w:rsidRPr="007676AD">
        <w:t>tet.</w:t>
      </w:r>
    </w:p>
    <w:p w14:paraId="5083E52D" w14:textId="77777777" w:rsidR="00F83215" w:rsidRPr="007676AD" w:rsidRDefault="00F83215" w:rsidP="007676AD">
      <w:pPr>
        <w:pStyle w:val="Overskrift1"/>
      </w:pPr>
      <w:r w:rsidRPr="007676AD">
        <w:t>Økonomiske og administrative konsekvenser</w:t>
      </w:r>
    </w:p>
    <w:p w14:paraId="6EFBDF83" w14:textId="77777777" w:rsidR="00F83215" w:rsidRPr="007676AD" w:rsidRDefault="00F83215" w:rsidP="007676AD">
      <w:r w:rsidRPr="007676AD">
        <w:t>For apotek kan forslaget knyttet til rasjonering medføre økte utleveringskostnader, for eksempel sjekk av rasjoneringskriterier, tidligere utleveringer, og økt tidsbruk for veiledning. Det vil også kun</w:t>
      </w:r>
      <w:r w:rsidRPr="007676AD">
        <w:t>ne føre til kostnader knyttet til et kommunikasjonssystem for oppfølging og muligens fordeling mellom apotekene.</w:t>
      </w:r>
    </w:p>
    <w:p w14:paraId="4FBAA192" w14:textId="77777777" w:rsidR="00F83215" w:rsidRPr="007676AD" w:rsidRDefault="00F83215" w:rsidP="007676AD">
      <w:r w:rsidRPr="007676AD">
        <w:t xml:space="preserve">For grossist vil distribusjonskostnader og koordinasjonskostnader generelt øke, og grossisten kan ikke styre fordelingen selv for å oppnå best </w:t>
      </w:r>
      <w:r w:rsidRPr="007676AD">
        <w:t xml:space="preserve">lønnsomhet ved rasjonering. Det vil kunne forekomme økonomisk tap ved restriksjoner på parallelleksportsalg som følge av produktet selges til en lavere pris i Norge enn den prisen som kunne ha blitt oppnådd i utlandet. Grossist har </w:t>
      </w:r>
      <w:r w:rsidRPr="007676AD">
        <w:lastRenderedPageBreak/>
        <w:t>imidlertid en leveringsp</w:t>
      </w:r>
      <w:r w:rsidRPr="007676AD">
        <w:t>likt. Ved parallelleksport vil grossisten basere seg på alminnelige salgsprognoser for det norske markedet, men grossisten må ta høyde for naturlige markedssvingninger og legge inn forsvarlige sikkerhetsmarginer. I utgangspunktet skal det ikke være stor di</w:t>
      </w:r>
      <w:r w:rsidRPr="007676AD">
        <w:t xml:space="preserve">skrepans mellom når det vedtas forbud mot parallelleksport og tilfeller hvor grossist ikke </w:t>
      </w:r>
      <w:proofErr w:type="spellStart"/>
      <w:r w:rsidRPr="007676AD">
        <w:t>parallelleksporterer</w:t>
      </w:r>
      <w:proofErr w:type="spellEnd"/>
      <w:r w:rsidRPr="007676AD">
        <w:t xml:space="preserve"> selv. Plikten til å gi Direktoratet for medisinske produkter elektronisk tilgang til lagerstatus kan muligens medføre noen økonomiske og adminis</w:t>
      </w:r>
      <w:r w:rsidRPr="007676AD">
        <w:t>trative konsekvenser for grossistene. Dette vil trolig veies opp mot ressursene som ville gått med for å besvare og følge opp henvendelser om det samme fra Direktoratet for medisinske produkter. Departementet forutsetter imidlertid at en elektronisk løsnin</w:t>
      </w:r>
      <w:r w:rsidRPr="007676AD">
        <w:t>g må kunne stå seg i fremtiden f.eks. må den kunne automatiseres/robotiseres. Videre forutsetter departementet at Direktoratet for medisinske produkter ikke må binde seg til å finansiere elektronisk tilgang til lagerstatus.</w:t>
      </w:r>
    </w:p>
    <w:p w14:paraId="45D536FB" w14:textId="77777777" w:rsidR="00F83215" w:rsidRPr="007676AD" w:rsidRDefault="00F83215" w:rsidP="007676AD">
      <w:r w:rsidRPr="007676AD">
        <w:t>For leger vil virkestofforskrivn</w:t>
      </w:r>
      <w:r w:rsidRPr="007676AD">
        <w:t xml:space="preserve">ingen muligens kunne utelukke en del av kostnadene knyttet til mangel og rasjonering på sikt. Direktoratet for medisinske produkter vil ikke ha vesentlige merkostnader knyttet vedtakskompetansen som foreslås i dette lovforslaget. Avhengig av tiltaket, kan </w:t>
      </w:r>
      <w:r w:rsidRPr="007676AD">
        <w:t>Direktoratet for medisinske produkter ha begrensede forvaltningskostnader knyttet til blant annet forberedelse, gjennomføring og oppfølging av vedtak. Dette inkluderer kommunikasjon med relevante aktører og pasienter. Til gjengjeld forventes det at lovendr</w:t>
      </w:r>
      <w:r w:rsidRPr="007676AD">
        <w:t>ingene vil redusere risikoen for at pasienter blir stående uten sine legemidler, med de samfunnsmessige kostnadene dette medfører.</w:t>
      </w:r>
    </w:p>
    <w:p w14:paraId="1FAB05F7" w14:textId="77777777" w:rsidR="00F83215" w:rsidRPr="007676AD" w:rsidRDefault="00F83215" w:rsidP="007676AD">
      <w:r w:rsidRPr="007676AD">
        <w:t xml:space="preserve">Endringer i grossistdefinisjonen antas ikke å få økonomiske eller administrative konsekvenser. Det samme gjelder endringer i </w:t>
      </w:r>
      <w:r w:rsidRPr="007676AD">
        <w:t xml:space="preserve">loven </w:t>
      </w:r>
      <w:proofErr w:type="gramStart"/>
      <w:r w:rsidRPr="007676AD">
        <w:t>vedrørende</w:t>
      </w:r>
      <w:proofErr w:type="gramEnd"/>
      <w:r w:rsidRPr="007676AD">
        <w:t xml:space="preserve"> grossisters direkteleveranser til profesjonelle sluttbrukere og salg av legemidler til ikke medisinsk bruk. Endringene er hovedsakelig av språklig karakter.</w:t>
      </w:r>
    </w:p>
    <w:p w14:paraId="7F1092D8" w14:textId="77777777" w:rsidR="00F83215" w:rsidRPr="007676AD" w:rsidRDefault="00F83215" w:rsidP="007676AD">
      <w:r w:rsidRPr="007676AD">
        <w:t xml:space="preserve">Forslaget om hjemmel til å fastsette grossistavansen for helseforetaksfinansierte </w:t>
      </w:r>
      <w:r w:rsidRPr="007676AD">
        <w:t>legemidler i forskrift kan gi en lavere grossistmargin ved distribusjon av helseforetaksfinansierte legemidler enn hva grossisten kunne oppnådd gjennom anbudskonkurranse. Historiske grossistmarginer for distribusjon av helseforetaksfinansierte legemidler e</w:t>
      </w:r>
      <w:r w:rsidRPr="007676AD">
        <w:t>r kjent for myndighetene, og vil inngå som en del av beslutningsgrunnlaget ved fastsettelse av en maksimal grossistavanse dersom hjemmelen benyttes.</w:t>
      </w:r>
    </w:p>
    <w:p w14:paraId="39DE5890" w14:textId="77777777" w:rsidR="00F83215" w:rsidRPr="007676AD" w:rsidRDefault="00F83215" w:rsidP="007676AD">
      <w:r w:rsidRPr="007676AD">
        <w:t>Myndighetene vil ha kostnader knyttet</w:t>
      </w:r>
      <w:r w:rsidRPr="007676AD">
        <w:t xml:space="preserve"> til eventuell fastsettelse av grossistavanse. Disse antas imidlertid å være marginale sammenlignet med sykehusenes tap dersom rabattene ikke videreføres gjennom grossistleddet.</w:t>
      </w:r>
    </w:p>
    <w:p w14:paraId="21F85BF7" w14:textId="77777777" w:rsidR="00F83215" w:rsidRPr="007676AD" w:rsidRDefault="00F83215" w:rsidP="007676AD">
      <w:pPr>
        <w:pStyle w:val="Overskrift1"/>
      </w:pPr>
      <w:r w:rsidRPr="007676AD">
        <w:t>Merknader til lovforslaget</w:t>
      </w:r>
    </w:p>
    <w:p w14:paraId="4FECC96D" w14:textId="77777777" w:rsidR="00F83215" w:rsidRPr="007676AD" w:rsidRDefault="00F83215" w:rsidP="007676AD">
      <w:pPr>
        <w:pStyle w:val="Overskrift2"/>
      </w:pPr>
      <w:r w:rsidRPr="007676AD">
        <w:t>Til endringene i legemiddellove</w:t>
      </w:r>
      <w:r w:rsidRPr="007676AD">
        <w:t>n</w:t>
      </w:r>
    </w:p>
    <w:p w14:paraId="49F84B5D" w14:textId="77777777" w:rsidR="00F83215" w:rsidRPr="007676AD" w:rsidRDefault="00F83215" w:rsidP="007676AD">
      <w:pPr>
        <w:pStyle w:val="avsnitt-undertittel"/>
      </w:pPr>
      <w:r w:rsidRPr="007676AD">
        <w:t>Til § 6 fjerde ledd nytt andre punktum</w:t>
      </w:r>
    </w:p>
    <w:p w14:paraId="557016C9" w14:textId="77777777" w:rsidR="00F83215" w:rsidRPr="007676AD" w:rsidRDefault="00F83215" w:rsidP="007676AD">
      <w:r w:rsidRPr="007676AD">
        <w:t>Direktoratet for medisinske produkter fastsetter legemidlers maksimale innkjøpspris til apotek (maksimal AIP), jf. legemiddelforskriften §§ 12-1 og 12-2. Legemiddelprodusentenes pris til grossist og grossistens avan</w:t>
      </w:r>
      <w:r w:rsidRPr="007676AD">
        <w:t xml:space="preserve">se er ikke regulert i legemiddelregelverket. Produsentenes pris til </w:t>
      </w:r>
      <w:r w:rsidRPr="007676AD">
        <w:lastRenderedPageBreak/>
        <w:t>grossist og dermed også grossistens avanse bestemmes som utgangspunkt av avtaler mellom legemiddelprodusent og grossist. Maksimal AIP er også den høyeste prisen grossister kan selge legemi</w:t>
      </w:r>
      <w:r w:rsidRPr="007676AD">
        <w:t xml:space="preserve">dler for til apotek (maksimal grossist utsalgspris (GUP)). Maksimal utsalgspris fra apotek (AUP) </w:t>
      </w:r>
      <w:proofErr w:type="gramStart"/>
      <w:r w:rsidRPr="007676AD">
        <w:t>fremkommer</w:t>
      </w:r>
      <w:proofErr w:type="gramEnd"/>
      <w:r w:rsidRPr="007676AD">
        <w:t xml:space="preserve"> ved å legge til maksimal avanse jf. legemiddelforskriften § 12-3 og merverdiavgift.</w:t>
      </w:r>
    </w:p>
    <w:p w14:paraId="4826FB5B" w14:textId="77777777" w:rsidR="00F83215" w:rsidRPr="007676AD" w:rsidRDefault="00F83215" w:rsidP="007676AD">
      <w:r w:rsidRPr="007676AD">
        <w:t>Etter fjerde ledd nytt andre punktum kan det i forskrift fastset</w:t>
      </w:r>
      <w:r w:rsidRPr="007676AD">
        <w:t>tes en maksimal grossistavanse ved distribusjon av helseforetaksfinansierte legemidler. Dette er legemidler de regionale helseforetakene er gitt finansieringsansvaret for. Sykehusene anskaffer i betydelig grad disse legemidlene gjennom anbud rettet mot leg</w:t>
      </w:r>
      <w:r w:rsidRPr="007676AD">
        <w:t>emiddelprodusentene. Sykehusene anskaffer også grossisttjenestene for legemidlene gjennom anbud. Lovhjemmelen er ment benyttet der det ikke foreligger avtale med grossister om distribusjon av de helseforetaksfinansierte legemidlene. Bruk av bestemmelsen vi</w:t>
      </w:r>
      <w:r w:rsidRPr="007676AD">
        <w:t>l innebære at myndighetene kan fastsetter en særskilt maksimal GUP for helseforetaksfinansierte legemidler.</w:t>
      </w:r>
    </w:p>
    <w:p w14:paraId="1A859FD6" w14:textId="77777777" w:rsidR="00F83215" w:rsidRPr="007676AD" w:rsidRDefault="00F83215" w:rsidP="007676AD">
      <w:pPr>
        <w:pStyle w:val="avsnitt-undertittel"/>
      </w:pPr>
      <w:r w:rsidRPr="007676AD">
        <w:t>Til § 13 fjerde ledd</w:t>
      </w:r>
    </w:p>
    <w:p w14:paraId="13519D0D" w14:textId="77777777" w:rsidR="00F83215" w:rsidRPr="007676AD" w:rsidRDefault="00F83215" w:rsidP="007676AD">
      <w:r w:rsidRPr="007676AD">
        <w:t xml:space="preserve">Bestemmelsen er endret ved at begrepet </w:t>
      </w:r>
      <w:proofErr w:type="spellStart"/>
      <w:r w:rsidRPr="007676AD">
        <w:t>engrosomsetning</w:t>
      </w:r>
      <w:proofErr w:type="spellEnd"/>
      <w:r w:rsidRPr="007676AD">
        <w:t xml:space="preserve"> for å omtale grossistenes virksomhet erstattes av grossistvirksomhet. En</w:t>
      </w:r>
      <w:r w:rsidRPr="007676AD">
        <w:t>dringen er ikke ment å medføre noen realitetsendring, men er en modernisering av ordlyden.</w:t>
      </w:r>
    </w:p>
    <w:p w14:paraId="3D02BA10" w14:textId="77777777" w:rsidR="00F83215" w:rsidRPr="007676AD" w:rsidRDefault="00F83215" w:rsidP="007676AD">
      <w:pPr>
        <w:pStyle w:val="avsnitt-undertittel"/>
      </w:pPr>
      <w:r w:rsidRPr="007676AD">
        <w:t>Til § 14 første ledd</w:t>
      </w:r>
    </w:p>
    <w:p w14:paraId="2CA8D673" w14:textId="77777777" w:rsidR="00F83215" w:rsidRPr="007676AD" w:rsidRDefault="00F83215" w:rsidP="007676AD">
      <w:r w:rsidRPr="007676AD">
        <w:t>Definisjonen endres slik at den tilsvarer definisjonen av grossistvirksomhet i direktiv 2001/83/EF artikkel 1 nr. 17. I ordlyden er det videre p</w:t>
      </w:r>
      <w:r w:rsidRPr="007676AD">
        <w:t>resisert at definisjonen også omfatter salg av legemidler. Bestemmelsen er videre endret slik at det er kun grossister med tillatelse til å drive grossistvirksomhet med legemidler som defineres som grossist etter loven.</w:t>
      </w:r>
    </w:p>
    <w:p w14:paraId="6437BD10" w14:textId="77777777" w:rsidR="00F83215" w:rsidRPr="007676AD" w:rsidRDefault="00F83215" w:rsidP="007676AD">
      <w:pPr>
        <w:pStyle w:val="avsnitt-undertittel"/>
      </w:pPr>
      <w:r w:rsidRPr="007676AD">
        <w:t>Til § 14 andre, tredje og femte ledd</w:t>
      </w:r>
    </w:p>
    <w:p w14:paraId="495CECFF" w14:textId="77777777" w:rsidR="00F83215" w:rsidRPr="007676AD" w:rsidRDefault="00F83215" w:rsidP="007676AD">
      <w:r w:rsidRPr="007676AD">
        <w:t xml:space="preserve">Bestemmelsene er endret ved at begrepet </w:t>
      </w:r>
      <w:proofErr w:type="spellStart"/>
      <w:r w:rsidRPr="007676AD">
        <w:t>engrosomsetning</w:t>
      </w:r>
      <w:proofErr w:type="spellEnd"/>
      <w:r w:rsidRPr="007676AD">
        <w:t xml:space="preserve"> for å omtale grossistenes virksomhet erstattes av grossistvirksomhet. Det er også gjort visse språklige justeringer i bestemmelsene. Endringene er ikke ment å medføre noen realitetsendringer, men er </w:t>
      </w:r>
      <w:r w:rsidRPr="007676AD">
        <w:t>en modernisering av ordlyden.</w:t>
      </w:r>
    </w:p>
    <w:p w14:paraId="0CFCD8D8" w14:textId="77777777" w:rsidR="00F83215" w:rsidRPr="007676AD" w:rsidRDefault="00F83215" w:rsidP="007676AD">
      <w:pPr>
        <w:pStyle w:val="avsnitt-undertittel"/>
        <w:rPr>
          <w:rStyle w:val="kursiv"/>
        </w:rPr>
      </w:pPr>
      <w:r w:rsidRPr="007676AD">
        <w:t>Til § 14 nytt sjette ledd</w:t>
      </w:r>
    </w:p>
    <w:p w14:paraId="5B1780A7" w14:textId="77777777" w:rsidR="00F83215" w:rsidRPr="007676AD" w:rsidRDefault="00F83215" w:rsidP="007676AD">
      <w:r w:rsidRPr="007676AD">
        <w:t>Bestemmelsen fastslår at grossister og andre som driver grossistvirksomhet plikter å gi departementet elektronisk tilgang til opplysninger om lagerstatus ved fare for tilgangen til legemidler. Bestemm</w:t>
      </w:r>
      <w:r w:rsidRPr="007676AD">
        <w:t>elsen er tilsvarende som plikten for apotek etter apotekloven § 5-4 nytt tredje ledd. Departementet skal ha elektronisk tilgang til lagerstatus slik at det er mulig å få oversikt over den samlede lagerbeholdningen av ulike varelinjer. Tilgangen skal gi dep</w:t>
      </w:r>
      <w:r w:rsidRPr="007676AD">
        <w:t>artementet anledning til å kunne aggregere informasjonen.</w:t>
      </w:r>
    </w:p>
    <w:p w14:paraId="2FAF6AA0" w14:textId="77777777" w:rsidR="00F83215" w:rsidRPr="007676AD" w:rsidRDefault="00F83215" w:rsidP="007676AD">
      <w:r w:rsidRPr="007676AD">
        <w:t xml:space="preserve">Departementet kan i forskrift fastsette nærmere bestemmelser om innholdet og gjennomføringen av </w:t>
      </w:r>
      <w:proofErr w:type="spellStart"/>
      <w:r w:rsidRPr="007676AD">
        <w:t>bestemmelen</w:t>
      </w:r>
      <w:proofErr w:type="spellEnd"/>
      <w:r w:rsidRPr="007676AD">
        <w:t>.</w:t>
      </w:r>
    </w:p>
    <w:p w14:paraId="779A3B70" w14:textId="77777777" w:rsidR="00F83215" w:rsidRPr="007676AD" w:rsidRDefault="00F83215" w:rsidP="007676AD">
      <w:pPr>
        <w:pStyle w:val="avsnitt-undertittel"/>
      </w:pPr>
      <w:r w:rsidRPr="007676AD">
        <w:lastRenderedPageBreak/>
        <w:t>Til § 15 første ledd</w:t>
      </w:r>
    </w:p>
    <w:p w14:paraId="72E7242E" w14:textId="77777777" w:rsidR="00F83215" w:rsidRPr="007676AD" w:rsidRDefault="00F83215" w:rsidP="007676AD">
      <w:r w:rsidRPr="007676AD">
        <w:t xml:space="preserve">Bestemmelsen er endret ved at begrepet </w:t>
      </w:r>
      <w:proofErr w:type="spellStart"/>
      <w:r w:rsidRPr="007676AD">
        <w:t>engrosomsetning</w:t>
      </w:r>
      <w:proofErr w:type="spellEnd"/>
      <w:r w:rsidRPr="007676AD">
        <w:t xml:space="preserve"> for å omtale grossistenes virksomhet erstattes av grossistvirksomhet. Endringen er ikke ment å medføre noen realitetsendring, men er en modernisering av ordlyden.</w:t>
      </w:r>
    </w:p>
    <w:p w14:paraId="2863F984" w14:textId="77777777" w:rsidR="00F83215" w:rsidRPr="007676AD" w:rsidRDefault="00F83215" w:rsidP="007676AD">
      <w:pPr>
        <w:pStyle w:val="avsnitt-undertittel"/>
      </w:pPr>
      <w:r w:rsidRPr="007676AD">
        <w:t>Til § 15 tredje ledd</w:t>
      </w:r>
    </w:p>
    <w:p w14:paraId="1E67F9B9" w14:textId="77777777" w:rsidR="00F83215" w:rsidRPr="007676AD" w:rsidRDefault="00F83215" w:rsidP="007676AD">
      <w:r w:rsidRPr="007676AD">
        <w:t>Endringen av best</w:t>
      </w:r>
      <w:r w:rsidRPr="007676AD">
        <w:t>emmelsen innebærer at den ikke lenger gir eksempler på hvem som kan anses som profesjonelle sluttbrukere. Departementet vil som tidligere angi i forskrift hvilke aktører som regnes som profesjonelle sluttbrukere grossistene kan levere legemidler til.</w:t>
      </w:r>
    </w:p>
    <w:p w14:paraId="15E3ED99" w14:textId="77777777" w:rsidR="00F83215" w:rsidRPr="007676AD" w:rsidRDefault="00F83215" w:rsidP="007676AD">
      <w:pPr>
        <w:pStyle w:val="avsnitt-undertittel"/>
      </w:pPr>
      <w:r w:rsidRPr="007676AD">
        <w:t>Til §</w:t>
      </w:r>
      <w:r w:rsidRPr="007676AD">
        <w:t> 15a første ledd</w:t>
      </w:r>
    </w:p>
    <w:p w14:paraId="641ED3AE" w14:textId="77777777" w:rsidR="00F83215" w:rsidRPr="007676AD" w:rsidRDefault="00F83215" w:rsidP="007676AD">
      <w:r w:rsidRPr="007676AD">
        <w:t xml:space="preserve">Bestemmelsen er endret ved at begrepet </w:t>
      </w:r>
      <w:proofErr w:type="spellStart"/>
      <w:r w:rsidRPr="007676AD">
        <w:t>engrosomsetning</w:t>
      </w:r>
      <w:proofErr w:type="spellEnd"/>
      <w:r w:rsidRPr="007676AD">
        <w:t xml:space="preserve"> for å omtale grossistenes virksomhet erstattes av grossistvirksomhet. Endringen er ikke ment å medføre noen realitetsendring, men er en modernisering av ordlyden.</w:t>
      </w:r>
    </w:p>
    <w:p w14:paraId="0DABB6E5" w14:textId="77777777" w:rsidR="00F83215" w:rsidRPr="007676AD" w:rsidRDefault="00F83215" w:rsidP="007676AD">
      <w:pPr>
        <w:pStyle w:val="avsnitt-undertittel"/>
      </w:pPr>
      <w:r w:rsidRPr="007676AD">
        <w:t>Til § 16 tredje ledd</w:t>
      </w:r>
    </w:p>
    <w:p w14:paraId="0F942C43" w14:textId="77777777" w:rsidR="00F83215" w:rsidRPr="007676AD" w:rsidRDefault="00F83215" w:rsidP="007676AD">
      <w:r w:rsidRPr="007676AD">
        <w:t>Endringen av bestemmelsen innebærer at en utvidet krets av aktører kan selge legemidler til teknisk, vitenskapelig og annen ikke-medisinsk bruk. Dette gjelder apotek, tilvirkere, grossister og andre som har fått departementets tillatelse til dette.</w:t>
      </w:r>
    </w:p>
    <w:p w14:paraId="4272BB3D" w14:textId="77777777" w:rsidR="00F83215" w:rsidRPr="007676AD" w:rsidRDefault="00F83215" w:rsidP="007676AD">
      <w:pPr>
        <w:pStyle w:val="avsnitt-undertittel"/>
      </w:pPr>
      <w:r w:rsidRPr="007676AD">
        <w:t>Til § 1</w:t>
      </w:r>
      <w:r w:rsidRPr="007676AD">
        <w:t>8 første og andre punktum</w:t>
      </w:r>
    </w:p>
    <w:p w14:paraId="4685F624" w14:textId="77777777" w:rsidR="00F83215" w:rsidRPr="007676AD" w:rsidRDefault="00F83215" w:rsidP="007676AD">
      <w:r w:rsidRPr="007676AD">
        <w:t xml:space="preserve">Bestemmelsen er endret ved at begrepet </w:t>
      </w:r>
      <w:proofErr w:type="spellStart"/>
      <w:r w:rsidRPr="007676AD">
        <w:t>engrosomsetning</w:t>
      </w:r>
      <w:proofErr w:type="spellEnd"/>
      <w:r w:rsidRPr="007676AD">
        <w:t xml:space="preserve"> for å omtale grossistenes virksomhet erstattes av grossistvirksomhet. Endringen er ikke ment å medføre noen realitetsendring, men er en modernisering av ordlyden.</w:t>
      </w:r>
    </w:p>
    <w:p w14:paraId="1C409AE6" w14:textId="77777777" w:rsidR="00F83215" w:rsidRPr="007676AD" w:rsidRDefault="00F83215" w:rsidP="007676AD">
      <w:pPr>
        <w:pStyle w:val="avsnitt-undertittel"/>
        <w:rPr>
          <w:rStyle w:val="kursiv"/>
        </w:rPr>
      </w:pPr>
      <w:r w:rsidRPr="007676AD">
        <w:t xml:space="preserve">Til ny § 18 </w:t>
      </w:r>
      <w:r w:rsidRPr="007676AD">
        <w:t>a</w:t>
      </w:r>
    </w:p>
    <w:p w14:paraId="75831888" w14:textId="77777777" w:rsidR="00F83215" w:rsidRPr="007676AD" w:rsidRDefault="00F83215" w:rsidP="007676AD">
      <w:r w:rsidRPr="007676AD">
        <w:t>Bestemmelsen er ny og gir hjemmel for å kunne innføre restriksjoner i utlevering og parallelleksport fra grossister dersom det foreligger fare for tilgangen til legemidler i Norge. Et vedtak etter bestemmelsen skal være forholdsmessig. Altså nødvendig og</w:t>
      </w:r>
      <w:r w:rsidRPr="007676AD">
        <w:t xml:space="preserve"> egnet for å håndtere en situasjon hvor det er fare for tilgangen til et konkret legemiddel i Norge. Vurderingen skal være konkret for det enkelte legemiddel. Når vilkårene for vedtak om restriksjon ikke lenger er </w:t>
      </w:r>
      <w:proofErr w:type="gramStart"/>
      <w:r w:rsidRPr="007676AD">
        <w:t>til stede</w:t>
      </w:r>
      <w:proofErr w:type="gramEnd"/>
      <w:r w:rsidRPr="007676AD">
        <w:t xml:space="preserve"> skal det oppheves. Begrensninger</w:t>
      </w:r>
      <w:r w:rsidRPr="007676AD">
        <w:t xml:space="preserve"> i parallelleksport forutsetter at rammene som følger av EØS-retten og WTO-retten er oppfylt. Også legemidler uten markedsføringstillatelse i Norge som omsettes gjennom godkjenningsfritak vil omfattes av denne bestemmelsen.</w:t>
      </w:r>
    </w:p>
    <w:p w14:paraId="41511557" w14:textId="77777777" w:rsidR="00F83215" w:rsidRPr="007676AD" w:rsidRDefault="00F83215" w:rsidP="007676AD">
      <w:r w:rsidRPr="007676AD">
        <w:t>Etter andre ledd er departemente</w:t>
      </w:r>
      <w:r w:rsidRPr="007676AD">
        <w:t>t gitt hjemmel til å fastsette forskrifter om gjennomføring av første ledd.</w:t>
      </w:r>
    </w:p>
    <w:p w14:paraId="5EAC6EDD" w14:textId="77777777" w:rsidR="00F83215" w:rsidRPr="007676AD" w:rsidRDefault="00F83215" w:rsidP="007676AD">
      <w:pPr>
        <w:pStyle w:val="avsnitt-undertittel"/>
      </w:pPr>
      <w:r w:rsidRPr="007676AD">
        <w:lastRenderedPageBreak/>
        <w:t>Til § 23 andre ledd første punktum</w:t>
      </w:r>
    </w:p>
    <w:p w14:paraId="18260056" w14:textId="77777777" w:rsidR="00F83215" w:rsidRPr="007676AD" w:rsidRDefault="00F83215" w:rsidP="007676AD">
      <w:r w:rsidRPr="007676AD">
        <w:t xml:space="preserve">Bestemmelsen er endret ved at begrepet </w:t>
      </w:r>
      <w:proofErr w:type="spellStart"/>
      <w:r w:rsidRPr="007676AD">
        <w:t>engrosomsetning</w:t>
      </w:r>
      <w:proofErr w:type="spellEnd"/>
      <w:r w:rsidRPr="007676AD">
        <w:t xml:space="preserve"> for å omtale grossistenes virksomhet erstattes av grossistvirksomhet. Endringen er ikke me</w:t>
      </w:r>
      <w:r w:rsidRPr="007676AD">
        <w:t>nt å medføre noen realitetsendring, men er en modernisering av ordlyden.</w:t>
      </w:r>
    </w:p>
    <w:p w14:paraId="04E793E0" w14:textId="77777777" w:rsidR="00F83215" w:rsidRPr="007676AD" w:rsidRDefault="00F83215" w:rsidP="007676AD">
      <w:pPr>
        <w:pStyle w:val="avsnitt-undertittel"/>
        <w:rPr>
          <w:rStyle w:val="kursiv"/>
        </w:rPr>
      </w:pPr>
      <w:r w:rsidRPr="007676AD">
        <w:t>Til § 28 femte ledd</w:t>
      </w:r>
    </w:p>
    <w:p w14:paraId="4320A76E" w14:textId="77777777" w:rsidR="00F83215" w:rsidRPr="007676AD" w:rsidRDefault="00F83215" w:rsidP="007676AD">
      <w:r w:rsidRPr="007676AD">
        <w:t>Departementet kan etter bestemmelsen ilegge tvangsmulkt ved brudd på plikten til å gi innsyn i lagerstatus etter § 14 sjette ledd.</w:t>
      </w:r>
    </w:p>
    <w:p w14:paraId="56C4037F" w14:textId="77777777" w:rsidR="00F83215" w:rsidRPr="007676AD" w:rsidRDefault="00F83215" w:rsidP="007676AD">
      <w:pPr>
        <w:pStyle w:val="avsnitt-undertittel"/>
        <w:rPr>
          <w:rStyle w:val="kursiv"/>
        </w:rPr>
      </w:pPr>
      <w:r w:rsidRPr="007676AD">
        <w:t>Til § 28a andre ledd</w:t>
      </w:r>
    </w:p>
    <w:p w14:paraId="38C7057D" w14:textId="77777777" w:rsidR="00F83215" w:rsidRPr="007676AD" w:rsidRDefault="00F83215" w:rsidP="007676AD">
      <w:r w:rsidRPr="007676AD">
        <w:t>Bestemmelse</w:t>
      </w:r>
      <w:r w:rsidRPr="007676AD">
        <w:t>n gir departementet hjemmel til å fastsette overtredelsesgebyr ved manglende oppfyllelse av pliktene i § 18 a om begrensninger i utlevering og i parallelleksport ved fare for tilgangen til legemidler i Norge.</w:t>
      </w:r>
    </w:p>
    <w:p w14:paraId="462A6AE5" w14:textId="77777777" w:rsidR="00F83215" w:rsidRPr="007676AD" w:rsidRDefault="00F83215" w:rsidP="007676AD">
      <w:pPr>
        <w:pStyle w:val="Overskrift2"/>
      </w:pPr>
      <w:r w:rsidRPr="007676AD">
        <w:t>Til apotekloven endringene til apotekloven</w:t>
      </w:r>
    </w:p>
    <w:p w14:paraId="6453AEE7" w14:textId="77777777" w:rsidR="00F83215" w:rsidRPr="007676AD" w:rsidRDefault="00F83215" w:rsidP="007676AD">
      <w:pPr>
        <w:pStyle w:val="avsnitt-undertittel"/>
        <w:rPr>
          <w:rStyle w:val="kursiv"/>
        </w:rPr>
      </w:pPr>
      <w:r w:rsidRPr="007676AD">
        <w:t>Til § 5-4 tredje ledd</w:t>
      </w:r>
    </w:p>
    <w:p w14:paraId="7969BA57" w14:textId="77777777" w:rsidR="00F83215" w:rsidRPr="007676AD" w:rsidRDefault="00F83215" w:rsidP="007676AD">
      <w:r w:rsidRPr="007676AD">
        <w:t>Bestemmelsen fastslår at apotek plikter å gi departementet elektronisk tilgang til opplysninger om lagerstatus ved fare for tilgangen til legemidler. Bestemmelsen skal gi departementet tilgan</w:t>
      </w:r>
      <w:r w:rsidRPr="007676AD">
        <w:t>g til lagerstatus slik at det er mulig å få oversikt over den samlede lagerbeholdningen på ulike varelinjer. Tilgangen skal gi departementet anledning til å aggregere informasjon.</w:t>
      </w:r>
    </w:p>
    <w:p w14:paraId="681EA76B" w14:textId="77777777" w:rsidR="00F83215" w:rsidRPr="007676AD" w:rsidRDefault="00F83215" w:rsidP="007676AD">
      <w:r w:rsidRPr="007676AD">
        <w:t>Departementet kan gi forskrifter om gjennomføringen av bestemmelsen. Dette o</w:t>
      </w:r>
      <w:r w:rsidRPr="007676AD">
        <w:t>mfatter blant annet både hvordan tilgangen skal gis og hvilke og hvordan opplysninger skal gjøres tilgjengelige.</w:t>
      </w:r>
    </w:p>
    <w:p w14:paraId="7B09B1F9" w14:textId="77777777" w:rsidR="00F83215" w:rsidRPr="007676AD" w:rsidRDefault="00F83215" w:rsidP="007676AD">
      <w:pPr>
        <w:pStyle w:val="avsnitt-undertittel"/>
      </w:pPr>
      <w:r w:rsidRPr="007676AD">
        <w:t>Til § 5-4 nytt femte ledd</w:t>
      </w:r>
    </w:p>
    <w:p w14:paraId="3DFD9232" w14:textId="77777777" w:rsidR="00F83215" w:rsidRPr="007676AD" w:rsidRDefault="00F83215" w:rsidP="007676AD">
      <w:r w:rsidRPr="007676AD">
        <w:t>Det er gjort visse språk</w:t>
      </w:r>
      <w:r w:rsidRPr="007676AD">
        <w:t>lige justeringer i bestemmelsen. Endringene er ikke ment å medføre noen realitetsendringer.</w:t>
      </w:r>
    </w:p>
    <w:p w14:paraId="43DE6201" w14:textId="77777777" w:rsidR="00F83215" w:rsidRPr="007676AD" w:rsidRDefault="00F83215" w:rsidP="007676AD">
      <w:pPr>
        <w:pStyle w:val="avsnitt-undertittel"/>
        <w:rPr>
          <w:rStyle w:val="kursiv"/>
        </w:rPr>
      </w:pPr>
      <w:r w:rsidRPr="007676AD">
        <w:t>Til § 6-12</w:t>
      </w:r>
    </w:p>
    <w:p w14:paraId="45629209" w14:textId="77777777" w:rsidR="00F83215" w:rsidRPr="007676AD" w:rsidRDefault="00F83215" w:rsidP="007676AD">
      <w:r w:rsidRPr="007676AD">
        <w:t>Bestemmelsen fastslår at dersom det er fare for tilgangen til legemidler i Norge, kan departementet pålegge apotek restriksjoner på salg og utlevering av</w:t>
      </w:r>
      <w:r w:rsidRPr="007676AD">
        <w:t xml:space="preserve"> legemidler. Bestemmelsen åpner for bruk av rasjonering. I dette ligger muligheten for både rasjonering og prioritering.</w:t>
      </w:r>
    </w:p>
    <w:p w14:paraId="71893CA8" w14:textId="77777777" w:rsidR="00F83215" w:rsidRPr="007676AD" w:rsidRDefault="00F83215" w:rsidP="007676AD">
      <w:r w:rsidRPr="007676AD">
        <w:t>Ved fare for tilgangen til legemidler, kan det raskt oppstå situasjoner med hamstring. Hjemmel til å rasjonere salg fra grossister og a</w:t>
      </w:r>
      <w:r w:rsidRPr="007676AD">
        <w:t>potek, for eksempel gjennom å sette grenser mengden som kan utleveres på en gang til pasienter og/eller helseinstitusjoner, er nødvendig for å hindre hamstring. For legemidler rekvirert på blåresept utleveres normalt legemidler for tre måneders forbruk. Ra</w:t>
      </w:r>
      <w:r w:rsidRPr="007676AD">
        <w:t>sjonering kan innebære at dette reduseres til én måned.</w:t>
      </w:r>
    </w:p>
    <w:p w14:paraId="38E8ED9F" w14:textId="77777777" w:rsidR="00F83215" w:rsidRPr="007676AD" w:rsidRDefault="00F83215" w:rsidP="007676AD">
      <w:r w:rsidRPr="007676AD">
        <w:lastRenderedPageBreak/>
        <w:t>I situasjoner hvor det er fare for tilgangen til bestemte legemidler slik at enkeltlegemidler ikke er tilgjengelig for alle pasienter som trenger dem, kan det være nødvendig å styre utlevering i apote</w:t>
      </w:r>
      <w:r w:rsidRPr="007676AD">
        <w:t xml:space="preserve">k og fra grossist slik at så mange som mulig får tilgang og at pasienter/pasientgrupper prioriteres. Hvilke bestemte pasienter/-grupper som skal få legemidler utlevert fra apotek, skal baseres på en samlet vurdering av de generelle prioriteringskriteriene </w:t>
      </w:r>
      <w:r w:rsidRPr="007676AD">
        <w:t xml:space="preserve">nytte, alvorlighet og ressursbruk, som ligger til grunn </w:t>
      </w:r>
      <w:proofErr w:type="gramStart"/>
      <w:r w:rsidRPr="007676AD">
        <w:t>for øvrig</w:t>
      </w:r>
      <w:proofErr w:type="gramEnd"/>
      <w:r w:rsidRPr="007676AD">
        <w:t xml:space="preserve"> prioritering i helse- og omsorgstjenestene. Vedtak etter bestemmelsen må oppfylle de ordinære kravene til forholdsmessighet som forvaltningen er underlagt i sin saksbehandling. Det innebærer</w:t>
      </w:r>
      <w:r w:rsidRPr="007676AD">
        <w:t xml:space="preserve"> også at når vilkårene ikke lenger er oppfylt må tiltak opphøre og fjernes.</w:t>
      </w:r>
    </w:p>
    <w:p w14:paraId="5AF0B883" w14:textId="77777777" w:rsidR="00F83215" w:rsidRPr="007676AD" w:rsidRDefault="00F83215" w:rsidP="007676AD">
      <w:r w:rsidRPr="007676AD">
        <w:t>Departementet kan gi forskrift om gjennomføringen av første ledd. Det kan være regler om saksbehandlingen i saker om rasjonering og vedtak om rasjonering av enkeltlegemidler som må</w:t>
      </w:r>
      <w:r w:rsidRPr="007676AD">
        <w:t xml:space="preserve"> inntas i forskriftsform.</w:t>
      </w:r>
    </w:p>
    <w:p w14:paraId="5FE36BEE" w14:textId="77777777" w:rsidR="00F83215" w:rsidRPr="007676AD" w:rsidRDefault="00F83215" w:rsidP="007676AD">
      <w:pPr>
        <w:pStyle w:val="avsnitt-undertittel"/>
        <w:rPr>
          <w:rStyle w:val="kursiv"/>
        </w:rPr>
      </w:pPr>
      <w:r w:rsidRPr="007676AD">
        <w:t>Til § 9-3</w:t>
      </w:r>
    </w:p>
    <w:p w14:paraId="32B06A58" w14:textId="77777777" w:rsidR="00F83215" w:rsidRPr="007676AD" w:rsidRDefault="00F83215" w:rsidP="007676AD">
      <w:r w:rsidRPr="007676AD">
        <w:t>Bestemmelsen gir departementet hjemmel til å fastsette tvangsmulkt ved manglende oppfyllelse av pliktene i § 5-4 tredje ledd. Tvangsmulkt kan pålegges etter denne bestemmelsen når plikten til å gi tilgang til lagerstatus</w:t>
      </w:r>
      <w:r w:rsidRPr="007676AD">
        <w:t xml:space="preserve"> for apotek ikke er oppfylt.</w:t>
      </w:r>
    </w:p>
    <w:p w14:paraId="34EC867D" w14:textId="77777777" w:rsidR="00F83215" w:rsidRPr="007676AD" w:rsidRDefault="00F83215" w:rsidP="007676AD">
      <w:pPr>
        <w:pStyle w:val="avsnitt-undertittel"/>
        <w:rPr>
          <w:rStyle w:val="kursiv"/>
        </w:rPr>
      </w:pPr>
      <w:r w:rsidRPr="007676AD">
        <w:t>Til § 9-6 første ledd</w:t>
      </w:r>
    </w:p>
    <w:p w14:paraId="70F03F0D" w14:textId="77777777" w:rsidR="00F83215" w:rsidRPr="007676AD" w:rsidRDefault="00F83215" w:rsidP="007676AD">
      <w:r w:rsidRPr="007676AD">
        <w:t>Bestemmelsen fastslår at departementet kan ilegge overtredelsesgebyr ved manglende oppfyllelse av § 6-12.</w:t>
      </w:r>
    </w:p>
    <w:p w14:paraId="4BAFC72A" w14:textId="77777777" w:rsidR="00F83215" w:rsidRPr="007676AD" w:rsidRDefault="00F83215" w:rsidP="007676AD">
      <w:pPr>
        <w:pStyle w:val="a-tilraar-dep"/>
      </w:pPr>
      <w:r w:rsidRPr="007676AD">
        <w:t>Helse- og omsorgsdepartementet</w:t>
      </w:r>
    </w:p>
    <w:p w14:paraId="31787066" w14:textId="77777777" w:rsidR="00F83215" w:rsidRPr="007676AD" w:rsidRDefault="00F83215" w:rsidP="007676AD">
      <w:pPr>
        <w:pStyle w:val="a-tilraar-tit"/>
      </w:pPr>
      <w:r w:rsidRPr="007676AD">
        <w:t>tilrår:</w:t>
      </w:r>
    </w:p>
    <w:p w14:paraId="747CC03C" w14:textId="77777777" w:rsidR="00F83215" w:rsidRPr="007676AD" w:rsidRDefault="00F83215" w:rsidP="007676AD">
      <w:r w:rsidRPr="007676AD">
        <w:t xml:space="preserve">At Deres Majestet godkjenner og skriver under </w:t>
      </w:r>
      <w:r w:rsidRPr="007676AD">
        <w:t>et framlagt fo</w:t>
      </w:r>
      <w:r w:rsidRPr="007676AD">
        <w:t>rslag til proposisjon til Stortinget om</w:t>
      </w:r>
      <w:r w:rsidRPr="007676AD">
        <w:t xml:space="preserve"> endringer i legemiddelloven og apotekloven (styrket legemiddelberedskap m.m.).</w:t>
      </w:r>
    </w:p>
    <w:p w14:paraId="70E7AD10" w14:textId="77777777" w:rsidR="00F83215" w:rsidRPr="007676AD" w:rsidRDefault="00F83215" w:rsidP="007676AD">
      <w:pPr>
        <w:pStyle w:val="a-konge-tekst"/>
        <w:rPr>
          <w:rStyle w:val="halvfet0"/>
        </w:rPr>
      </w:pPr>
      <w:r w:rsidRPr="007676AD">
        <w:rPr>
          <w:rStyle w:val="halvfet0"/>
        </w:rPr>
        <w:t xml:space="preserve">Vi HARALD, </w:t>
      </w:r>
      <w:r w:rsidRPr="007676AD">
        <w:t>Norges Konge,</w:t>
      </w:r>
    </w:p>
    <w:p w14:paraId="02E734FA" w14:textId="77777777" w:rsidR="00F83215" w:rsidRPr="007676AD" w:rsidRDefault="00F83215" w:rsidP="007676AD">
      <w:pPr>
        <w:pStyle w:val="a-konge-tit"/>
      </w:pPr>
      <w:r w:rsidRPr="007676AD">
        <w:t>stadfester:</w:t>
      </w:r>
    </w:p>
    <w:p w14:paraId="7AE81F87" w14:textId="77777777" w:rsidR="00F83215" w:rsidRPr="007676AD" w:rsidRDefault="00F83215" w:rsidP="007676AD">
      <w:r w:rsidRPr="007676AD">
        <w:t>Stortinget blir bedt om å gjøre vedtak til lov om endringer i legemiddelloven og apotekloven (styrke</w:t>
      </w:r>
      <w:r w:rsidRPr="007676AD">
        <w:t>t legemiddelberedskap m.m.) i samsvar med et vedlagt forslag.</w:t>
      </w:r>
    </w:p>
    <w:p w14:paraId="360E6D8A" w14:textId="77777777" w:rsidR="00F83215" w:rsidRPr="007676AD" w:rsidRDefault="00F83215" w:rsidP="007676AD">
      <w:pPr>
        <w:pStyle w:val="a-vedtak-tit"/>
      </w:pPr>
      <w:r w:rsidRPr="007676AD">
        <w:lastRenderedPageBreak/>
        <w:t>Forslag</w:t>
      </w:r>
    </w:p>
    <w:p w14:paraId="628D1C79" w14:textId="77777777" w:rsidR="00F83215" w:rsidRPr="007676AD" w:rsidRDefault="00F83215" w:rsidP="007676AD">
      <w:pPr>
        <w:pStyle w:val="a-vedtak-tit"/>
      </w:pPr>
      <w:r w:rsidRPr="007676AD">
        <w:t xml:space="preserve"> til endringer i legemiddelloven og apotekloven </w:t>
      </w:r>
      <w:r w:rsidRPr="007676AD">
        <w:br/>
        <w:t>(styrket legemiddelberedskap m.m.)</w:t>
      </w:r>
    </w:p>
    <w:p w14:paraId="5A8A49E3" w14:textId="77777777" w:rsidR="00F83215" w:rsidRPr="007676AD" w:rsidRDefault="00F83215" w:rsidP="007676AD">
      <w:pPr>
        <w:pStyle w:val="a-vedtak-del"/>
      </w:pPr>
      <w:r w:rsidRPr="007676AD">
        <w:t>I</w:t>
      </w:r>
    </w:p>
    <w:p w14:paraId="064173F1" w14:textId="77777777" w:rsidR="00F83215" w:rsidRPr="007676AD" w:rsidRDefault="00F83215" w:rsidP="007676AD">
      <w:pPr>
        <w:pStyle w:val="l-tit-endr-lov"/>
      </w:pPr>
      <w:r w:rsidRPr="007676AD">
        <w:t xml:space="preserve">I lov 4. desember 1992 nr. 132 om legemidler </w:t>
      </w:r>
      <w:proofErr w:type="spellStart"/>
      <w:r w:rsidRPr="007676AD">
        <w:t>m.v</w:t>
      </w:r>
      <w:proofErr w:type="spellEnd"/>
      <w:r w:rsidRPr="007676AD">
        <w:t>. gjøres følgende endringer:</w:t>
      </w:r>
    </w:p>
    <w:p w14:paraId="18099C4D" w14:textId="77777777" w:rsidR="00F83215" w:rsidRPr="007676AD" w:rsidRDefault="00F83215" w:rsidP="007676AD">
      <w:pPr>
        <w:pStyle w:val="l-tit-endr-ledd"/>
      </w:pPr>
      <w:r w:rsidRPr="007676AD">
        <w:t>Nytt § 6 fjerde ledd an</w:t>
      </w:r>
      <w:r w:rsidRPr="007676AD">
        <w:t>dre punktum skal lyde:</w:t>
      </w:r>
    </w:p>
    <w:p w14:paraId="43BDEED8" w14:textId="77777777" w:rsidR="00F83215" w:rsidRPr="007676AD" w:rsidRDefault="00F83215" w:rsidP="007676AD">
      <w:pPr>
        <w:pStyle w:val="l-ledd"/>
      </w:pPr>
      <w:r w:rsidRPr="007676AD">
        <w:t>Departementet kan gi forskrift om maksimal grossistavanse ved distribusjon av helseforetaksfinansierte legemidler, og om gjennomføringen av slik distribusjon.</w:t>
      </w:r>
    </w:p>
    <w:p w14:paraId="6880A923" w14:textId="77777777" w:rsidR="00F83215" w:rsidRPr="007676AD" w:rsidRDefault="00F83215" w:rsidP="007676AD">
      <w:pPr>
        <w:pStyle w:val="l-tit-endr-ledd"/>
      </w:pPr>
      <w:r w:rsidRPr="007676AD">
        <w:t>§ 13 fjerde ledd skal lyde:</w:t>
      </w:r>
    </w:p>
    <w:p w14:paraId="2AE5874C" w14:textId="77777777" w:rsidR="00F83215" w:rsidRPr="007676AD" w:rsidRDefault="00F83215" w:rsidP="007676AD">
      <w:pPr>
        <w:pStyle w:val="l-ledd"/>
      </w:pPr>
      <w:r w:rsidRPr="007676AD">
        <w:t>Import av legemidler fra stater innenfor det e</w:t>
      </w:r>
      <w:r w:rsidRPr="007676AD">
        <w:t xml:space="preserve">uropeiske økonomiske samarbeidsområdet kan bare foretas av den som har godkjenning til </w:t>
      </w:r>
      <w:r w:rsidRPr="007676AD">
        <w:rPr>
          <w:rStyle w:val="l-endring"/>
        </w:rPr>
        <w:t>grossistvirksomhet</w:t>
      </w:r>
      <w:r w:rsidRPr="007676AD">
        <w:t xml:space="preserve"> etter § 14, med mindre annet følger av denne </w:t>
      </w:r>
      <w:r w:rsidRPr="007676AD">
        <w:rPr>
          <w:rStyle w:val="l-endring"/>
        </w:rPr>
        <w:t>loven</w:t>
      </w:r>
      <w:r w:rsidRPr="007676AD">
        <w:t>.</w:t>
      </w:r>
    </w:p>
    <w:p w14:paraId="42843172" w14:textId="77777777" w:rsidR="00F83215" w:rsidRPr="007676AD" w:rsidRDefault="00F83215" w:rsidP="007676AD">
      <w:pPr>
        <w:pStyle w:val="l-tit-endr-lovkap"/>
      </w:pPr>
      <w:r w:rsidRPr="007676AD">
        <w:t>Kapittel VI overskriften skal lyde:</w:t>
      </w:r>
    </w:p>
    <w:p w14:paraId="6469BD26" w14:textId="77777777" w:rsidR="00F83215" w:rsidRPr="007676AD" w:rsidRDefault="00F83215" w:rsidP="007676AD">
      <w:pPr>
        <w:pStyle w:val="l-lovkap"/>
      </w:pPr>
      <w:r w:rsidRPr="007676AD">
        <w:t>Kap. VI. Grossistvirksomhet, formidling og detaljomsetning av legemidler</w:t>
      </w:r>
    </w:p>
    <w:p w14:paraId="478A59BC" w14:textId="77777777" w:rsidR="00F83215" w:rsidRPr="007676AD" w:rsidRDefault="00F83215" w:rsidP="007676AD">
      <w:pPr>
        <w:pStyle w:val="l-tit-endr-ledd"/>
      </w:pPr>
      <w:r w:rsidRPr="007676AD">
        <w:t>§ 14 skal lyde:</w:t>
      </w:r>
    </w:p>
    <w:p w14:paraId="21A14F99" w14:textId="77777777" w:rsidR="00F83215" w:rsidRPr="007676AD" w:rsidRDefault="00F83215" w:rsidP="007676AD">
      <w:pPr>
        <w:pStyle w:val="l-ledd"/>
      </w:pPr>
      <w:r w:rsidRPr="007676AD">
        <w:rPr>
          <w:rStyle w:val="l-endring"/>
        </w:rPr>
        <w:t>Grossistvirksomhet med legemidler til mennesker omfatter alle former for virksomhet som består i å skaffe til veie, oppbevare, selge, utlevere eller eksportere legemid</w:t>
      </w:r>
      <w:r w:rsidRPr="007676AD">
        <w:rPr>
          <w:rStyle w:val="l-endring"/>
        </w:rPr>
        <w:t>ler, med unntak av vanlig apotekvirksomhet og annen utlevering av legemidler til allmennheten. Med grossist menes innehaver av grossisttillatelse eller av annen tillatelse som gir rett til å utøve grossistvirksomhet med legemidler.</w:t>
      </w:r>
    </w:p>
    <w:p w14:paraId="4477734E" w14:textId="77777777" w:rsidR="00F83215" w:rsidRPr="007676AD" w:rsidRDefault="00F83215" w:rsidP="007676AD">
      <w:pPr>
        <w:pStyle w:val="l-ledd"/>
        <w:rPr>
          <w:rStyle w:val="l-endring"/>
        </w:rPr>
      </w:pPr>
      <w:r w:rsidRPr="007676AD">
        <w:rPr>
          <w:rStyle w:val="l-endring"/>
        </w:rPr>
        <w:t>Grossistvirksomhet med l</w:t>
      </w:r>
      <w:r w:rsidRPr="007676AD">
        <w:rPr>
          <w:rStyle w:val="l-endring"/>
        </w:rPr>
        <w:t>egemidler krever en</w:t>
      </w:r>
      <w:r w:rsidRPr="007676AD">
        <w:t xml:space="preserve"> særskilt godkjenning fra departementet. Tilvirkere etter § 12 og importører etter § 13 </w:t>
      </w:r>
      <w:r w:rsidRPr="007676AD">
        <w:rPr>
          <w:rStyle w:val="l-endring"/>
        </w:rPr>
        <w:t>første</w:t>
      </w:r>
      <w:r w:rsidRPr="007676AD">
        <w:t xml:space="preserve"> ledd kan likevel, uten særskilt godkjenning, drive </w:t>
      </w:r>
      <w:r w:rsidRPr="007676AD">
        <w:rPr>
          <w:rStyle w:val="l-endring"/>
        </w:rPr>
        <w:t>grossistvirksomhet med</w:t>
      </w:r>
      <w:r w:rsidRPr="007676AD">
        <w:t xml:space="preserve"> de </w:t>
      </w:r>
      <w:r w:rsidRPr="007676AD">
        <w:rPr>
          <w:rStyle w:val="l-endring"/>
        </w:rPr>
        <w:t>legemidlene</w:t>
      </w:r>
      <w:r w:rsidRPr="007676AD">
        <w:t xml:space="preserve"> tilvirker- eller importgodkjenningen gjelder for.</w:t>
      </w:r>
    </w:p>
    <w:p w14:paraId="358F3F31" w14:textId="77777777" w:rsidR="00F83215" w:rsidRPr="007676AD" w:rsidRDefault="00F83215" w:rsidP="007676AD">
      <w:pPr>
        <w:pStyle w:val="l-ledd"/>
      </w:pPr>
      <w:r w:rsidRPr="007676AD">
        <w:t>Dep</w:t>
      </w:r>
      <w:r w:rsidRPr="007676AD">
        <w:t xml:space="preserve">artementet kan </w:t>
      </w:r>
      <w:r w:rsidRPr="007676AD">
        <w:rPr>
          <w:rStyle w:val="l-endring"/>
        </w:rPr>
        <w:t xml:space="preserve">gi forskrift </w:t>
      </w:r>
      <w:r w:rsidRPr="007676AD">
        <w:t xml:space="preserve">om vilkår for godkjenning til </w:t>
      </w:r>
      <w:r w:rsidRPr="007676AD">
        <w:rPr>
          <w:rStyle w:val="l-endring"/>
        </w:rPr>
        <w:t>grossistvirksomhet og</w:t>
      </w:r>
      <w:r w:rsidRPr="007676AD">
        <w:t xml:space="preserve"> krav til </w:t>
      </w:r>
      <w:proofErr w:type="spellStart"/>
      <w:r w:rsidRPr="007676AD">
        <w:t>ansvarshavendes</w:t>
      </w:r>
      <w:proofErr w:type="spellEnd"/>
      <w:r w:rsidRPr="007676AD">
        <w:t xml:space="preserve"> faglige kvalifikasjoner, til lokaler, varehåndtering </w:t>
      </w:r>
      <w:r w:rsidRPr="007676AD">
        <w:rPr>
          <w:rStyle w:val="l-endring"/>
        </w:rPr>
        <w:t>mv</w:t>
      </w:r>
      <w:r w:rsidRPr="007676AD">
        <w:t xml:space="preserve">. Departementet kan </w:t>
      </w:r>
      <w:r w:rsidRPr="007676AD">
        <w:rPr>
          <w:rStyle w:val="l-endring"/>
        </w:rPr>
        <w:t>også gi forskrift om at</w:t>
      </w:r>
      <w:r w:rsidRPr="007676AD">
        <w:t xml:space="preserve"> grossister som utleverer legemidler til apotek, </w:t>
      </w:r>
      <w:r w:rsidRPr="007676AD">
        <w:rPr>
          <w:rStyle w:val="l-endring"/>
        </w:rPr>
        <w:t>påle</w:t>
      </w:r>
      <w:r w:rsidRPr="007676AD">
        <w:rPr>
          <w:rStyle w:val="l-endring"/>
        </w:rPr>
        <w:t>gges</w:t>
      </w:r>
      <w:r w:rsidRPr="007676AD">
        <w:t xml:space="preserve"> visse forpliktelser til offentlig tjenesteytelse.</w:t>
      </w:r>
    </w:p>
    <w:p w14:paraId="53781C0F" w14:textId="77777777" w:rsidR="00F83215" w:rsidRPr="007676AD" w:rsidRDefault="00F83215" w:rsidP="007676AD">
      <w:pPr>
        <w:pStyle w:val="l-ledd"/>
      </w:pPr>
      <w:r w:rsidRPr="007676AD">
        <w:t>Godkjenning kan gis betinget og tidsbegrenset og kan kalles tilbake dersom betingelsene for godkjenning ikke oppfylles.</w:t>
      </w:r>
    </w:p>
    <w:p w14:paraId="41D93C72" w14:textId="77777777" w:rsidR="00F83215" w:rsidRPr="007676AD" w:rsidRDefault="00F83215" w:rsidP="007676AD">
      <w:pPr>
        <w:pStyle w:val="l-ledd"/>
      </w:pPr>
      <w:r w:rsidRPr="007676AD">
        <w:t xml:space="preserve">Departementet kan pålegge grossister og andre som driver </w:t>
      </w:r>
      <w:r w:rsidRPr="007676AD">
        <w:rPr>
          <w:rStyle w:val="l-endring"/>
        </w:rPr>
        <w:t>grossistvirksomhet</w:t>
      </w:r>
      <w:r w:rsidRPr="007676AD">
        <w:t>, å re</w:t>
      </w:r>
      <w:r w:rsidRPr="007676AD">
        <w:t xml:space="preserve">gistrere opplysninger om omsetningen. Opplysningene skal gjøres tilgjengelig for departementet. Departementet kan gi </w:t>
      </w:r>
      <w:r w:rsidRPr="007676AD">
        <w:rPr>
          <w:rStyle w:val="l-endring"/>
        </w:rPr>
        <w:t>forskrift</w:t>
      </w:r>
      <w:r w:rsidRPr="007676AD">
        <w:t xml:space="preserve"> om hvordan opplysningene skal oppbevares og gjøres tilgjengelig.</w:t>
      </w:r>
    </w:p>
    <w:p w14:paraId="45F0C8D1" w14:textId="77777777" w:rsidR="00F83215" w:rsidRPr="007676AD" w:rsidRDefault="00F83215" w:rsidP="007676AD">
      <w:pPr>
        <w:pStyle w:val="l-ledd"/>
      </w:pPr>
      <w:r w:rsidRPr="007676AD">
        <w:rPr>
          <w:rStyle w:val="l-endring"/>
        </w:rPr>
        <w:t xml:space="preserve">Grossister og andre som driver grossistvirksomhet, plikter å gi </w:t>
      </w:r>
      <w:r w:rsidRPr="007676AD">
        <w:rPr>
          <w:rStyle w:val="l-endring"/>
        </w:rPr>
        <w:t>departementet elektronisk tilgang til opplysninger om lagerstatus ved fare for tilgangen til legemidler i Norge. Departementet kan gi forskrift om gjennomføringen av første punktum.</w:t>
      </w:r>
    </w:p>
    <w:p w14:paraId="4154C6E1" w14:textId="77777777" w:rsidR="00F83215" w:rsidRPr="007676AD" w:rsidRDefault="00F83215" w:rsidP="007676AD">
      <w:pPr>
        <w:pStyle w:val="l-tit-endr-ledd"/>
      </w:pPr>
      <w:r w:rsidRPr="007676AD">
        <w:t>§ 15 første ledd skal lyde:</w:t>
      </w:r>
    </w:p>
    <w:p w14:paraId="6C5E6E1E" w14:textId="77777777" w:rsidR="00F83215" w:rsidRPr="007676AD" w:rsidRDefault="00F83215" w:rsidP="007676AD">
      <w:pPr>
        <w:pStyle w:val="l-ledd"/>
      </w:pPr>
      <w:r w:rsidRPr="007676AD">
        <w:t>Grossister kan bare få forsyninger av legemidl</w:t>
      </w:r>
      <w:r w:rsidRPr="007676AD">
        <w:t xml:space="preserve">er fra andre grossister eller fra tilvirkere og importører med rett til å drive </w:t>
      </w:r>
      <w:r w:rsidRPr="007676AD">
        <w:rPr>
          <w:rStyle w:val="l-endring"/>
        </w:rPr>
        <w:t>grossistvirksomhet</w:t>
      </w:r>
      <w:r w:rsidRPr="007676AD">
        <w:t xml:space="preserve"> etter § 14 </w:t>
      </w:r>
      <w:r w:rsidRPr="007676AD">
        <w:rPr>
          <w:rStyle w:val="l-endring"/>
        </w:rPr>
        <w:t>andre</w:t>
      </w:r>
      <w:r w:rsidRPr="007676AD">
        <w:t xml:space="preserve"> ledd, </w:t>
      </w:r>
      <w:r w:rsidRPr="007676AD">
        <w:rPr>
          <w:rStyle w:val="l-endring"/>
        </w:rPr>
        <w:t xml:space="preserve">andre </w:t>
      </w:r>
      <w:r w:rsidRPr="007676AD">
        <w:t>punktum.</w:t>
      </w:r>
    </w:p>
    <w:p w14:paraId="7DB36091" w14:textId="77777777" w:rsidR="00F83215" w:rsidRPr="007676AD" w:rsidRDefault="00F83215" w:rsidP="007676AD">
      <w:pPr>
        <w:pStyle w:val="l-tit-endr-ledd"/>
      </w:pPr>
      <w:r w:rsidRPr="007676AD">
        <w:lastRenderedPageBreak/>
        <w:t>§ 15 tredje ledd skal lyde:</w:t>
      </w:r>
    </w:p>
    <w:p w14:paraId="658C9BA0" w14:textId="77777777" w:rsidR="00F83215" w:rsidRPr="007676AD" w:rsidRDefault="00F83215" w:rsidP="007676AD">
      <w:pPr>
        <w:pStyle w:val="l-ledd"/>
      </w:pPr>
      <w:r w:rsidRPr="007676AD">
        <w:t xml:space="preserve">Grossister </w:t>
      </w:r>
      <w:r w:rsidRPr="007676AD">
        <w:rPr>
          <w:rStyle w:val="l-endring"/>
        </w:rPr>
        <w:t xml:space="preserve">kan utlevere </w:t>
      </w:r>
      <w:r w:rsidRPr="007676AD">
        <w:t xml:space="preserve">legemidler til profesjonelle </w:t>
      </w:r>
      <w:r w:rsidRPr="007676AD">
        <w:rPr>
          <w:rStyle w:val="l-endring"/>
        </w:rPr>
        <w:t>sluttbrukere</w:t>
      </w:r>
      <w:r w:rsidRPr="007676AD">
        <w:t xml:space="preserve">. </w:t>
      </w:r>
      <w:r w:rsidRPr="007676AD">
        <w:rPr>
          <w:rStyle w:val="l-endring"/>
        </w:rPr>
        <w:t>Departementet kan gi forskrift om slikt salg og hvem som skal anses som profesjonelle sluttbrukere.</w:t>
      </w:r>
    </w:p>
    <w:p w14:paraId="5E3B3A31" w14:textId="77777777" w:rsidR="00F83215" w:rsidRPr="007676AD" w:rsidRDefault="00F83215" w:rsidP="007676AD">
      <w:pPr>
        <w:pStyle w:val="l-tit-endr-ledd"/>
      </w:pPr>
      <w:r w:rsidRPr="007676AD">
        <w:t>§ 15a første ledd skal lyde:</w:t>
      </w:r>
    </w:p>
    <w:p w14:paraId="21344750" w14:textId="77777777" w:rsidR="00F83215" w:rsidRPr="007676AD" w:rsidRDefault="00F83215" w:rsidP="007676AD">
      <w:pPr>
        <w:pStyle w:val="l-ledd"/>
      </w:pPr>
      <w:r w:rsidRPr="007676AD">
        <w:t xml:space="preserve">Med legemiddelformidling menes enhver form for virksomhet knyttet til salg eller kjøp av legemidler, unntatt </w:t>
      </w:r>
      <w:r w:rsidRPr="007676AD">
        <w:rPr>
          <w:rStyle w:val="l-endring"/>
        </w:rPr>
        <w:t>grossistvirksomhet</w:t>
      </w:r>
      <w:r w:rsidRPr="007676AD">
        <w:t xml:space="preserve"> og detaljomsetning, som ikke innebærer fysisk håndtering og som består i å forhandle uavhengig og på vegne av en annen juridisk eller fysisk person.</w:t>
      </w:r>
    </w:p>
    <w:p w14:paraId="6DA095E9" w14:textId="77777777" w:rsidR="00F83215" w:rsidRPr="007676AD" w:rsidRDefault="00F83215" w:rsidP="007676AD">
      <w:pPr>
        <w:pStyle w:val="l-tit-endr-ledd"/>
      </w:pPr>
      <w:r w:rsidRPr="007676AD">
        <w:t>§ 16 tredje ledd skal lyde:</w:t>
      </w:r>
    </w:p>
    <w:p w14:paraId="44A40148" w14:textId="77777777" w:rsidR="00F83215" w:rsidRPr="007676AD" w:rsidRDefault="00F83215" w:rsidP="007676AD">
      <w:pPr>
        <w:pStyle w:val="l-ledd"/>
      </w:pPr>
      <w:r w:rsidRPr="007676AD">
        <w:t xml:space="preserve">Varer som regnes som legemidler etter denne </w:t>
      </w:r>
      <w:r w:rsidRPr="007676AD">
        <w:rPr>
          <w:rStyle w:val="l-endring"/>
        </w:rPr>
        <w:t>loven</w:t>
      </w:r>
      <w:r w:rsidRPr="007676AD">
        <w:t>, kan til teknisk, vitenskape</w:t>
      </w:r>
      <w:r w:rsidRPr="007676AD">
        <w:t xml:space="preserve">lig og annen ikke-medisinsk bruk selges av </w:t>
      </w:r>
      <w:r w:rsidRPr="007676AD">
        <w:rPr>
          <w:rStyle w:val="l-endring"/>
        </w:rPr>
        <w:t>apotek, tilvirkere, grossister og andre som har fått tillatelse</w:t>
      </w:r>
      <w:r w:rsidRPr="007676AD">
        <w:t xml:space="preserve"> i samsvar med forskrifter gitt av departementet.</w:t>
      </w:r>
    </w:p>
    <w:p w14:paraId="62D207E3" w14:textId="77777777" w:rsidR="00F83215" w:rsidRPr="007676AD" w:rsidRDefault="00F83215" w:rsidP="007676AD">
      <w:pPr>
        <w:pStyle w:val="l-tit-endr-ledd"/>
      </w:pPr>
      <w:r w:rsidRPr="007676AD">
        <w:t>§ 18 første og andre punktum skal lyde:</w:t>
      </w:r>
    </w:p>
    <w:p w14:paraId="2E857C69" w14:textId="77777777" w:rsidR="00F83215" w:rsidRPr="007676AD" w:rsidRDefault="00F83215" w:rsidP="007676AD">
      <w:pPr>
        <w:pStyle w:val="l-ledd"/>
      </w:pPr>
      <w:r w:rsidRPr="007676AD">
        <w:t>Departementet kan gi forskrift om sektoravgift på salg av le</w:t>
      </w:r>
      <w:r w:rsidRPr="007676AD">
        <w:t xml:space="preserve">gemidler fra grossister og andre som driver </w:t>
      </w:r>
      <w:r w:rsidRPr="007676AD">
        <w:rPr>
          <w:rStyle w:val="l-endring"/>
        </w:rPr>
        <w:t>grossistvirksomhet</w:t>
      </w:r>
      <w:r w:rsidRPr="007676AD">
        <w:t xml:space="preserve">. Grossisten og andre som </w:t>
      </w:r>
      <w:r w:rsidRPr="007676AD">
        <w:t xml:space="preserve">driver </w:t>
      </w:r>
      <w:r w:rsidRPr="007676AD">
        <w:rPr>
          <w:rStyle w:val="l-endring"/>
        </w:rPr>
        <w:t>grossistvirksomhet</w:t>
      </w:r>
      <w:r w:rsidRPr="007676AD">
        <w:t>, skal kreve sektoravgiften</w:t>
      </w:r>
      <w:r w:rsidRPr="007676AD">
        <w:t xml:space="preserve"> dekket av legemiddelets kjøper.</w:t>
      </w:r>
    </w:p>
    <w:p w14:paraId="5202A607" w14:textId="77777777" w:rsidR="00F83215" w:rsidRPr="007676AD" w:rsidRDefault="00F83215" w:rsidP="007676AD">
      <w:pPr>
        <w:pStyle w:val="l-tit-endr-ledd"/>
      </w:pPr>
      <w:r w:rsidRPr="007676AD">
        <w:t>Ny § 18a i kapittel VI skal lyde:</w:t>
      </w:r>
    </w:p>
    <w:p w14:paraId="4AA84B3C" w14:textId="77777777" w:rsidR="00F83215" w:rsidRPr="007676AD" w:rsidRDefault="00F83215" w:rsidP="007676AD">
      <w:pPr>
        <w:pStyle w:val="l-ledd"/>
      </w:pPr>
      <w:r w:rsidRPr="007676AD">
        <w:t>Departementet kan ved fare for tilgangen til lege</w:t>
      </w:r>
      <w:r w:rsidRPr="007676AD">
        <w:t>midler i Norge pålegge grossister og andre som driver grossistvirksomhet, restriksjoner på salg, utlevering og parallelleksport av legemidler.</w:t>
      </w:r>
    </w:p>
    <w:p w14:paraId="355B1DD4" w14:textId="77777777" w:rsidR="00F83215" w:rsidRPr="007676AD" w:rsidRDefault="00F83215" w:rsidP="007676AD">
      <w:pPr>
        <w:pStyle w:val="l-ledd"/>
      </w:pPr>
      <w:r w:rsidRPr="007676AD">
        <w:t>Departementet kan gi forskrift om gjennomføringen av første ledd.</w:t>
      </w:r>
    </w:p>
    <w:p w14:paraId="0394307A" w14:textId="77777777" w:rsidR="00F83215" w:rsidRPr="007676AD" w:rsidRDefault="00F83215" w:rsidP="007676AD">
      <w:pPr>
        <w:pStyle w:val="l-tit-endr-ledd"/>
      </w:pPr>
      <w:r w:rsidRPr="007676AD">
        <w:t>§ 23 andre ledd første punktum skal lyde:</w:t>
      </w:r>
    </w:p>
    <w:p w14:paraId="67145F5B" w14:textId="77777777" w:rsidR="00F83215" w:rsidRPr="007676AD" w:rsidRDefault="00F83215" w:rsidP="007676AD">
      <w:pPr>
        <w:pStyle w:val="l-ledd"/>
      </w:pPr>
      <w:r w:rsidRPr="007676AD">
        <w:t>Innfø</w:t>
      </w:r>
      <w:r w:rsidRPr="007676AD">
        <w:t xml:space="preserve">rsel av, </w:t>
      </w:r>
      <w:r w:rsidRPr="007676AD">
        <w:rPr>
          <w:rStyle w:val="l-endring"/>
        </w:rPr>
        <w:t>grossistvirksomhet</w:t>
      </w:r>
      <w:r w:rsidRPr="007676AD">
        <w:t xml:space="preserve"> og detaljomsetning med narkotika </w:t>
      </w:r>
      <w:r w:rsidRPr="007676AD">
        <w:rPr>
          <w:rStyle w:val="l-endring"/>
        </w:rPr>
        <w:t>kan</w:t>
      </w:r>
      <w:r w:rsidRPr="007676AD">
        <w:t xml:space="preserve"> bare foregå i den utstrekning dette er uttrykkelig fastsatt i tillatelse etter §§ 13, 14 og 16.</w:t>
      </w:r>
    </w:p>
    <w:p w14:paraId="139B1841" w14:textId="77777777" w:rsidR="00F83215" w:rsidRPr="007676AD" w:rsidRDefault="00F83215" w:rsidP="007676AD">
      <w:pPr>
        <w:pStyle w:val="l-tit-endr-ledd"/>
      </w:pPr>
      <w:r w:rsidRPr="007676AD">
        <w:t>§ 28 femte ledd skal lyde:</w:t>
      </w:r>
    </w:p>
    <w:p w14:paraId="3FFE2232" w14:textId="77777777" w:rsidR="00F83215" w:rsidRPr="007676AD" w:rsidRDefault="00F83215" w:rsidP="007676AD">
      <w:pPr>
        <w:pStyle w:val="l-ledd"/>
      </w:pPr>
      <w:r w:rsidRPr="007676AD">
        <w:rPr>
          <w:rStyle w:val="l-endring"/>
        </w:rPr>
        <w:t>Dersom plikten etter § 14 sjette ledd ikke oppfylles, kan departemen</w:t>
      </w:r>
      <w:r w:rsidRPr="007676AD">
        <w:rPr>
          <w:rStyle w:val="l-endring"/>
        </w:rPr>
        <w:t>tet treffe vedtak om at grossisten skal betale en løpende tvangsmulkt for hver dag som går etter utløpet av fristen som er satt for oppfylling av forholdet, inntil plikten oppfylles. Vedtak om tvangsmulkt er tvangsgrunnlag for utlegg.</w:t>
      </w:r>
    </w:p>
    <w:p w14:paraId="1372B4EE" w14:textId="77777777" w:rsidR="00F83215" w:rsidRPr="007676AD" w:rsidRDefault="00F83215" w:rsidP="007676AD">
      <w:pPr>
        <w:pStyle w:val="l-tit-endr-ledd"/>
      </w:pPr>
      <w:r w:rsidRPr="007676AD">
        <w:t>Nåværende femte til å</w:t>
      </w:r>
      <w:r w:rsidRPr="007676AD">
        <w:t>ttende ledd blir sjette til nytt niende ledd.</w:t>
      </w:r>
    </w:p>
    <w:p w14:paraId="3293BCFE" w14:textId="77777777" w:rsidR="00F83215" w:rsidRPr="007676AD" w:rsidRDefault="00F83215" w:rsidP="007676AD">
      <w:pPr>
        <w:pStyle w:val="l-tit-endr-ledd"/>
      </w:pPr>
      <w:r w:rsidRPr="007676AD">
        <w:t>§ 28 a andre ledd første punktum skal lyde:</w:t>
      </w:r>
    </w:p>
    <w:p w14:paraId="68C62E65" w14:textId="77777777" w:rsidR="00F83215" w:rsidRPr="007676AD" w:rsidRDefault="00F83215" w:rsidP="007676AD">
      <w:pPr>
        <w:pStyle w:val="l-ledd"/>
      </w:pPr>
      <w:r w:rsidRPr="007676AD">
        <w:t xml:space="preserve">Departementet kan ilegge den som forsettlig eller uaktsomt overtrer bestemmelsene i § 13 første og fjerde ledd, </w:t>
      </w:r>
      <w:r w:rsidRPr="007676AD">
        <w:rPr>
          <w:rStyle w:val="l-endring"/>
        </w:rPr>
        <w:t>§ </w:t>
      </w:r>
      <w:r w:rsidRPr="007676AD">
        <w:t xml:space="preserve">14 andre ledd, </w:t>
      </w:r>
      <w:r w:rsidRPr="007676AD">
        <w:rPr>
          <w:rStyle w:val="l-endring"/>
        </w:rPr>
        <w:t>§ </w:t>
      </w:r>
      <w:r w:rsidRPr="007676AD">
        <w:t xml:space="preserve">16 andre ledd, </w:t>
      </w:r>
      <w:r w:rsidRPr="007676AD">
        <w:rPr>
          <w:rStyle w:val="l-endring"/>
        </w:rPr>
        <w:t>§§ 18 a til 21</w:t>
      </w:r>
      <w:r w:rsidRPr="007676AD">
        <w:t xml:space="preserve"> og </w:t>
      </w:r>
      <w:r w:rsidRPr="007676AD">
        <w:rPr>
          <w:rStyle w:val="l-endring"/>
        </w:rPr>
        <w:t>§ </w:t>
      </w:r>
      <w:r w:rsidRPr="007676AD">
        <w:t>23 femte ledd, overtredelsesgebyr.</w:t>
      </w:r>
    </w:p>
    <w:p w14:paraId="15EEB588" w14:textId="77777777" w:rsidR="00F83215" w:rsidRPr="007676AD" w:rsidRDefault="00F83215" w:rsidP="007676AD">
      <w:pPr>
        <w:pStyle w:val="a-vedtak-del"/>
      </w:pPr>
      <w:r w:rsidRPr="007676AD">
        <w:t>II</w:t>
      </w:r>
    </w:p>
    <w:p w14:paraId="01B6D7E9" w14:textId="77777777" w:rsidR="00F83215" w:rsidRPr="007676AD" w:rsidRDefault="00F83215" w:rsidP="007676AD">
      <w:pPr>
        <w:pStyle w:val="l-tit-endr-lov"/>
      </w:pPr>
      <w:r w:rsidRPr="007676AD">
        <w:t xml:space="preserve">I lov 2. juni 2000 nr. 39 om apotek gjøres følgende </w:t>
      </w:r>
      <w:r w:rsidRPr="007676AD">
        <w:t>endringer:</w:t>
      </w:r>
    </w:p>
    <w:p w14:paraId="5E85AD48" w14:textId="77777777" w:rsidR="00F83215" w:rsidRPr="007676AD" w:rsidRDefault="00F83215" w:rsidP="007676AD">
      <w:pPr>
        <w:pStyle w:val="l-tit-endr-ledd"/>
      </w:pPr>
      <w:r w:rsidRPr="007676AD">
        <w:t>§ 5-4 tredje ledd skal lyde:</w:t>
      </w:r>
    </w:p>
    <w:p w14:paraId="4955805F" w14:textId="77777777" w:rsidR="00F83215" w:rsidRPr="007676AD" w:rsidRDefault="00F83215" w:rsidP="007676AD">
      <w:r w:rsidRPr="007676AD">
        <w:rPr>
          <w:rStyle w:val="l-endring"/>
        </w:rPr>
        <w:t>Apotek plikter å gi departementet elektronisk tilgang til opplysninger om lagerstatus ved fare for tilgangen til legemidler i Norge. Departementet kan gi forskrift om gjennomføringen av første punktum.</w:t>
      </w:r>
    </w:p>
    <w:p w14:paraId="702A857D" w14:textId="77777777" w:rsidR="00F83215" w:rsidRPr="007676AD" w:rsidRDefault="00F83215" w:rsidP="007676AD">
      <w:pPr>
        <w:pStyle w:val="l-tit-endr-ledd"/>
      </w:pPr>
      <w:r w:rsidRPr="007676AD">
        <w:lastRenderedPageBreak/>
        <w:t>Nåværende tred</w:t>
      </w:r>
      <w:r w:rsidRPr="007676AD">
        <w:t>je og fjerde ledd blir fjerde og nytt femte ledd.</w:t>
      </w:r>
    </w:p>
    <w:p w14:paraId="2A500978" w14:textId="77777777" w:rsidR="00F83215" w:rsidRPr="007676AD" w:rsidRDefault="00F83215" w:rsidP="007676AD">
      <w:pPr>
        <w:pStyle w:val="l-tit-endr-ledd"/>
      </w:pPr>
      <w:r w:rsidRPr="007676AD">
        <w:t>Nytt femte ledd skal lyde:</w:t>
      </w:r>
    </w:p>
    <w:p w14:paraId="5B87FA36" w14:textId="77777777" w:rsidR="00F83215" w:rsidRPr="007676AD" w:rsidRDefault="00F83215" w:rsidP="007676AD">
      <w:pPr>
        <w:pStyle w:val="l-ledd"/>
      </w:pPr>
      <w:r w:rsidRPr="007676AD">
        <w:t xml:space="preserve">Departementet kan gi forskrift om hvilke varer et apotek alltid skal ha på lager og stille minstekrav til leveringsgrad for legemidler </w:t>
      </w:r>
      <w:r w:rsidRPr="007676AD">
        <w:rPr>
          <w:rStyle w:val="l-endring"/>
        </w:rPr>
        <w:t>og om</w:t>
      </w:r>
      <w:r w:rsidRPr="007676AD">
        <w:t xml:space="preserve"> apotekenes plikter ved mottak av legem</w:t>
      </w:r>
      <w:r w:rsidRPr="007676AD">
        <w:t>idler fra leverandør og om adgangen for apotek til å levere legemidler til hverandre.</w:t>
      </w:r>
    </w:p>
    <w:p w14:paraId="0A96DD9C" w14:textId="77777777" w:rsidR="00F83215" w:rsidRPr="007676AD" w:rsidRDefault="00F83215" w:rsidP="007676AD">
      <w:pPr>
        <w:pStyle w:val="l-tit-endr-paragraf"/>
      </w:pPr>
      <w:r w:rsidRPr="007676AD">
        <w:t>Ny § 6-12 skal lyde:</w:t>
      </w:r>
    </w:p>
    <w:p w14:paraId="58C0640A" w14:textId="77777777" w:rsidR="00F83215" w:rsidRPr="007676AD" w:rsidRDefault="00F83215" w:rsidP="007676AD">
      <w:pPr>
        <w:pStyle w:val="l-paragraf"/>
        <w:rPr>
          <w:rStyle w:val="regular"/>
        </w:rPr>
      </w:pPr>
      <w:r w:rsidRPr="007676AD">
        <w:rPr>
          <w:rStyle w:val="regular"/>
        </w:rPr>
        <w:t>§ 6-12</w:t>
      </w:r>
      <w:r w:rsidRPr="007676AD">
        <w:t xml:space="preserve"> Restriksjoner på salg og utlevering av legemidler</w:t>
      </w:r>
    </w:p>
    <w:p w14:paraId="67CAC094" w14:textId="77777777" w:rsidR="00F83215" w:rsidRPr="007676AD" w:rsidRDefault="00F83215" w:rsidP="007676AD">
      <w:pPr>
        <w:pStyle w:val="l-ledd"/>
      </w:pPr>
      <w:r w:rsidRPr="007676AD">
        <w:t>Dersom det er fare for tilgangen til legemidler i Norge, kan departementet pålegge apotek re</w:t>
      </w:r>
      <w:r w:rsidRPr="007676AD">
        <w:t>striksjoner på salg og utlevering av legemidler.</w:t>
      </w:r>
    </w:p>
    <w:p w14:paraId="684ACBA6" w14:textId="77777777" w:rsidR="00F83215" w:rsidRPr="007676AD" w:rsidRDefault="00F83215" w:rsidP="007676AD">
      <w:pPr>
        <w:pStyle w:val="l-ledd"/>
      </w:pPr>
      <w:r w:rsidRPr="007676AD">
        <w:t>Departementet kan gi forskrift om gjennomføringen av første ledd.</w:t>
      </w:r>
    </w:p>
    <w:p w14:paraId="18739000" w14:textId="77777777" w:rsidR="00F83215" w:rsidRPr="007676AD" w:rsidRDefault="00F83215" w:rsidP="007676AD">
      <w:pPr>
        <w:pStyle w:val="l-tit-endr-ledd"/>
      </w:pPr>
      <w:r w:rsidRPr="007676AD">
        <w:t>§ 9-3 første punktum skal lyde:</w:t>
      </w:r>
    </w:p>
    <w:p w14:paraId="24680AAC" w14:textId="77777777" w:rsidR="00F83215" w:rsidRPr="007676AD" w:rsidRDefault="00F83215" w:rsidP="007676AD">
      <w:pPr>
        <w:pStyle w:val="l-ledd"/>
      </w:pPr>
      <w:r w:rsidRPr="007676AD">
        <w:t xml:space="preserve">For å sikre at vilkår gitt etter § 2-8, plikter etter </w:t>
      </w:r>
      <w:r w:rsidRPr="007676AD">
        <w:rPr>
          <w:rStyle w:val="l-endring"/>
        </w:rPr>
        <w:t>§ 5-4 tredje ledd og</w:t>
      </w:r>
      <w:r w:rsidRPr="007676AD">
        <w:t xml:space="preserve"> § 5-5 </w:t>
      </w:r>
      <w:r w:rsidRPr="007676AD">
        <w:rPr>
          <w:rStyle w:val="l-endring"/>
        </w:rPr>
        <w:t xml:space="preserve">og </w:t>
      </w:r>
      <w:r w:rsidRPr="007676AD">
        <w:t>pålegg gitt etter § 8-3 o</w:t>
      </w:r>
      <w:r w:rsidRPr="007676AD">
        <w:t xml:space="preserve">ppfylles, kan tilsynsmyndigheten bestemme at apoteket skal betale en løpende tvangsmulkt for hver dag som går etter utløpet av </w:t>
      </w:r>
      <w:r w:rsidRPr="007676AD">
        <w:rPr>
          <w:rStyle w:val="l-endring"/>
        </w:rPr>
        <w:t>fristen</w:t>
      </w:r>
      <w:r w:rsidRPr="007676AD">
        <w:t xml:space="preserve"> som er satt for oppfylling av forholdet, inntil </w:t>
      </w:r>
      <w:r w:rsidRPr="007676AD">
        <w:rPr>
          <w:rStyle w:val="l-endring"/>
        </w:rPr>
        <w:t>det</w:t>
      </w:r>
      <w:r w:rsidRPr="007676AD">
        <w:t xml:space="preserve"> er oppfylt.</w:t>
      </w:r>
    </w:p>
    <w:p w14:paraId="466E2494" w14:textId="77777777" w:rsidR="00F83215" w:rsidRPr="007676AD" w:rsidRDefault="00F83215" w:rsidP="007676AD">
      <w:pPr>
        <w:pStyle w:val="l-tit-endr-ledd"/>
      </w:pPr>
      <w:r w:rsidRPr="007676AD">
        <w:t>§ 9-6 første ledd første punktum skal lyde:</w:t>
      </w:r>
    </w:p>
    <w:p w14:paraId="2118B073" w14:textId="07CD0855" w:rsidR="00F83215" w:rsidRPr="007676AD" w:rsidRDefault="00F83215" w:rsidP="008C4041">
      <w:pPr>
        <w:pStyle w:val="l-ledd"/>
      </w:pPr>
      <w:r w:rsidRPr="007676AD">
        <w:t>Departementet</w:t>
      </w:r>
      <w:r w:rsidRPr="007676AD">
        <w:t xml:space="preserve"> kan ilegge foretak eller </w:t>
      </w:r>
      <w:r w:rsidRPr="007676AD">
        <w:rPr>
          <w:rStyle w:val="l-endring"/>
        </w:rPr>
        <w:t xml:space="preserve">fysiske personer </w:t>
      </w:r>
      <w:r w:rsidRPr="007676AD">
        <w:t xml:space="preserve">som bryter meldeplikten etter § 3-8 andre ledd </w:t>
      </w:r>
      <w:r w:rsidRPr="007676AD">
        <w:rPr>
          <w:rStyle w:val="l-endring"/>
        </w:rPr>
        <w:t>og pålegg etter § 6-12</w:t>
      </w:r>
      <w:r w:rsidRPr="007676AD">
        <w:t>, overtredelsesgebyr.</w:t>
      </w:r>
    </w:p>
    <w:sectPr w:rsidR="00000000" w:rsidRPr="007676A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6803" w14:textId="77777777" w:rsidR="00F83215" w:rsidRDefault="00F83215">
      <w:pPr>
        <w:spacing w:after="0" w:line="240" w:lineRule="auto"/>
      </w:pPr>
      <w:r>
        <w:separator/>
      </w:r>
    </w:p>
  </w:endnote>
  <w:endnote w:type="continuationSeparator" w:id="0">
    <w:p w14:paraId="7DA229E3" w14:textId="77777777" w:rsidR="00F83215" w:rsidRDefault="00F8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F51B" w14:textId="77777777" w:rsidR="00F83215" w:rsidRDefault="00F83215">
      <w:pPr>
        <w:spacing w:after="0" w:line="240" w:lineRule="auto"/>
      </w:pPr>
      <w:r>
        <w:separator/>
      </w:r>
    </w:p>
  </w:footnote>
  <w:footnote w:type="continuationSeparator" w:id="0">
    <w:p w14:paraId="036C6EA7" w14:textId="77777777" w:rsidR="00F83215" w:rsidRDefault="00F83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83307960">
    <w:abstractNumId w:val="14"/>
  </w:num>
  <w:num w:numId="2" w16cid:durableId="598441925">
    <w:abstractNumId w:val="0"/>
  </w:num>
  <w:num w:numId="3" w16cid:durableId="2064014721">
    <w:abstractNumId w:val="12"/>
  </w:num>
  <w:num w:numId="4" w16cid:durableId="1555435270">
    <w:abstractNumId w:val="5"/>
  </w:num>
  <w:num w:numId="5" w16cid:durableId="2032946400">
    <w:abstractNumId w:val="10"/>
  </w:num>
  <w:num w:numId="6" w16cid:durableId="1743599747">
    <w:abstractNumId w:val="15"/>
  </w:num>
  <w:num w:numId="7" w16cid:durableId="1054616614">
    <w:abstractNumId w:val="2"/>
  </w:num>
  <w:num w:numId="8" w16cid:durableId="1828937411">
    <w:abstractNumId w:val="1"/>
  </w:num>
  <w:num w:numId="9" w16cid:durableId="410857865">
    <w:abstractNumId w:val="11"/>
  </w:num>
  <w:num w:numId="10" w16cid:durableId="573786593">
    <w:abstractNumId w:val="3"/>
  </w:num>
  <w:num w:numId="11" w16cid:durableId="2134473194">
    <w:abstractNumId w:val="9"/>
  </w:num>
  <w:num w:numId="12" w16cid:durableId="1184322828">
    <w:abstractNumId w:val="6"/>
  </w:num>
  <w:num w:numId="13" w16cid:durableId="2057309197">
    <w:abstractNumId w:val="16"/>
  </w:num>
  <w:num w:numId="14" w16cid:durableId="2037734432">
    <w:abstractNumId w:val="4"/>
  </w:num>
  <w:num w:numId="15" w16cid:durableId="173762658">
    <w:abstractNumId w:val="13"/>
  </w:num>
  <w:num w:numId="16" w16cid:durableId="1216039672">
    <w:abstractNumId w:val="17"/>
  </w:num>
  <w:num w:numId="17" w16cid:durableId="1629774213">
    <w:abstractNumId w:val="7"/>
  </w:num>
  <w:num w:numId="18" w16cid:durableId="1903321352">
    <w:abstractNumId w:val="8"/>
  </w:num>
  <w:num w:numId="19" w16cid:durableId="211131810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676AD"/>
    <w:rsid w:val="007676AD"/>
    <w:rsid w:val="008C4041"/>
    <w:rsid w:val="00BC44B6"/>
    <w:rsid w:val="00F61FCC"/>
    <w:rsid w:val="00F832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0186E"/>
  <w14:defaultImageDpi w14:val="0"/>
  <w15:docId w15:val="{CBCA95EF-55CD-48C5-8D41-B02E62CF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D"/>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7676A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676A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676A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676A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676A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676A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676A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676A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676AD"/>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7676A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676A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7676AD"/>
    <w:pPr>
      <w:keepNext/>
      <w:keepLines/>
      <w:spacing w:before="240" w:after="240"/>
    </w:pPr>
  </w:style>
  <w:style w:type="paragraph" w:customStyle="1" w:styleId="a-konge-tit">
    <w:name w:val="a-konge-tit"/>
    <w:basedOn w:val="Normal"/>
    <w:next w:val="Normal"/>
    <w:rsid w:val="007676AD"/>
    <w:pPr>
      <w:keepNext/>
      <w:keepLines/>
      <w:spacing w:before="240"/>
      <w:jc w:val="center"/>
    </w:pPr>
    <w:rPr>
      <w:spacing w:val="30"/>
    </w:rPr>
  </w:style>
  <w:style w:type="paragraph" w:customStyle="1" w:styleId="a-tilraar-dep">
    <w:name w:val="a-tilraar-dep"/>
    <w:basedOn w:val="Normal"/>
    <w:next w:val="Normal"/>
    <w:rsid w:val="007676A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7676A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676AD"/>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676AD"/>
    <w:pPr>
      <w:keepNext/>
      <w:spacing w:before="360" w:after="60"/>
      <w:jc w:val="center"/>
    </w:pPr>
    <w:rPr>
      <w:b/>
    </w:rPr>
  </w:style>
  <w:style w:type="paragraph" w:customStyle="1" w:styleId="a-vedtak-tekst">
    <w:name w:val="a-vedtak-tekst"/>
    <w:basedOn w:val="Normal"/>
    <w:next w:val="Normal"/>
    <w:rsid w:val="007676A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676A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676AD"/>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676A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676AD"/>
    <w:pPr>
      <w:numPr>
        <w:numId w:val="3"/>
      </w:numPr>
      <w:spacing w:after="0"/>
    </w:pPr>
  </w:style>
  <w:style w:type="paragraph" w:customStyle="1" w:styleId="alfaliste2">
    <w:name w:val="alfaliste 2"/>
    <w:basedOn w:val="Liste2"/>
    <w:rsid w:val="007676A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676A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676A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676A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676A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676A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676A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676AD"/>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7676AD"/>
    <w:rPr>
      <w:rFonts w:ascii="Arial" w:eastAsia="Times New Roman" w:hAnsi="Arial"/>
      <w:b/>
      <w:spacing w:val="4"/>
      <w:kern w:val="0"/>
      <w:sz w:val="28"/>
    </w:rPr>
  </w:style>
  <w:style w:type="paragraph" w:customStyle="1" w:styleId="b-post">
    <w:name w:val="b-post"/>
    <w:basedOn w:val="Normal"/>
    <w:next w:val="Normal"/>
    <w:rsid w:val="007676AD"/>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7676AD"/>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7676AD"/>
    <w:pPr>
      <w:spacing w:before="60" w:after="0"/>
      <w:ind w:left="397"/>
    </w:pPr>
    <w:rPr>
      <w:spacing w:val="0"/>
    </w:rPr>
  </w:style>
  <w:style w:type="paragraph" w:customStyle="1" w:styleId="b-progomr">
    <w:name w:val="b-progomr"/>
    <w:basedOn w:val="Normal"/>
    <w:next w:val="Normal"/>
    <w:rsid w:val="007676AD"/>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7676AD"/>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7676AD"/>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676AD"/>
  </w:style>
  <w:style w:type="paragraph" w:customStyle="1" w:styleId="Def">
    <w:name w:val="Def"/>
    <w:basedOn w:val="hengende-innrykk"/>
    <w:rsid w:val="007676AD"/>
    <w:pPr>
      <w:spacing w:line="240" w:lineRule="auto"/>
      <w:ind w:left="0" w:firstLine="0"/>
    </w:pPr>
    <w:rPr>
      <w:rFonts w:ascii="Times" w:eastAsia="Batang" w:hAnsi="Times"/>
      <w:spacing w:val="0"/>
      <w:szCs w:val="20"/>
    </w:rPr>
  </w:style>
  <w:style w:type="paragraph" w:customStyle="1" w:styleId="del-nr">
    <w:name w:val="del-nr"/>
    <w:basedOn w:val="Normal"/>
    <w:qFormat/>
    <w:rsid w:val="007676AD"/>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7676A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7676AD"/>
  </w:style>
  <w:style w:type="paragraph" w:customStyle="1" w:styleId="figur-noter">
    <w:name w:val="figur-noter"/>
    <w:basedOn w:val="Normal"/>
    <w:next w:val="Normal"/>
    <w:rsid w:val="007676A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7676AD"/>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676A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7676AD"/>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7676AD"/>
    <w:rPr>
      <w:sz w:val="20"/>
    </w:rPr>
  </w:style>
  <w:style w:type="character" w:customStyle="1" w:styleId="FotnotetekstTegn">
    <w:name w:val="Fotnotetekst Tegn"/>
    <w:link w:val="Fotnotetekst"/>
    <w:rsid w:val="007676AD"/>
    <w:rPr>
      <w:rFonts w:ascii="Times New Roman" w:eastAsia="Times New Roman" w:hAnsi="Times New Roman"/>
      <w:spacing w:val="4"/>
      <w:kern w:val="0"/>
      <w:sz w:val="20"/>
    </w:rPr>
  </w:style>
  <w:style w:type="paragraph" w:customStyle="1" w:styleId="friliste">
    <w:name w:val="friliste"/>
    <w:basedOn w:val="Normal"/>
    <w:qFormat/>
    <w:rsid w:val="007676AD"/>
    <w:pPr>
      <w:tabs>
        <w:tab w:val="left" w:pos="397"/>
      </w:tabs>
      <w:spacing w:after="0"/>
      <w:ind w:left="397" w:hanging="397"/>
    </w:pPr>
    <w:rPr>
      <w:spacing w:val="0"/>
    </w:rPr>
  </w:style>
  <w:style w:type="paragraph" w:customStyle="1" w:styleId="friliste2">
    <w:name w:val="friliste 2"/>
    <w:basedOn w:val="Normal"/>
    <w:qFormat/>
    <w:rsid w:val="007676AD"/>
    <w:pPr>
      <w:tabs>
        <w:tab w:val="left" w:pos="794"/>
      </w:tabs>
      <w:spacing w:after="0"/>
      <w:ind w:left="794" w:hanging="397"/>
    </w:pPr>
    <w:rPr>
      <w:spacing w:val="0"/>
    </w:rPr>
  </w:style>
  <w:style w:type="paragraph" w:customStyle="1" w:styleId="friliste3">
    <w:name w:val="friliste 3"/>
    <w:basedOn w:val="Normal"/>
    <w:qFormat/>
    <w:rsid w:val="007676AD"/>
    <w:pPr>
      <w:tabs>
        <w:tab w:val="left" w:pos="1191"/>
      </w:tabs>
      <w:spacing w:after="0"/>
      <w:ind w:left="1191" w:hanging="397"/>
    </w:pPr>
    <w:rPr>
      <w:spacing w:val="0"/>
    </w:rPr>
  </w:style>
  <w:style w:type="paragraph" w:customStyle="1" w:styleId="friliste4">
    <w:name w:val="friliste 4"/>
    <w:basedOn w:val="Normal"/>
    <w:qFormat/>
    <w:rsid w:val="007676AD"/>
    <w:pPr>
      <w:tabs>
        <w:tab w:val="left" w:pos="1588"/>
      </w:tabs>
      <w:spacing w:after="0"/>
      <w:ind w:left="1588" w:hanging="397"/>
    </w:pPr>
    <w:rPr>
      <w:spacing w:val="0"/>
    </w:rPr>
  </w:style>
  <w:style w:type="paragraph" w:customStyle="1" w:styleId="friliste5">
    <w:name w:val="friliste 5"/>
    <w:basedOn w:val="Normal"/>
    <w:qFormat/>
    <w:rsid w:val="007676AD"/>
    <w:pPr>
      <w:tabs>
        <w:tab w:val="left" w:pos="1985"/>
      </w:tabs>
      <w:spacing w:after="0"/>
      <w:ind w:left="1985" w:hanging="397"/>
    </w:pPr>
    <w:rPr>
      <w:spacing w:val="0"/>
    </w:rPr>
  </w:style>
  <w:style w:type="paragraph" w:customStyle="1" w:styleId="Fullmakttit">
    <w:name w:val="Fullmakttit"/>
    <w:basedOn w:val="Normal"/>
    <w:next w:val="Normal"/>
    <w:rsid w:val="007676AD"/>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676AD"/>
    <w:pPr>
      <w:ind w:left="1418" w:hanging="1418"/>
    </w:pPr>
  </w:style>
  <w:style w:type="paragraph" w:customStyle="1" w:styleId="i-budkap-over">
    <w:name w:val="i-budkap-over"/>
    <w:basedOn w:val="Normal"/>
    <w:next w:val="Normal"/>
    <w:rsid w:val="007676AD"/>
    <w:pPr>
      <w:jc w:val="right"/>
    </w:pPr>
    <w:rPr>
      <w:rFonts w:ascii="Times" w:hAnsi="Times"/>
      <w:b/>
      <w:noProof/>
    </w:rPr>
  </w:style>
  <w:style w:type="paragraph" w:customStyle="1" w:styleId="i-dep">
    <w:name w:val="i-dep"/>
    <w:basedOn w:val="Normal"/>
    <w:next w:val="Normal"/>
    <w:rsid w:val="007676AD"/>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676AD"/>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676AD"/>
    <w:pPr>
      <w:keepNext/>
      <w:keepLines/>
      <w:jc w:val="center"/>
    </w:pPr>
    <w:rPr>
      <w:rFonts w:eastAsia="Batang"/>
      <w:b/>
      <w:sz w:val="28"/>
    </w:rPr>
  </w:style>
  <w:style w:type="paragraph" w:customStyle="1" w:styleId="i-mtit">
    <w:name w:val="i-mtit"/>
    <w:basedOn w:val="Normal"/>
    <w:next w:val="Normal"/>
    <w:rsid w:val="007676AD"/>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7676AD"/>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676AD"/>
    <w:pPr>
      <w:spacing w:after="0"/>
      <w:jc w:val="center"/>
    </w:pPr>
    <w:rPr>
      <w:rFonts w:ascii="Times" w:hAnsi="Times"/>
      <w:i/>
      <w:noProof/>
    </w:rPr>
  </w:style>
  <w:style w:type="paragraph" w:customStyle="1" w:styleId="i-termin">
    <w:name w:val="i-termin"/>
    <w:basedOn w:val="Normal"/>
    <w:next w:val="Normal"/>
    <w:rsid w:val="007676AD"/>
    <w:pPr>
      <w:spacing w:before="360"/>
      <w:jc w:val="center"/>
    </w:pPr>
    <w:rPr>
      <w:b/>
      <w:noProof/>
      <w:sz w:val="28"/>
    </w:rPr>
  </w:style>
  <w:style w:type="paragraph" w:customStyle="1" w:styleId="i-tit">
    <w:name w:val="i-tit"/>
    <w:basedOn w:val="Normal"/>
    <w:next w:val="i-statsrdato"/>
    <w:rsid w:val="007676A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676AD"/>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676A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7676AD"/>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7676AD"/>
    <w:pPr>
      <w:numPr>
        <w:numId w:val="12"/>
      </w:numPr>
    </w:pPr>
  </w:style>
  <w:style w:type="paragraph" w:customStyle="1" w:styleId="l-alfaliste2">
    <w:name w:val="l-alfaliste 2"/>
    <w:basedOn w:val="alfaliste2"/>
    <w:qFormat/>
    <w:rsid w:val="007676A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676A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676A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676A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676AD"/>
    <w:rPr>
      <w:lang w:val="nn-NO"/>
    </w:rPr>
  </w:style>
  <w:style w:type="paragraph" w:customStyle="1" w:styleId="l-ledd">
    <w:name w:val="l-ledd"/>
    <w:basedOn w:val="Normal"/>
    <w:qFormat/>
    <w:rsid w:val="007676AD"/>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676A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7676A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676A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7676AD"/>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7676AD"/>
  </w:style>
  <w:style w:type="paragraph" w:customStyle="1" w:styleId="l-tit-endr-ledd">
    <w:name w:val="l-tit-endr-ledd"/>
    <w:basedOn w:val="Normal"/>
    <w:qFormat/>
    <w:rsid w:val="007676AD"/>
    <w:pPr>
      <w:keepNext/>
      <w:spacing w:before="240" w:after="0" w:line="240" w:lineRule="auto"/>
    </w:pPr>
    <w:rPr>
      <w:rFonts w:ascii="Times" w:hAnsi="Times"/>
      <w:noProof/>
      <w:lang w:val="nn-NO"/>
    </w:rPr>
  </w:style>
  <w:style w:type="paragraph" w:customStyle="1" w:styleId="l-tit-endr-lov">
    <w:name w:val="l-tit-endr-lov"/>
    <w:basedOn w:val="Normal"/>
    <w:qFormat/>
    <w:rsid w:val="007676A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676AD"/>
    <w:pPr>
      <w:keepNext/>
      <w:spacing w:before="240" w:after="0" w:line="240" w:lineRule="auto"/>
    </w:pPr>
    <w:rPr>
      <w:rFonts w:ascii="Times" w:hAnsi="Times"/>
      <w:noProof/>
      <w:lang w:val="nn-NO"/>
    </w:rPr>
  </w:style>
  <w:style w:type="paragraph" w:customStyle="1" w:styleId="l-tit-endr-lovkap">
    <w:name w:val="l-tit-endr-lovkap"/>
    <w:basedOn w:val="Normal"/>
    <w:qFormat/>
    <w:rsid w:val="007676AD"/>
    <w:pPr>
      <w:keepNext/>
      <w:spacing w:before="240" w:after="0" w:line="240" w:lineRule="auto"/>
    </w:pPr>
    <w:rPr>
      <w:rFonts w:ascii="Times" w:hAnsi="Times"/>
      <w:noProof/>
      <w:lang w:val="nn-NO"/>
    </w:rPr>
  </w:style>
  <w:style w:type="paragraph" w:customStyle="1" w:styleId="l-tit-endr-paragraf">
    <w:name w:val="l-tit-endr-paragraf"/>
    <w:basedOn w:val="Normal"/>
    <w:qFormat/>
    <w:rsid w:val="007676AD"/>
    <w:pPr>
      <w:keepNext/>
      <w:spacing w:before="240" w:after="0" w:line="240" w:lineRule="auto"/>
    </w:pPr>
    <w:rPr>
      <w:rFonts w:ascii="Times" w:hAnsi="Times"/>
      <w:noProof/>
      <w:lang w:val="nn-NO"/>
    </w:rPr>
  </w:style>
  <w:style w:type="paragraph" w:customStyle="1" w:styleId="l-tit-endr-punktum">
    <w:name w:val="l-tit-endr-punktum"/>
    <w:basedOn w:val="l-tit-endr-ledd"/>
    <w:qFormat/>
    <w:rsid w:val="007676A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7676AD"/>
    <w:pPr>
      <w:numPr>
        <w:numId w:val="6"/>
      </w:numPr>
      <w:spacing w:line="240" w:lineRule="auto"/>
      <w:contextualSpacing/>
    </w:pPr>
  </w:style>
  <w:style w:type="paragraph" w:styleId="Liste2">
    <w:name w:val="List 2"/>
    <w:basedOn w:val="Normal"/>
    <w:rsid w:val="007676AD"/>
    <w:pPr>
      <w:numPr>
        <w:ilvl w:val="1"/>
        <w:numId w:val="6"/>
      </w:numPr>
      <w:spacing w:after="0"/>
    </w:pPr>
  </w:style>
  <w:style w:type="paragraph" w:styleId="Liste3">
    <w:name w:val="List 3"/>
    <w:basedOn w:val="Normal"/>
    <w:rsid w:val="007676AD"/>
    <w:pPr>
      <w:numPr>
        <w:ilvl w:val="2"/>
        <w:numId w:val="6"/>
      </w:numPr>
      <w:spacing w:after="0"/>
    </w:pPr>
    <w:rPr>
      <w:spacing w:val="0"/>
    </w:rPr>
  </w:style>
  <w:style w:type="paragraph" w:styleId="Liste4">
    <w:name w:val="List 4"/>
    <w:basedOn w:val="Normal"/>
    <w:rsid w:val="007676AD"/>
    <w:pPr>
      <w:numPr>
        <w:ilvl w:val="3"/>
        <w:numId w:val="6"/>
      </w:numPr>
      <w:spacing w:after="0"/>
    </w:pPr>
    <w:rPr>
      <w:spacing w:val="0"/>
    </w:rPr>
  </w:style>
  <w:style w:type="paragraph" w:styleId="Liste5">
    <w:name w:val="List 5"/>
    <w:basedOn w:val="Normal"/>
    <w:rsid w:val="007676AD"/>
    <w:pPr>
      <w:numPr>
        <w:ilvl w:val="4"/>
        <w:numId w:val="6"/>
      </w:numPr>
      <w:spacing w:after="0"/>
    </w:pPr>
    <w:rPr>
      <w:spacing w:val="0"/>
    </w:rPr>
  </w:style>
  <w:style w:type="paragraph" w:customStyle="1" w:styleId="Listebombe">
    <w:name w:val="Liste bombe"/>
    <w:basedOn w:val="Liste"/>
    <w:qFormat/>
    <w:rsid w:val="007676AD"/>
    <w:pPr>
      <w:numPr>
        <w:numId w:val="14"/>
      </w:numPr>
      <w:tabs>
        <w:tab w:val="left" w:pos="397"/>
      </w:tabs>
      <w:ind w:left="397" w:hanging="397"/>
    </w:pPr>
  </w:style>
  <w:style w:type="paragraph" w:customStyle="1" w:styleId="Listebombe2">
    <w:name w:val="Liste bombe 2"/>
    <w:basedOn w:val="Liste2"/>
    <w:qFormat/>
    <w:rsid w:val="007676AD"/>
    <w:pPr>
      <w:numPr>
        <w:ilvl w:val="0"/>
        <w:numId w:val="15"/>
      </w:numPr>
      <w:ind w:left="794" w:hanging="397"/>
    </w:pPr>
  </w:style>
  <w:style w:type="paragraph" w:customStyle="1" w:styleId="Listebombe3">
    <w:name w:val="Liste bombe 3"/>
    <w:basedOn w:val="Liste3"/>
    <w:qFormat/>
    <w:rsid w:val="007676AD"/>
    <w:pPr>
      <w:numPr>
        <w:ilvl w:val="0"/>
        <w:numId w:val="16"/>
      </w:numPr>
      <w:ind w:left="1191" w:hanging="397"/>
    </w:pPr>
  </w:style>
  <w:style w:type="paragraph" w:customStyle="1" w:styleId="Listebombe4">
    <w:name w:val="Liste bombe 4"/>
    <w:basedOn w:val="Liste4"/>
    <w:qFormat/>
    <w:rsid w:val="007676AD"/>
    <w:pPr>
      <w:numPr>
        <w:ilvl w:val="0"/>
        <w:numId w:val="17"/>
      </w:numPr>
      <w:ind w:left="1588" w:hanging="397"/>
    </w:pPr>
  </w:style>
  <w:style w:type="paragraph" w:customStyle="1" w:styleId="Listebombe5">
    <w:name w:val="Liste bombe 5"/>
    <w:basedOn w:val="Liste5"/>
    <w:qFormat/>
    <w:rsid w:val="007676AD"/>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676A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7676AD"/>
    <w:pPr>
      <w:numPr>
        <w:numId w:val="4"/>
      </w:numPr>
      <w:spacing w:after="0"/>
    </w:pPr>
    <w:rPr>
      <w:rFonts w:ascii="Times" w:eastAsia="Batang" w:hAnsi="Times"/>
      <w:spacing w:val="0"/>
      <w:szCs w:val="20"/>
    </w:rPr>
  </w:style>
  <w:style w:type="paragraph" w:styleId="Nummerertliste2">
    <w:name w:val="List Number 2"/>
    <w:basedOn w:val="Normal"/>
    <w:rsid w:val="007676AD"/>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7676AD"/>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7676AD"/>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7676AD"/>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676AD"/>
    <w:pPr>
      <w:spacing w:after="0"/>
      <w:ind w:left="397"/>
    </w:pPr>
    <w:rPr>
      <w:spacing w:val="0"/>
      <w:lang w:val="en-US"/>
    </w:rPr>
  </w:style>
  <w:style w:type="paragraph" w:customStyle="1" w:styleId="opplisting3">
    <w:name w:val="opplisting 3"/>
    <w:basedOn w:val="Normal"/>
    <w:qFormat/>
    <w:rsid w:val="007676AD"/>
    <w:pPr>
      <w:spacing w:after="0"/>
      <w:ind w:left="794"/>
    </w:pPr>
    <w:rPr>
      <w:spacing w:val="0"/>
    </w:rPr>
  </w:style>
  <w:style w:type="paragraph" w:customStyle="1" w:styleId="opplisting4">
    <w:name w:val="opplisting 4"/>
    <w:basedOn w:val="Normal"/>
    <w:qFormat/>
    <w:rsid w:val="007676AD"/>
    <w:pPr>
      <w:spacing w:after="0"/>
      <w:ind w:left="1191"/>
    </w:pPr>
    <w:rPr>
      <w:spacing w:val="0"/>
    </w:rPr>
  </w:style>
  <w:style w:type="paragraph" w:customStyle="1" w:styleId="opplisting5">
    <w:name w:val="opplisting 5"/>
    <w:basedOn w:val="Normal"/>
    <w:qFormat/>
    <w:rsid w:val="007676A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7676AD"/>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7676AD"/>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7676AD"/>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7676AD"/>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7676AD"/>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7676AD"/>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7676AD"/>
    <w:rPr>
      <w:spacing w:val="6"/>
      <w:sz w:val="19"/>
    </w:rPr>
  </w:style>
  <w:style w:type="paragraph" w:customStyle="1" w:styleId="ramme-noter">
    <w:name w:val="ramme-noter"/>
    <w:basedOn w:val="Normal"/>
    <w:next w:val="Normal"/>
    <w:rsid w:val="007676AD"/>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676A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676AD"/>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676AD"/>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676AD"/>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676AD"/>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676A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676A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676A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676A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676A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7676A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676A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676AD"/>
    <w:pPr>
      <w:keepNext/>
      <w:keepLines/>
      <w:spacing w:before="360" w:after="240"/>
      <w:jc w:val="center"/>
    </w:pPr>
    <w:rPr>
      <w:rFonts w:ascii="Arial" w:hAnsi="Arial"/>
      <w:b/>
      <w:sz w:val="28"/>
    </w:rPr>
  </w:style>
  <w:style w:type="paragraph" w:customStyle="1" w:styleId="tittel-ordforkl">
    <w:name w:val="tittel-ordforkl"/>
    <w:basedOn w:val="Normal"/>
    <w:next w:val="Normal"/>
    <w:rsid w:val="007676AD"/>
    <w:pPr>
      <w:keepNext/>
      <w:keepLines/>
      <w:spacing w:before="360" w:after="240"/>
      <w:jc w:val="center"/>
    </w:pPr>
    <w:rPr>
      <w:rFonts w:ascii="Arial" w:hAnsi="Arial"/>
      <w:b/>
      <w:sz w:val="28"/>
    </w:rPr>
  </w:style>
  <w:style w:type="paragraph" w:customStyle="1" w:styleId="tittel-ramme">
    <w:name w:val="tittel-ramme"/>
    <w:basedOn w:val="Normal"/>
    <w:next w:val="Normal"/>
    <w:rsid w:val="007676A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7676AD"/>
    <w:pPr>
      <w:keepNext/>
      <w:keepLines/>
      <w:spacing w:before="360"/>
    </w:pPr>
    <w:rPr>
      <w:rFonts w:ascii="Arial" w:hAnsi="Arial"/>
      <w:b/>
      <w:sz w:val="28"/>
    </w:rPr>
  </w:style>
  <w:style w:type="character" w:customStyle="1" w:styleId="UndertittelTegn">
    <w:name w:val="Undertittel Tegn"/>
    <w:link w:val="Undertittel"/>
    <w:rsid w:val="007676AD"/>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676AD"/>
    <w:pPr>
      <w:numPr>
        <w:numId w:val="0"/>
      </w:numPr>
    </w:pPr>
    <w:rPr>
      <w:b w:val="0"/>
      <w:i/>
    </w:rPr>
  </w:style>
  <w:style w:type="paragraph" w:customStyle="1" w:styleId="Undervedl-tittel">
    <w:name w:val="Undervedl-tittel"/>
    <w:basedOn w:val="Normal"/>
    <w:next w:val="Normal"/>
    <w:rsid w:val="007676A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676AD"/>
    <w:pPr>
      <w:numPr>
        <w:numId w:val="0"/>
      </w:numPr>
      <w:outlineLvl w:val="9"/>
    </w:pPr>
  </w:style>
  <w:style w:type="paragraph" w:customStyle="1" w:styleId="v-Overskrift2">
    <w:name w:val="v-Overskrift 2"/>
    <w:basedOn w:val="Overskrift2"/>
    <w:next w:val="Normal"/>
    <w:rsid w:val="007676A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7676A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7676AD"/>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7676A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7676A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676A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676AD"/>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7676A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7676AD"/>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7676AD"/>
    <w:rPr>
      <w:rFonts w:ascii="Times New Roman" w:eastAsia="Times New Roman" w:hAnsi="Times New Roman"/>
      <w:spacing w:val="4"/>
      <w:kern w:val="0"/>
      <w:sz w:val="24"/>
    </w:rPr>
  </w:style>
  <w:style w:type="character" w:styleId="Fotnotereferanse">
    <w:name w:val="footnote reference"/>
    <w:rsid w:val="007676AD"/>
    <w:rPr>
      <w:vertAlign w:val="superscript"/>
    </w:rPr>
  </w:style>
  <w:style w:type="character" w:customStyle="1" w:styleId="gjennomstreket">
    <w:name w:val="gjennomstreket"/>
    <w:uiPriority w:val="1"/>
    <w:rsid w:val="007676AD"/>
    <w:rPr>
      <w:strike/>
      <w:dstrike w:val="0"/>
    </w:rPr>
  </w:style>
  <w:style w:type="character" w:customStyle="1" w:styleId="halvfet0">
    <w:name w:val="halvfet"/>
    <w:rsid w:val="007676AD"/>
    <w:rPr>
      <w:b/>
    </w:rPr>
  </w:style>
  <w:style w:type="character" w:styleId="Hyperkobling">
    <w:name w:val="Hyperlink"/>
    <w:uiPriority w:val="99"/>
    <w:unhideWhenUsed/>
    <w:rsid w:val="007676AD"/>
    <w:rPr>
      <w:color w:val="0000FF"/>
      <w:u w:val="single"/>
    </w:rPr>
  </w:style>
  <w:style w:type="character" w:customStyle="1" w:styleId="kursiv">
    <w:name w:val="kursiv"/>
    <w:rsid w:val="007676AD"/>
    <w:rPr>
      <w:i/>
    </w:rPr>
  </w:style>
  <w:style w:type="character" w:customStyle="1" w:styleId="l-endring">
    <w:name w:val="l-endring"/>
    <w:rsid w:val="007676A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676AD"/>
  </w:style>
  <w:style w:type="character" w:styleId="Plassholdertekst">
    <w:name w:val="Placeholder Text"/>
    <w:uiPriority w:val="99"/>
    <w:rsid w:val="007676AD"/>
    <w:rPr>
      <w:color w:val="808080"/>
    </w:rPr>
  </w:style>
  <w:style w:type="character" w:customStyle="1" w:styleId="regular">
    <w:name w:val="regular"/>
    <w:uiPriority w:val="1"/>
    <w:qFormat/>
    <w:rsid w:val="007676A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676AD"/>
    <w:rPr>
      <w:vertAlign w:val="superscript"/>
    </w:rPr>
  </w:style>
  <w:style w:type="character" w:customStyle="1" w:styleId="skrift-senket">
    <w:name w:val="skrift-senket"/>
    <w:rsid w:val="007676AD"/>
    <w:rPr>
      <w:vertAlign w:val="subscript"/>
    </w:rPr>
  </w:style>
  <w:style w:type="character" w:customStyle="1" w:styleId="SluttnotetekstTegn">
    <w:name w:val="Sluttnotetekst Tegn"/>
    <w:link w:val="Sluttnotetekst"/>
    <w:uiPriority w:val="99"/>
    <w:semiHidden/>
    <w:rsid w:val="007676AD"/>
    <w:rPr>
      <w:rFonts w:ascii="Times New Roman" w:eastAsia="Times New Roman" w:hAnsi="Times New Roman"/>
      <w:spacing w:val="4"/>
      <w:kern w:val="0"/>
      <w:sz w:val="20"/>
      <w:szCs w:val="20"/>
    </w:rPr>
  </w:style>
  <w:style w:type="character" w:customStyle="1" w:styleId="sperret0">
    <w:name w:val="sperret"/>
    <w:rsid w:val="007676AD"/>
    <w:rPr>
      <w:spacing w:val="30"/>
    </w:rPr>
  </w:style>
  <w:style w:type="character" w:customStyle="1" w:styleId="SterktsitatTegn">
    <w:name w:val="Sterkt sitat Tegn"/>
    <w:link w:val="Sterktsitat"/>
    <w:uiPriority w:val="30"/>
    <w:rsid w:val="007676AD"/>
    <w:rPr>
      <w:rFonts w:ascii="Times New Roman" w:eastAsia="Times New Roman" w:hAnsi="Times New Roman"/>
      <w:b/>
      <w:bCs/>
      <w:i/>
      <w:iCs/>
      <w:color w:val="4F81BD"/>
      <w:spacing w:val="4"/>
      <w:kern w:val="0"/>
      <w:sz w:val="24"/>
    </w:rPr>
  </w:style>
  <w:style w:type="character" w:customStyle="1" w:styleId="Stikkord">
    <w:name w:val="Stikkord"/>
    <w:rsid w:val="007676AD"/>
    <w:rPr>
      <w:color w:val="0000FF"/>
    </w:rPr>
  </w:style>
  <w:style w:type="character" w:customStyle="1" w:styleId="stikkord0">
    <w:name w:val="stikkord"/>
    <w:uiPriority w:val="99"/>
  </w:style>
  <w:style w:type="character" w:styleId="Sterk">
    <w:name w:val="Strong"/>
    <w:uiPriority w:val="22"/>
    <w:qFormat/>
    <w:rsid w:val="007676AD"/>
    <w:rPr>
      <w:b/>
      <w:bCs/>
    </w:rPr>
  </w:style>
  <w:style w:type="character" w:customStyle="1" w:styleId="TopptekstTegn">
    <w:name w:val="Topptekst Tegn"/>
    <w:link w:val="Topptekst"/>
    <w:rsid w:val="007676AD"/>
    <w:rPr>
      <w:rFonts w:ascii="Times New Roman" w:eastAsia="Times New Roman" w:hAnsi="Times New Roman"/>
      <w:kern w:val="0"/>
      <w:sz w:val="20"/>
    </w:rPr>
  </w:style>
  <w:style w:type="character" w:customStyle="1" w:styleId="UnderskriftTegn">
    <w:name w:val="Underskrift Tegn"/>
    <w:link w:val="Underskrift"/>
    <w:uiPriority w:val="99"/>
    <w:rsid w:val="007676AD"/>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7676A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676AD"/>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7676AD"/>
    <w:pPr>
      <w:tabs>
        <w:tab w:val="center" w:pos="4153"/>
        <w:tab w:val="right" w:pos="8306"/>
      </w:tabs>
    </w:pPr>
    <w:rPr>
      <w:sz w:val="20"/>
    </w:rPr>
  </w:style>
  <w:style w:type="character" w:customStyle="1" w:styleId="BunntekstTegn1">
    <w:name w:val="Bunntekst Tegn1"/>
    <w:basedOn w:val="Standardskriftforavsnitt"/>
    <w:uiPriority w:val="99"/>
    <w:semiHidden/>
    <w:rsid w:val="007676AD"/>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7676AD"/>
    <w:rPr>
      <w:rFonts w:ascii="Arial" w:eastAsia="Times New Roman" w:hAnsi="Arial"/>
      <w:i/>
      <w:spacing w:val="4"/>
      <w:kern w:val="0"/>
    </w:rPr>
  </w:style>
  <w:style w:type="character" w:customStyle="1" w:styleId="Overskrift7Tegn">
    <w:name w:val="Overskrift 7 Tegn"/>
    <w:link w:val="Overskrift7"/>
    <w:rsid w:val="007676AD"/>
    <w:rPr>
      <w:rFonts w:ascii="Arial" w:eastAsia="Times New Roman" w:hAnsi="Arial"/>
      <w:spacing w:val="4"/>
      <w:kern w:val="0"/>
      <w:sz w:val="24"/>
    </w:rPr>
  </w:style>
  <w:style w:type="character" w:customStyle="1" w:styleId="Overskrift8Tegn">
    <w:name w:val="Overskrift 8 Tegn"/>
    <w:link w:val="Overskrift8"/>
    <w:rsid w:val="007676AD"/>
    <w:rPr>
      <w:rFonts w:ascii="Arial" w:eastAsia="Times New Roman" w:hAnsi="Arial"/>
      <w:i/>
      <w:spacing w:val="4"/>
      <w:kern w:val="0"/>
      <w:sz w:val="24"/>
    </w:rPr>
  </w:style>
  <w:style w:type="character" w:customStyle="1" w:styleId="Overskrift9Tegn">
    <w:name w:val="Overskrift 9 Tegn"/>
    <w:link w:val="Overskrift9"/>
    <w:rsid w:val="007676AD"/>
    <w:rPr>
      <w:rFonts w:ascii="Arial" w:eastAsia="Times New Roman" w:hAnsi="Arial"/>
      <w:i/>
      <w:spacing w:val="4"/>
      <w:kern w:val="0"/>
      <w:sz w:val="18"/>
    </w:rPr>
  </w:style>
  <w:style w:type="table" w:customStyle="1" w:styleId="Tabell-VM">
    <w:name w:val="Tabell-VM"/>
    <w:basedOn w:val="Tabelltemaer"/>
    <w:uiPriority w:val="99"/>
    <w:qFormat/>
    <w:rsid w:val="007676A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676AD"/>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676A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676AD"/>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676AD"/>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7676AD"/>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676AD"/>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676AD"/>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676AD"/>
    <w:pPr>
      <w:tabs>
        <w:tab w:val="right" w:leader="dot" w:pos="8306"/>
      </w:tabs>
      <w:ind w:left="600"/>
    </w:pPr>
    <w:rPr>
      <w:spacing w:val="0"/>
    </w:rPr>
  </w:style>
  <w:style w:type="paragraph" w:styleId="INNH5">
    <w:name w:val="toc 5"/>
    <w:basedOn w:val="Normal"/>
    <w:next w:val="Normal"/>
    <w:rsid w:val="007676AD"/>
    <w:pPr>
      <w:tabs>
        <w:tab w:val="right" w:leader="dot" w:pos="8306"/>
      </w:tabs>
      <w:ind w:left="800"/>
    </w:pPr>
    <w:rPr>
      <w:spacing w:val="0"/>
    </w:rPr>
  </w:style>
  <w:style w:type="character" w:styleId="Merknadsreferanse">
    <w:name w:val="annotation reference"/>
    <w:rsid w:val="007676AD"/>
    <w:rPr>
      <w:sz w:val="16"/>
    </w:rPr>
  </w:style>
  <w:style w:type="paragraph" w:styleId="Merknadstekst">
    <w:name w:val="annotation text"/>
    <w:basedOn w:val="Normal"/>
    <w:link w:val="MerknadstekstTegn"/>
    <w:rsid w:val="007676AD"/>
    <w:rPr>
      <w:spacing w:val="0"/>
      <w:sz w:val="20"/>
    </w:rPr>
  </w:style>
  <w:style w:type="character" w:customStyle="1" w:styleId="MerknadstekstTegn">
    <w:name w:val="Merknadstekst Tegn"/>
    <w:link w:val="Merknadstekst"/>
    <w:rsid w:val="007676AD"/>
    <w:rPr>
      <w:rFonts w:ascii="Times New Roman" w:eastAsia="Times New Roman" w:hAnsi="Times New Roman"/>
      <w:kern w:val="0"/>
      <w:sz w:val="20"/>
    </w:rPr>
  </w:style>
  <w:style w:type="paragraph" w:styleId="Punktliste">
    <w:name w:val="List Bullet"/>
    <w:basedOn w:val="Normal"/>
    <w:rsid w:val="007676AD"/>
    <w:pPr>
      <w:spacing w:after="0"/>
      <w:ind w:left="284" w:hanging="284"/>
    </w:pPr>
  </w:style>
  <w:style w:type="paragraph" w:styleId="Punktliste2">
    <w:name w:val="List Bullet 2"/>
    <w:basedOn w:val="Normal"/>
    <w:rsid w:val="007676AD"/>
    <w:pPr>
      <w:spacing w:after="0"/>
      <w:ind w:left="568" w:hanging="284"/>
    </w:pPr>
  </w:style>
  <w:style w:type="paragraph" w:styleId="Punktliste3">
    <w:name w:val="List Bullet 3"/>
    <w:basedOn w:val="Normal"/>
    <w:rsid w:val="007676AD"/>
    <w:pPr>
      <w:spacing w:after="0"/>
      <w:ind w:left="851" w:hanging="284"/>
    </w:pPr>
  </w:style>
  <w:style w:type="paragraph" w:styleId="Punktliste4">
    <w:name w:val="List Bullet 4"/>
    <w:basedOn w:val="Normal"/>
    <w:rsid w:val="007676AD"/>
    <w:pPr>
      <w:spacing w:after="0"/>
      <w:ind w:left="1135" w:hanging="284"/>
    </w:pPr>
    <w:rPr>
      <w:spacing w:val="0"/>
    </w:rPr>
  </w:style>
  <w:style w:type="paragraph" w:styleId="Punktliste5">
    <w:name w:val="List Bullet 5"/>
    <w:basedOn w:val="Normal"/>
    <w:rsid w:val="007676AD"/>
    <w:pPr>
      <w:spacing w:after="0"/>
      <w:ind w:left="1418" w:hanging="284"/>
    </w:pPr>
    <w:rPr>
      <w:spacing w:val="0"/>
    </w:rPr>
  </w:style>
  <w:style w:type="table" w:customStyle="1" w:styleId="StandardTabell">
    <w:name w:val="StandardTabell"/>
    <w:basedOn w:val="Vanligtabell"/>
    <w:uiPriority w:val="99"/>
    <w:qFormat/>
    <w:rsid w:val="007676AD"/>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676AD"/>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676A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676AD"/>
    <w:pPr>
      <w:spacing w:after="0" w:line="240" w:lineRule="auto"/>
      <w:ind w:left="240" w:hanging="240"/>
    </w:pPr>
  </w:style>
  <w:style w:type="paragraph" w:styleId="Indeks2">
    <w:name w:val="index 2"/>
    <w:basedOn w:val="Normal"/>
    <w:next w:val="Normal"/>
    <w:autoRedefine/>
    <w:uiPriority w:val="99"/>
    <w:semiHidden/>
    <w:unhideWhenUsed/>
    <w:rsid w:val="007676AD"/>
    <w:pPr>
      <w:spacing w:after="0" w:line="240" w:lineRule="auto"/>
      <w:ind w:left="480" w:hanging="240"/>
    </w:pPr>
  </w:style>
  <w:style w:type="paragraph" w:styleId="Indeks3">
    <w:name w:val="index 3"/>
    <w:basedOn w:val="Normal"/>
    <w:next w:val="Normal"/>
    <w:autoRedefine/>
    <w:uiPriority w:val="99"/>
    <w:semiHidden/>
    <w:unhideWhenUsed/>
    <w:rsid w:val="007676AD"/>
    <w:pPr>
      <w:spacing w:after="0" w:line="240" w:lineRule="auto"/>
      <w:ind w:left="720" w:hanging="240"/>
    </w:pPr>
  </w:style>
  <w:style w:type="paragraph" w:styleId="Indeks4">
    <w:name w:val="index 4"/>
    <w:basedOn w:val="Normal"/>
    <w:next w:val="Normal"/>
    <w:autoRedefine/>
    <w:uiPriority w:val="99"/>
    <w:semiHidden/>
    <w:unhideWhenUsed/>
    <w:rsid w:val="007676AD"/>
    <w:pPr>
      <w:spacing w:after="0" w:line="240" w:lineRule="auto"/>
      <w:ind w:left="960" w:hanging="240"/>
    </w:pPr>
  </w:style>
  <w:style w:type="paragraph" w:styleId="Indeks5">
    <w:name w:val="index 5"/>
    <w:basedOn w:val="Normal"/>
    <w:next w:val="Normal"/>
    <w:autoRedefine/>
    <w:uiPriority w:val="99"/>
    <w:semiHidden/>
    <w:unhideWhenUsed/>
    <w:rsid w:val="007676AD"/>
    <w:pPr>
      <w:spacing w:after="0" w:line="240" w:lineRule="auto"/>
      <w:ind w:left="1200" w:hanging="240"/>
    </w:pPr>
  </w:style>
  <w:style w:type="paragraph" w:styleId="Indeks6">
    <w:name w:val="index 6"/>
    <w:basedOn w:val="Normal"/>
    <w:next w:val="Normal"/>
    <w:autoRedefine/>
    <w:uiPriority w:val="99"/>
    <w:semiHidden/>
    <w:unhideWhenUsed/>
    <w:rsid w:val="007676AD"/>
    <w:pPr>
      <w:spacing w:after="0" w:line="240" w:lineRule="auto"/>
      <w:ind w:left="1440" w:hanging="240"/>
    </w:pPr>
  </w:style>
  <w:style w:type="paragraph" w:styleId="Indeks7">
    <w:name w:val="index 7"/>
    <w:basedOn w:val="Normal"/>
    <w:next w:val="Normal"/>
    <w:autoRedefine/>
    <w:uiPriority w:val="99"/>
    <w:semiHidden/>
    <w:unhideWhenUsed/>
    <w:rsid w:val="007676AD"/>
    <w:pPr>
      <w:spacing w:after="0" w:line="240" w:lineRule="auto"/>
      <w:ind w:left="1680" w:hanging="240"/>
    </w:pPr>
  </w:style>
  <w:style w:type="paragraph" w:styleId="Indeks8">
    <w:name w:val="index 8"/>
    <w:basedOn w:val="Normal"/>
    <w:next w:val="Normal"/>
    <w:autoRedefine/>
    <w:uiPriority w:val="99"/>
    <w:semiHidden/>
    <w:unhideWhenUsed/>
    <w:rsid w:val="007676AD"/>
    <w:pPr>
      <w:spacing w:after="0" w:line="240" w:lineRule="auto"/>
      <w:ind w:left="1920" w:hanging="240"/>
    </w:pPr>
  </w:style>
  <w:style w:type="paragraph" w:styleId="Indeks9">
    <w:name w:val="index 9"/>
    <w:basedOn w:val="Normal"/>
    <w:next w:val="Normal"/>
    <w:autoRedefine/>
    <w:uiPriority w:val="99"/>
    <w:semiHidden/>
    <w:unhideWhenUsed/>
    <w:rsid w:val="007676AD"/>
    <w:pPr>
      <w:spacing w:after="0" w:line="240" w:lineRule="auto"/>
      <w:ind w:left="2160" w:hanging="240"/>
    </w:pPr>
  </w:style>
  <w:style w:type="paragraph" w:styleId="INNH6">
    <w:name w:val="toc 6"/>
    <w:basedOn w:val="Normal"/>
    <w:next w:val="Normal"/>
    <w:autoRedefine/>
    <w:uiPriority w:val="39"/>
    <w:semiHidden/>
    <w:unhideWhenUsed/>
    <w:rsid w:val="007676AD"/>
    <w:pPr>
      <w:spacing w:after="100"/>
      <w:ind w:left="1200"/>
    </w:pPr>
  </w:style>
  <w:style w:type="paragraph" w:styleId="INNH7">
    <w:name w:val="toc 7"/>
    <w:basedOn w:val="Normal"/>
    <w:next w:val="Normal"/>
    <w:autoRedefine/>
    <w:uiPriority w:val="39"/>
    <w:semiHidden/>
    <w:unhideWhenUsed/>
    <w:rsid w:val="007676AD"/>
    <w:pPr>
      <w:spacing w:after="100"/>
      <w:ind w:left="1440"/>
    </w:pPr>
  </w:style>
  <w:style w:type="paragraph" w:styleId="INNH8">
    <w:name w:val="toc 8"/>
    <w:basedOn w:val="Normal"/>
    <w:next w:val="Normal"/>
    <w:autoRedefine/>
    <w:uiPriority w:val="39"/>
    <w:semiHidden/>
    <w:unhideWhenUsed/>
    <w:rsid w:val="007676AD"/>
    <w:pPr>
      <w:spacing w:after="100"/>
      <w:ind w:left="1680"/>
    </w:pPr>
  </w:style>
  <w:style w:type="paragraph" w:styleId="INNH9">
    <w:name w:val="toc 9"/>
    <w:basedOn w:val="Normal"/>
    <w:next w:val="Normal"/>
    <w:autoRedefine/>
    <w:uiPriority w:val="39"/>
    <w:semiHidden/>
    <w:unhideWhenUsed/>
    <w:rsid w:val="007676AD"/>
    <w:pPr>
      <w:spacing w:after="100"/>
      <w:ind w:left="1920"/>
    </w:pPr>
  </w:style>
  <w:style w:type="paragraph" w:styleId="Vanliginnrykk">
    <w:name w:val="Normal Indent"/>
    <w:basedOn w:val="Normal"/>
    <w:uiPriority w:val="99"/>
    <w:semiHidden/>
    <w:unhideWhenUsed/>
    <w:rsid w:val="007676AD"/>
    <w:pPr>
      <w:ind w:left="708"/>
    </w:pPr>
  </w:style>
  <w:style w:type="paragraph" w:styleId="Stikkordregisteroverskrift">
    <w:name w:val="index heading"/>
    <w:basedOn w:val="Normal"/>
    <w:next w:val="Indeks1"/>
    <w:uiPriority w:val="99"/>
    <w:semiHidden/>
    <w:unhideWhenUsed/>
    <w:rsid w:val="007676AD"/>
    <w:rPr>
      <w:rFonts w:ascii="Cambria" w:hAnsi="Cambria" w:cs="Times New Roman"/>
      <w:b/>
      <w:bCs/>
    </w:rPr>
  </w:style>
  <w:style w:type="paragraph" w:styleId="Bildetekst">
    <w:name w:val="caption"/>
    <w:basedOn w:val="Normal"/>
    <w:next w:val="Normal"/>
    <w:uiPriority w:val="35"/>
    <w:semiHidden/>
    <w:unhideWhenUsed/>
    <w:qFormat/>
    <w:rsid w:val="007676A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676AD"/>
    <w:pPr>
      <w:spacing w:after="0"/>
    </w:pPr>
  </w:style>
  <w:style w:type="paragraph" w:styleId="Konvoluttadresse">
    <w:name w:val="envelope address"/>
    <w:basedOn w:val="Normal"/>
    <w:uiPriority w:val="99"/>
    <w:semiHidden/>
    <w:unhideWhenUsed/>
    <w:rsid w:val="007676A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7676AD"/>
  </w:style>
  <w:style w:type="character" w:styleId="Sluttnotereferanse">
    <w:name w:val="endnote reference"/>
    <w:uiPriority w:val="99"/>
    <w:semiHidden/>
    <w:unhideWhenUsed/>
    <w:rsid w:val="007676AD"/>
    <w:rPr>
      <w:vertAlign w:val="superscript"/>
    </w:rPr>
  </w:style>
  <w:style w:type="paragraph" w:styleId="Sluttnotetekst">
    <w:name w:val="endnote text"/>
    <w:basedOn w:val="Normal"/>
    <w:link w:val="SluttnotetekstTegn"/>
    <w:uiPriority w:val="99"/>
    <w:semiHidden/>
    <w:unhideWhenUsed/>
    <w:rsid w:val="007676AD"/>
    <w:pPr>
      <w:spacing w:after="0" w:line="240" w:lineRule="auto"/>
    </w:pPr>
    <w:rPr>
      <w:sz w:val="20"/>
      <w:szCs w:val="20"/>
    </w:rPr>
  </w:style>
  <w:style w:type="character" w:customStyle="1" w:styleId="SluttnotetekstTegn1">
    <w:name w:val="Sluttnotetekst Tegn1"/>
    <w:basedOn w:val="Standardskriftforavsnitt"/>
    <w:uiPriority w:val="99"/>
    <w:semiHidden/>
    <w:rsid w:val="007676AD"/>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7676AD"/>
    <w:pPr>
      <w:spacing w:after="0"/>
      <w:ind w:left="240" w:hanging="240"/>
    </w:pPr>
  </w:style>
  <w:style w:type="paragraph" w:styleId="Makrotekst">
    <w:name w:val="macro"/>
    <w:link w:val="MakrotekstTegn"/>
    <w:uiPriority w:val="99"/>
    <w:semiHidden/>
    <w:unhideWhenUsed/>
    <w:rsid w:val="007676A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7676AD"/>
    <w:rPr>
      <w:rFonts w:ascii="Consolas" w:eastAsia="Times New Roman" w:hAnsi="Consolas"/>
      <w:spacing w:val="4"/>
      <w:kern w:val="0"/>
    </w:rPr>
  </w:style>
  <w:style w:type="paragraph" w:styleId="Kildelisteoverskrift">
    <w:name w:val="toa heading"/>
    <w:basedOn w:val="Normal"/>
    <w:next w:val="Normal"/>
    <w:uiPriority w:val="99"/>
    <w:semiHidden/>
    <w:unhideWhenUsed/>
    <w:rsid w:val="007676AD"/>
    <w:pPr>
      <w:spacing w:before="120"/>
    </w:pPr>
    <w:rPr>
      <w:rFonts w:ascii="Cambria" w:hAnsi="Cambria" w:cs="Times New Roman"/>
      <w:b/>
      <w:bCs/>
      <w:szCs w:val="24"/>
    </w:rPr>
  </w:style>
  <w:style w:type="paragraph" w:styleId="Tittel">
    <w:name w:val="Title"/>
    <w:basedOn w:val="Normal"/>
    <w:next w:val="Normal"/>
    <w:link w:val="TittelTegn"/>
    <w:uiPriority w:val="10"/>
    <w:qFormat/>
    <w:rsid w:val="007676A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676A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676AD"/>
    <w:pPr>
      <w:spacing w:after="0" w:line="240" w:lineRule="auto"/>
      <w:ind w:left="4252"/>
    </w:pPr>
  </w:style>
  <w:style w:type="character" w:customStyle="1" w:styleId="HilsenTegn">
    <w:name w:val="Hilsen Tegn"/>
    <w:link w:val="Hilsen"/>
    <w:uiPriority w:val="99"/>
    <w:semiHidden/>
    <w:rsid w:val="007676AD"/>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7676AD"/>
    <w:pPr>
      <w:spacing w:after="0" w:line="240" w:lineRule="auto"/>
      <w:ind w:left="4252"/>
    </w:pPr>
  </w:style>
  <w:style w:type="character" w:customStyle="1" w:styleId="UnderskriftTegn1">
    <w:name w:val="Underskrift Tegn1"/>
    <w:basedOn w:val="Standardskriftforavsnitt"/>
    <w:uiPriority w:val="99"/>
    <w:semiHidden/>
    <w:rsid w:val="007676AD"/>
    <w:rPr>
      <w:rFonts w:ascii="Times New Roman" w:eastAsia="Times New Roman" w:hAnsi="Times New Roman"/>
      <w:spacing w:val="4"/>
      <w:kern w:val="0"/>
      <w:sz w:val="24"/>
    </w:rPr>
  </w:style>
  <w:style w:type="paragraph" w:styleId="Liste-forts">
    <w:name w:val="List Continue"/>
    <w:basedOn w:val="Normal"/>
    <w:uiPriority w:val="99"/>
    <w:semiHidden/>
    <w:unhideWhenUsed/>
    <w:rsid w:val="007676AD"/>
    <w:pPr>
      <w:ind w:left="283"/>
      <w:contextualSpacing/>
    </w:pPr>
  </w:style>
  <w:style w:type="paragraph" w:styleId="Liste-forts2">
    <w:name w:val="List Continue 2"/>
    <w:basedOn w:val="Normal"/>
    <w:uiPriority w:val="99"/>
    <w:semiHidden/>
    <w:unhideWhenUsed/>
    <w:rsid w:val="007676AD"/>
    <w:pPr>
      <w:ind w:left="566"/>
      <w:contextualSpacing/>
    </w:pPr>
  </w:style>
  <w:style w:type="paragraph" w:styleId="Liste-forts3">
    <w:name w:val="List Continue 3"/>
    <w:basedOn w:val="Normal"/>
    <w:uiPriority w:val="99"/>
    <w:semiHidden/>
    <w:unhideWhenUsed/>
    <w:rsid w:val="007676AD"/>
    <w:pPr>
      <w:ind w:left="849"/>
      <w:contextualSpacing/>
    </w:pPr>
  </w:style>
  <w:style w:type="paragraph" w:styleId="Liste-forts4">
    <w:name w:val="List Continue 4"/>
    <w:basedOn w:val="Normal"/>
    <w:uiPriority w:val="99"/>
    <w:semiHidden/>
    <w:unhideWhenUsed/>
    <w:rsid w:val="007676AD"/>
    <w:pPr>
      <w:ind w:left="1132"/>
      <w:contextualSpacing/>
    </w:pPr>
  </w:style>
  <w:style w:type="paragraph" w:styleId="Liste-forts5">
    <w:name w:val="List Continue 5"/>
    <w:basedOn w:val="Normal"/>
    <w:uiPriority w:val="99"/>
    <w:semiHidden/>
    <w:unhideWhenUsed/>
    <w:rsid w:val="007676AD"/>
    <w:pPr>
      <w:ind w:left="1415"/>
      <w:contextualSpacing/>
    </w:pPr>
  </w:style>
  <w:style w:type="paragraph" w:styleId="Meldingshode">
    <w:name w:val="Message Header"/>
    <w:basedOn w:val="Normal"/>
    <w:link w:val="MeldingshodeTegn"/>
    <w:uiPriority w:val="99"/>
    <w:semiHidden/>
    <w:unhideWhenUsed/>
    <w:rsid w:val="007676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676AD"/>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7676AD"/>
  </w:style>
  <w:style w:type="character" w:customStyle="1" w:styleId="InnledendehilsenTegn">
    <w:name w:val="Innledende hilsen Tegn"/>
    <w:link w:val="Innledendehilsen"/>
    <w:uiPriority w:val="99"/>
    <w:semiHidden/>
    <w:rsid w:val="007676AD"/>
    <w:rPr>
      <w:rFonts w:ascii="Times New Roman" w:eastAsia="Times New Roman" w:hAnsi="Times New Roman"/>
      <w:spacing w:val="4"/>
      <w:kern w:val="0"/>
      <w:sz w:val="24"/>
    </w:rPr>
  </w:style>
  <w:style w:type="paragraph" w:styleId="Dato0">
    <w:name w:val="Date"/>
    <w:basedOn w:val="Normal"/>
    <w:next w:val="Normal"/>
    <w:link w:val="DatoTegn"/>
    <w:rsid w:val="007676AD"/>
  </w:style>
  <w:style w:type="character" w:customStyle="1" w:styleId="DatoTegn1">
    <w:name w:val="Dato Tegn1"/>
    <w:basedOn w:val="Standardskriftforavsnitt"/>
    <w:uiPriority w:val="99"/>
    <w:semiHidden/>
    <w:rsid w:val="007676AD"/>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7676AD"/>
    <w:pPr>
      <w:spacing w:after="0" w:line="240" w:lineRule="auto"/>
    </w:pPr>
  </w:style>
  <w:style w:type="character" w:customStyle="1" w:styleId="NotatoverskriftTegn">
    <w:name w:val="Notatoverskrift Tegn"/>
    <w:link w:val="Notatoverskrift"/>
    <w:uiPriority w:val="99"/>
    <w:semiHidden/>
    <w:rsid w:val="007676AD"/>
    <w:rPr>
      <w:rFonts w:ascii="Times New Roman" w:eastAsia="Times New Roman" w:hAnsi="Times New Roman"/>
      <w:spacing w:val="4"/>
      <w:kern w:val="0"/>
      <w:sz w:val="24"/>
    </w:rPr>
  </w:style>
  <w:style w:type="paragraph" w:styleId="Blokktekst">
    <w:name w:val="Block Text"/>
    <w:basedOn w:val="Normal"/>
    <w:uiPriority w:val="99"/>
    <w:semiHidden/>
    <w:unhideWhenUsed/>
    <w:rsid w:val="007676A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676AD"/>
    <w:rPr>
      <w:color w:val="800080"/>
      <w:u w:val="single"/>
    </w:rPr>
  </w:style>
  <w:style w:type="character" w:styleId="Utheving">
    <w:name w:val="Emphasis"/>
    <w:uiPriority w:val="20"/>
    <w:qFormat/>
    <w:rsid w:val="007676AD"/>
    <w:rPr>
      <w:i/>
      <w:iCs/>
    </w:rPr>
  </w:style>
  <w:style w:type="paragraph" w:styleId="Dokumentkart">
    <w:name w:val="Document Map"/>
    <w:basedOn w:val="Normal"/>
    <w:link w:val="DokumentkartTegn"/>
    <w:uiPriority w:val="99"/>
    <w:semiHidden/>
    <w:rsid w:val="007676AD"/>
    <w:pPr>
      <w:shd w:val="clear" w:color="auto" w:fill="000080"/>
    </w:pPr>
    <w:rPr>
      <w:rFonts w:ascii="Tahoma" w:hAnsi="Tahoma" w:cs="Tahoma"/>
    </w:rPr>
  </w:style>
  <w:style w:type="character" w:customStyle="1" w:styleId="DokumentkartTegn">
    <w:name w:val="Dokumentkart Tegn"/>
    <w:link w:val="Dokumentkart"/>
    <w:uiPriority w:val="99"/>
    <w:semiHidden/>
    <w:rsid w:val="007676AD"/>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7676AD"/>
    <w:rPr>
      <w:rFonts w:ascii="Courier New" w:hAnsi="Courier New" w:cs="Courier New"/>
      <w:sz w:val="20"/>
    </w:rPr>
  </w:style>
  <w:style w:type="character" w:customStyle="1" w:styleId="RentekstTegn">
    <w:name w:val="Ren tekst Tegn"/>
    <w:link w:val="Rentekst"/>
    <w:uiPriority w:val="99"/>
    <w:semiHidden/>
    <w:rsid w:val="007676AD"/>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7676AD"/>
    <w:pPr>
      <w:spacing w:after="0" w:line="240" w:lineRule="auto"/>
    </w:pPr>
  </w:style>
  <w:style w:type="character" w:customStyle="1" w:styleId="E-postsignaturTegn">
    <w:name w:val="E-postsignatur Tegn"/>
    <w:link w:val="E-postsignatur"/>
    <w:uiPriority w:val="99"/>
    <w:semiHidden/>
    <w:rsid w:val="007676AD"/>
    <w:rPr>
      <w:rFonts w:ascii="Times New Roman" w:eastAsia="Times New Roman" w:hAnsi="Times New Roman"/>
      <w:spacing w:val="4"/>
      <w:kern w:val="0"/>
      <w:sz w:val="24"/>
    </w:rPr>
  </w:style>
  <w:style w:type="paragraph" w:styleId="NormalWeb">
    <w:name w:val="Normal (Web)"/>
    <w:basedOn w:val="Normal"/>
    <w:uiPriority w:val="99"/>
    <w:semiHidden/>
    <w:unhideWhenUsed/>
    <w:rsid w:val="007676AD"/>
    <w:rPr>
      <w:szCs w:val="24"/>
    </w:rPr>
  </w:style>
  <w:style w:type="character" w:styleId="HTML-akronym">
    <w:name w:val="HTML Acronym"/>
    <w:basedOn w:val="Standardskriftforavsnitt"/>
    <w:uiPriority w:val="99"/>
    <w:semiHidden/>
    <w:unhideWhenUsed/>
    <w:rsid w:val="007676AD"/>
  </w:style>
  <w:style w:type="paragraph" w:styleId="HTML-adresse">
    <w:name w:val="HTML Address"/>
    <w:basedOn w:val="Normal"/>
    <w:link w:val="HTML-adresseTegn"/>
    <w:uiPriority w:val="99"/>
    <w:semiHidden/>
    <w:unhideWhenUsed/>
    <w:rsid w:val="007676AD"/>
    <w:pPr>
      <w:spacing w:after="0" w:line="240" w:lineRule="auto"/>
    </w:pPr>
    <w:rPr>
      <w:i/>
      <w:iCs/>
    </w:rPr>
  </w:style>
  <w:style w:type="character" w:customStyle="1" w:styleId="HTML-adresseTegn">
    <w:name w:val="HTML-adresse Tegn"/>
    <w:link w:val="HTML-adresse"/>
    <w:uiPriority w:val="99"/>
    <w:semiHidden/>
    <w:rsid w:val="007676AD"/>
    <w:rPr>
      <w:rFonts w:ascii="Times New Roman" w:eastAsia="Times New Roman" w:hAnsi="Times New Roman"/>
      <w:i/>
      <w:iCs/>
      <w:spacing w:val="4"/>
      <w:kern w:val="0"/>
      <w:sz w:val="24"/>
    </w:rPr>
  </w:style>
  <w:style w:type="character" w:styleId="HTML-sitat">
    <w:name w:val="HTML Cite"/>
    <w:uiPriority w:val="99"/>
    <w:semiHidden/>
    <w:unhideWhenUsed/>
    <w:rsid w:val="007676AD"/>
    <w:rPr>
      <w:i/>
      <w:iCs/>
    </w:rPr>
  </w:style>
  <w:style w:type="character" w:styleId="HTML-kode">
    <w:name w:val="HTML Code"/>
    <w:uiPriority w:val="99"/>
    <w:semiHidden/>
    <w:unhideWhenUsed/>
    <w:rsid w:val="007676AD"/>
    <w:rPr>
      <w:rFonts w:ascii="Consolas" w:hAnsi="Consolas"/>
      <w:sz w:val="20"/>
      <w:szCs w:val="20"/>
    </w:rPr>
  </w:style>
  <w:style w:type="character" w:styleId="HTML-definisjon">
    <w:name w:val="HTML Definition"/>
    <w:uiPriority w:val="99"/>
    <w:semiHidden/>
    <w:unhideWhenUsed/>
    <w:rsid w:val="007676AD"/>
    <w:rPr>
      <w:i/>
      <w:iCs/>
    </w:rPr>
  </w:style>
  <w:style w:type="character" w:styleId="HTML-tastatur">
    <w:name w:val="HTML Keyboard"/>
    <w:uiPriority w:val="99"/>
    <w:semiHidden/>
    <w:unhideWhenUsed/>
    <w:rsid w:val="007676AD"/>
    <w:rPr>
      <w:rFonts w:ascii="Consolas" w:hAnsi="Consolas"/>
      <w:sz w:val="20"/>
      <w:szCs w:val="20"/>
    </w:rPr>
  </w:style>
  <w:style w:type="paragraph" w:styleId="HTML-forhndsformatert">
    <w:name w:val="HTML Preformatted"/>
    <w:basedOn w:val="Normal"/>
    <w:link w:val="HTML-forhndsformatertTegn"/>
    <w:uiPriority w:val="99"/>
    <w:semiHidden/>
    <w:unhideWhenUsed/>
    <w:rsid w:val="007676A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676AD"/>
    <w:rPr>
      <w:rFonts w:ascii="Consolas" w:eastAsia="Times New Roman" w:hAnsi="Consolas"/>
      <w:spacing w:val="4"/>
      <w:kern w:val="0"/>
      <w:sz w:val="20"/>
      <w:szCs w:val="20"/>
    </w:rPr>
  </w:style>
  <w:style w:type="character" w:styleId="HTML-eksempel">
    <w:name w:val="HTML Sample"/>
    <w:uiPriority w:val="99"/>
    <w:semiHidden/>
    <w:unhideWhenUsed/>
    <w:rsid w:val="007676AD"/>
    <w:rPr>
      <w:rFonts w:ascii="Consolas" w:hAnsi="Consolas"/>
      <w:sz w:val="24"/>
      <w:szCs w:val="24"/>
    </w:rPr>
  </w:style>
  <w:style w:type="character" w:styleId="HTML-skrivemaskin">
    <w:name w:val="HTML Typewriter"/>
    <w:uiPriority w:val="99"/>
    <w:semiHidden/>
    <w:unhideWhenUsed/>
    <w:rsid w:val="007676AD"/>
    <w:rPr>
      <w:rFonts w:ascii="Consolas" w:hAnsi="Consolas"/>
      <w:sz w:val="20"/>
      <w:szCs w:val="20"/>
    </w:rPr>
  </w:style>
  <w:style w:type="character" w:styleId="HTML-variabel">
    <w:name w:val="HTML Variable"/>
    <w:uiPriority w:val="99"/>
    <w:semiHidden/>
    <w:unhideWhenUsed/>
    <w:rsid w:val="007676AD"/>
    <w:rPr>
      <w:i/>
      <w:iCs/>
    </w:rPr>
  </w:style>
  <w:style w:type="paragraph" w:styleId="Kommentaremne">
    <w:name w:val="annotation subject"/>
    <w:basedOn w:val="Merknadstekst"/>
    <w:next w:val="Merknadstekst"/>
    <w:link w:val="KommentaremneTegn"/>
    <w:uiPriority w:val="99"/>
    <w:semiHidden/>
    <w:unhideWhenUsed/>
    <w:rsid w:val="007676AD"/>
    <w:pPr>
      <w:spacing w:line="240" w:lineRule="auto"/>
    </w:pPr>
    <w:rPr>
      <w:b/>
      <w:bCs/>
      <w:spacing w:val="4"/>
      <w:szCs w:val="20"/>
    </w:rPr>
  </w:style>
  <w:style w:type="character" w:customStyle="1" w:styleId="KommentaremneTegn">
    <w:name w:val="Kommentaremne Tegn"/>
    <w:link w:val="Kommentaremne"/>
    <w:uiPriority w:val="99"/>
    <w:semiHidden/>
    <w:rsid w:val="007676AD"/>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7676A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676AD"/>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7676AD"/>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676AD"/>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7676A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676AD"/>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7676AD"/>
    <w:rPr>
      <w:i/>
      <w:iCs/>
      <w:color w:val="808080"/>
    </w:rPr>
  </w:style>
  <w:style w:type="character" w:styleId="Sterkutheving">
    <w:name w:val="Intense Emphasis"/>
    <w:uiPriority w:val="21"/>
    <w:qFormat/>
    <w:rsid w:val="007676AD"/>
    <w:rPr>
      <w:b/>
      <w:bCs/>
      <w:i/>
      <w:iCs/>
      <w:color w:val="4F81BD"/>
    </w:rPr>
  </w:style>
  <w:style w:type="character" w:styleId="Svakreferanse">
    <w:name w:val="Subtle Reference"/>
    <w:uiPriority w:val="31"/>
    <w:qFormat/>
    <w:rsid w:val="007676AD"/>
    <w:rPr>
      <w:smallCaps/>
      <w:color w:val="C0504D"/>
      <w:u w:val="single"/>
    </w:rPr>
  </w:style>
  <w:style w:type="character" w:styleId="Sterkreferanse">
    <w:name w:val="Intense Reference"/>
    <w:uiPriority w:val="32"/>
    <w:qFormat/>
    <w:rsid w:val="007676AD"/>
    <w:rPr>
      <w:b/>
      <w:bCs/>
      <w:smallCaps/>
      <w:color w:val="C0504D"/>
      <w:spacing w:val="5"/>
      <w:u w:val="single"/>
    </w:rPr>
  </w:style>
  <w:style w:type="character" w:styleId="Boktittel">
    <w:name w:val="Book Title"/>
    <w:uiPriority w:val="33"/>
    <w:qFormat/>
    <w:rsid w:val="007676AD"/>
    <w:rPr>
      <w:b/>
      <w:bCs/>
      <w:smallCaps/>
      <w:spacing w:val="5"/>
    </w:rPr>
  </w:style>
  <w:style w:type="paragraph" w:styleId="Bibliografi">
    <w:name w:val="Bibliography"/>
    <w:basedOn w:val="Normal"/>
    <w:next w:val="Normal"/>
    <w:uiPriority w:val="37"/>
    <w:semiHidden/>
    <w:unhideWhenUsed/>
    <w:rsid w:val="007676AD"/>
  </w:style>
  <w:style w:type="paragraph" w:styleId="Overskriftforinnholdsfortegnelse">
    <w:name w:val="TOC Heading"/>
    <w:basedOn w:val="Overskrift1"/>
    <w:next w:val="Normal"/>
    <w:uiPriority w:val="39"/>
    <w:unhideWhenUsed/>
    <w:qFormat/>
    <w:rsid w:val="007676AD"/>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7676AD"/>
    <w:pPr>
      <w:numPr>
        <w:numId w:val="3"/>
      </w:numPr>
    </w:pPr>
  </w:style>
  <w:style w:type="numbering" w:customStyle="1" w:styleId="NrListeStil">
    <w:name w:val="NrListeStil"/>
    <w:uiPriority w:val="99"/>
    <w:rsid w:val="007676AD"/>
    <w:pPr>
      <w:numPr>
        <w:numId w:val="4"/>
      </w:numPr>
    </w:pPr>
  </w:style>
  <w:style w:type="numbering" w:customStyle="1" w:styleId="RomListeStil">
    <w:name w:val="RomListeStil"/>
    <w:uiPriority w:val="99"/>
    <w:rsid w:val="007676AD"/>
    <w:pPr>
      <w:numPr>
        <w:numId w:val="5"/>
      </w:numPr>
    </w:pPr>
  </w:style>
  <w:style w:type="numbering" w:customStyle="1" w:styleId="StrekListeStil">
    <w:name w:val="StrekListeStil"/>
    <w:uiPriority w:val="99"/>
    <w:rsid w:val="007676AD"/>
    <w:pPr>
      <w:numPr>
        <w:numId w:val="6"/>
      </w:numPr>
    </w:pPr>
  </w:style>
  <w:style w:type="numbering" w:customStyle="1" w:styleId="OpplistingListeStil">
    <w:name w:val="OpplistingListeStil"/>
    <w:uiPriority w:val="99"/>
    <w:rsid w:val="007676AD"/>
    <w:pPr>
      <w:numPr>
        <w:numId w:val="7"/>
      </w:numPr>
    </w:pPr>
  </w:style>
  <w:style w:type="numbering" w:customStyle="1" w:styleId="l-NummerertListeStil">
    <w:name w:val="l-NummerertListeStil"/>
    <w:uiPriority w:val="99"/>
    <w:rsid w:val="007676AD"/>
    <w:pPr>
      <w:numPr>
        <w:numId w:val="8"/>
      </w:numPr>
    </w:pPr>
  </w:style>
  <w:style w:type="numbering" w:customStyle="1" w:styleId="l-AlfaListeStil">
    <w:name w:val="l-AlfaListeStil"/>
    <w:uiPriority w:val="99"/>
    <w:rsid w:val="007676AD"/>
    <w:pPr>
      <w:numPr>
        <w:numId w:val="9"/>
      </w:numPr>
    </w:pPr>
  </w:style>
  <w:style w:type="numbering" w:customStyle="1" w:styleId="OverskrifterListeStil">
    <w:name w:val="OverskrifterListeStil"/>
    <w:uiPriority w:val="99"/>
    <w:rsid w:val="007676AD"/>
    <w:pPr>
      <w:numPr>
        <w:numId w:val="10"/>
      </w:numPr>
    </w:pPr>
  </w:style>
  <w:style w:type="numbering" w:customStyle="1" w:styleId="l-ListeStilMal">
    <w:name w:val="l-ListeStilMal"/>
    <w:uiPriority w:val="99"/>
    <w:rsid w:val="007676AD"/>
    <w:pPr>
      <w:numPr>
        <w:numId w:val="11"/>
      </w:numPr>
    </w:pPr>
  </w:style>
  <w:style w:type="paragraph" w:styleId="Avsenderadresse">
    <w:name w:val="envelope return"/>
    <w:basedOn w:val="Normal"/>
    <w:uiPriority w:val="99"/>
    <w:semiHidden/>
    <w:unhideWhenUsed/>
    <w:rsid w:val="007676A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676AD"/>
  </w:style>
  <w:style w:type="character" w:customStyle="1" w:styleId="BrdtekstTegn">
    <w:name w:val="Brødtekst Tegn"/>
    <w:link w:val="Brdtekst"/>
    <w:semiHidden/>
    <w:rsid w:val="007676AD"/>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7676AD"/>
    <w:pPr>
      <w:ind w:firstLine="360"/>
    </w:pPr>
  </w:style>
  <w:style w:type="character" w:customStyle="1" w:styleId="Brdtekst-frsteinnrykkTegn">
    <w:name w:val="Brødtekst - første innrykk Tegn"/>
    <w:link w:val="Brdtekst-frsteinnrykk"/>
    <w:uiPriority w:val="99"/>
    <w:semiHidden/>
    <w:rsid w:val="007676AD"/>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7676AD"/>
    <w:pPr>
      <w:ind w:left="283"/>
    </w:pPr>
  </w:style>
  <w:style w:type="character" w:customStyle="1" w:styleId="BrdtekstinnrykkTegn">
    <w:name w:val="Brødtekstinnrykk Tegn"/>
    <w:link w:val="Brdtekstinnrykk"/>
    <w:uiPriority w:val="99"/>
    <w:semiHidden/>
    <w:rsid w:val="007676AD"/>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7676AD"/>
    <w:pPr>
      <w:ind w:left="360" w:firstLine="360"/>
    </w:pPr>
  </w:style>
  <w:style w:type="character" w:customStyle="1" w:styleId="Brdtekst-frsteinnrykk2Tegn">
    <w:name w:val="Brødtekst - første innrykk 2 Tegn"/>
    <w:link w:val="Brdtekst-frsteinnrykk2"/>
    <w:uiPriority w:val="99"/>
    <w:semiHidden/>
    <w:rsid w:val="007676AD"/>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7676AD"/>
    <w:pPr>
      <w:spacing w:line="480" w:lineRule="auto"/>
    </w:pPr>
  </w:style>
  <w:style w:type="character" w:customStyle="1" w:styleId="Brdtekst2Tegn">
    <w:name w:val="Brødtekst 2 Tegn"/>
    <w:link w:val="Brdtekst2"/>
    <w:uiPriority w:val="99"/>
    <w:semiHidden/>
    <w:rsid w:val="007676AD"/>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7676AD"/>
    <w:rPr>
      <w:sz w:val="16"/>
      <w:szCs w:val="16"/>
    </w:rPr>
  </w:style>
  <w:style w:type="character" w:customStyle="1" w:styleId="Brdtekst3Tegn">
    <w:name w:val="Brødtekst 3 Tegn"/>
    <w:link w:val="Brdtekst3"/>
    <w:uiPriority w:val="99"/>
    <w:semiHidden/>
    <w:rsid w:val="007676AD"/>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7676AD"/>
    <w:pPr>
      <w:spacing w:line="480" w:lineRule="auto"/>
      <w:ind w:left="283"/>
    </w:pPr>
  </w:style>
  <w:style w:type="character" w:customStyle="1" w:styleId="Brdtekstinnrykk2Tegn">
    <w:name w:val="Brødtekstinnrykk 2 Tegn"/>
    <w:link w:val="Brdtekstinnrykk2"/>
    <w:uiPriority w:val="99"/>
    <w:semiHidden/>
    <w:rsid w:val="007676AD"/>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7676AD"/>
    <w:pPr>
      <w:ind w:left="283"/>
    </w:pPr>
    <w:rPr>
      <w:sz w:val="16"/>
      <w:szCs w:val="16"/>
    </w:rPr>
  </w:style>
  <w:style w:type="character" w:customStyle="1" w:styleId="Brdtekstinnrykk3Tegn">
    <w:name w:val="Brødtekstinnrykk 3 Tegn"/>
    <w:link w:val="Brdtekstinnrykk3"/>
    <w:uiPriority w:val="99"/>
    <w:semiHidden/>
    <w:rsid w:val="007676AD"/>
    <w:rPr>
      <w:rFonts w:ascii="Times New Roman" w:eastAsia="Times New Roman" w:hAnsi="Times New Roman"/>
      <w:spacing w:val="4"/>
      <w:kern w:val="0"/>
      <w:sz w:val="16"/>
      <w:szCs w:val="16"/>
    </w:rPr>
  </w:style>
  <w:style w:type="paragraph" w:customStyle="1" w:styleId="Sammendrag">
    <w:name w:val="Sammendrag"/>
    <w:basedOn w:val="Overskrift1"/>
    <w:qFormat/>
    <w:rsid w:val="007676AD"/>
    <w:pPr>
      <w:numPr>
        <w:numId w:val="0"/>
      </w:numPr>
    </w:pPr>
  </w:style>
  <w:style w:type="paragraph" w:customStyle="1" w:styleId="TrykkeriMerknad">
    <w:name w:val="TrykkeriMerknad"/>
    <w:basedOn w:val="Normal"/>
    <w:qFormat/>
    <w:rsid w:val="007676AD"/>
    <w:pPr>
      <w:spacing w:before="60"/>
    </w:pPr>
    <w:rPr>
      <w:rFonts w:ascii="Arial" w:hAnsi="Arial"/>
      <w:color w:val="943634"/>
      <w:sz w:val="26"/>
    </w:rPr>
  </w:style>
  <w:style w:type="paragraph" w:customStyle="1" w:styleId="ForfatterMerknad">
    <w:name w:val="ForfatterMerknad"/>
    <w:basedOn w:val="TrykkeriMerknad"/>
    <w:qFormat/>
    <w:rsid w:val="007676AD"/>
    <w:pPr>
      <w:shd w:val="clear" w:color="auto" w:fill="FFFF99"/>
      <w:spacing w:line="240" w:lineRule="auto"/>
    </w:pPr>
    <w:rPr>
      <w:color w:val="632423"/>
    </w:rPr>
  </w:style>
  <w:style w:type="paragraph" w:customStyle="1" w:styleId="tblRad">
    <w:name w:val="tblRad"/>
    <w:rsid w:val="007676A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7676AD"/>
  </w:style>
  <w:style w:type="paragraph" w:customStyle="1" w:styleId="tbl2LinjeSumBold">
    <w:name w:val="tbl2LinjeSumBold"/>
    <w:basedOn w:val="tblRad"/>
    <w:rsid w:val="007676AD"/>
  </w:style>
  <w:style w:type="paragraph" w:customStyle="1" w:styleId="tblDelsum1">
    <w:name w:val="tblDelsum1"/>
    <w:basedOn w:val="tblRad"/>
    <w:rsid w:val="007676AD"/>
  </w:style>
  <w:style w:type="paragraph" w:customStyle="1" w:styleId="tblDelsum1-Kapittel">
    <w:name w:val="tblDelsum1 - Kapittel"/>
    <w:basedOn w:val="tblDelsum1"/>
    <w:rsid w:val="007676AD"/>
    <w:pPr>
      <w:keepNext w:val="0"/>
    </w:pPr>
  </w:style>
  <w:style w:type="paragraph" w:customStyle="1" w:styleId="tblDelsum2">
    <w:name w:val="tblDelsum2"/>
    <w:basedOn w:val="tblRad"/>
    <w:rsid w:val="007676AD"/>
  </w:style>
  <w:style w:type="paragraph" w:customStyle="1" w:styleId="tblDelsum2-Kapittel">
    <w:name w:val="tblDelsum2 - Kapittel"/>
    <w:basedOn w:val="tblDelsum2"/>
    <w:rsid w:val="007676AD"/>
    <w:pPr>
      <w:keepNext w:val="0"/>
    </w:pPr>
  </w:style>
  <w:style w:type="paragraph" w:customStyle="1" w:styleId="tblTabelloverskrift">
    <w:name w:val="tblTabelloverskrift"/>
    <w:rsid w:val="007676A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7676AD"/>
    <w:pPr>
      <w:spacing w:after="0"/>
      <w:jc w:val="right"/>
    </w:pPr>
    <w:rPr>
      <w:b w:val="0"/>
      <w:caps w:val="0"/>
      <w:sz w:val="16"/>
    </w:rPr>
  </w:style>
  <w:style w:type="paragraph" w:customStyle="1" w:styleId="tblKategoriOverskrift">
    <w:name w:val="tblKategoriOverskrift"/>
    <w:basedOn w:val="tblRad"/>
    <w:rsid w:val="007676AD"/>
    <w:pPr>
      <w:spacing w:before="120"/>
    </w:pPr>
  </w:style>
  <w:style w:type="paragraph" w:customStyle="1" w:styleId="tblKolonneoverskrift">
    <w:name w:val="tblKolonneoverskrift"/>
    <w:basedOn w:val="Normal"/>
    <w:rsid w:val="007676A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676AD"/>
    <w:pPr>
      <w:spacing w:after="360"/>
      <w:jc w:val="center"/>
    </w:pPr>
    <w:rPr>
      <w:b w:val="0"/>
      <w:caps w:val="0"/>
    </w:rPr>
  </w:style>
  <w:style w:type="paragraph" w:customStyle="1" w:styleId="tblKolonneoverskrift-Vedtak">
    <w:name w:val="tblKolonneoverskrift - Vedtak"/>
    <w:basedOn w:val="tblTabelloverskrift-Vedtak"/>
    <w:rsid w:val="007676AD"/>
    <w:pPr>
      <w:spacing w:after="0"/>
    </w:pPr>
  </w:style>
  <w:style w:type="paragraph" w:customStyle="1" w:styleId="tblOverskrift-Vedtak">
    <w:name w:val="tblOverskrift - Vedtak"/>
    <w:basedOn w:val="tblRad"/>
    <w:rsid w:val="007676AD"/>
    <w:pPr>
      <w:spacing w:before="360"/>
      <w:jc w:val="center"/>
    </w:pPr>
  </w:style>
  <w:style w:type="paragraph" w:customStyle="1" w:styleId="tblRadBold">
    <w:name w:val="tblRadBold"/>
    <w:basedOn w:val="tblRad"/>
    <w:rsid w:val="007676AD"/>
  </w:style>
  <w:style w:type="paragraph" w:customStyle="1" w:styleId="tblRadItalic">
    <w:name w:val="tblRadItalic"/>
    <w:basedOn w:val="tblRad"/>
    <w:rsid w:val="007676AD"/>
  </w:style>
  <w:style w:type="paragraph" w:customStyle="1" w:styleId="tblRadItalicSiste">
    <w:name w:val="tblRadItalicSiste"/>
    <w:basedOn w:val="tblRadItalic"/>
    <w:rsid w:val="007676AD"/>
  </w:style>
  <w:style w:type="paragraph" w:customStyle="1" w:styleId="tblRadMedLuft">
    <w:name w:val="tblRadMedLuft"/>
    <w:basedOn w:val="tblRad"/>
    <w:rsid w:val="007676AD"/>
    <w:pPr>
      <w:spacing w:before="120"/>
    </w:pPr>
  </w:style>
  <w:style w:type="paragraph" w:customStyle="1" w:styleId="tblRadMedLuftSiste">
    <w:name w:val="tblRadMedLuftSiste"/>
    <w:basedOn w:val="tblRadMedLuft"/>
    <w:rsid w:val="007676AD"/>
    <w:pPr>
      <w:spacing w:after="120"/>
    </w:pPr>
  </w:style>
  <w:style w:type="paragraph" w:customStyle="1" w:styleId="tblRadMedLuftSiste-Vedtak">
    <w:name w:val="tblRadMedLuftSiste - Vedtak"/>
    <w:basedOn w:val="tblRadMedLuftSiste"/>
    <w:rsid w:val="007676AD"/>
    <w:pPr>
      <w:keepNext w:val="0"/>
    </w:pPr>
  </w:style>
  <w:style w:type="paragraph" w:customStyle="1" w:styleId="tblRadSiste">
    <w:name w:val="tblRadSiste"/>
    <w:basedOn w:val="tblRad"/>
    <w:rsid w:val="007676AD"/>
  </w:style>
  <w:style w:type="paragraph" w:customStyle="1" w:styleId="tblSluttsum">
    <w:name w:val="tblSluttsum"/>
    <w:basedOn w:val="tblRad"/>
    <w:rsid w:val="007676AD"/>
    <w:pPr>
      <w:spacing w:before="120"/>
    </w:pPr>
  </w:style>
  <w:style w:type="table" w:customStyle="1" w:styleId="MetadataTabell">
    <w:name w:val="MetadataTabell"/>
    <w:basedOn w:val="Rutenettabelllys"/>
    <w:uiPriority w:val="99"/>
    <w:rsid w:val="007676AD"/>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7676AD"/>
    <w:pPr>
      <w:spacing w:before="60" w:after="60"/>
    </w:pPr>
    <w:rPr>
      <w:rFonts w:ascii="Consolas" w:hAnsi="Consolas"/>
      <w:color w:val="C0504D"/>
      <w:sz w:val="26"/>
    </w:rPr>
  </w:style>
  <w:style w:type="table" w:styleId="Rutenettabelllys">
    <w:name w:val="Grid Table Light"/>
    <w:basedOn w:val="Vanligtabell"/>
    <w:uiPriority w:val="40"/>
    <w:rsid w:val="007676AD"/>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7676AD"/>
    <w:pPr>
      <w:spacing w:before="60" w:after="60"/>
    </w:pPr>
    <w:rPr>
      <w:rFonts w:ascii="Consolas" w:hAnsi="Consolas"/>
      <w:color w:val="365F91"/>
      <w:sz w:val="26"/>
    </w:rPr>
  </w:style>
  <w:style w:type="table" w:customStyle="1" w:styleId="Standardtabell-02">
    <w:name w:val="Standardtabell-02"/>
    <w:basedOn w:val="StandardTabell"/>
    <w:uiPriority w:val="99"/>
    <w:rsid w:val="007676A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676AD"/>
    <w:rPr>
      <w:sz w:val="24"/>
    </w:rPr>
  </w:style>
  <w:style w:type="character" w:styleId="Emneknagg">
    <w:name w:val="Hashtag"/>
    <w:basedOn w:val="Standardskriftforavsnitt"/>
    <w:uiPriority w:val="99"/>
    <w:semiHidden/>
    <w:unhideWhenUsed/>
    <w:rsid w:val="00BC44B6"/>
    <w:rPr>
      <w:color w:val="2B579A"/>
      <w:shd w:val="clear" w:color="auto" w:fill="E1DFDD"/>
    </w:rPr>
  </w:style>
  <w:style w:type="character" w:styleId="Omtale">
    <w:name w:val="Mention"/>
    <w:basedOn w:val="Standardskriftforavsnitt"/>
    <w:uiPriority w:val="99"/>
    <w:semiHidden/>
    <w:unhideWhenUsed/>
    <w:rsid w:val="00BC44B6"/>
    <w:rPr>
      <w:color w:val="2B579A"/>
      <w:shd w:val="clear" w:color="auto" w:fill="E1DFDD"/>
    </w:rPr>
  </w:style>
  <w:style w:type="paragraph" w:styleId="Sitat0">
    <w:name w:val="Quote"/>
    <w:basedOn w:val="Normal"/>
    <w:next w:val="Normal"/>
    <w:link w:val="SitatTegn1"/>
    <w:uiPriority w:val="29"/>
    <w:qFormat/>
    <w:rsid w:val="00BC44B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C44B6"/>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BC44B6"/>
    <w:rPr>
      <w:u w:val="dotted"/>
    </w:rPr>
  </w:style>
  <w:style w:type="character" w:styleId="Smartkobling">
    <w:name w:val="Smart Link"/>
    <w:basedOn w:val="Standardskriftforavsnitt"/>
    <w:uiPriority w:val="99"/>
    <w:semiHidden/>
    <w:unhideWhenUsed/>
    <w:rsid w:val="00BC44B6"/>
    <w:rPr>
      <w:color w:val="0000FF"/>
      <w:u w:val="single"/>
      <w:shd w:val="clear" w:color="auto" w:fill="F3F2F1"/>
    </w:rPr>
  </w:style>
  <w:style w:type="character" w:styleId="Ulstomtale">
    <w:name w:val="Unresolved Mention"/>
    <w:basedOn w:val="Standardskriftforavsnitt"/>
    <w:uiPriority w:val="99"/>
    <w:semiHidden/>
    <w:unhideWhenUsed/>
    <w:rsid w:val="00BC4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55</Pages>
  <Words>21347</Words>
  <Characters>132510</Characters>
  <Application>Microsoft Office Word</Application>
  <DocSecurity>0</DocSecurity>
  <Lines>1104</Lines>
  <Paragraphs>307</Paragraphs>
  <ScaleCrop>false</ScaleCrop>
  <Company/>
  <LinksUpToDate>false</LinksUpToDate>
  <CharactersWithSpaces>153550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2024-05-02T08:11:00Z</dcterms:created>
  <dcterms:modified xsi:type="dcterms:W3CDTF">2024-05-02T08:12:00Z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2024-05-02T08:09:39Z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b2e92ee8-4ce7-4ca7-853f-a28da4ff4412</vt:lpwstr>
  </property>
  <property fmtid="{D5CDD505-2E9C-101B-9397-08002B2CF9AE}" pid="8" name="MSIP_Label_b22f7043-6caf-4431-9109-8eff758a1d8b_ContentBits">
    <vt:lpwstr>0</vt:lpwstr>
  </property>
</Properties>
</file>