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5404" w14:textId="77777777" w:rsidR="002C3224" w:rsidRDefault="002C3224" w:rsidP="002C3224">
      <w:pPr>
        <w:pStyle w:val="Default"/>
        <w:jc w:val="center"/>
        <w:rPr>
          <w:rFonts w:ascii="Times New Roman" w:hAnsi="Times New Roman" w:cs="Times New Roman"/>
          <w:b/>
          <w:bCs/>
        </w:rPr>
      </w:pPr>
      <w:bookmarkStart w:id="0" w:name="_Hlk161822210"/>
      <w:r>
        <w:rPr>
          <w:rFonts w:ascii="Times New Roman" w:hAnsi="Times New Roman" w:cs="Times New Roman"/>
          <w:b/>
        </w:rPr>
        <w:t>INTENSJONSAVTALE MELLOM</w:t>
      </w:r>
      <w:r>
        <w:rPr>
          <w:rFonts w:ascii="Times New Roman" w:hAnsi="Times New Roman" w:cs="Times New Roman"/>
          <w:b/>
        </w:rPr>
        <w:br/>
      </w:r>
    </w:p>
    <w:p w14:paraId="6B76EA07" w14:textId="77777777" w:rsidR="002C3224" w:rsidRDefault="002C3224" w:rsidP="002C3224">
      <w:pPr>
        <w:pStyle w:val="Default"/>
        <w:jc w:val="center"/>
        <w:rPr>
          <w:rFonts w:ascii="Times New Roman" w:hAnsi="Times New Roman" w:cs="Times New Roman"/>
        </w:rPr>
      </w:pPr>
      <w:r>
        <w:rPr>
          <w:rFonts w:ascii="Times New Roman" w:hAnsi="Times New Roman" w:cs="Times New Roman"/>
          <w:b/>
        </w:rPr>
        <w:t>DEN EUROPEISKE UNION OG KONGERIKET NORGE</w:t>
      </w:r>
      <w:r>
        <w:rPr>
          <w:rFonts w:ascii="Times New Roman" w:hAnsi="Times New Roman" w:cs="Times New Roman"/>
          <w:b/>
        </w:rPr>
        <w:br/>
      </w:r>
    </w:p>
    <w:p w14:paraId="4BFD0C4F" w14:textId="77777777" w:rsidR="002C3224" w:rsidRDefault="002C3224" w:rsidP="002C3224">
      <w:pPr>
        <w:pStyle w:val="Default"/>
        <w:jc w:val="center"/>
        <w:rPr>
          <w:rFonts w:ascii="Times New Roman" w:hAnsi="Times New Roman" w:cs="Times New Roman"/>
        </w:rPr>
      </w:pPr>
      <w:r>
        <w:rPr>
          <w:rFonts w:ascii="Times New Roman" w:hAnsi="Times New Roman" w:cs="Times New Roman"/>
          <w:b/>
        </w:rPr>
        <w:t>OM ET STRATEGISK INDUSTRIPARTNERSKAP OM BÆREKRAFTIGE VERDIKJEDER FOR LANDBASERTE RÅVARER OG BATTERIER</w:t>
      </w:r>
      <w:bookmarkEnd w:id="0"/>
      <w:r>
        <w:rPr>
          <w:rFonts w:ascii="Times New Roman" w:hAnsi="Times New Roman" w:cs="Times New Roman"/>
          <w:b/>
        </w:rPr>
        <w:br/>
      </w:r>
    </w:p>
    <w:p w14:paraId="45CE1B60" w14:textId="77777777" w:rsidR="002C3224" w:rsidRDefault="002C3224" w:rsidP="002C3224">
      <w:pPr>
        <w:pStyle w:val="Default"/>
        <w:jc w:val="center"/>
        <w:rPr>
          <w:rFonts w:ascii="Times New Roman" w:hAnsi="Times New Roman" w:cs="Times New Roman"/>
          <w:b/>
          <w:bCs/>
        </w:rPr>
      </w:pPr>
    </w:p>
    <w:p w14:paraId="0EFD0234" w14:textId="77777777" w:rsidR="002C3224" w:rsidRDefault="002C3224" w:rsidP="002C3224">
      <w:pPr>
        <w:pStyle w:val="Default"/>
        <w:jc w:val="center"/>
        <w:rPr>
          <w:rFonts w:ascii="Times New Roman" w:hAnsi="Times New Roman" w:cs="Times New Roman"/>
          <w:b/>
          <w:bCs/>
        </w:rPr>
      </w:pPr>
    </w:p>
    <w:p w14:paraId="1B4A2D94" w14:textId="77777777" w:rsidR="002C3224" w:rsidRDefault="002C3224" w:rsidP="002C3224">
      <w:pPr>
        <w:pStyle w:val="Default"/>
        <w:jc w:val="center"/>
        <w:rPr>
          <w:rFonts w:ascii="Times New Roman" w:hAnsi="Times New Roman" w:cs="Times New Roman"/>
          <w:b/>
          <w:bCs/>
        </w:rPr>
      </w:pPr>
    </w:p>
    <w:p w14:paraId="07C35272" w14:textId="77777777" w:rsidR="002C3224" w:rsidRDefault="002C3224" w:rsidP="002C3224">
      <w:pPr>
        <w:pStyle w:val="Default"/>
        <w:jc w:val="center"/>
        <w:rPr>
          <w:rFonts w:ascii="Times New Roman" w:hAnsi="Times New Roman" w:cs="Times New Roman"/>
        </w:rPr>
      </w:pPr>
      <w:r>
        <w:rPr>
          <w:rFonts w:ascii="Times New Roman" w:hAnsi="Times New Roman" w:cs="Times New Roman"/>
          <w:b/>
        </w:rPr>
        <w:t>I. Innledning / politisk kontekst</w:t>
      </w:r>
    </w:p>
    <w:p w14:paraId="6B3EA46C" w14:textId="77777777" w:rsidR="002C3224" w:rsidRDefault="002C3224" w:rsidP="002C3224">
      <w:pPr>
        <w:pStyle w:val="Default"/>
        <w:rPr>
          <w:rFonts w:ascii="Times New Roman" w:hAnsi="Times New Roman" w:cs="Times New Roman"/>
        </w:rPr>
      </w:pPr>
    </w:p>
    <w:p w14:paraId="5D36A83C" w14:textId="77777777" w:rsidR="002C3224" w:rsidRDefault="002C3224" w:rsidP="002C3224">
      <w:pPr>
        <w:pStyle w:val="Default"/>
        <w:rPr>
          <w:rFonts w:ascii="Times New Roman" w:hAnsi="Times New Roman" w:cs="Times New Roman"/>
        </w:rPr>
      </w:pPr>
      <w:r>
        <w:rPr>
          <w:rFonts w:ascii="Times New Roman" w:hAnsi="Times New Roman" w:cs="Times New Roman"/>
        </w:rPr>
        <w:t>1. Formål</w:t>
      </w:r>
    </w:p>
    <w:p w14:paraId="14E1004F" w14:textId="77777777" w:rsidR="002C3224" w:rsidRDefault="002C3224" w:rsidP="002C3224">
      <w:pPr>
        <w:pStyle w:val="Default"/>
        <w:rPr>
          <w:rFonts w:ascii="Times New Roman" w:hAnsi="Times New Roman" w:cs="Times New Roman"/>
        </w:rPr>
      </w:pPr>
    </w:p>
    <w:p w14:paraId="16D58981" w14:textId="77777777" w:rsidR="002C3224" w:rsidRDefault="002C3224" w:rsidP="002C3224">
      <w:pPr>
        <w:pStyle w:val="Default"/>
        <w:jc w:val="both"/>
        <w:rPr>
          <w:rFonts w:ascii="Times New Roman" w:hAnsi="Times New Roman" w:cs="Times New Roman"/>
        </w:rPr>
      </w:pPr>
      <w:r>
        <w:rPr>
          <w:rFonts w:ascii="Times New Roman" w:hAnsi="Times New Roman" w:cs="Times New Roman"/>
        </w:rPr>
        <w:t xml:space="preserve">Den europeiske union og Norge har et dypt, langvarig forhold som europeiske naboer og partnere og deler felles politiske mål og grunnleggende verdier, samtidig som de er en del av det indre marked gjennom Det europeiske økonomiske samarbeidsområde (EØS). </w:t>
      </w:r>
    </w:p>
    <w:p w14:paraId="1908D330" w14:textId="77777777" w:rsidR="002C3224" w:rsidRDefault="002C3224" w:rsidP="002C3224">
      <w:pPr>
        <w:pStyle w:val="Default"/>
        <w:jc w:val="both"/>
        <w:rPr>
          <w:rFonts w:ascii="Times New Roman" w:hAnsi="Times New Roman" w:cs="Times New Roman"/>
        </w:rPr>
      </w:pPr>
    </w:p>
    <w:p w14:paraId="029A8A32" w14:textId="77777777" w:rsidR="002C3224" w:rsidRDefault="002C3224" w:rsidP="002C3224">
      <w:pPr>
        <w:rPr>
          <w:szCs w:val="24"/>
          <w:lang w:val="nb-NO"/>
        </w:rPr>
      </w:pPr>
      <w:r>
        <w:rPr>
          <w:szCs w:val="24"/>
          <w:lang w:val="nb-NO"/>
        </w:rPr>
        <w:t>Å sikre bærekraftig forsyning av råvarer, særlig kritiske råvarer («CRM»</w:t>
      </w:r>
      <w:r>
        <w:rPr>
          <w:rStyle w:val="FootnoteReference"/>
          <w:szCs w:val="24"/>
        </w:rPr>
        <w:footnoteReference w:id="1"/>
      </w:r>
      <w:r>
        <w:rPr>
          <w:szCs w:val="24"/>
          <w:lang w:val="nb-NO"/>
        </w:rPr>
        <w:t>), er en vesentlig forutsetning for å nå målene for det grønne</w:t>
      </w:r>
      <w:r>
        <w:rPr>
          <w:rStyle w:val="FootnoteReference"/>
          <w:szCs w:val="24"/>
        </w:rPr>
        <w:footnoteReference w:id="2"/>
      </w:r>
      <w:r>
        <w:rPr>
          <w:szCs w:val="24"/>
          <w:lang w:val="nb-NO"/>
        </w:rPr>
        <w:t xml:space="preserve"> og digitale skiftet</w:t>
      </w:r>
      <w:r>
        <w:rPr>
          <w:rStyle w:val="FootnoteReference"/>
          <w:szCs w:val="24"/>
        </w:rPr>
        <w:footnoteReference w:id="3"/>
      </w:r>
      <w:r>
        <w:rPr>
          <w:szCs w:val="24"/>
          <w:lang w:val="nb-NO"/>
        </w:rPr>
        <w:t xml:space="preserve"> og for å </w:t>
      </w:r>
      <w:proofErr w:type="spellStart"/>
      <w:r>
        <w:rPr>
          <w:szCs w:val="24"/>
          <w:lang w:val="nb-NO"/>
        </w:rPr>
        <w:t>avkarbonisere</w:t>
      </w:r>
      <w:proofErr w:type="spellEnd"/>
      <w:r>
        <w:rPr>
          <w:szCs w:val="24"/>
          <w:lang w:val="nb-NO"/>
        </w:rPr>
        <w:t xml:space="preserve"> energiproduksjon og mobilitetsøkosystemer med sikte på å oppnå </w:t>
      </w:r>
      <w:r w:rsidRPr="00311B30">
        <w:rPr>
          <w:szCs w:val="24"/>
          <w:lang w:val="nb-NO"/>
        </w:rPr>
        <w:t>Parisavtalens mål om å holde økningen i den globale gjennomsnittstemperaturen</w:t>
      </w:r>
      <w:r>
        <w:rPr>
          <w:szCs w:val="24"/>
          <w:lang w:val="nb-NO"/>
        </w:rPr>
        <w:t xml:space="preserve"> under 2 grader og fortrinnsvis under 1,5 grader celsius. De fleste sentrale industriøkosystemer opplever økt etterspørsel etter råvarer, både primære og bearbeidede. Å redusere mulige forstyrrelser i forsyningen av disse råvarene er avgjørende for å bevare global konkurranseevne, utvikle motstandskraft i våre næringer og styrke EUs indre marked</w:t>
      </w:r>
      <w:r>
        <w:rPr>
          <w:rStyle w:val="FootnoteReference"/>
          <w:szCs w:val="24"/>
        </w:rPr>
        <w:footnoteReference w:id="4"/>
      </w:r>
      <w:r>
        <w:rPr>
          <w:szCs w:val="24"/>
          <w:lang w:val="nb-NO"/>
        </w:rPr>
        <w:t xml:space="preserve">. </w:t>
      </w:r>
    </w:p>
    <w:p w14:paraId="7DB444A7" w14:textId="77777777" w:rsidR="002C3224" w:rsidRDefault="002C3224" w:rsidP="002C3224">
      <w:pPr>
        <w:rPr>
          <w:szCs w:val="24"/>
          <w:lang w:val="nb-NO"/>
        </w:rPr>
      </w:pPr>
    </w:p>
    <w:p w14:paraId="07BAA61F" w14:textId="77777777" w:rsidR="002C3224" w:rsidRDefault="002C3224" w:rsidP="002C3224">
      <w:pPr>
        <w:autoSpaceDE w:val="0"/>
        <w:autoSpaceDN w:val="0"/>
        <w:adjustRightInd w:val="0"/>
        <w:rPr>
          <w:szCs w:val="24"/>
          <w:lang w:val="nb-NO"/>
        </w:rPr>
      </w:pPr>
      <w:r>
        <w:rPr>
          <w:color w:val="000000"/>
          <w:szCs w:val="24"/>
          <w:lang w:val="nb-NO"/>
        </w:rPr>
        <w:t xml:space="preserve">Både Europas grønne giv og Norges Veikart for Grønt Industriløft peker på batterier som en sentral gjennombruddsteknologi </w:t>
      </w:r>
      <w:r>
        <w:rPr>
          <w:szCs w:val="24"/>
          <w:lang w:val="nb-NO"/>
        </w:rPr>
        <w:t xml:space="preserve">for omstillingen til fornybar energi. </w:t>
      </w:r>
      <w:r>
        <w:rPr>
          <w:color w:val="000000"/>
          <w:szCs w:val="24"/>
          <w:lang w:val="nb-NO"/>
        </w:rPr>
        <w:t xml:space="preserve">Bærekraftig produserte batterier vil være </w:t>
      </w:r>
      <w:r w:rsidRPr="000C789F">
        <w:rPr>
          <w:color w:val="000000"/>
          <w:szCs w:val="24"/>
          <w:lang w:val="nb-NO"/>
        </w:rPr>
        <w:t>viktig</w:t>
      </w:r>
      <w:r>
        <w:rPr>
          <w:color w:val="000000"/>
          <w:szCs w:val="24"/>
          <w:lang w:val="nb-NO"/>
        </w:rPr>
        <w:t xml:space="preserve"> for å </w:t>
      </w:r>
      <w:proofErr w:type="spellStart"/>
      <w:r>
        <w:rPr>
          <w:color w:val="000000"/>
          <w:szCs w:val="24"/>
          <w:lang w:val="nb-NO"/>
        </w:rPr>
        <w:t>avkarbonisere</w:t>
      </w:r>
      <w:proofErr w:type="spellEnd"/>
      <w:r>
        <w:rPr>
          <w:color w:val="000000"/>
          <w:szCs w:val="24"/>
          <w:lang w:val="nb-NO"/>
        </w:rPr>
        <w:t xml:space="preserve"> transport- og energisektorene, redusere CO</w:t>
      </w:r>
      <w:r>
        <w:rPr>
          <w:color w:val="000000"/>
          <w:szCs w:val="24"/>
          <w:vertAlign w:val="subscript"/>
          <w:lang w:val="nb-NO"/>
        </w:rPr>
        <w:t>2</w:t>
      </w:r>
      <w:r>
        <w:rPr>
          <w:color w:val="000000"/>
          <w:szCs w:val="24"/>
          <w:lang w:val="nb-NO"/>
        </w:rPr>
        <w:t xml:space="preserve">-utslipp og skape </w:t>
      </w:r>
      <w:r w:rsidRPr="0092696C">
        <w:rPr>
          <w:color w:val="000000"/>
          <w:szCs w:val="24"/>
          <w:lang w:val="nb-NO"/>
        </w:rPr>
        <w:t>gode arbeidsplasser</w:t>
      </w:r>
      <w:r>
        <w:rPr>
          <w:color w:val="000000"/>
          <w:szCs w:val="24"/>
          <w:lang w:val="nb-NO"/>
        </w:rPr>
        <w:t xml:space="preserve">. Den globale etterspørselen etter batterier forventes å ti- eller tjuedoble seg det neste tiåret på grunn av høyere markedspenetrasjon av elektriske kjøretøy, stasjonær energilagring og bruk av batterier til industrielle og maritime formål. Disse volumene krever nye markedstilbud fra en rekke aktører på verdensbasis og i Europa.  </w:t>
      </w:r>
    </w:p>
    <w:p w14:paraId="1E83A996" w14:textId="77777777" w:rsidR="002C3224" w:rsidRDefault="002C3224" w:rsidP="002C3224">
      <w:pPr>
        <w:rPr>
          <w:szCs w:val="24"/>
          <w:lang w:val="nb-NO"/>
        </w:rPr>
      </w:pPr>
    </w:p>
    <w:p w14:paraId="3C0DAD6B" w14:textId="77777777" w:rsidR="002C3224" w:rsidRDefault="002C3224" w:rsidP="002C3224">
      <w:pPr>
        <w:autoSpaceDE w:val="0"/>
        <w:autoSpaceDN w:val="0"/>
        <w:adjustRightInd w:val="0"/>
        <w:rPr>
          <w:szCs w:val="24"/>
          <w:lang w:val="nb-NO"/>
        </w:rPr>
      </w:pPr>
      <w:r>
        <w:rPr>
          <w:szCs w:val="24"/>
          <w:lang w:val="nb-NO"/>
        </w:rPr>
        <w:t xml:space="preserve">Den 24. april 2023 undertegnet Europakommisjonens president Ursula von der </w:t>
      </w:r>
      <w:proofErr w:type="spellStart"/>
      <w:r>
        <w:rPr>
          <w:szCs w:val="24"/>
          <w:lang w:val="nb-NO"/>
        </w:rPr>
        <w:t>Leyen</w:t>
      </w:r>
      <w:proofErr w:type="spellEnd"/>
      <w:r>
        <w:rPr>
          <w:szCs w:val="24"/>
          <w:lang w:val="nb-NO"/>
        </w:rPr>
        <w:t xml:space="preserve"> og Norges statsminister Jonas Gahr Støre den grønne alliansen mellom EU og Norge for å styrke gjensidig dialog og samarbeid om en rettferdig omstilling med hensyn til klima, miljø, energi og industri.</w:t>
      </w:r>
      <w:r>
        <w:rPr>
          <w:rStyle w:val="FootnoteReference"/>
          <w:szCs w:val="24"/>
        </w:rPr>
        <w:footnoteReference w:id="5"/>
      </w:r>
    </w:p>
    <w:p w14:paraId="73C2B81C" w14:textId="77777777" w:rsidR="002C3224" w:rsidRDefault="002C3224" w:rsidP="002C3224">
      <w:pPr>
        <w:autoSpaceDE w:val="0"/>
        <w:autoSpaceDN w:val="0"/>
        <w:adjustRightInd w:val="0"/>
        <w:rPr>
          <w:szCs w:val="24"/>
          <w:lang w:val="nb-NO"/>
        </w:rPr>
      </w:pPr>
    </w:p>
    <w:p w14:paraId="101E0D00" w14:textId="77777777" w:rsidR="002C3224" w:rsidRDefault="002C3224" w:rsidP="002C3224">
      <w:pPr>
        <w:autoSpaceDE w:val="0"/>
        <w:autoSpaceDN w:val="0"/>
        <w:adjustRightInd w:val="0"/>
        <w:rPr>
          <w:szCs w:val="24"/>
          <w:lang w:val="nb-NO"/>
        </w:rPr>
      </w:pPr>
      <w:r>
        <w:rPr>
          <w:szCs w:val="24"/>
          <w:lang w:val="nb-NO"/>
        </w:rPr>
        <w:lastRenderedPageBreak/>
        <w:t xml:space="preserve">Som en av byggesteinene i alliansen annonserte EU og Norge (heretter kalt «partene») utviklingen av et strategisk </w:t>
      </w:r>
      <w:r w:rsidRPr="00CA3EDD">
        <w:rPr>
          <w:szCs w:val="24"/>
          <w:lang w:val="nb-NO"/>
        </w:rPr>
        <w:t>industri</w:t>
      </w:r>
      <w:r>
        <w:rPr>
          <w:szCs w:val="24"/>
          <w:lang w:val="nb-NO"/>
        </w:rPr>
        <w:t xml:space="preserve">partnerskap </w:t>
      </w:r>
      <w:r w:rsidRPr="0092696C">
        <w:rPr>
          <w:szCs w:val="24"/>
          <w:lang w:val="nb-NO"/>
        </w:rPr>
        <w:t>for bærekraftige</w:t>
      </w:r>
      <w:r>
        <w:rPr>
          <w:szCs w:val="24"/>
          <w:lang w:val="nb-NO"/>
        </w:rPr>
        <w:t xml:space="preserve"> </w:t>
      </w:r>
      <w:r w:rsidRPr="0092696C">
        <w:rPr>
          <w:szCs w:val="24"/>
          <w:lang w:val="nb-NO"/>
        </w:rPr>
        <w:t>verdikjeder</w:t>
      </w:r>
      <w:r>
        <w:rPr>
          <w:szCs w:val="24"/>
          <w:lang w:val="nb-NO"/>
        </w:rPr>
        <w:t xml:space="preserve"> (heretter kalt «partnerskapet») innen kritiske råvarer og batterier. </w:t>
      </w:r>
    </w:p>
    <w:p w14:paraId="6BE5722B" w14:textId="77777777" w:rsidR="002C3224" w:rsidRDefault="002C3224" w:rsidP="002C3224">
      <w:pPr>
        <w:autoSpaceDE w:val="0"/>
        <w:autoSpaceDN w:val="0"/>
        <w:adjustRightInd w:val="0"/>
        <w:rPr>
          <w:szCs w:val="24"/>
          <w:lang w:val="nb-NO"/>
        </w:rPr>
      </w:pPr>
    </w:p>
    <w:p w14:paraId="5C59CC29" w14:textId="77777777" w:rsidR="002C3224" w:rsidRDefault="002C3224" w:rsidP="002C3224">
      <w:pPr>
        <w:autoSpaceDE w:val="0"/>
        <w:autoSpaceDN w:val="0"/>
        <w:adjustRightInd w:val="0"/>
        <w:rPr>
          <w:color w:val="000000"/>
          <w:szCs w:val="24"/>
          <w:lang w:val="nb-NO"/>
        </w:rPr>
      </w:pPr>
      <w:r>
        <w:rPr>
          <w:color w:val="000000"/>
          <w:szCs w:val="24"/>
          <w:lang w:val="nb-NO"/>
        </w:rPr>
        <w:t xml:space="preserve">Samarbeidet vil være av avgjørende betydning gitt det presserende behovet for at vi i fellesskap skal kunne håndtere klimaendringene og sikre den forsyningen av bærekraftig energi, materialer og teknologier som kreves for avkarbonisering, og for å sikre at økonomiene våre er konkurransedyktige, samtidig som de strategiske økosystemene blir </w:t>
      </w:r>
      <w:proofErr w:type="gramStart"/>
      <w:r>
        <w:rPr>
          <w:color w:val="000000"/>
          <w:szCs w:val="24"/>
          <w:lang w:val="nb-NO"/>
        </w:rPr>
        <w:t>mer robuste</w:t>
      </w:r>
      <w:proofErr w:type="gramEnd"/>
      <w:r>
        <w:rPr>
          <w:color w:val="000000"/>
          <w:szCs w:val="24"/>
          <w:lang w:val="nb-NO"/>
        </w:rPr>
        <w:t>.</w:t>
      </w:r>
    </w:p>
    <w:p w14:paraId="7BFA3A80" w14:textId="77777777" w:rsidR="002C3224" w:rsidRDefault="002C3224" w:rsidP="002C3224">
      <w:pPr>
        <w:autoSpaceDE w:val="0"/>
        <w:autoSpaceDN w:val="0"/>
        <w:adjustRightInd w:val="0"/>
        <w:rPr>
          <w:color w:val="000000"/>
          <w:szCs w:val="24"/>
          <w:lang w:val="nb-NO"/>
        </w:rPr>
      </w:pPr>
    </w:p>
    <w:p w14:paraId="49A33922" w14:textId="77777777" w:rsidR="002C3224" w:rsidRPr="002C3224" w:rsidRDefault="002C3224" w:rsidP="002C3224">
      <w:pPr>
        <w:autoSpaceDE w:val="0"/>
        <w:autoSpaceDN w:val="0"/>
        <w:adjustRightInd w:val="0"/>
        <w:rPr>
          <w:rStyle w:val="Heading2Char"/>
          <w:szCs w:val="24"/>
          <w:lang w:val="nb-NO"/>
        </w:rPr>
      </w:pPr>
      <w:r>
        <w:rPr>
          <w:color w:val="000000"/>
          <w:szCs w:val="24"/>
          <w:lang w:val="nb-NO"/>
        </w:rPr>
        <w:t xml:space="preserve">Partnerskapet skal være i tråd med målene i EUs rammeverk for forsyning av kritiske og strategiske råmaterialer (Critical Raw Materials </w:t>
      </w:r>
      <w:proofErr w:type="spellStart"/>
      <w:r>
        <w:rPr>
          <w:color w:val="000000"/>
          <w:szCs w:val="24"/>
          <w:lang w:val="nb-NO"/>
        </w:rPr>
        <w:t>Act</w:t>
      </w:r>
      <w:proofErr w:type="spellEnd"/>
      <w:r>
        <w:rPr>
          <w:color w:val="000000"/>
          <w:szCs w:val="24"/>
          <w:lang w:val="nb-NO"/>
        </w:rPr>
        <w:t>) og bestemmelsene om strategiske partnerskap med tredjeland.</w:t>
      </w:r>
      <w:r>
        <w:rPr>
          <w:rStyle w:val="FootnoteReference"/>
          <w:color w:val="000000"/>
          <w:szCs w:val="24"/>
        </w:rPr>
        <w:footnoteReference w:id="6"/>
      </w:r>
    </w:p>
    <w:p w14:paraId="15D3B847" w14:textId="77777777" w:rsidR="002C3224" w:rsidRDefault="002C3224" w:rsidP="002C3224">
      <w:pPr>
        <w:autoSpaceDE w:val="0"/>
        <w:autoSpaceDN w:val="0"/>
        <w:adjustRightInd w:val="0"/>
        <w:rPr>
          <w:lang w:val="nb-NO"/>
        </w:rPr>
      </w:pPr>
    </w:p>
    <w:p w14:paraId="765136FC" w14:textId="6A38D523" w:rsidR="002C3224" w:rsidRDefault="002C3224" w:rsidP="002C3224">
      <w:pPr>
        <w:rPr>
          <w:i/>
          <w:iCs/>
          <w:szCs w:val="24"/>
          <w:lang w:val="nb-NO"/>
        </w:rPr>
      </w:pPr>
      <w:r>
        <w:rPr>
          <w:color w:val="000000"/>
          <w:szCs w:val="24"/>
          <w:lang w:val="nb-NO"/>
        </w:rPr>
        <w:t>Partnerskapet skal utgjøre et helhetlig rammeverk for et fremtidsrettet langsiktig</w:t>
      </w:r>
      <w:r w:rsidR="00C92EBF">
        <w:rPr>
          <w:color w:val="000000"/>
          <w:szCs w:val="24"/>
          <w:lang w:val="nb-NO"/>
        </w:rPr>
        <w:t xml:space="preserve"> </w:t>
      </w:r>
      <w:r>
        <w:rPr>
          <w:color w:val="000000"/>
          <w:szCs w:val="24"/>
          <w:lang w:val="nb-NO"/>
        </w:rPr>
        <w:t xml:space="preserve">samarbeid mellom EU og Norge som vil styrke våre politiske relasjoner og økonomiske bånd ytterligere. Utviklingen av integrerte bærekraftige verdikjeder for mineraler, metaller og batterier vil skape grønn langsiktig vekst og </w:t>
      </w:r>
      <w:r w:rsidRPr="0092696C">
        <w:rPr>
          <w:color w:val="000000"/>
          <w:szCs w:val="24"/>
          <w:lang w:val="nb-NO"/>
        </w:rPr>
        <w:t>gode</w:t>
      </w:r>
      <w:r>
        <w:rPr>
          <w:color w:val="000000"/>
          <w:szCs w:val="24"/>
          <w:lang w:val="nb-NO"/>
        </w:rPr>
        <w:t xml:space="preserve"> arbeidsplasser. Videre vil en tettere integrasjon av forsyningskjedene for råvarer og batterier, understøttet av geografisk nærhet, også være en måte å redusere de negative konsekvensene av uforutsigbare fremtidige forstyrrelser på</w:t>
      </w:r>
      <w:r>
        <w:rPr>
          <w:rStyle w:val="FootnoteReference"/>
          <w:color w:val="000000"/>
          <w:szCs w:val="24"/>
        </w:rPr>
        <w:footnoteReference w:id="7"/>
      </w:r>
      <w:r>
        <w:rPr>
          <w:color w:val="000000"/>
          <w:szCs w:val="24"/>
          <w:lang w:val="nb-NO"/>
        </w:rPr>
        <w:t xml:space="preserve">, som den globale covid-19-pandemien og Russlands invasjon av Ukraina er eksempler på. Partnerskapet bør omfatte åpen dialog og samarbeid om relevante utviklingstrekk og problemstillinger. Dette gjelder blant annet i forhold til tredjeland, slik som europeiske partnere både EU og Norge har etablert </w:t>
      </w:r>
      <w:proofErr w:type="spellStart"/>
      <w:r>
        <w:rPr>
          <w:color w:val="000000"/>
          <w:szCs w:val="24"/>
          <w:lang w:val="nb-NO"/>
        </w:rPr>
        <w:t>preferensielle</w:t>
      </w:r>
      <w:proofErr w:type="spellEnd"/>
      <w:r>
        <w:rPr>
          <w:color w:val="000000"/>
          <w:szCs w:val="24"/>
          <w:lang w:val="nb-NO"/>
        </w:rPr>
        <w:t xml:space="preserve"> handelsrelasjoner med. Dette vil sikre de felles verdikjedenes integritet og styrke motstandskraften i EUs indre marked.</w:t>
      </w:r>
      <w:r>
        <w:rPr>
          <w:i/>
          <w:szCs w:val="24"/>
          <w:lang w:val="nb-NO"/>
        </w:rPr>
        <w:t xml:space="preserve"> </w:t>
      </w:r>
    </w:p>
    <w:p w14:paraId="24B74E6B" w14:textId="77777777" w:rsidR="002C3224" w:rsidRDefault="002C3224" w:rsidP="002C3224">
      <w:pPr>
        <w:rPr>
          <w:i/>
          <w:iCs/>
          <w:szCs w:val="24"/>
          <w:lang w:val="nb-NO"/>
        </w:rPr>
      </w:pPr>
    </w:p>
    <w:p w14:paraId="274835DD" w14:textId="77777777" w:rsidR="002C3224" w:rsidRDefault="002C3224" w:rsidP="002C3224">
      <w:pPr>
        <w:rPr>
          <w:szCs w:val="24"/>
          <w:lang w:val="nb-NO"/>
        </w:rPr>
      </w:pPr>
      <w:r>
        <w:rPr>
          <w:szCs w:val="24"/>
          <w:lang w:val="nb-NO"/>
        </w:rPr>
        <w:t xml:space="preserve">Norge og EU har </w:t>
      </w:r>
      <w:proofErr w:type="gramStart"/>
      <w:r>
        <w:rPr>
          <w:szCs w:val="24"/>
          <w:lang w:val="nb-NO"/>
        </w:rPr>
        <w:t>potensielt</w:t>
      </w:r>
      <w:proofErr w:type="gramEnd"/>
      <w:r>
        <w:rPr>
          <w:szCs w:val="24"/>
          <w:lang w:val="nb-NO"/>
        </w:rPr>
        <w:t xml:space="preserve"> store reserver av kritiske råmaterialer og en avansert gruve-, prosess- og batteriindustri med høye miljømessige og sosiale standarder og nyskapende forsknings- og innovasjonsløsninger (</w:t>
      </w:r>
      <w:proofErr w:type="spellStart"/>
      <w:r>
        <w:rPr>
          <w:szCs w:val="24"/>
          <w:lang w:val="nb-NO"/>
        </w:rPr>
        <w:t>FoI</w:t>
      </w:r>
      <w:proofErr w:type="spellEnd"/>
      <w:r>
        <w:rPr>
          <w:szCs w:val="24"/>
          <w:lang w:val="nb-NO"/>
        </w:rPr>
        <w:t xml:space="preserve">) for det europeiske markedet. Dette utgjør et solid grunnlag for partnerskapet, som tar sikte på å samle industripartnere og styrke eksisterende rammeverk som den europeiske batterialliansen (EBA), den europeiske råvarealliansen (ERMA) og Horisont Europa, EUs rammeprogram for forskning og innovasjon. </w:t>
      </w:r>
    </w:p>
    <w:p w14:paraId="184734B5" w14:textId="77777777" w:rsidR="002C3224" w:rsidRDefault="002C3224" w:rsidP="002C3224">
      <w:pPr>
        <w:rPr>
          <w:color w:val="000000"/>
          <w:szCs w:val="24"/>
          <w:lang w:val="nb-NO"/>
        </w:rPr>
      </w:pPr>
    </w:p>
    <w:p w14:paraId="7EBDB9EC" w14:textId="77777777" w:rsidR="002C3224" w:rsidRDefault="002C3224" w:rsidP="002C3224">
      <w:pPr>
        <w:rPr>
          <w:szCs w:val="24"/>
          <w:lang w:val="nb-NO"/>
        </w:rPr>
      </w:pPr>
      <w:r>
        <w:rPr>
          <w:szCs w:val="24"/>
          <w:lang w:val="nb-NO"/>
        </w:rPr>
        <w:t>Partene ser særlig for seg:</w:t>
      </w:r>
    </w:p>
    <w:p w14:paraId="4F929F73" w14:textId="77777777" w:rsidR="002C3224" w:rsidRDefault="002C3224" w:rsidP="002C3224">
      <w:pPr>
        <w:rPr>
          <w:szCs w:val="24"/>
          <w:lang w:val="nb-NO"/>
        </w:rPr>
      </w:pPr>
      <w:r>
        <w:rPr>
          <w:szCs w:val="24"/>
          <w:lang w:val="nb-NO"/>
        </w:rPr>
        <w:t xml:space="preserve">Tettere økonomisk og industriell integrasjon mellom Norge og EU i de strategiske verdikjedene for primære og sekundære råvarer og batterier, særlig gjennom kartlegging av ressurser, identifisering av prosjekter gjennom de respektive verdikjedene, tilrettelegging av forretningsmuligheter og koblinger og </w:t>
      </w:r>
      <w:r w:rsidRPr="00613670">
        <w:rPr>
          <w:szCs w:val="24"/>
          <w:lang w:val="nb-NO"/>
        </w:rPr>
        <w:t>mobilisering</w:t>
      </w:r>
      <w:r>
        <w:rPr>
          <w:szCs w:val="24"/>
          <w:lang w:val="nb-NO"/>
        </w:rPr>
        <w:t xml:space="preserve"> av private investeringer, samt å sikre at disse kritiske forsyningskjedene er velfungerende og </w:t>
      </w:r>
      <w:proofErr w:type="gramStart"/>
      <w:r>
        <w:rPr>
          <w:szCs w:val="24"/>
          <w:lang w:val="nb-NO"/>
        </w:rPr>
        <w:t>robuste</w:t>
      </w:r>
      <w:proofErr w:type="gramEnd"/>
      <w:r>
        <w:rPr>
          <w:szCs w:val="24"/>
          <w:lang w:val="nb-NO"/>
        </w:rPr>
        <w:t>.</w:t>
      </w:r>
    </w:p>
    <w:p w14:paraId="46FBDD69" w14:textId="77777777" w:rsidR="002C3224" w:rsidRDefault="002C3224" w:rsidP="002C3224">
      <w:pPr>
        <w:rPr>
          <w:szCs w:val="24"/>
          <w:lang w:val="nb-NO"/>
        </w:rPr>
      </w:pPr>
      <w:r>
        <w:rPr>
          <w:szCs w:val="24"/>
          <w:lang w:val="nb-NO"/>
        </w:rPr>
        <w:t>Tettere bilateralt samarbeid om forskning og innovasjon.</w:t>
      </w:r>
    </w:p>
    <w:p w14:paraId="4769EECB" w14:textId="77777777" w:rsidR="002C3224" w:rsidRDefault="002C3224" w:rsidP="002C3224">
      <w:pPr>
        <w:rPr>
          <w:szCs w:val="24"/>
          <w:lang w:val="nb-NO"/>
        </w:rPr>
      </w:pPr>
      <w:proofErr w:type="gramStart"/>
      <w:r>
        <w:rPr>
          <w:szCs w:val="24"/>
          <w:lang w:val="nb-NO"/>
        </w:rPr>
        <w:lastRenderedPageBreak/>
        <w:t>Anvendelse</w:t>
      </w:r>
      <w:proofErr w:type="gramEnd"/>
      <w:r>
        <w:rPr>
          <w:szCs w:val="24"/>
          <w:lang w:val="nb-NO"/>
        </w:rPr>
        <w:t xml:space="preserve"> av retningslinjer og beste praksis for høye standarder for miljømessige, sosiale og forretningsetiske forhold (ESG), herunder med hensyn til menneskerettigheter og urfolks rettigheter, gjennom hele verdikjeden for råvarer.</w:t>
      </w:r>
    </w:p>
    <w:p w14:paraId="45FABFEE" w14:textId="77777777" w:rsidR="002C3224" w:rsidRDefault="002C3224" w:rsidP="002C3224">
      <w:pPr>
        <w:rPr>
          <w:szCs w:val="24"/>
          <w:lang w:val="nb-NO"/>
        </w:rPr>
      </w:pPr>
      <w:r>
        <w:rPr>
          <w:szCs w:val="24"/>
          <w:lang w:val="nb-NO"/>
        </w:rPr>
        <w:t>Identifisering og utnyttelse av finansielle og risikoreduserende instrumenter.</w:t>
      </w:r>
    </w:p>
    <w:p w14:paraId="3FA1F3AA" w14:textId="77777777" w:rsidR="002C3224" w:rsidRDefault="002C3224" w:rsidP="002C3224">
      <w:pPr>
        <w:rPr>
          <w:szCs w:val="24"/>
          <w:lang w:val="nb-NO"/>
        </w:rPr>
      </w:pPr>
      <w:r>
        <w:rPr>
          <w:szCs w:val="24"/>
          <w:lang w:val="nb-NO"/>
        </w:rPr>
        <w:t xml:space="preserve">Utvikling av nødvendig kompetanse for </w:t>
      </w:r>
      <w:r w:rsidRPr="0092696C">
        <w:rPr>
          <w:szCs w:val="24"/>
          <w:lang w:val="nb-NO"/>
        </w:rPr>
        <w:t>gode</w:t>
      </w:r>
      <w:r>
        <w:rPr>
          <w:szCs w:val="24"/>
          <w:lang w:val="nb-NO"/>
        </w:rPr>
        <w:t xml:space="preserve"> arbeidsplasser innen ren teknologi.</w:t>
      </w:r>
    </w:p>
    <w:p w14:paraId="430D914E" w14:textId="77777777" w:rsidR="002C3224" w:rsidRDefault="002C3224" w:rsidP="002C3224">
      <w:pPr>
        <w:rPr>
          <w:szCs w:val="24"/>
          <w:lang w:val="nb-NO"/>
        </w:rPr>
      </w:pPr>
    </w:p>
    <w:p w14:paraId="7A8C4149" w14:textId="77777777" w:rsidR="002C3224" w:rsidRDefault="002C3224" w:rsidP="002C3224">
      <w:pPr>
        <w:rPr>
          <w:szCs w:val="24"/>
          <w:lang w:val="nb-NO"/>
        </w:rPr>
      </w:pPr>
      <w:r>
        <w:rPr>
          <w:szCs w:val="24"/>
          <w:lang w:val="nb-NO"/>
        </w:rPr>
        <w:t>Partene uttrykker også en intensjon om å opprettholde jevnlig dialog, særlig for å tilrettelegge for tidlig samråd om viktige politiske utviklinger, for eksempel politiske strategier og initiativer (både regulatoriske og ikke-bindende) som er relevante for partnerskapet.</w:t>
      </w:r>
    </w:p>
    <w:p w14:paraId="71B1998F" w14:textId="77777777" w:rsidR="002C3224" w:rsidRDefault="002C3224" w:rsidP="002C3224">
      <w:pPr>
        <w:rPr>
          <w:szCs w:val="24"/>
          <w:lang w:val="nb-NO"/>
        </w:rPr>
      </w:pPr>
    </w:p>
    <w:p w14:paraId="455CEF85" w14:textId="77777777" w:rsidR="002C3224" w:rsidRDefault="002C3224" w:rsidP="002C3224">
      <w:pPr>
        <w:rPr>
          <w:szCs w:val="24"/>
          <w:lang w:val="nb-NO"/>
        </w:rPr>
      </w:pPr>
      <w:r>
        <w:rPr>
          <w:szCs w:val="24"/>
          <w:lang w:val="nb-NO"/>
        </w:rPr>
        <w:t>EØS-avtalen er hjørnesteinen i forholdet mellom Norge og EU og forener norske og europeiske privatpersoner og bedrifter i det indre markedet som er underlagt det samme regelverket. I tillegg til EØS-avtalen har det de siste årene vært en vesentlig utvikling som det er tatt hensyn til i utarbeidelsen av dette partnerskapet, blant annet:</w:t>
      </w:r>
    </w:p>
    <w:p w14:paraId="195DA2CD" w14:textId="77777777" w:rsidR="002C3224" w:rsidRDefault="002C3224" w:rsidP="002C3224">
      <w:pPr>
        <w:rPr>
          <w:szCs w:val="24"/>
          <w:lang w:val="nb-NO"/>
        </w:rPr>
      </w:pPr>
      <w:r>
        <w:rPr>
          <w:szCs w:val="24"/>
          <w:lang w:val="nb-NO"/>
        </w:rPr>
        <w:t xml:space="preserve">Lanseringen av den europeiske batterialliansen (2017) </w:t>
      </w:r>
    </w:p>
    <w:p w14:paraId="383B5203" w14:textId="77777777" w:rsidR="002C3224" w:rsidRDefault="002C3224" w:rsidP="002C3224">
      <w:pPr>
        <w:rPr>
          <w:szCs w:val="24"/>
          <w:lang w:val="nb-NO"/>
        </w:rPr>
      </w:pPr>
      <w:proofErr w:type="gramStart"/>
      <w:r>
        <w:rPr>
          <w:szCs w:val="24"/>
          <w:lang w:val="nb-NO"/>
        </w:rPr>
        <w:t>EUs strategisk handlingsplan</w:t>
      </w:r>
      <w:proofErr w:type="gramEnd"/>
      <w:r>
        <w:rPr>
          <w:szCs w:val="24"/>
          <w:lang w:val="nb-NO"/>
        </w:rPr>
        <w:t xml:space="preserve"> for batterier (2019)</w:t>
      </w:r>
    </w:p>
    <w:p w14:paraId="56C61820" w14:textId="77777777" w:rsidR="002C3224" w:rsidRDefault="002C3224" w:rsidP="002C3224">
      <w:pPr>
        <w:rPr>
          <w:szCs w:val="24"/>
          <w:lang w:val="nb-NO"/>
        </w:rPr>
      </w:pPr>
      <w:r>
        <w:rPr>
          <w:szCs w:val="24"/>
          <w:lang w:val="nb-NO"/>
        </w:rPr>
        <w:t>Klimaavtalen mellom Norge og EU (2019)</w:t>
      </w:r>
    </w:p>
    <w:p w14:paraId="08987811" w14:textId="77777777" w:rsidR="002C3224" w:rsidRDefault="002C3224" w:rsidP="002C3224">
      <w:pPr>
        <w:rPr>
          <w:szCs w:val="24"/>
          <w:lang w:val="nb-NO"/>
        </w:rPr>
      </w:pPr>
      <w:r>
        <w:rPr>
          <w:szCs w:val="24"/>
          <w:lang w:val="nb-NO"/>
        </w:rPr>
        <w:t>Kommisjonens nye handlingsplan for sirkulær økonomi (2020)</w:t>
      </w:r>
    </w:p>
    <w:p w14:paraId="5C42E1FD" w14:textId="77777777" w:rsidR="002C3224" w:rsidRDefault="002C3224" w:rsidP="002C3224">
      <w:pPr>
        <w:rPr>
          <w:szCs w:val="24"/>
          <w:lang w:val="nb-NO"/>
        </w:rPr>
      </w:pPr>
      <w:r>
        <w:rPr>
          <w:szCs w:val="24"/>
          <w:lang w:val="nb-NO"/>
        </w:rPr>
        <w:t>Kommisjonens handlingsplan for kritiske råvarer (2020), som innebærer en forpliktelse (Tiltak 9) om å utvikle strategiske partnerskap med ressursrike land som Norge.</w:t>
      </w:r>
    </w:p>
    <w:p w14:paraId="0CE4A17F" w14:textId="77777777" w:rsidR="002C3224" w:rsidRDefault="002C3224" w:rsidP="002C3224">
      <w:pPr>
        <w:rPr>
          <w:szCs w:val="24"/>
          <w:lang w:val="nb-NO"/>
        </w:rPr>
      </w:pPr>
      <w:r>
        <w:rPr>
          <w:szCs w:val="24"/>
          <w:lang w:val="nb-NO"/>
        </w:rPr>
        <w:t>Lanseringen av den europeiske råvarealliansen (2020)</w:t>
      </w:r>
    </w:p>
    <w:p w14:paraId="3A143EE8" w14:textId="77777777" w:rsidR="002C3224" w:rsidRDefault="002C3224" w:rsidP="002C3224">
      <w:pPr>
        <w:rPr>
          <w:szCs w:val="24"/>
          <w:lang w:val="nb-NO"/>
        </w:rPr>
      </w:pPr>
      <w:r>
        <w:rPr>
          <w:szCs w:val="24"/>
          <w:lang w:val="nb-NO"/>
        </w:rPr>
        <w:t>Lanseringen av to viktige prosjekter av felles europeisk interesse (IPCEI) i batteriverdikjeden (2019 og 2021)</w:t>
      </w:r>
    </w:p>
    <w:p w14:paraId="35BE25D8" w14:textId="77777777" w:rsidR="002C3224" w:rsidRDefault="002C3224" w:rsidP="002C3224">
      <w:pPr>
        <w:rPr>
          <w:szCs w:val="24"/>
          <w:lang w:val="nb-NO"/>
        </w:rPr>
      </w:pPr>
      <w:r>
        <w:rPr>
          <w:szCs w:val="24"/>
          <w:lang w:val="nb-NO"/>
        </w:rPr>
        <w:t>«</w:t>
      </w:r>
      <w:proofErr w:type="spellStart"/>
      <w:r>
        <w:rPr>
          <w:szCs w:val="24"/>
          <w:lang w:val="nb-NO"/>
        </w:rPr>
        <w:t>Fit</w:t>
      </w:r>
      <w:proofErr w:type="spellEnd"/>
      <w:r>
        <w:rPr>
          <w:szCs w:val="24"/>
          <w:lang w:val="nb-NO"/>
        </w:rPr>
        <w:t xml:space="preserve"> for 55»-pakken (2021), som tar sikte på å </w:t>
      </w:r>
      <w:proofErr w:type="gramStart"/>
      <w:r>
        <w:rPr>
          <w:szCs w:val="24"/>
          <w:lang w:val="nb-NO"/>
        </w:rPr>
        <w:t>implementere</w:t>
      </w:r>
      <w:proofErr w:type="gramEnd"/>
      <w:r>
        <w:rPr>
          <w:szCs w:val="24"/>
          <w:lang w:val="nb-NO"/>
        </w:rPr>
        <w:t xml:space="preserve"> EUs skjerpede nasjonalt fastsatte bidrag til å redusere klimagassutslippene med minst 55 % innen 2030 i forhold til 1990-nivå og netto nullutslipp innen 2050.</w:t>
      </w:r>
    </w:p>
    <w:p w14:paraId="5ABEA7F5" w14:textId="77777777" w:rsidR="002C3224" w:rsidRDefault="002C3224" w:rsidP="002C3224">
      <w:pPr>
        <w:rPr>
          <w:szCs w:val="24"/>
          <w:lang w:val="nb-NO"/>
        </w:rPr>
      </w:pPr>
      <w:r>
        <w:rPr>
          <w:szCs w:val="24"/>
          <w:lang w:val="nb-NO"/>
        </w:rPr>
        <w:t>Kommisjonens oppdaterte industristrategi (2021) inneholder en liste over strategiske avhengigheter, blant annet innenfor råvarer og batterier.</w:t>
      </w:r>
    </w:p>
    <w:p w14:paraId="5F3E4FB3" w14:textId="77777777" w:rsidR="002C3224" w:rsidRDefault="002C3224" w:rsidP="002C3224">
      <w:pPr>
        <w:rPr>
          <w:szCs w:val="24"/>
          <w:lang w:val="nb-NO"/>
        </w:rPr>
      </w:pPr>
      <w:r>
        <w:rPr>
          <w:szCs w:val="24"/>
          <w:lang w:val="nb-NO"/>
        </w:rPr>
        <w:t xml:space="preserve">Kommisjonsmeldingen om </w:t>
      </w:r>
      <w:proofErr w:type="spellStart"/>
      <w:r>
        <w:rPr>
          <w:szCs w:val="24"/>
          <w:lang w:val="nb-NO"/>
        </w:rPr>
        <w:t>REPower</w:t>
      </w:r>
      <w:proofErr w:type="spellEnd"/>
      <w:r>
        <w:rPr>
          <w:szCs w:val="24"/>
          <w:lang w:val="nb-NO"/>
        </w:rPr>
        <w:t>-programmet (2022) for å diversifisere energiforsyningskjedene og øke produksjonen av ren energi.</w:t>
      </w:r>
    </w:p>
    <w:p w14:paraId="74845CDE" w14:textId="77777777" w:rsidR="002C3224" w:rsidRDefault="002C3224" w:rsidP="002C3224">
      <w:pPr>
        <w:rPr>
          <w:szCs w:val="24"/>
          <w:lang w:val="nb-NO"/>
        </w:rPr>
      </w:pPr>
      <w:r>
        <w:rPr>
          <w:szCs w:val="24"/>
          <w:lang w:val="nb-NO"/>
        </w:rPr>
        <w:t>Grønt industriløft (2022)</w:t>
      </w:r>
    </w:p>
    <w:p w14:paraId="14EB9E7F" w14:textId="77777777" w:rsidR="002C3224" w:rsidRDefault="002C3224" w:rsidP="002C3224">
      <w:pPr>
        <w:rPr>
          <w:szCs w:val="24"/>
          <w:lang w:val="nb-NO"/>
        </w:rPr>
      </w:pPr>
      <w:r>
        <w:rPr>
          <w:szCs w:val="24"/>
          <w:lang w:val="nb-NO"/>
        </w:rPr>
        <w:t>Norges batteristrategi (2022)</w:t>
      </w:r>
    </w:p>
    <w:p w14:paraId="2E2C2CB4" w14:textId="77777777" w:rsidR="002C3224" w:rsidRDefault="002C3224" w:rsidP="002C3224">
      <w:pPr>
        <w:rPr>
          <w:szCs w:val="24"/>
          <w:lang w:val="nb-NO"/>
        </w:rPr>
      </w:pPr>
      <w:r>
        <w:rPr>
          <w:szCs w:val="24"/>
          <w:lang w:val="nb-NO"/>
        </w:rPr>
        <w:t>Norges mineralstrategi (2023)</w:t>
      </w:r>
    </w:p>
    <w:p w14:paraId="6FBBC290" w14:textId="77777777" w:rsidR="002C3224" w:rsidRDefault="002C3224" w:rsidP="002C3224">
      <w:pPr>
        <w:rPr>
          <w:szCs w:val="24"/>
          <w:lang w:val="nb-NO"/>
        </w:rPr>
      </w:pPr>
      <w:r>
        <w:rPr>
          <w:szCs w:val="24"/>
          <w:lang w:val="nb-NO"/>
        </w:rPr>
        <w:t>Veikart 2.0 for Grønt industriløft (2023)</w:t>
      </w:r>
    </w:p>
    <w:p w14:paraId="112411F7" w14:textId="77777777" w:rsidR="002C3224" w:rsidRDefault="002C3224" w:rsidP="002C3224">
      <w:pPr>
        <w:rPr>
          <w:szCs w:val="24"/>
          <w:lang w:val="nb-NO"/>
        </w:rPr>
      </w:pPr>
      <w:r>
        <w:rPr>
          <w:szCs w:val="24"/>
          <w:lang w:val="nb-NO"/>
        </w:rPr>
        <w:t>EUs nye batteriforordning (2023)</w:t>
      </w:r>
    </w:p>
    <w:p w14:paraId="2FD1E9C1" w14:textId="77777777" w:rsidR="002C3224" w:rsidRDefault="002C3224" w:rsidP="002C3224">
      <w:pPr>
        <w:rPr>
          <w:szCs w:val="24"/>
        </w:rPr>
      </w:pPr>
      <w:r>
        <w:rPr>
          <w:szCs w:val="24"/>
        </w:rPr>
        <w:t>EU Critical Raw Materials Act</w:t>
      </w:r>
    </w:p>
    <w:p w14:paraId="23014D5C" w14:textId="77777777" w:rsidR="002C3224" w:rsidRDefault="002C3224" w:rsidP="002C3224">
      <w:pPr>
        <w:rPr>
          <w:szCs w:val="24"/>
        </w:rPr>
      </w:pPr>
      <w:r>
        <w:rPr>
          <w:szCs w:val="24"/>
        </w:rPr>
        <w:t>Net Zero Industry Act</w:t>
      </w:r>
    </w:p>
    <w:p w14:paraId="04017766" w14:textId="77777777" w:rsidR="002C3224" w:rsidRDefault="002C3224" w:rsidP="002C3224">
      <w:pPr>
        <w:rPr>
          <w:szCs w:val="24"/>
        </w:rPr>
      </w:pPr>
    </w:p>
    <w:p w14:paraId="474E47A4" w14:textId="77777777" w:rsidR="002C3224" w:rsidRDefault="002C3224" w:rsidP="002C3224">
      <w:pPr>
        <w:autoSpaceDE w:val="0"/>
        <w:autoSpaceDN w:val="0"/>
        <w:adjustRightInd w:val="0"/>
        <w:rPr>
          <w:color w:val="000000"/>
          <w:szCs w:val="24"/>
          <w:lang w:val="nb-NO"/>
        </w:rPr>
      </w:pPr>
      <w:r>
        <w:rPr>
          <w:color w:val="000000"/>
          <w:szCs w:val="24"/>
          <w:lang w:val="nb-NO"/>
        </w:rPr>
        <w:t>2. Partnerskapets omfang</w:t>
      </w:r>
    </w:p>
    <w:p w14:paraId="211F3246" w14:textId="77777777" w:rsidR="002C3224" w:rsidRDefault="002C3224" w:rsidP="002C3224">
      <w:pPr>
        <w:autoSpaceDE w:val="0"/>
        <w:autoSpaceDN w:val="0"/>
        <w:adjustRightInd w:val="0"/>
        <w:rPr>
          <w:color w:val="000000"/>
          <w:szCs w:val="24"/>
          <w:lang w:val="nb-NO"/>
        </w:rPr>
      </w:pPr>
      <w:r>
        <w:rPr>
          <w:color w:val="000000"/>
          <w:szCs w:val="24"/>
          <w:lang w:val="nb-NO"/>
        </w:rPr>
        <w:lastRenderedPageBreak/>
        <w:t>Partene ser for seg at partnerskapet vil omfatte aktiviteter langs hele verdikjeden for primære og sekundære råvarer og batterier, herunder leverandører av komponenter, produksjonsteknologi og tilknyttede tjenester.</w:t>
      </w:r>
    </w:p>
    <w:p w14:paraId="44D87D26" w14:textId="77777777" w:rsidR="002C3224" w:rsidRDefault="002C3224" w:rsidP="002C3224">
      <w:pPr>
        <w:autoSpaceDE w:val="0"/>
        <w:autoSpaceDN w:val="0"/>
        <w:adjustRightInd w:val="0"/>
        <w:rPr>
          <w:color w:val="000000"/>
          <w:szCs w:val="24"/>
          <w:lang w:val="nb-NO"/>
        </w:rPr>
      </w:pPr>
    </w:p>
    <w:p w14:paraId="4045ECDA" w14:textId="77777777" w:rsidR="002C3224" w:rsidRDefault="002C3224" w:rsidP="002C3224">
      <w:pPr>
        <w:autoSpaceDE w:val="0"/>
        <w:autoSpaceDN w:val="0"/>
        <w:adjustRightInd w:val="0"/>
        <w:rPr>
          <w:color w:val="000000"/>
          <w:szCs w:val="24"/>
          <w:lang w:val="nb-NO"/>
        </w:rPr>
      </w:pPr>
      <w:r>
        <w:rPr>
          <w:color w:val="000000"/>
          <w:szCs w:val="24"/>
          <w:lang w:val="nb-NO"/>
        </w:rPr>
        <w:t xml:space="preserve">Partene har til hensikt å fremme aktiv deltakelse og engasjement blant sine respektive interessenter, </w:t>
      </w:r>
      <w:r w:rsidRPr="00530519">
        <w:rPr>
          <w:color w:val="000000"/>
          <w:szCs w:val="24"/>
          <w:lang w:val="nb-NO"/>
        </w:rPr>
        <w:t>herunder</w:t>
      </w:r>
      <w:r>
        <w:rPr>
          <w:color w:val="000000"/>
          <w:szCs w:val="24"/>
          <w:lang w:val="nb-NO"/>
        </w:rPr>
        <w:t xml:space="preserve"> </w:t>
      </w:r>
      <w:r w:rsidRPr="00755E7C">
        <w:rPr>
          <w:color w:val="000000"/>
          <w:szCs w:val="24"/>
          <w:lang w:val="nb-NO"/>
        </w:rPr>
        <w:t>deltakere i</w:t>
      </w:r>
      <w:r>
        <w:rPr>
          <w:color w:val="000000"/>
          <w:szCs w:val="24"/>
          <w:lang w:val="nb-NO"/>
        </w:rPr>
        <w:t xml:space="preserve"> </w:t>
      </w:r>
      <w:r w:rsidRPr="00530519">
        <w:rPr>
          <w:color w:val="000000"/>
          <w:szCs w:val="24"/>
          <w:lang w:val="nb-NO"/>
        </w:rPr>
        <w:t>de europeiske industrialliansene som plattformer for samarbeid og utvikling av investeringsprosjekter.</w:t>
      </w:r>
    </w:p>
    <w:p w14:paraId="559C3D10" w14:textId="77777777" w:rsidR="002C3224" w:rsidRDefault="002C3224" w:rsidP="002C3224">
      <w:pPr>
        <w:autoSpaceDE w:val="0"/>
        <w:autoSpaceDN w:val="0"/>
        <w:adjustRightInd w:val="0"/>
        <w:rPr>
          <w:color w:val="000000"/>
          <w:szCs w:val="24"/>
          <w:lang w:val="nb-NO"/>
        </w:rPr>
      </w:pPr>
    </w:p>
    <w:p w14:paraId="65DF6ECB" w14:textId="77777777" w:rsidR="002C3224" w:rsidRDefault="002C3224" w:rsidP="002C3224">
      <w:pPr>
        <w:rPr>
          <w:color w:val="000000"/>
          <w:szCs w:val="24"/>
          <w:lang w:val="nb-NO"/>
        </w:rPr>
      </w:pPr>
      <w:bookmarkStart w:id="1" w:name="_Hlk155801355"/>
      <w:r>
        <w:rPr>
          <w:color w:val="000000"/>
          <w:szCs w:val="24"/>
          <w:lang w:val="nb-NO"/>
        </w:rPr>
        <w:t xml:space="preserve">Partene erkjenner at partnerskapet bør prioritere å inkludere de kritiske råvarene definert i Critical Raw Materials </w:t>
      </w:r>
      <w:proofErr w:type="spellStart"/>
      <w:r>
        <w:rPr>
          <w:color w:val="000000"/>
          <w:szCs w:val="24"/>
          <w:lang w:val="nb-NO"/>
        </w:rPr>
        <w:t>Act</w:t>
      </w:r>
      <w:proofErr w:type="spellEnd"/>
      <w:r>
        <w:rPr>
          <w:rStyle w:val="FootnoteReference"/>
          <w:color w:val="000000"/>
          <w:szCs w:val="24"/>
        </w:rPr>
        <w:footnoteReference w:id="8"/>
      </w:r>
      <w:r>
        <w:rPr>
          <w:color w:val="000000"/>
          <w:szCs w:val="24"/>
          <w:lang w:val="nb-NO"/>
        </w:rPr>
        <w:t xml:space="preserve">. Listen over råvarer bør oppdateres automatisk for å gjenspeile eventuelle revisjoner, og kan også endres etter gjensidig samtykke fra partene </w:t>
      </w:r>
      <w:r w:rsidRPr="000C789F">
        <w:rPr>
          <w:color w:val="000000"/>
          <w:szCs w:val="24"/>
          <w:lang w:val="nb-NO"/>
        </w:rPr>
        <w:t>i forbindelse med</w:t>
      </w:r>
      <w:r>
        <w:rPr>
          <w:color w:val="000000"/>
          <w:szCs w:val="24"/>
          <w:lang w:val="nb-NO"/>
        </w:rPr>
        <w:t xml:space="preserve"> partnerskapets årsmøter.</w:t>
      </w:r>
    </w:p>
    <w:bookmarkEnd w:id="1"/>
    <w:p w14:paraId="47AA55BC" w14:textId="77777777" w:rsidR="002C3224" w:rsidRDefault="002C3224" w:rsidP="002C3224">
      <w:pPr>
        <w:rPr>
          <w:color w:val="000000"/>
          <w:szCs w:val="24"/>
          <w:lang w:val="nb-NO"/>
        </w:rPr>
      </w:pPr>
    </w:p>
    <w:p w14:paraId="6CA7EE07" w14:textId="77777777" w:rsidR="002C3224" w:rsidRDefault="002C3224" w:rsidP="002C3224">
      <w:pPr>
        <w:autoSpaceDE w:val="0"/>
        <w:autoSpaceDN w:val="0"/>
        <w:adjustRightInd w:val="0"/>
        <w:rPr>
          <w:szCs w:val="24"/>
          <w:lang w:val="nb-NO"/>
        </w:rPr>
      </w:pPr>
      <w:r>
        <w:rPr>
          <w:szCs w:val="24"/>
          <w:lang w:val="nb-NO"/>
        </w:rPr>
        <w:t>3. Prinsipper</w:t>
      </w:r>
    </w:p>
    <w:p w14:paraId="01636F7E" w14:textId="77777777" w:rsidR="002C3224" w:rsidRDefault="002C3224" w:rsidP="002C3224">
      <w:pPr>
        <w:autoSpaceDE w:val="0"/>
        <w:autoSpaceDN w:val="0"/>
        <w:adjustRightInd w:val="0"/>
        <w:rPr>
          <w:szCs w:val="24"/>
          <w:lang w:val="nb-NO"/>
        </w:rPr>
      </w:pPr>
      <w:r>
        <w:rPr>
          <w:szCs w:val="24"/>
          <w:lang w:val="nb-NO"/>
        </w:rPr>
        <w:t xml:space="preserve">Partnerskapet skal gjennomføres i full overensstemmelse med EØS-avtalen. </w:t>
      </w:r>
    </w:p>
    <w:p w14:paraId="5EB8EC72" w14:textId="77777777" w:rsidR="002C3224" w:rsidRDefault="002C3224" w:rsidP="002C3224">
      <w:pPr>
        <w:autoSpaceDE w:val="0"/>
        <w:autoSpaceDN w:val="0"/>
        <w:adjustRightInd w:val="0"/>
        <w:rPr>
          <w:szCs w:val="24"/>
          <w:lang w:val="nb-NO"/>
        </w:rPr>
      </w:pPr>
      <w:r>
        <w:rPr>
          <w:szCs w:val="24"/>
          <w:lang w:val="nb-NO"/>
        </w:rPr>
        <w:t>Dette samarbeidet berører ikke eventuelle rettigheter til påvirkning av politikk eller rammeverk for samarbeid som er fastsatt eller opprettet under EØS-avtalen.</w:t>
      </w:r>
    </w:p>
    <w:p w14:paraId="7753A9AD" w14:textId="77777777" w:rsidR="002C3224" w:rsidRDefault="002C3224" w:rsidP="002C3224">
      <w:pPr>
        <w:autoSpaceDE w:val="0"/>
        <w:autoSpaceDN w:val="0"/>
        <w:adjustRightInd w:val="0"/>
        <w:rPr>
          <w:szCs w:val="24"/>
          <w:lang w:val="nb-NO"/>
        </w:rPr>
      </w:pPr>
      <w:r>
        <w:rPr>
          <w:szCs w:val="24"/>
          <w:lang w:val="nb-NO"/>
        </w:rPr>
        <w:t>Partnerskapet bør være åpent, transparent og inkluderende, og sikre et sterkt offentlig-privat partnerskap på flere nivåer som omfatter representanter for EU-institusjoner og -organer, industriaktører, næringslivsorganisasjoner, partene i arbeidslivet og representanter for sivilsamfunnet hos begge parter, relevante departementer i interesserte medlemsstater i EU og Norge (økonomi, handel og finans, gruvedrift og geologi, miljø, utenrikssaker), og offentlige organisasjoner, interesserte finansinstitusjoner og investorer.</w:t>
      </w:r>
    </w:p>
    <w:p w14:paraId="5FA15C77" w14:textId="77777777" w:rsidR="002C3224" w:rsidRDefault="002C3224" w:rsidP="002C3224">
      <w:pPr>
        <w:autoSpaceDE w:val="0"/>
        <w:autoSpaceDN w:val="0"/>
        <w:adjustRightInd w:val="0"/>
        <w:rPr>
          <w:szCs w:val="24"/>
          <w:lang w:val="nb-NO"/>
        </w:rPr>
      </w:pPr>
    </w:p>
    <w:p w14:paraId="4C651C91" w14:textId="77777777" w:rsidR="002C3224" w:rsidRDefault="002C3224" w:rsidP="002C3224">
      <w:pPr>
        <w:jc w:val="center"/>
        <w:rPr>
          <w:b/>
          <w:bCs/>
          <w:szCs w:val="24"/>
          <w:lang w:val="nb-NO"/>
        </w:rPr>
      </w:pPr>
      <w:r>
        <w:rPr>
          <w:szCs w:val="24"/>
          <w:lang w:val="nb-NO"/>
        </w:rPr>
        <w:br/>
      </w:r>
      <w:r>
        <w:rPr>
          <w:b/>
          <w:szCs w:val="24"/>
          <w:lang w:val="nb-NO"/>
        </w:rPr>
        <w:t>II. Viktige arbeidsstrømmer i partnerskapet</w:t>
      </w:r>
    </w:p>
    <w:p w14:paraId="5E05D09F" w14:textId="77777777" w:rsidR="002C3224" w:rsidRDefault="002C3224" w:rsidP="002C3224">
      <w:pPr>
        <w:rPr>
          <w:szCs w:val="24"/>
          <w:lang w:val="nb-NO"/>
        </w:rPr>
      </w:pPr>
    </w:p>
    <w:p w14:paraId="20215DD2" w14:textId="77777777" w:rsidR="002C3224" w:rsidRDefault="002C3224" w:rsidP="002C3224">
      <w:pPr>
        <w:rPr>
          <w:szCs w:val="24"/>
          <w:lang w:val="nb-NO"/>
        </w:rPr>
      </w:pPr>
      <w:r>
        <w:rPr>
          <w:szCs w:val="24"/>
          <w:lang w:val="nb-NO"/>
        </w:rPr>
        <w:t>I lys av det ovennevnte har partene til hensikt å samarbeide tett om arbeidsstrømmene definert i denne delen av intensjonsavtalen.</w:t>
      </w:r>
    </w:p>
    <w:p w14:paraId="3B191702" w14:textId="77777777" w:rsidR="002C3224" w:rsidRDefault="002C3224" w:rsidP="002C3224">
      <w:pPr>
        <w:rPr>
          <w:szCs w:val="24"/>
          <w:lang w:val="nb-NO"/>
        </w:rPr>
      </w:pPr>
    </w:p>
    <w:p w14:paraId="4C9479C6" w14:textId="77777777" w:rsidR="002C3224" w:rsidRDefault="002C3224" w:rsidP="002C3224">
      <w:pPr>
        <w:rPr>
          <w:b/>
          <w:bCs/>
          <w:szCs w:val="24"/>
          <w:lang w:val="nb-NO"/>
        </w:rPr>
      </w:pPr>
      <w:r>
        <w:rPr>
          <w:b/>
          <w:szCs w:val="24"/>
          <w:lang w:val="nb-NO"/>
        </w:rPr>
        <w:t>Integrasjon av verdikjeder</w:t>
      </w:r>
    </w:p>
    <w:p w14:paraId="771076CB" w14:textId="77777777" w:rsidR="002C3224" w:rsidRDefault="002C3224" w:rsidP="002C3224">
      <w:pPr>
        <w:rPr>
          <w:szCs w:val="24"/>
          <w:lang w:val="nb-NO"/>
        </w:rPr>
      </w:pPr>
    </w:p>
    <w:p w14:paraId="4DAA5018" w14:textId="77777777" w:rsidR="002C3224" w:rsidRDefault="002C3224" w:rsidP="002C3224">
      <w:pPr>
        <w:rPr>
          <w:szCs w:val="24"/>
          <w:lang w:val="nb-NO"/>
        </w:rPr>
      </w:pPr>
      <w:r>
        <w:rPr>
          <w:szCs w:val="24"/>
          <w:lang w:val="nb-NO"/>
        </w:rPr>
        <w:t xml:space="preserve">Utvikle en </w:t>
      </w:r>
      <w:r w:rsidRPr="00613670">
        <w:rPr>
          <w:szCs w:val="24"/>
          <w:lang w:val="nb-NO"/>
        </w:rPr>
        <w:t>oversikt av prosjekter</w:t>
      </w:r>
      <w:r>
        <w:rPr>
          <w:szCs w:val="24"/>
          <w:lang w:val="nb-NO"/>
        </w:rPr>
        <w:t xml:space="preserve"> langs hele råvareverdikjeden, herunder gruvedrift, prosessering og gjenvinning.</w:t>
      </w:r>
    </w:p>
    <w:p w14:paraId="19CF766C" w14:textId="77777777" w:rsidR="002C3224" w:rsidRDefault="002C3224" w:rsidP="002C3224">
      <w:pPr>
        <w:rPr>
          <w:szCs w:val="24"/>
          <w:lang w:val="nb-NO"/>
        </w:rPr>
      </w:pPr>
      <w:r>
        <w:rPr>
          <w:szCs w:val="24"/>
          <w:lang w:val="nb-NO"/>
        </w:rPr>
        <w:t>Legge til rette for gjensidig samarbeid mellom EU og norske industriaktører og interessenter, og fremme utvikling av prosjekter innenfor rammen av partnerskapet gjennom fellesforetak, konsortier, spesialforetak og andre former for samarbeid mellom industriaktører.</w:t>
      </w:r>
    </w:p>
    <w:p w14:paraId="46FECE92" w14:textId="77777777" w:rsidR="002C3224" w:rsidRDefault="002C3224" w:rsidP="002C3224">
      <w:pPr>
        <w:rPr>
          <w:szCs w:val="24"/>
          <w:lang w:val="nb-NO"/>
        </w:rPr>
      </w:pPr>
      <w:r>
        <w:rPr>
          <w:szCs w:val="24"/>
          <w:lang w:val="nb-NO"/>
        </w:rPr>
        <w:lastRenderedPageBreak/>
        <w:t>Utveksle kunnskap om ressurser, reserver og industrielle satsninger understøttet av bruken av transparente digitale løsninger, med henblikk på å identifisere prosjekter innenfor rammen av partnerskapet.</w:t>
      </w:r>
    </w:p>
    <w:p w14:paraId="38479FDD" w14:textId="77777777" w:rsidR="002C3224" w:rsidRDefault="002C3224" w:rsidP="002C3224">
      <w:pPr>
        <w:rPr>
          <w:szCs w:val="24"/>
          <w:lang w:val="nb-NO"/>
        </w:rPr>
      </w:pPr>
      <w:r>
        <w:rPr>
          <w:szCs w:val="24"/>
          <w:lang w:val="nb-NO"/>
        </w:rPr>
        <w:t>Fremme beste praksis for klassifisering og kartlegging av ressurser, herunder potensialet for gjenvinning av mineraler fra avfallskilder og utrulling av digitale løsninger som gjør det mulig å verifisere innkjøp, bearbeiding og ressursutnyttelse av råvarer.</w:t>
      </w:r>
    </w:p>
    <w:p w14:paraId="2ECCBF8C" w14:textId="77777777" w:rsidR="002C3224" w:rsidRDefault="002C3224" w:rsidP="002C3224">
      <w:pPr>
        <w:rPr>
          <w:szCs w:val="24"/>
          <w:lang w:val="nb-NO"/>
        </w:rPr>
      </w:pPr>
      <w:r>
        <w:rPr>
          <w:szCs w:val="24"/>
          <w:lang w:val="nb-NO"/>
        </w:rPr>
        <w:t xml:space="preserve">Sikre velfungerende, motstandsdyktige forsyningskjeder, blant annet ved å øke åpenheten og formidlingen av informasjon om tiltak, herunder tiltak som iverksettes for og av tredjeland, knyttet til investeringer, drift og eksport og import, og på et tidlig tidspunkt drøfte eventuelle bekymringer </w:t>
      </w:r>
      <w:proofErr w:type="gramStart"/>
      <w:r>
        <w:rPr>
          <w:szCs w:val="24"/>
          <w:lang w:val="nb-NO"/>
        </w:rPr>
        <w:t>vedrørende</w:t>
      </w:r>
      <w:proofErr w:type="gramEnd"/>
      <w:r>
        <w:rPr>
          <w:szCs w:val="24"/>
          <w:lang w:val="nb-NO"/>
        </w:rPr>
        <w:t xml:space="preserve"> brudd i forsyningskjedene og mulige avbøtende tiltak som kan iverksettes av partene.</w:t>
      </w:r>
    </w:p>
    <w:p w14:paraId="7FDD24AA" w14:textId="77777777" w:rsidR="002C3224" w:rsidRDefault="002C3224" w:rsidP="002C3224">
      <w:pPr>
        <w:ind w:left="360"/>
        <w:rPr>
          <w:szCs w:val="24"/>
          <w:lang w:val="nb-NO"/>
        </w:rPr>
      </w:pPr>
    </w:p>
    <w:p w14:paraId="61D4808C" w14:textId="77777777" w:rsidR="002C3224" w:rsidRDefault="002C3224" w:rsidP="002C3224">
      <w:pPr>
        <w:rPr>
          <w:b/>
          <w:bCs/>
          <w:szCs w:val="24"/>
          <w:lang w:val="nb-NO"/>
        </w:rPr>
      </w:pPr>
      <w:r>
        <w:rPr>
          <w:b/>
          <w:szCs w:val="24"/>
          <w:lang w:val="nb-NO"/>
        </w:rPr>
        <w:t>Forskning og innovasjon</w:t>
      </w:r>
    </w:p>
    <w:p w14:paraId="30545F31" w14:textId="77777777" w:rsidR="002C3224" w:rsidRDefault="002C3224" w:rsidP="002C3224">
      <w:pPr>
        <w:rPr>
          <w:szCs w:val="24"/>
          <w:lang w:val="nb-NO"/>
        </w:rPr>
      </w:pPr>
    </w:p>
    <w:p w14:paraId="2FD49698" w14:textId="77777777" w:rsidR="002C3224" w:rsidRDefault="002C3224" w:rsidP="002C3224">
      <w:pPr>
        <w:rPr>
          <w:szCs w:val="24"/>
          <w:lang w:val="nb-NO"/>
        </w:rPr>
      </w:pPr>
      <w:r>
        <w:rPr>
          <w:szCs w:val="24"/>
          <w:lang w:val="nb-NO"/>
        </w:rPr>
        <w:t xml:space="preserve">Med sikte på å videreutvikle det allerede eksisterende </w:t>
      </w:r>
      <w:proofErr w:type="spellStart"/>
      <w:r>
        <w:rPr>
          <w:szCs w:val="24"/>
          <w:lang w:val="nb-NO"/>
        </w:rPr>
        <w:t>FoI</w:t>
      </w:r>
      <w:proofErr w:type="spellEnd"/>
      <w:r>
        <w:rPr>
          <w:szCs w:val="24"/>
          <w:lang w:val="nb-NO"/>
        </w:rPr>
        <w:t xml:space="preserve">-samarbeidet innen råvarer og batterier vil partene </w:t>
      </w:r>
      <w:proofErr w:type="gramStart"/>
      <w:r>
        <w:rPr>
          <w:szCs w:val="24"/>
          <w:lang w:val="nb-NO"/>
        </w:rPr>
        <w:t>fokusere</w:t>
      </w:r>
      <w:proofErr w:type="gramEnd"/>
      <w:r>
        <w:rPr>
          <w:szCs w:val="24"/>
          <w:lang w:val="nb-NO"/>
        </w:rPr>
        <w:t xml:space="preserve"> på:</w:t>
      </w:r>
    </w:p>
    <w:p w14:paraId="09A21D1D" w14:textId="77777777" w:rsidR="002C3224" w:rsidRDefault="002C3224" w:rsidP="002C3224">
      <w:pPr>
        <w:rPr>
          <w:szCs w:val="24"/>
          <w:lang w:val="nb-NO"/>
        </w:rPr>
      </w:pPr>
      <w:r>
        <w:rPr>
          <w:szCs w:val="24"/>
          <w:lang w:val="nb-NO"/>
        </w:rPr>
        <w:t>Kartlegging av eksisterende samarbeidsområder under EUs rammeprogram for forskning og innovasjon (Horisont Europa) og andre støtteordninger.</w:t>
      </w:r>
    </w:p>
    <w:p w14:paraId="2B43977C" w14:textId="77777777" w:rsidR="002C3224" w:rsidRDefault="002C3224" w:rsidP="002C3224">
      <w:pPr>
        <w:rPr>
          <w:szCs w:val="24"/>
          <w:lang w:val="nb-NO"/>
        </w:rPr>
      </w:pPr>
      <w:r>
        <w:rPr>
          <w:szCs w:val="24"/>
          <w:lang w:val="nb-NO"/>
        </w:rPr>
        <w:t xml:space="preserve">Tilrettelegging for industriell bruk av de mest lovende grønne og digitale innovasjonene utviklet av europeisk-norske konsortier under Horisont Europa og andre ordninger for utvikling av </w:t>
      </w:r>
      <w:proofErr w:type="spellStart"/>
      <w:r>
        <w:rPr>
          <w:szCs w:val="24"/>
          <w:lang w:val="nb-NO"/>
        </w:rPr>
        <w:t>FoI</w:t>
      </w:r>
      <w:proofErr w:type="spellEnd"/>
      <w:r>
        <w:rPr>
          <w:szCs w:val="24"/>
          <w:lang w:val="nb-NO"/>
        </w:rPr>
        <w:t>.</w:t>
      </w:r>
    </w:p>
    <w:p w14:paraId="5B17417E" w14:textId="77777777" w:rsidR="002C3224" w:rsidRDefault="002C3224" w:rsidP="002C3224">
      <w:pPr>
        <w:ind w:left="360"/>
        <w:rPr>
          <w:szCs w:val="24"/>
          <w:lang w:val="nb-NO"/>
        </w:rPr>
      </w:pPr>
    </w:p>
    <w:p w14:paraId="263869A0" w14:textId="77777777" w:rsidR="002C3224" w:rsidRDefault="002C3224" w:rsidP="002C3224">
      <w:pPr>
        <w:rPr>
          <w:b/>
          <w:bCs/>
          <w:szCs w:val="24"/>
          <w:lang w:val="nb-NO"/>
        </w:rPr>
      </w:pPr>
      <w:proofErr w:type="gramStart"/>
      <w:r w:rsidRPr="008A0FB3">
        <w:rPr>
          <w:b/>
          <w:szCs w:val="24"/>
          <w:lang w:val="nb-NO"/>
        </w:rPr>
        <w:t>Anvendelse</w:t>
      </w:r>
      <w:proofErr w:type="gramEnd"/>
      <w:r w:rsidRPr="008A0FB3">
        <w:rPr>
          <w:b/>
          <w:szCs w:val="24"/>
          <w:lang w:val="nb-NO"/>
        </w:rPr>
        <w:t xml:space="preserve"> av høye miljømessige, </w:t>
      </w:r>
      <w:r>
        <w:rPr>
          <w:b/>
          <w:szCs w:val="24"/>
          <w:lang w:val="nb-NO"/>
        </w:rPr>
        <w:t xml:space="preserve">sosiale og </w:t>
      </w:r>
      <w:r w:rsidRPr="00DF79D5">
        <w:rPr>
          <w:b/>
          <w:szCs w:val="24"/>
          <w:lang w:val="nb-NO"/>
        </w:rPr>
        <w:t>forretningsetiske</w:t>
      </w:r>
      <w:r>
        <w:rPr>
          <w:b/>
          <w:szCs w:val="24"/>
          <w:lang w:val="nb-NO"/>
        </w:rPr>
        <w:t xml:space="preserve"> standarder og praksiser</w:t>
      </w:r>
      <w:r>
        <w:rPr>
          <w:b/>
          <w:szCs w:val="24"/>
          <w:lang w:val="nb-NO"/>
        </w:rPr>
        <w:br/>
      </w:r>
    </w:p>
    <w:p w14:paraId="5D38D359" w14:textId="77777777" w:rsidR="002C3224" w:rsidRDefault="002C3224" w:rsidP="002C3224">
      <w:pPr>
        <w:jc w:val="left"/>
        <w:rPr>
          <w:szCs w:val="24"/>
          <w:lang w:val="nb-NO"/>
        </w:rPr>
      </w:pPr>
      <w:r>
        <w:rPr>
          <w:szCs w:val="24"/>
          <w:lang w:val="nb-NO"/>
        </w:rPr>
        <w:t xml:space="preserve">Partene skal følge høye standarder for råvarer og batterier, og samarbeidet tar sikte på å legge til rette for utveksling og harmonisering av beste praksis på dette området. Partene ser også muligheten for å øke </w:t>
      </w:r>
      <w:proofErr w:type="gramStart"/>
      <w:r>
        <w:rPr>
          <w:szCs w:val="24"/>
          <w:lang w:val="nb-NO"/>
        </w:rPr>
        <w:t>fokuset</w:t>
      </w:r>
      <w:proofErr w:type="gramEnd"/>
      <w:r>
        <w:rPr>
          <w:szCs w:val="24"/>
          <w:lang w:val="nb-NO"/>
        </w:rPr>
        <w:t xml:space="preserve"> på </w:t>
      </w:r>
      <w:proofErr w:type="spellStart"/>
      <w:r>
        <w:rPr>
          <w:szCs w:val="24"/>
          <w:lang w:val="nb-NO"/>
        </w:rPr>
        <w:t>bærekraftsspørsmål</w:t>
      </w:r>
      <w:proofErr w:type="spellEnd"/>
      <w:r>
        <w:rPr>
          <w:szCs w:val="24"/>
          <w:lang w:val="nb-NO"/>
        </w:rPr>
        <w:t xml:space="preserve"> – blant annet gjennom å fremme </w:t>
      </w:r>
      <w:proofErr w:type="spellStart"/>
      <w:r>
        <w:rPr>
          <w:szCs w:val="24"/>
          <w:lang w:val="nb-NO"/>
        </w:rPr>
        <w:t>sirkularitet</w:t>
      </w:r>
      <w:proofErr w:type="spellEnd"/>
      <w:r>
        <w:rPr>
          <w:szCs w:val="24"/>
          <w:lang w:val="nb-NO"/>
        </w:rPr>
        <w:t xml:space="preserve"> i verdikjedene for kritiske råvarer og i batteriverdikjeden, der ambisjonene om bærekraftig gruvedrift og utfordringer knyttet til miljømessig, økonomisk og sosial rettferdighet diskuteres på tvers av verdikjeden.    </w:t>
      </w:r>
      <w:r>
        <w:rPr>
          <w:szCs w:val="24"/>
          <w:lang w:val="nb-NO"/>
        </w:rPr>
        <w:br/>
      </w:r>
    </w:p>
    <w:p w14:paraId="6810EE52" w14:textId="77777777" w:rsidR="002C3224" w:rsidRDefault="002C3224" w:rsidP="002C3224">
      <w:pPr>
        <w:rPr>
          <w:szCs w:val="24"/>
          <w:lang w:val="nb-NO"/>
        </w:rPr>
      </w:pPr>
      <w:r>
        <w:rPr>
          <w:szCs w:val="24"/>
          <w:lang w:val="nb-NO"/>
        </w:rPr>
        <w:t>Partene har særlig til hensikt å jobbe med:</w:t>
      </w:r>
    </w:p>
    <w:p w14:paraId="6C93BCB1" w14:textId="77777777" w:rsidR="002C3224" w:rsidRDefault="002C3224" w:rsidP="002C3224">
      <w:pPr>
        <w:rPr>
          <w:szCs w:val="24"/>
          <w:lang w:val="nb-NO"/>
        </w:rPr>
      </w:pPr>
      <w:proofErr w:type="gramStart"/>
      <w:r>
        <w:rPr>
          <w:szCs w:val="24"/>
          <w:lang w:val="nb-NO"/>
        </w:rPr>
        <w:t>Anvendelse</w:t>
      </w:r>
      <w:proofErr w:type="gramEnd"/>
      <w:r>
        <w:rPr>
          <w:szCs w:val="24"/>
          <w:lang w:val="nb-NO"/>
        </w:rPr>
        <w:t xml:space="preserve"> av retningslinjer og beste praksis for standarder for miljømessige, sosiale og </w:t>
      </w:r>
      <w:r w:rsidRPr="00DF79D5">
        <w:rPr>
          <w:szCs w:val="24"/>
          <w:lang w:val="nb-NO"/>
        </w:rPr>
        <w:t>forretningsetiske forhold (ESG),</w:t>
      </w:r>
      <w:r>
        <w:rPr>
          <w:szCs w:val="24"/>
          <w:lang w:val="nb-NO"/>
        </w:rPr>
        <w:t xml:space="preserve"> herunder EUs prinsipper for bærekraftige råvarer og relevante internasjonale standarder</w:t>
      </w:r>
      <w:r>
        <w:rPr>
          <w:rStyle w:val="FootnoteReference"/>
          <w:szCs w:val="24"/>
        </w:rPr>
        <w:footnoteReference w:id="9"/>
      </w:r>
      <w:r>
        <w:rPr>
          <w:szCs w:val="24"/>
          <w:lang w:val="nb-NO"/>
        </w:rPr>
        <w:t>.</w:t>
      </w:r>
    </w:p>
    <w:p w14:paraId="7ABACAA2" w14:textId="77777777" w:rsidR="002C3224" w:rsidRDefault="002C3224" w:rsidP="002C3224">
      <w:pPr>
        <w:rPr>
          <w:szCs w:val="24"/>
          <w:lang w:val="nb-NO"/>
        </w:rPr>
      </w:pPr>
      <w:r>
        <w:rPr>
          <w:szCs w:val="24"/>
          <w:lang w:val="nb-NO"/>
        </w:rPr>
        <w:t>Samarbeid for å bedre det juridiske, regulatoriske og administrative rammeverket for å fremme utviklingen av verdikjedene for råvarer og batterier i tråd med EUs og Norges politikk.</w:t>
      </w:r>
    </w:p>
    <w:p w14:paraId="6AFC9E43" w14:textId="77777777" w:rsidR="002C3224" w:rsidRDefault="002C3224" w:rsidP="002C3224">
      <w:pPr>
        <w:rPr>
          <w:szCs w:val="24"/>
          <w:lang w:val="nb-NO"/>
        </w:rPr>
      </w:pPr>
      <w:r>
        <w:rPr>
          <w:szCs w:val="24"/>
          <w:lang w:val="nb-NO"/>
        </w:rPr>
        <w:t>Tidlig samråd om nye regulatoriske og ikke-regulatoriske tiltak som foreslås innenfor rammen av partnerskapet.</w:t>
      </w:r>
    </w:p>
    <w:p w14:paraId="78506274" w14:textId="77777777" w:rsidR="002C3224" w:rsidRDefault="002C3224" w:rsidP="002C3224">
      <w:pPr>
        <w:rPr>
          <w:szCs w:val="24"/>
          <w:lang w:val="nb-NO"/>
        </w:rPr>
      </w:pPr>
      <w:r>
        <w:rPr>
          <w:szCs w:val="24"/>
          <w:lang w:val="nb-NO"/>
        </w:rPr>
        <w:lastRenderedPageBreak/>
        <w:t>Regelmessig utveksling av informasjon om innføring av standarder for aktsomhetsvurderinger og relaterte sertifiseringsordninger for bærekraftig produksjon/innkjøp av råvarer i hele verdikjeden, herunder gjenvinning og avfallshåndtering.</w:t>
      </w:r>
    </w:p>
    <w:p w14:paraId="3EDDEE8E" w14:textId="77777777" w:rsidR="002C3224" w:rsidRDefault="002C3224" w:rsidP="002C3224">
      <w:pPr>
        <w:ind w:left="360"/>
        <w:rPr>
          <w:szCs w:val="24"/>
          <w:lang w:val="nb-NO"/>
        </w:rPr>
      </w:pPr>
    </w:p>
    <w:p w14:paraId="6315A582" w14:textId="77777777" w:rsidR="002C3224" w:rsidRDefault="002C3224" w:rsidP="002C3224">
      <w:pPr>
        <w:rPr>
          <w:b/>
          <w:bCs/>
          <w:szCs w:val="24"/>
          <w:lang w:val="nb-NO"/>
        </w:rPr>
      </w:pPr>
      <w:r>
        <w:rPr>
          <w:b/>
          <w:szCs w:val="24"/>
          <w:lang w:val="nb-NO"/>
        </w:rPr>
        <w:t>Finansielle virkemidler og investeringsinstrumenter</w:t>
      </w:r>
    </w:p>
    <w:p w14:paraId="507B69F5" w14:textId="77777777" w:rsidR="002C3224" w:rsidRDefault="002C3224" w:rsidP="002C3224">
      <w:pPr>
        <w:ind w:left="360"/>
        <w:rPr>
          <w:szCs w:val="24"/>
          <w:lang w:val="nb-NO"/>
        </w:rPr>
      </w:pPr>
    </w:p>
    <w:p w14:paraId="299CADE7" w14:textId="77777777" w:rsidR="002C3224" w:rsidRDefault="002C3224" w:rsidP="002C3224">
      <w:pPr>
        <w:rPr>
          <w:szCs w:val="24"/>
          <w:lang w:val="nb-NO"/>
        </w:rPr>
      </w:pPr>
      <w:r>
        <w:rPr>
          <w:szCs w:val="24"/>
          <w:lang w:val="nb-NO"/>
        </w:rPr>
        <w:t xml:space="preserve">Partene anerkjenner </w:t>
      </w:r>
      <w:r w:rsidRPr="000C789F">
        <w:rPr>
          <w:szCs w:val="24"/>
          <w:lang w:val="nb-NO"/>
        </w:rPr>
        <w:t>betydningen</w:t>
      </w:r>
      <w:r>
        <w:rPr>
          <w:szCs w:val="24"/>
          <w:lang w:val="nb-NO"/>
        </w:rPr>
        <w:t xml:space="preserve"> av målene for de ovennevnte arbeidsstrømmene i partnerskapet og har til hensikt å samarbeide om å mobilisere finansielle virkemidler og investeringsinstrumenter fra relevante finansierings- og investeringsorganisasjoner i henhold til EUs regler for bærekraftig finansiering,</w:t>
      </w:r>
      <w:r>
        <w:rPr>
          <w:rStyle w:val="FootnoteReference"/>
          <w:szCs w:val="24"/>
        </w:rPr>
        <w:footnoteReference w:id="10"/>
      </w:r>
      <w:r>
        <w:rPr>
          <w:szCs w:val="24"/>
          <w:lang w:val="nb-NO"/>
        </w:rPr>
        <w:t xml:space="preserve"> særlig for prosjekter innenfor rammen av partnerskapet.</w:t>
      </w:r>
    </w:p>
    <w:p w14:paraId="7AC83ED9" w14:textId="77777777" w:rsidR="002C3224" w:rsidRDefault="002C3224" w:rsidP="002C3224">
      <w:pPr>
        <w:rPr>
          <w:szCs w:val="24"/>
          <w:lang w:val="nb-NO"/>
        </w:rPr>
      </w:pPr>
    </w:p>
    <w:p w14:paraId="6F1FF30E" w14:textId="77777777" w:rsidR="002C3224" w:rsidRDefault="002C3224" w:rsidP="002C3224">
      <w:pPr>
        <w:rPr>
          <w:szCs w:val="24"/>
          <w:lang w:val="nb-NO"/>
        </w:rPr>
      </w:pPr>
      <w:r>
        <w:rPr>
          <w:szCs w:val="24"/>
          <w:lang w:val="nb-NO"/>
        </w:rPr>
        <w:t xml:space="preserve">Partene ser også muligheten for å støtte utviklingen av investeringsplattformer som </w:t>
      </w:r>
      <w:proofErr w:type="spellStart"/>
      <w:r>
        <w:rPr>
          <w:szCs w:val="24"/>
          <w:lang w:val="nb-NO"/>
        </w:rPr>
        <w:t>Invest</w:t>
      </w:r>
      <w:proofErr w:type="spellEnd"/>
      <w:r>
        <w:rPr>
          <w:szCs w:val="24"/>
          <w:lang w:val="nb-NO"/>
        </w:rPr>
        <w:t xml:space="preserve"> EU, herunder innenfor den europeiske råvarealliansen og den europeiske batterialliansen, særlig som et verktøy for:</w:t>
      </w:r>
    </w:p>
    <w:p w14:paraId="37BC5367" w14:textId="14B5700A" w:rsidR="002C3224" w:rsidRDefault="002C3224" w:rsidP="002C3224">
      <w:pPr>
        <w:rPr>
          <w:szCs w:val="24"/>
          <w:lang w:val="nb-NO"/>
        </w:rPr>
      </w:pPr>
      <w:r>
        <w:rPr>
          <w:szCs w:val="24"/>
          <w:lang w:val="nb-NO"/>
        </w:rPr>
        <w:t xml:space="preserve">Partnerkopling mellom private investorer og bærekraftige og innovative prosjekter på tvers av de norske verdikjedene for råvarer og batterier, og </w:t>
      </w:r>
      <w:r w:rsidRPr="00DF79D5">
        <w:rPr>
          <w:szCs w:val="24"/>
          <w:lang w:val="nb-NO"/>
        </w:rPr>
        <w:t>utvikling</w:t>
      </w:r>
      <w:r>
        <w:rPr>
          <w:szCs w:val="24"/>
          <w:lang w:val="nb-NO"/>
        </w:rPr>
        <w:t xml:space="preserve"> </w:t>
      </w:r>
      <w:r w:rsidRPr="00DF79D5">
        <w:rPr>
          <w:szCs w:val="24"/>
          <w:lang w:val="nb-NO"/>
        </w:rPr>
        <w:t>av</w:t>
      </w:r>
      <w:r>
        <w:rPr>
          <w:szCs w:val="24"/>
          <w:lang w:val="nb-NO"/>
        </w:rPr>
        <w:t xml:space="preserve"> en rekke levedyktige prosjekter.</w:t>
      </w:r>
    </w:p>
    <w:p w14:paraId="4ED85EE0" w14:textId="77777777" w:rsidR="002C3224" w:rsidRDefault="002C3224" w:rsidP="002C3224">
      <w:pPr>
        <w:rPr>
          <w:szCs w:val="24"/>
          <w:lang w:val="nb-NO"/>
        </w:rPr>
      </w:pPr>
      <w:r>
        <w:rPr>
          <w:szCs w:val="24"/>
          <w:lang w:val="nb-NO"/>
        </w:rPr>
        <w:t>Foreløpige vurderinger av prosjektforslag fra eksperter i fagmiljøet.</w:t>
      </w:r>
    </w:p>
    <w:p w14:paraId="5DBC83A7" w14:textId="77777777" w:rsidR="002C3224" w:rsidRDefault="002C3224" w:rsidP="002C3224">
      <w:pPr>
        <w:rPr>
          <w:szCs w:val="24"/>
          <w:lang w:val="nb-NO"/>
        </w:rPr>
      </w:pPr>
      <w:r>
        <w:rPr>
          <w:szCs w:val="24"/>
          <w:lang w:val="nb-NO"/>
        </w:rPr>
        <w:t>Økt åpenhet og involvering av interessenter.</w:t>
      </w:r>
    </w:p>
    <w:p w14:paraId="24137410" w14:textId="77777777" w:rsidR="002C3224" w:rsidRDefault="002C3224" w:rsidP="002C3224">
      <w:pPr>
        <w:rPr>
          <w:szCs w:val="24"/>
          <w:lang w:val="nb-NO"/>
        </w:rPr>
      </w:pPr>
      <w:r>
        <w:rPr>
          <w:szCs w:val="24"/>
          <w:lang w:val="nb-NO"/>
        </w:rPr>
        <w:t>Tilrettelegging av finansiering av prosjektene i partnerskapet, herunder gjelds- og aksjeinvesteringer og offentlig finansiering for å redusere risikoen i prosjektene, i tillegg til innkjøpsavtaler.</w:t>
      </w:r>
    </w:p>
    <w:p w14:paraId="19584DDA" w14:textId="77777777" w:rsidR="002C3224" w:rsidRDefault="002C3224" w:rsidP="002C3224">
      <w:pPr>
        <w:jc w:val="left"/>
        <w:rPr>
          <w:szCs w:val="24"/>
          <w:lang w:val="nb-NO"/>
        </w:rPr>
      </w:pPr>
      <w:r>
        <w:rPr>
          <w:szCs w:val="24"/>
          <w:lang w:val="nb-NO"/>
        </w:rPr>
        <w:t>Organisere finansieringen av verdifulle forskningsaktiviteter langs verdikjedene for kritiske råvarer og batterier, særlig utenfor rammen av Horisont Europa.</w:t>
      </w:r>
      <w:r>
        <w:rPr>
          <w:szCs w:val="24"/>
          <w:lang w:val="nb-NO"/>
        </w:rPr>
        <w:br/>
      </w:r>
    </w:p>
    <w:p w14:paraId="6BAF54F9" w14:textId="77777777" w:rsidR="002C3224" w:rsidRDefault="002C3224" w:rsidP="002C3224">
      <w:pPr>
        <w:rPr>
          <w:szCs w:val="24"/>
          <w:lang w:val="nb-NO"/>
        </w:rPr>
      </w:pPr>
      <w:r>
        <w:rPr>
          <w:szCs w:val="24"/>
          <w:lang w:val="nb-NO"/>
        </w:rPr>
        <w:t xml:space="preserve">Bruken av de ovennevnte finansielle virkemidlene og investeringsinstrumenter bør følge Parisavtalen og oppfylle strenge (internasjonale, EU) standarder, god praksis knyttet til økonomisk risiko og </w:t>
      </w:r>
      <w:r w:rsidRPr="00AF28DB">
        <w:rPr>
          <w:szCs w:val="24"/>
          <w:lang w:val="nb-NO"/>
        </w:rPr>
        <w:t>soliditet,</w:t>
      </w:r>
      <w:r>
        <w:rPr>
          <w:szCs w:val="24"/>
          <w:lang w:val="nb-NO"/>
        </w:rPr>
        <w:t xml:space="preserve"> i tillegg til miljøvern, bærekraft, åpenhet og styring.</w:t>
      </w:r>
    </w:p>
    <w:p w14:paraId="405BB7D0" w14:textId="77777777" w:rsidR="002C3224" w:rsidRDefault="002C3224" w:rsidP="002C3224">
      <w:pPr>
        <w:ind w:left="360"/>
        <w:rPr>
          <w:szCs w:val="24"/>
          <w:lang w:val="nb-NO"/>
        </w:rPr>
      </w:pPr>
    </w:p>
    <w:p w14:paraId="19A77B02" w14:textId="6975339D" w:rsidR="002C3224" w:rsidRDefault="002C3224" w:rsidP="002C3224">
      <w:pPr>
        <w:rPr>
          <w:b/>
          <w:bCs/>
          <w:szCs w:val="24"/>
          <w:lang w:val="nb-NO"/>
        </w:rPr>
      </w:pPr>
      <w:r>
        <w:rPr>
          <w:b/>
          <w:szCs w:val="24"/>
          <w:lang w:val="nb-NO"/>
        </w:rPr>
        <w:t>Utvikling av nødvendig kompetanse for gode arbeidsplasser innen ren teknologi</w:t>
      </w:r>
    </w:p>
    <w:p w14:paraId="4926CA67" w14:textId="77777777" w:rsidR="002C3224" w:rsidRDefault="002C3224" w:rsidP="002C3224">
      <w:pPr>
        <w:ind w:left="360"/>
        <w:rPr>
          <w:b/>
          <w:bCs/>
          <w:szCs w:val="24"/>
          <w:lang w:val="nb-NO"/>
        </w:rPr>
      </w:pPr>
    </w:p>
    <w:p w14:paraId="702FA09D" w14:textId="77777777" w:rsidR="002C3224" w:rsidRDefault="002C3224" w:rsidP="002C3224">
      <w:pPr>
        <w:rPr>
          <w:szCs w:val="24"/>
          <w:lang w:val="nb-NO"/>
        </w:rPr>
      </w:pPr>
      <w:r>
        <w:rPr>
          <w:szCs w:val="24"/>
          <w:lang w:val="nb-NO"/>
        </w:rPr>
        <w:t xml:space="preserve">Mobilisering av privat og offentlig finansiering av omskolerings- og kompetansehevingstiltak innen råvare- og batteriverdikjedene, herunder grønn og digital kompetanse, blant annet European Battery </w:t>
      </w:r>
      <w:proofErr w:type="spellStart"/>
      <w:r>
        <w:rPr>
          <w:szCs w:val="24"/>
          <w:lang w:val="nb-NO"/>
        </w:rPr>
        <w:t>Academy</w:t>
      </w:r>
      <w:proofErr w:type="spellEnd"/>
      <w:r>
        <w:rPr>
          <w:szCs w:val="24"/>
          <w:lang w:val="nb-NO"/>
        </w:rPr>
        <w:t>.</w:t>
      </w:r>
    </w:p>
    <w:p w14:paraId="6E31A703" w14:textId="77777777" w:rsidR="002C3224" w:rsidRDefault="002C3224" w:rsidP="002C3224">
      <w:pPr>
        <w:rPr>
          <w:szCs w:val="24"/>
          <w:lang w:val="nb-NO"/>
        </w:rPr>
      </w:pPr>
      <w:r>
        <w:rPr>
          <w:szCs w:val="24"/>
          <w:lang w:val="nb-NO"/>
        </w:rPr>
        <w:t xml:space="preserve">Norge har til hensikt å delta i og bidra til European Battery </w:t>
      </w:r>
      <w:proofErr w:type="spellStart"/>
      <w:r>
        <w:rPr>
          <w:szCs w:val="24"/>
          <w:lang w:val="nb-NO"/>
        </w:rPr>
        <w:t>Academy</w:t>
      </w:r>
      <w:proofErr w:type="spellEnd"/>
      <w:r>
        <w:rPr>
          <w:szCs w:val="24"/>
          <w:lang w:val="nb-NO"/>
        </w:rPr>
        <w:t>.</w:t>
      </w:r>
    </w:p>
    <w:p w14:paraId="01E10139" w14:textId="77777777" w:rsidR="002C3224" w:rsidRDefault="002C3224" w:rsidP="002C3224">
      <w:pPr>
        <w:rPr>
          <w:szCs w:val="24"/>
          <w:lang w:val="nb-NO"/>
        </w:rPr>
      </w:pPr>
    </w:p>
    <w:p w14:paraId="2FF8A72C" w14:textId="77777777" w:rsidR="002C3224" w:rsidRDefault="002C3224" w:rsidP="002C3224">
      <w:pPr>
        <w:rPr>
          <w:szCs w:val="24"/>
          <w:lang w:val="nb-NO"/>
        </w:rPr>
      </w:pPr>
    </w:p>
    <w:p w14:paraId="7132170E" w14:textId="77777777" w:rsidR="002C3224" w:rsidRDefault="002C3224" w:rsidP="002C3224">
      <w:pPr>
        <w:ind w:left="360"/>
        <w:rPr>
          <w:szCs w:val="24"/>
          <w:lang w:val="nb-NO"/>
        </w:rPr>
      </w:pPr>
    </w:p>
    <w:p w14:paraId="29AB5D49" w14:textId="77777777" w:rsidR="002C3224" w:rsidRDefault="002C3224" w:rsidP="002C3224">
      <w:pPr>
        <w:ind w:left="360"/>
        <w:jc w:val="center"/>
        <w:rPr>
          <w:b/>
          <w:bCs/>
          <w:szCs w:val="24"/>
          <w:lang w:val="nb-NO"/>
        </w:rPr>
      </w:pPr>
      <w:r>
        <w:rPr>
          <w:b/>
          <w:szCs w:val="24"/>
          <w:lang w:val="nb-NO"/>
        </w:rPr>
        <w:lastRenderedPageBreak/>
        <w:t>III. Gjennomføring, oppfølging</w:t>
      </w:r>
    </w:p>
    <w:p w14:paraId="2E269442" w14:textId="77777777" w:rsidR="002C3224" w:rsidRDefault="002C3224" w:rsidP="002C3224">
      <w:pPr>
        <w:ind w:left="360"/>
        <w:rPr>
          <w:szCs w:val="24"/>
          <w:lang w:val="nb-NO"/>
        </w:rPr>
      </w:pPr>
    </w:p>
    <w:p w14:paraId="1912808B" w14:textId="2EC0887E" w:rsidR="002C3224" w:rsidRDefault="002C3224" w:rsidP="002C3224">
      <w:pPr>
        <w:ind w:left="360"/>
        <w:rPr>
          <w:szCs w:val="24"/>
          <w:lang w:val="nb-NO"/>
        </w:rPr>
      </w:pPr>
      <w:r>
        <w:rPr>
          <w:szCs w:val="24"/>
          <w:lang w:val="nb-NO"/>
        </w:rPr>
        <w:t>Partene har til hensikt å utvikle et strategisk veikart for partnerskapet. Veikartet skal gjenspeile partenes generelle felles intensjoner beskrevet som arbeidsstrømmer i del 2 av denne avtalen.</w:t>
      </w:r>
    </w:p>
    <w:p w14:paraId="75DA22CB" w14:textId="77777777" w:rsidR="002C3224" w:rsidRDefault="002C3224" w:rsidP="002C3224">
      <w:pPr>
        <w:ind w:left="360"/>
        <w:rPr>
          <w:szCs w:val="24"/>
          <w:lang w:val="nb-NO"/>
        </w:rPr>
      </w:pPr>
    </w:p>
    <w:p w14:paraId="4C75BED4" w14:textId="77777777" w:rsidR="002C3224" w:rsidRDefault="002C3224" w:rsidP="002C3224">
      <w:pPr>
        <w:ind w:left="360"/>
        <w:rPr>
          <w:szCs w:val="24"/>
          <w:lang w:val="nb-NO"/>
        </w:rPr>
      </w:pPr>
      <w:r>
        <w:rPr>
          <w:szCs w:val="24"/>
          <w:lang w:val="nb-NO"/>
        </w:rPr>
        <w:t>Partene har til hensikt å arrangere et årlig høynivåmøte (på ministernivå) for å gjøre opp status for partnerskapets fremgang, diskutere mulige nye strategiske samarbeidsretninger og godkjenne partnerskapets veikart for 2024–2026.</w:t>
      </w:r>
    </w:p>
    <w:p w14:paraId="5C26B93C" w14:textId="77777777" w:rsidR="002C3224" w:rsidRDefault="002C3224" w:rsidP="002C3224">
      <w:pPr>
        <w:ind w:left="360"/>
        <w:rPr>
          <w:szCs w:val="24"/>
          <w:lang w:val="nb-NO"/>
        </w:rPr>
      </w:pPr>
    </w:p>
    <w:p w14:paraId="549D140E" w14:textId="77777777" w:rsidR="002C3224" w:rsidRDefault="002C3224" w:rsidP="002C3224">
      <w:pPr>
        <w:ind w:left="360"/>
        <w:rPr>
          <w:szCs w:val="24"/>
          <w:lang w:val="nb-NO"/>
        </w:rPr>
      </w:pPr>
      <w:r>
        <w:rPr>
          <w:szCs w:val="24"/>
          <w:lang w:val="nb-NO"/>
        </w:rPr>
        <w:t>Partene har videre til hensikt å opprette en egen arbeidsgruppe bestående av embetspersoner, eksperter og relevante aktører (som spesifisert i veikartet for partnerskapet), hvor eventuelle spørsmål som er relevante for gjennomføringen av partnerskapet, vil bli diskutert. Partene tar sikte på regelmessige møter (minst to ganger per år) i arbeidsgruppen, som forventes å rapportere om partnerskapet og fremdriften på det årlige høynivåmøtet.</w:t>
      </w:r>
    </w:p>
    <w:p w14:paraId="29172E16" w14:textId="77777777" w:rsidR="002C3224" w:rsidRDefault="002C3224" w:rsidP="002C3224">
      <w:pPr>
        <w:ind w:left="360"/>
        <w:rPr>
          <w:szCs w:val="24"/>
          <w:lang w:val="nb-NO"/>
        </w:rPr>
      </w:pPr>
    </w:p>
    <w:p w14:paraId="794FC307" w14:textId="0F97F4CB" w:rsidR="002C3224" w:rsidRDefault="002C3224" w:rsidP="002C3224">
      <w:pPr>
        <w:ind w:left="360"/>
        <w:rPr>
          <w:szCs w:val="24"/>
          <w:lang w:val="nb-NO"/>
        </w:rPr>
      </w:pPr>
      <w:r>
        <w:rPr>
          <w:szCs w:val="24"/>
          <w:lang w:val="nb-NO"/>
        </w:rPr>
        <w:t>Partene tar også sikte på å bruke andre eksisterende formater, som EUs råvareforsyningsgruppe, den europeiske råvarealliansen, den europeiske batterialliansen (herunder ministermøtene), for regelmessig og hyppigere utveksling av informasjon som er relevant for partnerskapet.</w:t>
      </w:r>
    </w:p>
    <w:p w14:paraId="03F9D6DD" w14:textId="77777777" w:rsidR="002C3224" w:rsidRDefault="002C3224" w:rsidP="002C3224">
      <w:pPr>
        <w:spacing w:after="160" w:line="256" w:lineRule="auto"/>
        <w:rPr>
          <w:szCs w:val="24"/>
          <w:lang w:val="nb-NO"/>
        </w:rPr>
      </w:pPr>
      <w:r>
        <w:rPr>
          <w:szCs w:val="24"/>
          <w:lang w:val="nb-NO"/>
        </w:rPr>
        <w:br w:type="page"/>
      </w:r>
    </w:p>
    <w:p w14:paraId="22B47E61" w14:textId="77777777" w:rsidR="002C3224" w:rsidRDefault="002C3224" w:rsidP="002C3224">
      <w:pPr>
        <w:ind w:left="360"/>
        <w:rPr>
          <w:b/>
          <w:bCs/>
          <w:szCs w:val="24"/>
          <w:lang w:val="nb-NO"/>
        </w:rPr>
      </w:pPr>
      <w:r>
        <w:rPr>
          <w:b/>
          <w:szCs w:val="24"/>
          <w:lang w:val="nb-NO"/>
        </w:rPr>
        <w:lastRenderedPageBreak/>
        <w:t>IV. Format</w:t>
      </w:r>
    </w:p>
    <w:p w14:paraId="01611B85" w14:textId="77777777" w:rsidR="002C3224" w:rsidRDefault="002C3224" w:rsidP="002C3224">
      <w:pPr>
        <w:ind w:left="360"/>
        <w:rPr>
          <w:szCs w:val="24"/>
          <w:lang w:val="nb-NO"/>
        </w:rPr>
      </w:pPr>
    </w:p>
    <w:p w14:paraId="05696D59" w14:textId="77777777" w:rsidR="002C3224" w:rsidRDefault="002C3224" w:rsidP="002C3224">
      <w:pPr>
        <w:ind w:left="360"/>
        <w:rPr>
          <w:szCs w:val="24"/>
          <w:lang w:val="nb-NO"/>
        </w:rPr>
      </w:pPr>
      <w:r>
        <w:rPr>
          <w:szCs w:val="24"/>
          <w:lang w:val="nb-NO"/>
        </w:rPr>
        <w:t>Dette dokumentet innebærer ingen rettigheter eller forpliktelser i henhold til internasjonal eller nasjonal lovgivning. Særlig skal ingenting i denne avtalen innebære en forpliktelse om finansiering fra noen av partene.</w:t>
      </w:r>
    </w:p>
    <w:p w14:paraId="3894B35E" w14:textId="77777777" w:rsidR="002C3224" w:rsidRDefault="002C3224" w:rsidP="002C3224">
      <w:pPr>
        <w:ind w:left="360"/>
        <w:rPr>
          <w:szCs w:val="24"/>
          <w:lang w:val="nb-NO"/>
        </w:rPr>
      </w:pPr>
      <w:r>
        <w:rPr>
          <w:szCs w:val="24"/>
          <w:lang w:val="nb-NO"/>
        </w:rPr>
        <w:t>Videre har avtalen ikke til hensikt å utgjøre noen forpliktelse fra noen av partene om særbehandling av den andre parten i spørsmål som er omtalt her eller på annen måte.</w:t>
      </w:r>
    </w:p>
    <w:p w14:paraId="3BB1FFCA" w14:textId="77777777" w:rsidR="002C3224" w:rsidRDefault="002C3224" w:rsidP="002C3224">
      <w:pPr>
        <w:ind w:left="360"/>
        <w:rPr>
          <w:szCs w:val="24"/>
          <w:lang w:val="nb-NO"/>
        </w:rPr>
      </w:pPr>
    </w:p>
    <w:p w14:paraId="409C845F" w14:textId="77777777" w:rsidR="00106EBD" w:rsidRDefault="00106EBD" w:rsidP="002C3224">
      <w:pPr>
        <w:ind w:left="360"/>
        <w:rPr>
          <w:szCs w:val="24"/>
          <w:lang w:val="nb-NO"/>
        </w:rPr>
      </w:pPr>
    </w:p>
    <w:p w14:paraId="66195C03" w14:textId="60A69BA8" w:rsidR="002C3224" w:rsidRDefault="002C3224" w:rsidP="002C3224">
      <w:pPr>
        <w:ind w:left="360"/>
        <w:rPr>
          <w:szCs w:val="24"/>
          <w:lang w:val="nb-NO"/>
        </w:rPr>
      </w:pPr>
      <w:r>
        <w:rPr>
          <w:szCs w:val="24"/>
          <w:lang w:val="nb-NO"/>
        </w:rPr>
        <w:t xml:space="preserve">Undertegnet </w:t>
      </w:r>
      <w:r w:rsidR="005A66FD">
        <w:rPr>
          <w:szCs w:val="24"/>
          <w:lang w:val="nb-NO"/>
        </w:rPr>
        <w:t xml:space="preserve">i </w:t>
      </w:r>
      <w:r w:rsidR="00106EBD">
        <w:rPr>
          <w:szCs w:val="24"/>
          <w:lang w:val="nb-NO"/>
        </w:rPr>
        <w:t>Brussel</w:t>
      </w:r>
      <w:r>
        <w:rPr>
          <w:szCs w:val="24"/>
          <w:lang w:val="nb-NO"/>
        </w:rPr>
        <w:t xml:space="preserve"> den </w:t>
      </w:r>
      <w:r w:rsidR="00106EBD">
        <w:rPr>
          <w:szCs w:val="24"/>
          <w:lang w:val="nb-NO"/>
        </w:rPr>
        <w:t>21</w:t>
      </w:r>
      <w:r w:rsidR="005A66FD">
        <w:rPr>
          <w:szCs w:val="24"/>
          <w:lang w:val="nb-NO"/>
        </w:rPr>
        <w:t>.</w:t>
      </w:r>
      <w:r w:rsidR="00106EBD">
        <w:rPr>
          <w:szCs w:val="24"/>
          <w:lang w:val="nb-NO"/>
        </w:rPr>
        <w:t xml:space="preserve"> </w:t>
      </w:r>
      <w:r w:rsidR="005A66FD">
        <w:rPr>
          <w:szCs w:val="24"/>
          <w:lang w:val="nb-NO"/>
        </w:rPr>
        <w:t>m</w:t>
      </w:r>
      <w:r w:rsidR="00106EBD">
        <w:rPr>
          <w:szCs w:val="24"/>
          <w:lang w:val="nb-NO"/>
        </w:rPr>
        <w:t>ars</w:t>
      </w:r>
      <w:r w:rsidR="005A66FD">
        <w:rPr>
          <w:szCs w:val="24"/>
          <w:lang w:val="nb-NO"/>
        </w:rPr>
        <w:t xml:space="preserve"> </w:t>
      </w:r>
      <w:r>
        <w:rPr>
          <w:szCs w:val="24"/>
          <w:lang w:val="nb-NO"/>
        </w:rPr>
        <w:t xml:space="preserve">2024 i </w:t>
      </w:r>
      <w:r w:rsidR="003F7D48">
        <w:rPr>
          <w:szCs w:val="24"/>
          <w:lang w:val="nb-NO"/>
        </w:rPr>
        <w:t xml:space="preserve">to </w:t>
      </w:r>
      <w:r>
        <w:rPr>
          <w:szCs w:val="24"/>
          <w:lang w:val="nb-NO"/>
        </w:rPr>
        <w:t xml:space="preserve">eksemplarer, </w:t>
      </w:r>
      <w:r w:rsidR="003F7D48">
        <w:rPr>
          <w:szCs w:val="24"/>
          <w:lang w:val="nb-NO"/>
        </w:rPr>
        <w:t>ett</w:t>
      </w:r>
      <w:r>
        <w:rPr>
          <w:szCs w:val="24"/>
          <w:lang w:val="nb-NO"/>
        </w:rPr>
        <w:t xml:space="preserve"> på norsk og </w:t>
      </w:r>
      <w:r w:rsidR="003F7D48">
        <w:rPr>
          <w:szCs w:val="24"/>
          <w:lang w:val="nb-NO"/>
        </w:rPr>
        <w:t xml:space="preserve">ett </w:t>
      </w:r>
      <w:r>
        <w:rPr>
          <w:szCs w:val="24"/>
          <w:lang w:val="nb-NO"/>
        </w:rPr>
        <w:t xml:space="preserve">på engelsk. Begge versjoner skal ha samme gyldighet. </w:t>
      </w:r>
    </w:p>
    <w:p w14:paraId="75EBC271" w14:textId="77777777" w:rsidR="002C3224" w:rsidRDefault="002C3224" w:rsidP="002C3224">
      <w:pPr>
        <w:ind w:left="360"/>
        <w:rPr>
          <w:szCs w:val="24"/>
          <w:lang w:val="nb-NO"/>
        </w:rPr>
      </w:pPr>
    </w:p>
    <w:p w14:paraId="47F0FDEE" w14:textId="18BCC270" w:rsidR="002C3224" w:rsidRDefault="002C3224" w:rsidP="002C3224">
      <w:pPr>
        <w:ind w:left="360"/>
        <w:rPr>
          <w:szCs w:val="24"/>
          <w:lang w:val="nb-NO"/>
        </w:rPr>
      </w:pPr>
      <w:r>
        <w:rPr>
          <w:szCs w:val="24"/>
          <w:lang w:val="nb-N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1"/>
      </w:tblGrid>
      <w:tr w:rsidR="00106EBD" w14:paraId="5613EC88" w14:textId="77777777" w:rsidTr="00C75852">
        <w:tc>
          <w:tcPr>
            <w:tcW w:w="4537" w:type="dxa"/>
          </w:tcPr>
          <w:p w14:paraId="10883E1F" w14:textId="578B350B" w:rsidR="00106EBD" w:rsidRDefault="00106EBD" w:rsidP="00DA7F20">
            <w:pPr>
              <w:tabs>
                <w:tab w:val="left" w:pos="2790"/>
                <w:tab w:val="left" w:pos="3870"/>
              </w:tabs>
              <w:jc w:val="center"/>
            </w:pPr>
            <w:r>
              <w:rPr>
                <w:szCs w:val="24"/>
                <w:lang w:val="nb-NO"/>
              </w:rPr>
              <w:t>For Kongeriket Norge</w:t>
            </w:r>
          </w:p>
        </w:tc>
        <w:tc>
          <w:tcPr>
            <w:tcW w:w="4538" w:type="dxa"/>
          </w:tcPr>
          <w:p w14:paraId="55C3DD76" w14:textId="0D363D0F" w:rsidR="00106EBD" w:rsidRPr="00106EBD" w:rsidRDefault="00106EBD" w:rsidP="00DA7F20">
            <w:pPr>
              <w:jc w:val="center"/>
              <w:rPr>
                <w:lang w:val="en-IE"/>
              </w:rPr>
            </w:pPr>
            <w:r>
              <w:rPr>
                <w:szCs w:val="24"/>
                <w:lang w:val="nb-NO"/>
              </w:rPr>
              <w:t xml:space="preserve">For Den Europeiske Union </w:t>
            </w:r>
          </w:p>
        </w:tc>
      </w:tr>
      <w:tr w:rsidR="00106EBD" w14:paraId="3DD9DB7E" w14:textId="77777777" w:rsidTr="00C758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nil"/>
              <w:bottom w:val="nil"/>
              <w:right w:val="nil"/>
            </w:tcBorders>
          </w:tcPr>
          <w:p w14:paraId="6B008BB4" w14:textId="77777777" w:rsidR="00106EBD" w:rsidRDefault="00106EBD" w:rsidP="00106EBD">
            <w:pPr>
              <w:jc w:val="center"/>
              <w:rPr>
                <w:lang w:val="en-GB"/>
              </w:rPr>
            </w:pPr>
          </w:p>
          <w:p w14:paraId="41684797" w14:textId="77777777" w:rsidR="00106EBD" w:rsidRDefault="00106EBD" w:rsidP="00106EBD">
            <w:pPr>
              <w:jc w:val="center"/>
              <w:rPr>
                <w:lang w:val="en-GB"/>
              </w:rPr>
            </w:pPr>
          </w:p>
          <w:p w14:paraId="75AD80AA" w14:textId="0FF4E7AB" w:rsidR="00106EBD" w:rsidRPr="00660785" w:rsidRDefault="00106EBD" w:rsidP="00106EBD">
            <w:pPr>
              <w:jc w:val="center"/>
              <w:rPr>
                <w:lang w:val="en-GB"/>
              </w:rPr>
            </w:pPr>
            <w:r w:rsidRPr="00660785">
              <w:rPr>
                <w:lang w:val="en-GB"/>
              </w:rPr>
              <w:t>Jan Christian Vestre</w:t>
            </w:r>
          </w:p>
          <w:p w14:paraId="2DEF8492" w14:textId="68ADE45C" w:rsidR="00106EBD" w:rsidRPr="00106EBD" w:rsidRDefault="00106EBD" w:rsidP="00106EBD">
            <w:pPr>
              <w:jc w:val="center"/>
              <w:rPr>
                <w:lang w:val="en-IE"/>
              </w:rPr>
            </w:pPr>
            <w:proofErr w:type="spellStart"/>
            <w:r w:rsidRPr="00106EBD">
              <w:rPr>
                <w:lang w:val="en-GB"/>
              </w:rPr>
              <w:t>Næringsminister</w:t>
            </w:r>
            <w:proofErr w:type="spellEnd"/>
          </w:p>
        </w:tc>
        <w:tc>
          <w:tcPr>
            <w:tcW w:w="4538" w:type="dxa"/>
            <w:tcBorders>
              <w:top w:val="nil"/>
              <w:left w:val="nil"/>
              <w:bottom w:val="nil"/>
              <w:right w:val="nil"/>
            </w:tcBorders>
          </w:tcPr>
          <w:p w14:paraId="299D348B" w14:textId="77777777" w:rsidR="00106EBD" w:rsidRDefault="00106EBD" w:rsidP="00106EBD">
            <w:pPr>
              <w:tabs>
                <w:tab w:val="left" w:pos="2790"/>
                <w:tab w:val="left" w:pos="3870"/>
              </w:tabs>
              <w:jc w:val="center"/>
              <w:rPr>
                <w:kern w:val="0"/>
                <w:lang w:val="en-GB"/>
                <w14:ligatures w14:val="none"/>
              </w:rPr>
            </w:pPr>
          </w:p>
          <w:p w14:paraId="4D3EAEE7" w14:textId="77777777" w:rsidR="00106EBD" w:rsidRDefault="00106EBD" w:rsidP="00106EBD">
            <w:pPr>
              <w:tabs>
                <w:tab w:val="left" w:pos="2790"/>
                <w:tab w:val="left" w:pos="3870"/>
              </w:tabs>
              <w:jc w:val="center"/>
              <w:rPr>
                <w:kern w:val="0"/>
                <w:lang w:val="en-GB"/>
                <w14:ligatures w14:val="none"/>
              </w:rPr>
            </w:pPr>
          </w:p>
          <w:p w14:paraId="75BFC54B" w14:textId="07045BB4" w:rsidR="00106EBD" w:rsidRPr="00C75852" w:rsidRDefault="00106EBD" w:rsidP="00106EBD">
            <w:pPr>
              <w:tabs>
                <w:tab w:val="left" w:pos="2790"/>
                <w:tab w:val="left" w:pos="3870"/>
              </w:tabs>
              <w:jc w:val="center"/>
              <w:rPr>
                <w:lang w:val="en-IE"/>
              </w:rPr>
            </w:pPr>
            <w:r w:rsidRPr="00C75852">
              <w:rPr>
                <w:lang w:val="en-IE"/>
              </w:rPr>
              <w:t>Maroš Šefčovič</w:t>
            </w:r>
          </w:p>
          <w:p w14:paraId="31950B28" w14:textId="7E9A27A3" w:rsidR="00106EBD" w:rsidRPr="00660785" w:rsidRDefault="00106EBD" w:rsidP="00106EBD">
            <w:pPr>
              <w:jc w:val="center"/>
              <w:rPr>
                <w:lang w:val="en-GB"/>
              </w:rPr>
            </w:pPr>
            <w:r w:rsidRPr="0088172B">
              <w:rPr>
                <w:lang w:val="en-IE"/>
              </w:rPr>
              <w:t>Executive Vice-President</w:t>
            </w:r>
          </w:p>
        </w:tc>
      </w:tr>
    </w:tbl>
    <w:p w14:paraId="034A71F3" w14:textId="77777777" w:rsidR="00E2247E" w:rsidRPr="00106EBD" w:rsidRDefault="00E2247E"/>
    <w:sectPr w:rsidR="00E2247E" w:rsidRPr="00106E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7396" w14:textId="77777777" w:rsidR="00B04701" w:rsidRDefault="00B04701" w:rsidP="002C3224">
      <w:pPr>
        <w:spacing w:before="0" w:after="0"/>
      </w:pPr>
      <w:r>
        <w:separator/>
      </w:r>
    </w:p>
  </w:endnote>
  <w:endnote w:type="continuationSeparator" w:id="0">
    <w:p w14:paraId="182711EA" w14:textId="77777777" w:rsidR="00B04701" w:rsidRDefault="00B04701" w:rsidP="002C32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2A8F" w14:textId="77777777" w:rsidR="00B04701" w:rsidRDefault="00B04701" w:rsidP="002C3224">
      <w:pPr>
        <w:spacing w:before="0" w:after="0"/>
      </w:pPr>
      <w:r>
        <w:separator/>
      </w:r>
    </w:p>
  </w:footnote>
  <w:footnote w:type="continuationSeparator" w:id="0">
    <w:p w14:paraId="09EE362F" w14:textId="77777777" w:rsidR="00B04701" w:rsidRDefault="00B04701" w:rsidP="002C3224">
      <w:pPr>
        <w:spacing w:before="0" w:after="0"/>
      </w:pPr>
      <w:r>
        <w:continuationSeparator/>
      </w:r>
    </w:p>
  </w:footnote>
  <w:footnote w:id="1">
    <w:p w14:paraId="0CCFE13D" w14:textId="77777777" w:rsidR="002C3224" w:rsidRDefault="002C3224" w:rsidP="002C3224">
      <w:pPr>
        <w:pStyle w:val="FootnoteText"/>
        <w:rPr>
          <w:sz w:val="16"/>
          <w:szCs w:val="16"/>
        </w:rPr>
      </w:pPr>
      <w:r>
        <w:rPr>
          <w:rStyle w:val="FootnoteReference"/>
          <w:sz w:val="16"/>
          <w:szCs w:val="16"/>
        </w:rPr>
        <w:footnoteRef/>
      </w:r>
      <w:r>
        <w:rPr>
          <w:sz w:val="16"/>
          <w:szCs w:val="16"/>
        </w:rPr>
        <w:tab/>
        <w:t xml:space="preserve">Communication on Critical Raw Materials – </w:t>
      </w:r>
      <w:proofErr w:type="gramStart"/>
      <w:r>
        <w:rPr>
          <w:sz w:val="16"/>
          <w:szCs w:val="16"/>
        </w:rPr>
        <w:t>COM(</w:t>
      </w:r>
      <w:proofErr w:type="gramEnd"/>
      <w:r>
        <w:rPr>
          <w:sz w:val="16"/>
          <w:szCs w:val="16"/>
        </w:rPr>
        <w:t>2020) 474</w:t>
      </w:r>
    </w:p>
  </w:footnote>
  <w:footnote w:id="2">
    <w:p w14:paraId="1E00A93E" w14:textId="77777777" w:rsidR="002C3224" w:rsidRDefault="002C3224" w:rsidP="002C3224">
      <w:pPr>
        <w:pStyle w:val="FootnoteText"/>
        <w:rPr>
          <w:sz w:val="16"/>
          <w:szCs w:val="16"/>
        </w:rPr>
      </w:pPr>
      <w:r>
        <w:rPr>
          <w:rStyle w:val="FootnoteReference"/>
          <w:sz w:val="16"/>
          <w:szCs w:val="16"/>
        </w:rPr>
        <w:footnoteRef/>
      </w:r>
      <w:r>
        <w:rPr>
          <w:sz w:val="16"/>
          <w:szCs w:val="16"/>
        </w:rPr>
        <w:tab/>
        <w:t xml:space="preserve">Communication on the European Green Deal – </w:t>
      </w:r>
      <w:proofErr w:type="gramStart"/>
      <w:r>
        <w:rPr>
          <w:sz w:val="16"/>
          <w:szCs w:val="16"/>
        </w:rPr>
        <w:t>COM(</w:t>
      </w:r>
      <w:proofErr w:type="gramEnd"/>
      <w:r>
        <w:rPr>
          <w:sz w:val="16"/>
          <w:szCs w:val="16"/>
        </w:rPr>
        <w:t>/2019) 640 final</w:t>
      </w:r>
    </w:p>
  </w:footnote>
  <w:footnote w:id="3">
    <w:p w14:paraId="1A697F53" w14:textId="77777777" w:rsidR="002C3224" w:rsidRDefault="002C3224" w:rsidP="002C3224">
      <w:pPr>
        <w:autoSpaceDE w:val="0"/>
        <w:autoSpaceDN w:val="0"/>
        <w:adjustRightInd w:val="0"/>
        <w:rPr>
          <w:sz w:val="16"/>
          <w:szCs w:val="16"/>
        </w:rPr>
      </w:pPr>
      <w:r>
        <w:rPr>
          <w:rStyle w:val="FootnoteReference"/>
          <w:sz w:val="16"/>
          <w:szCs w:val="16"/>
        </w:rPr>
        <w:footnoteRef/>
      </w:r>
      <w:r>
        <w:rPr>
          <w:sz w:val="16"/>
          <w:szCs w:val="16"/>
        </w:rPr>
        <w:tab/>
      </w:r>
      <w:r>
        <w:rPr>
          <w:color w:val="000000"/>
          <w:sz w:val="16"/>
          <w:szCs w:val="16"/>
        </w:rPr>
        <w:t xml:space="preserve">EU Digital Strategy – Communication: Shaping Europe’s digital future of 19 February 2020 - </w:t>
      </w:r>
      <w:r>
        <w:rPr>
          <w:color w:val="0563C2"/>
          <w:sz w:val="16"/>
          <w:szCs w:val="16"/>
        </w:rPr>
        <w:t>https://ec.europa.eu/info/strategy/priorities-2019-2024/europe-fit-digital-age/shaping-europe-digital-future_en</w:t>
      </w:r>
    </w:p>
  </w:footnote>
  <w:footnote w:id="4">
    <w:p w14:paraId="5C4657C9" w14:textId="77777777" w:rsidR="002C3224" w:rsidRDefault="002C3224" w:rsidP="002C3224">
      <w:pPr>
        <w:autoSpaceDE w:val="0"/>
        <w:autoSpaceDN w:val="0"/>
        <w:adjustRightInd w:val="0"/>
        <w:rPr>
          <w:sz w:val="16"/>
          <w:szCs w:val="16"/>
        </w:rPr>
      </w:pPr>
      <w:r>
        <w:rPr>
          <w:rStyle w:val="FootnoteReference"/>
          <w:sz w:val="16"/>
          <w:szCs w:val="16"/>
        </w:rPr>
        <w:footnoteRef/>
      </w:r>
      <w:r>
        <w:rPr>
          <w:sz w:val="16"/>
          <w:szCs w:val="16"/>
        </w:rPr>
        <w:tab/>
        <w:t>Communication on New Industrial Strategy: Building a stronger Single Market for Europe’s recovery EU Industrial Strategy –</w:t>
      </w:r>
    </w:p>
    <w:p w14:paraId="11A2A28C" w14:textId="77777777" w:rsidR="002C3224" w:rsidRPr="00730C4F" w:rsidRDefault="002C3224" w:rsidP="002C3224">
      <w:pPr>
        <w:pStyle w:val="FootnoteText"/>
      </w:pPr>
      <w:proofErr w:type="gramStart"/>
      <w:r w:rsidRPr="00730C4F">
        <w:rPr>
          <w:sz w:val="16"/>
          <w:szCs w:val="16"/>
        </w:rPr>
        <w:t>COM(</w:t>
      </w:r>
      <w:proofErr w:type="gramEnd"/>
      <w:r w:rsidRPr="00730C4F">
        <w:rPr>
          <w:sz w:val="16"/>
          <w:szCs w:val="16"/>
        </w:rPr>
        <w:t>2021) 350 final</w:t>
      </w:r>
    </w:p>
  </w:footnote>
  <w:footnote w:id="5">
    <w:p w14:paraId="2742973F" w14:textId="77777777" w:rsidR="002C3224" w:rsidRPr="00730C4F" w:rsidRDefault="002C3224" w:rsidP="002C3224">
      <w:pPr>
        <w:pStyle w:val="FootnoteText"/>
        <w:rPr>
          <w:sz w:val="16"/>
          <w:szCs w:val="16"/>
        </w:rPr>
      </w:pPr>
      <w:r>
        <w:rPr>
          <w:rStyle w:val="FootnoteReference"/>
          <w:sz w:val="16"/>
          <w:szCs w:val="16"/>
        </w:rPr>
        <w:footnoteRef/>
      </w:r>
      <w:r w:rsidRPr="00730C4F">
        <w:rPr>
          <w:sz w:val="16"/>
          <w:szCs w:val="16"/>
        </w:rPr>
        <w:tab/>
        <w:t>https://ec.europa.eu/commission/presscorner/detail/en/ip_23_2391</w:t>
      </w:r>
    </w:p>
  </w:footnote>
  <w:footnote w:id="6">
    <w:p w14:paraId="40B1232E" w14:textId="77777777" w:rsidR="002C3224" w:rsidRPr="002C3224" w:rsidRDefault="002C3224" w:rsidP="002C3224">
      <w:pPr>
        <w:pStyle w:val="FootnoteText"/>
        <w:rPr>
          <w:sz w:val="16"/>
          <w:szCs w:val="16"/>
          <w:lang w:val="nb-NO"/>
        </w:rPr>
      </w:pPr>
      <w:r>
        <w:rPr>
          <w:rStyle w:val="FootnoteReference"/>
          <w:sz w:val="16"/>
          <w:szCs w:val="16"/>
        </w:rPr>
        <w:footnoteRef/>
      </w:r>
      <w:r w:rsidRPr="002C3224">
        <w:rPr>
          <w:sz w:val="16"/>
          <w:szCs w:val="16"/>
          <w:lang w:val="nb-NO"/>
        </w:rPr>
        <w:tab/>
        <w:t>Forslag til europaparlaments- og rådsforordning om fastsettelse av en ramme for å sikre en sikker og bærekraftig forsyning av kritiske råvarer og endring av forordning (EU) 168/2013, (EU) 2018/858, 2018/1724 og (EU) 2019/1020 – COM/2023/160 final</w:t>
      </w:r>
    </w:p>
  </w:footnote>
  <w:footnote w:id="7">
    <w:p w14:paraId="669F66A3" w14:textId="77777777" w:rsidR="002C3224" w:rsidRDefault="002C3224" w:rsidP="002C3224">
      <w:pPr>
        <w:autoSpaceDE w:val="0"/>
        <w:autoSpaceDN w:val="0"/>
        <w:adjustRightInd w:val="0"/>
      </w:pPr>
      <w:r>
        <w:rPr>
          <w:rStyle w:val="FootnoteReference"/>
          <w:sz w:val="16"/>
          <w:szCs w:val="16"/>
        </w:rPr>
        <w:footnoteRef/>
      </w:r>
      <w:r>
        <w:rPr>
          <w:sz w:val="16"/>
          <w:szCs w:val="16"/>
        </w:rPr>
        <w:tab/>
        <w:t xml:space="preserve">Communication on New Industrial Strategy: Building a stronger Single Market for Europe’s recovery – </w:t>
      </w:r>
      <w:proofErr w:type="gramStart"/>
      <w:r>
        <w:rPr>
          <w:sz w:val="16"/>
          <w:szCs w:val="16"/>
        </w:rPr>
        <w:t>COM(</w:t>
      </w:r>
      <w:proofErr w:type="gramEnd"/>
      <w:r>
        <w:rPr>
          <w:sz w:val="16"/>
          <w:szCs w:val="16"/>
        </w:rPr>
        <w:t>2021) 350 final</w:t>
      </w:r>
    </w:p>
  </w:footnote>
  <w:footnote w:id="8">
    <w:p w14:paraId="0C316DA2" w14:textId="77777777" w:rsidR="002C3224" w:rsidRPr="002C3224" w:rsidRDefault="002C3224" w:rsidP="002C3224">
      <w:pPr>
        <w:pStyle w:val="FootnoteText"/>
        <w:rPr>
          <w:lang w:val="nb-NO"/>
        </w:rPr>
      </w:pPr>
      <w:r>
        <w:rPr>
          <w:rStyle w:val="FootnoteReference"/>
        </w:rPr>
        <w:footnoteRef/>
      </w:r>
      <w:r w:rsidRPr="002C3224">
        <w:rPr>
          <w:sz w:val="16"/>
          <w:szCs w:val="16"/>
          <w:lang w:val="nb-NO"/>
        </w:rPr>
        <w:tab/>
        <w:t>Forslag til europaparlaments- og rådsforordning om fastsettelse av en ramme for å sikre en sikker og bærekraftig forsyning av kritiske råvarer og endring av forordning (EU) 168/2013, (EU) 2018/858, 2018/1724 og (EU) 2019/1020, COM/2023/160 final</w:t>
      </w:r>
    </w:p>
  </w:footnote>
  <w:footnote w:id="9">
    <w:p w14:paraId="5F47A156" w14:textId="77777777" w:rsidR="002C3224" w:rsidRPr="002C3224" w:rsidRDefault="002C3224" w:rsidP="002C3224">
      <w:pPr>
        <w:pStyle w:val="FootnoteText"/>
        <w:rPr>
          <w:sz w:val="16"/>
          <w:szCs w:val="16"/>
          <w:lang w:val="nb-NO"/>
        </w:rPr>
      </w:pPr>
      <w:r>
        <w:rPr>
          <w:rStyle w:val="FootnoteReference"/>
        </w:rPr>
        <w:footnoteRef/>
      </w:r>
      <w:r w:rsidRPr="002C3224">
        <w:rPr>
          <w:lang w:val="nb-NO"/>
        </w:rPr>
        <w:tab/>
      </w:r>
      <w:hyperlink r:id="rId1" w:history="1">
        <w:r w:rsidRPr="002C3224">
          <w:rPr>
            <w:rStyle w:val="Hyperlink"/>
            <w:sz w:val="16"/>
            <w:szCs w:val="16"/>
            <w:lang w:val="nb-NO"/>
          </w:rPr>
          <w:t>https://op.europa.eu/en/publication-detail/-/publication/6d541f66-0f81-11ec-9151-01aa75ed71a1/language-en</w:t>
        </w:r>
      </w:hyperlink>
    </w:p>
    <w:p w14:paraId="5A055701" w14:textId="77777777" w:rsidR="002C3224" w:rsidRPr="002C3224" w:rsidRDefault="002C3224" w:rsidP="002C3224">
      <w:pPr>
        <w:pStyle w:val="FootnoteText"/>
        <w:ind w:firstLine="0"/>
        <w:rPr>
          <w:lang w:val="nb-NO"/>
        </w:rPr>
      </w:pPr>
      <w:r w:rsidRPr="002C3224">
        <w:rPr>
          <w:sz w:val="16"/>
          <w:szCs w:val="16"/>
          <w:lang w:val="nb-NO"/>
        </w:rPr>
        <w:t>Relevante internasjonale standarder omfatter FNs veiledende prinsipper om næringsliv og menneskerettigheter og OECDs veileder for god interessentdialog i utvinningsindustrien</w:t>
      </w:r>
    </w:p>
  </w:footnote>
  <w:footnote w:id="10">
    <w:p w14:paraId="19E79762" w14:textId="77777777" w:rsidR="002C3224" w:rsidRPr="002C3224" w:rsidRDefault="002C3224" w:rsidP="002C3224">
      <w:pPr>
        <w:pStyle w:val="FootnoteText"/>
        <w:rPr>
          <w:sz w:val="16"/>
          <w:szCs w:val="16"/>
          <w:lang w:val="nb-NO"/>
        </w:rPr>
      </w:pPr>
      <w:r>
        <w:rPr>
          <w:rStyle w:val="FootnoteReference"/>
          <w:sz w:val="16"/>
          <w:szCs w:val="16"/>
        </w:rPr>
        <w:footnoteRef/>
      </w:r>
      <w:r w:rsidRPr="002C3224">
        <w:rPr>
          <w:sz w:val="16"/>
          <w:szCs w:val="16"/>
          <w:lang w:val="nb-NO"/>
        </w:rPr>
        <w:tab/>
        <w:t>Forordning (EU) 2020/852 om etablering av et rammeverk for å fremme bærekraftige investeringer og om endring av forordning (EU) 2019/2088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5193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C3224"/>
    <w:rsid w:val="00001B7A"/>
    <w:rsid w:val="000253F1"/>
    <w:rsid w:val="00033784"/>
    <w:rsid w:val="0008350D"/>
    <w:rsid w:val="000A66AA"/>
    <w:rsid w:val="000C789F"/>
    <w:rsid w:val="001005A0"/>
    <w:rsid w:val="00106EBD"/>
    <w:rsid w:val="0023131D"/>
    <w:rsid w:val="002B10DE"/>
    <w:rsid w:val="002C3224"/>
    <w:rsid w:val="0030014C"/>
    <w:rsid w:val="00311B30"/>
    <w:rsid w:val="00384498"/>
    <w:rsid w:val="003F7D48"/>
    <w:rsid w:val="00403B2C"/>
    <w:rsid w:val="0051133F"/>
    <w:rsid w:val="00511C9D"/>
    <w:rsid w:val="00514F27"/>
    <w:rsid w:val="00530519"/>
    <w:rsid w:val="0058206C"/>
    <w:rsid w:val="0059009F"/>
    <w:rsid w:val="005A66FD"/>
    <w:rsid w:val="00613670"/>
    <w:rsid w:val="0066227C"/>
    <w:rsid w:val="00665F79"/>
    <w:rsid w:val="0070311F"/>
    <w:rsid w:val="00730C4F"/>
    <w:rsid w:val="00755E7C"/>
    <w:rsid w:val="00791834"/>
    <w:rsid w:val="007A033F"/>
    <w:rsid w:val="008A0FB3"/>
    <w:rsid w:val="0092696C"/>
    <w:rsid w:val="00A51C85"/>
    <w:rsid w:val="00AF28DB"/>
    <w:rsid w:val="00B04701"/>
    <w:rsid w:val="00B67EEF"/>
    <w:rsid w:val="00C53C5E"/>
    <w:rsid w:val="00C603FA"/>
    <w:rsid w:val="00C75852"/>
    <w:rsid w:val="00C92EBF"/>
    <w:rsid w:val="00CA3EDD"/>
    <w:rsid w:val="00CD21E4"/>
    <w:rsid w:val="00DF79D5"/>
    <w:rsid w:val="00E2247E"/>
    <w:rsid w:val="00E7515E"/>
    <w:rsid w:val="00FA75DA"/>
    <w:rsid w:val="00FC1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BE945"/>
  <w15:chartTrackingRefBased/>
  <w15:docId w15:val="{3D74D6ED-5D90-4B56-8262-7CBB9D80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224"/>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2C3224"/>
    <w:pPr>
      <w:keepNext/>
      <w:numPr>
        <w:numId w:val="1"/>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rsid w:val="002C3224"/>
    <w:pPr>
      <w:keepNext/>
      <w:numPr>
        <w:ilvl w:val="1"/>
        <w:numId w:val="1"/>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rsid w:val="002C3224"/>
    <w:pPr>
      <w:keepNext/>
      <w:numPr>
        <w:ilvl w:val="2"/>
        <w:numId w:val="1"/>
      </w:numPr>
      <w:outlineLvl w:val="2"/>
    </w:pPr>
    <w:rPr>
      <w:rFonts w:eastAsiaTheme="majorEastAsia"/>
      <w:bCs/>
      <w:i/>
    </w:rPr>
  </w:style>
  <w:style w:type="paragraph" w:styleId="Heading4">
    <w:name w:val="heading 4"/>
    <w:basedOn w:val="Normal"/>
    <w:next w:val="Normal"/>
    <w:link w:val="Heading4Char"/>
    <w:uiPriority w:val="9"/>
    <w:semiHidden/>
    <w:unhideWhenUsed/>
    <w:qFormat/>
    <w:rsid w:val="002C3224"/>
    <w:pPr>
      <w:keepNext/>
      <w:numPr>
        <w:ilvl w:val="3"/>
        <w:numId w:val="1"/>
      </w:numPr>
      <w:outlineLvl w:val="3"/>
    </w:pPr>
    <w:rPr>
      <w:rFonts w:eastAsiaTheme="majorEastAsia"/>
      <w:bCs/>
      <w:iCs/>
    </w:rPr>
  </w:style>
  <w:style w:type="paragraph" w:styleId="Heading5">
    <w:name w:val="heading 5"/>
    <w:basedOn w:val="Normal"/>
    <w:next w:val="Normal"/>
    <w:link w:val="Heading5Char"/>
    <w:uiPriority w:val="9"/>
    <w:semiHidden/>
    <w:unhideWhenUsed/>
    <w:qFormat/>
    <w:rsid w:val="002C3224"/>
    <w:pPr>
      <w:keepNext/>
      <w:numPr>
        <w:ilvl w:val="4"/>
        <w:numId w:val="1"/>
      </w:numPr>
      <w:outlineLvl w:val="4"/>
    </w:pPr>
    <w:rPr>
      <w:rFonts w:eastAsiaTheme="majorEastAsia"/>
    </w:rPr>
  </w:style>
  <w:style w:type="paragraph" w:styleId="Heading6">
    <w:name w:val="heading 6"/>
    <w:basedOn w:val="Normal"/>
    <w:next w:val="Normal"/>
    <w:link w:val="Heading6Char"/>
    <w:uiPriority w:val="9"/>
    <w:semiHidden/>
    <w:unhideWhenUsed/>
    <w:qFormat/>
    <w:rsid w:val="002C3224"/>
    <w:pPr>
      <w:keepNext/>
      <w:numPr>
        <w:ilvl w:val="5"/>
        <w:numId w:val="1"/>
      </w:numPr>
      <w:outlineLvl w:val="5"/>
    </w:pPr>
    <w:rPr>
      <w:rFonts w:eastAsiaTheme="majorEastAsia"/>
      <w:iCs/>
    </w:rPr>
  </w:style>
  <w:style w:type="paragraph" w:styleId="Heading7">
    <w:name w:val="heading 7"/>
    <w:basedOn w:val="Normal"/>
    <w:next w:val="Normal"/>
    <w:link w:val="Heading7Char"/>
    <w:uiPriority w:val="9"/>
    <w:semiHidden/>
    <w:unhideWhenUsed/>
    <w:qFormat/>
    <w:rsid w:val="002C3224"/>
    <w:pPr>
      <w:keepNext/>
      <w:numPr>
        <w:ilvl w:val="6"/>
        <w:numId w:val="1"/>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224"/>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2C3224"/>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2C3224"/>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2C3224"/>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semiHidden/>
    <w:rsid w:val="002C3224"/>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sid w:val="002C3224"/>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sid w:val="002C3224"/>
    <w:rPr>
      <w:rFonts w:ascii="Times New Roman" w:eastAsiaTheme="majorEastAsia" w:hAnsi="Times New Roman" w:cs="Times New Roman"/>
      <w:iCs/>
      <w:sz w:val="24"/>
    </w:rPr>
  </w:style>
  <w:style w:type="character" w:styleId="Hyperlink">
    <w:name w:val="Hyperlink"/>
    <w:basedOn w:val="DefaultParagraphFont"/>
    <w:uiPriority w:val="99"/>
    <w:semiHidden/>
    <w:unhideWhenUsed/>
    <w:rsid w:val="002C3224"/>
    <w:rPr>
      <w:color w:val="0563C1" w:themeColor="hyperlink"/>
      <w:u w:val="single"/>
    </w:rPr>
  </w:style>
  <w:style w:type="paragraph" w:styleId="FootnoteText">
    <w:name w:val="footnote text"/>
    <w:basedOn w:val="Normal"/>
    <w:link w:val="FootnoteTextChar"/>
    <w:uiPriority w:val="99"/>
    <w:semiHidden/>
    <w:unhideWhenUsed/>
    <w:rsid w:val="002C3224"/>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2C3224"/>
    <w:rPr>
      <w:rFonts w:ascii="Times New Roman" w:hAnsi="Times New Roman" w:cs="Times New Roman"/>
      <w:sz w:val="20"/>
      <w:szCs w:val="20"/>
    </w:rPr>
  </w:style>
  <w:style w:type="paragraph" w:customStyle="1" w:styleId="Default">
    <w:name w:val="Default"/>
    <w:rsid w:val="002C3224"/>
    <w:pPr>
      <w:autoSpaceDE w:val="0"/>
      <w:autoSpaceDN w:val="0"/>
      <w:adjustRightInd w:val="0"/>
      <w:spacing w:after="0" w:line="240" w:lineRule="auto"/>
    </w:pPr>
    <w:rPr>
      <w:rFonts w:ascii="Liberation Serif" w:hAnsi="Liberation Serif" w:cs="Liberation Serif"/>
      <w:color w:val="000000"/>
      <w:sz w:val="24"/>
      <w:szCs w:val="24"/>
      <w:lang w:val="nb-NO"/>
    </w:rPr>
  </w:style>
  <w:style w:type="paragraph" w:customStyle="1" w:styleId="Annexetitre">
    <w:name w:val="Annexe titre"/>
    <w:basedOn w:val="Normal"/>
    <w:next w:val="Normal"/>
    <w:rsid w:val="002C3224"/>
    <w:pPr>
      <w:jc w:val="center"/>
    </w:pPr>
    <w:rPr>
      <w:b/>
      <w:u w:val="single"/>
    </w:rPr>
  </w:style>
  <w:style w:type="character" w:styleId="FootnoteReference">
    <w:name w:val="footnote reference"/>
    <w:basedOn w:val="DefaultParagraphFont"/>
    <w:uiPriority w:val="99"/>
    <w:semiHidden/>
    <w:unhideWhenUsed/>
    <w:rsid w:val="002C3224"/>
    <w:rPr>
      <w:vertAlign w:val="superscript"/>
    </w:rPr>
  </w:style>
  <w:style w:type="character" w:customStyle="1" w:styleId="Marker">
    <w:name w:val="Marker"/>
    <w:basedOn w:val="DefaultParagraphFont"/>
    <w:rsid w:val="002C3224"/>
    <w:rPr>
      <w:color w:val="0000FF"/>
    </w:rPr>
  </w:style>
  <w:style w:type="paragraph" w:styleId="BalloonText">
    <w:name w:val="Balloon Text"/>
    <w:basedOn w:val="Normal"/>
    <w:link w:val="BalloonTextChar"/>
    <w:uiPriority w:val="99"/>
    <w:semiHidden/>
    <w:unhideWhenUsed/>
    <w:rsid w:val="00FA75D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5DA"/>
    <w:rPr>
      <w:rFonts w:ascii="Segoe UI" w:hAnsi="Segoe UI" w:cs="Segoe UI"/>
      <w:sz w:val="18"/>
      <w:szCs w:val="18"/>
    </w:rPr>
  </w:style>
  <w:style w:type="character" w:styleId="CommentReference">
    <w:name w:val="annotation reference"/>
    <w:basedOn w:val="DefaultParagraphFont"/>
    <w:uiPriority w:val="99"/>
    <w:semiHidden/>
    <w:unhideWhenUsed/>
    <w:rsid w:val="00A51C85"/>
    <w:rPr>
      <w:sz w:val="16"/>
      <w:szCs w:val="16"/>
    </w:rPr>
  </w:style>
  <w:style w:type="paragraph" w:styleId="CommentText">
    <w:name w:val="annotation text"/>
    <w:basedOn w:val="Normal"/>
    <w:link w:val="CommentTextChar"/>
    <w:uiPriority w:val="99"/>
    <w:semiHidden/>
    <w:unhideWhenUsed/>
    <w:rsid w:val="00A51C85"/>
    <w:rPr>
      <w:sz w:val="20"/>
      <w:szCs w:val="20"/>
    </w:rPr>
  </w:style>
  <w:style w:type="character" w:customStyle="1" w:styleId="CommentTextChar">
    <w:name w:val="Comment Text Char"/>
    <w:basedOn w:val="DefaultParagraphFont"/>
    <w:link w:val="CommentText"/>
    <w:uiPriority w:val="99"/>
    <w:semiHidden/>
    <w:rsid w:val="00A51C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C85"/>
    <w:rPr>
      <w:b/>
      <w:bCs/>
    </w:rPr>
  </w:style>
  <w:style w:type="character" w:customStyle="1" w:styleId="CommentSubjectChar">
    <w:name w:val="Comment Subject Char"/>
    <w:basedOn w:val="CommentTextChar"/>
    <w:link w:val="CommentSubject"/>
    <w:uiPriority w:val="99"/>
    <w:semiHidden/>
    <w:rsid w:val="00A51C85"/>
    <w:rPr>
      <w:rFonts w:ascii="Times New Roman" w:hAnsi="Times New Roman" w:cs="Times New Roman"/>
      <w:b/>
      <w:bCs/>
      <w:sz w:val="20"/>
      <w:szCs w:val="20"/>
    </w:rPr>
  </w:style>
  <w:style w:type="paragraph" w:styleId="Revision">
    <w:name w:val="Revision"/>
    <w:hidden/>
    <w:uiPriority w:val="99"/>
    <w:semiHidden/>
    <w:rsid w:val="00665F79"/>
    <w:pPr>
      <w:spacing w:after="0" w:line="240" w:lineRule="auto"/>
    </w:pPr>
    <w:rPr>
      <w:rFonts w:ascii="Times New Roman" w:hAnsi="Times New Roman" w:cs="Times New Roman"/>
      <w:sz w:val="24"/>
    </w:rPr>
  </w:style>
  <w:style w:type="table" w:styleId="TableGrid">
    <w:name w:val="Table Grid"/>
    <w:basedOn w:val="TableNormal"/>
    <w:uiPriority w:val="39"/>
    <w:rsid w:val="00106EBD"/>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person-title">
    <w:name w:val="baseperson-title"/>
    <w:basedOn w:val="DefaultParagraphFont"/>
    <w:rsid w:val="0010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1785">
      <w:bodyDiv w:val="1"/>
      <w:marLeft w:val="0"/>
      <w:marRight w:val="0"/>
      <w:marTop w:val="0"/>
      <w:marBottom w:val="0"/>
      <w:divBdr>
        <w:top w:val="none" w:sz="0" w:space="0" w:color="auto"/>
        <w:left w:val="none" w:sz="0" w:space="0" w:color="auto"/>
        <w:bottom w:val="none" w:sz="0" w:space="0" w:color="auto"/>
        <w:right w:val="none" w:sz="0" w:space="0" w:color="auto"/>
      </w:divBdr>
    </w:div>
    <w:div w:id="15261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6d541f66-0f81-11ec-9151-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2082</Words>
  <Characters>13662</Characters>
  <Application>Microsoft Office Word</Application>
  <DocSecurity>0</DocSecurity>
  <Lines>278</Lines>
  <Paragraphs>107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THORBJORNSEN Wilma (EEAS-OSLO)</dc:creator>
  <cp:keywords/>
  <dc:description/>
  <cp:lastModifiedBy>CIOS Daniel (GROW)</cp:lastModifiedBy>
  <cp:revision>2</cp:revision>
  <dcterms:created xsi:type="dcterms:W3CDTF">2024-03-21T12:51:00Z</dcterms:created>
  <dcterms:modified xsi:type="dcterms:W3CDTF">2024-03-21T12:51:00Z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2024-03-19T11:10:52Z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7dde44e7-b5cd-479e-92cf-5a70ae4abd35</vt:lpwstr>
  </property>
  <property fmtid="{D5CDD505-2E9C-101B-9397-08002B2CF9AE}" pid="8" name="MSIP_Label_6bd9ddd1-4d20-43f6-abfa-fc3c07406f94_ContentBits">
    <vt:lpwstr>0</vt:lpwstr>
  </property>
  <property fmtid="{D5CDD505-2E9C-101B-9397-08002B2CF9AE}" pid="9" name="MSIP_Label_24605b63-4aad-46a3-aa9d-a839194239a5_Enabled">
    <vt:lpwstr>true</vt:lpwstr>
  </property>
  <property fmtid="{D5CDD505-2E9C-101B-9397-08002B2CF9AE}" pid="10" name="MSIP_Label_24605b63-4aad-46a3-aa9d-a839194239a5_SetDate">
    <vt:lpwstr>2024-03-20T11:15:57Z</vt:lpwstr>
  </property>
  <property fmtid="{D5CDD505-2E9C-101B-9397-08002B2CF9AE}" pid="11" name="MSIP_Label_24605b63-4aad-46a3-aa9d-a839194239a5_Method">
    <vt:lpwstr>Standard</vt:lpwstr>
  </property>
  <property fmtid="{D5CDD505-2E9C-101B-9397-08002B2CF9AE}" pid="12" name="MSIP_Label_24605b63-4aad-46a3-aa9d-a839194239a5_Name">
    <vt:lpwstr>Intern (NFD)</vt:lpwstr>
  </property>
  <property fmtid="{D5CDD505-2E9C-101B-9397-08002B2CF9AE}" pid="13" name="MSIP_Label_24605b63-4aad-46a3-aa9d-a839194239a5_SiteId">
    <vt:lpwstr>f696e186-1c3b-44cd-bf76-5ace0e7007bd</vt:lpwstr>
  </property>
  <property fmtid="{D5CDD505-2E9C-101B-9397-08002B2CF9AE}" pid="14" name="MSIP_Label_24605b63-4aad-46a3-aa9d-a839194239a5_ActionId">
    <vt:lpwstr>b532457c-62e7-48e6-a19a-20c4ef2abb33</vt:lpwstr>
  </property>
  <property fmtid="{D5CDD505-2E9C-101B-9397-08002B2CF9AE}" pid="15" name="MSIP_Label_24605b63-4aad-46a3-aa9d-a839194239a5_ContentBits">
    <vt:lpwstr>0</vt:lpwstr>
  </property>
</Properties>
</file>