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0A701" w14:textId="77777777" w:rsidR="00B419CE" w:rsidRPr="00B419CE" w:rsidRDefault="00B419CE" w:rsidP="00B419CE">
      <w:pPr>
        <w:pStyle w:val="is-dep"/>
      </w:pPr>
      <w:bookmarkStart w:id="0" w:name="_Hlk83918448"/>
      <w:r w:rsidRPr="00B419CE">
        <w:t>Finansdepartementet</w:t>
      </w:r>
    </w:p>
    <w:p w14:paraId="5873A150" w14:textId="77777777" w:rsidR="00B419CE" w:rsidRPr="00B419CE" w:rsidRDefault="00B419CE" w:rsidP="00B419CE">
      <w:pPr>
        <w:pStyle w:val="i-hode"/>
      </w:pPr>
      <w:r w:rsidRPr="00B419CE">
        <w:t>Prop. 1 S</w:t>
      </w:r>
    </w:p>
    <w:p w14:paraId="67004CA2" w14:textId="77777777" w:rsidR="00B419CE" w:rsidRPr="00B419CE" w:rsidRDefault="00B419CE" w:rsidP="00B419CE">
      <w:pPr>
        <w:pStyle w:val="i-sesjon"/>
      </w:pPr>
      <w:r w:rsidRPr="00B419CE">
        <w:t>(2021–2022)</w:t>
      </w:r>
    </w:p>
    <w:p w14:paraId="1188C323" w14:textId="77777777" w:rsidR="00B419CE" w:rsidRPr="00B419CE" w:rsidRDefault="00B419CE" w:rsidP="00B419CE">
      <w:pPr>
        <w:pStyle w:val="i-hode-tit"/>
      </w:pPr>
      <w:r w:rsidRPr="00B419CE">
        <w:t>Proposisjon til Stortinget (forslag til stortingsvedtak)</w:t>
      </w:r>
    </w:p>
    <w:p w14:paraId="46B2D8DA" w14:textId="77777777" w:rsidR="00B419CE" w:rsidRPr="00B419CE" w:rsidRDefault="00B419CE" w:rsidP="00B419CE">
      <w:pPr>
        <w:pStyle w:val="i-termin"/>
      </w:pPr>
      <w:r w:rsidRPr="00B419CE">
        <w:t>FOR BUDSJETTÅRET 2022</w:t>
      </w:r>
    </w:p>
    <w:p w14:paraId="5635F371" w14:textId="77777777" w:rsidR="00B419CE" w:rsidRPr="00B419CE" w:rsidRDefault="00B419CE" w:rsidP="00B419CE">
      <w:pPr>
        <w:pStyle w:val="i-undertit"/>
      </w:pPr>
      <w:r w:rsidRPr="00B419CE">
        <w:t>Utgiftskapittel: 20–51, 1600–1650</w:t>
      </w:r>
    </w:p>
    <w:p w14:paraId="6EC9247E" w14:textId="77777777" w:rsidR="00B419CE" w:rsidRPr="00B419CE" w:rsidRDefault="00B419CE" w:rsidP="00B419CE">
      <w:pPr>
        <w:pStyle w:val="i-undertit"/>
      </w:pPr>
      <w:r w:rsidRPr="00B419CE">
        <w:t>Inntektskapittel: 3024–3051, 4600–4620, 5341, 5351, 5580, 5605, 5692–5693</w:t>
      </w:r>
    </w:p>
    <w:p w14:paraId="3589EBF0" w14:textId="77777777" w:rsidR="00B419CE" w:rsidRPr="00B419CE" w:rsidRDefault="00B419CE" w:rsidP="00B419CE">
      <w:pPr>
        <w:pStyle w:val="i-dep"/>
      </w:pPr>
      <w:r w:rsidRPr="00B419CE">
        <w:t>Finansdepartementet</w:t>
      </w:r>
    </w:p>
    <w:p w14:paraId="072D1AE7" w14:textId="77777777" w:rsidR="00B419CE" w:rsidRPr="00B419CE" w:rsidRDefault="00B419CE" w:rsidP="00B419CE">
      <w:pPr>
        <w:pStyle w:val="i-hode"/>
      </w:pPr>
      <w:r w:rsidRPr="00B419CE">
        <w:t>Prop. 1 S</w:t>
      </w:r>
    </w:p>
    <w:p w14:paraId="686DB2AF" w14:textId="77777777" w:rsidR="00B419CE" w:rsidRPr="00B419CE" w:rsidRDefault="00B419CE" w:rsidP="00B419CE">
      <w:pPr>
        <w:pStyle w:val="i-sesjon"/>
      </w:pPr>
      <w:r w:rsidRPr="00B419CE">
        <w:t>(2021–2022)</w:t>
      </w:r>
    </w:p>
    <w:p w14:paraId="536CC834" w14:textId="77777777" w:rsidR="00B419CE" w:rsidRPr="00B419CE" w:rsidRDefault="00B419CE" w:rsidP="00B419CE">
      <w:pPr>
        <w:pStyle w:val="i-hode-tit"/>
      </w:pPr>
      <w:r w:rsidRPr="00B419CE">
        <w:t>Proposisjon til Stortinget (forslag til stortingsvedtak)</w:t>
      </w:r>
    </w:p>
    <w:p w14:paraId="0F494A8F" w14:textId="77777777" w:rsidR="00B419CE" w:rsidRPr="00B419CE" w:rsidRDefault="00B419CE" w:rsidP="00B419CE">
      <w:pPr>
        <w:pStyle w:val="i-termin"/>
      </w:pPr>
      <w:r w:rsidRPr="00B419CE">
        <w:t>FOR BUDSJETTÅRET 2022</w:t>
      </w:r>
    </w:p>
    <w:p w14:paraId="09BE175C" w14:textId="77777777" w:rsidR="00B419CE" w:rsidRPr="00B419CE" w:rsidRDefault="00B419CE" w:rsidP="00B419CE">
      <w:pPr>
        <w:pStyle w:val="i-undertit"/>
      </w:pPr>
      <w:r w:rsidRPr="00B419CE">
        <w:t>Utgiftskapittel: 20–51, 1600–1650</w:t>
      </w:r>
    </w:p>
    <w:p w14:paraId="5C92DBDE" w14:textId="77777777" w:rsidR="00B419CE" w:rsidRPr="00B419CE" w:rsidRDefault="00B419CE" w:rsidP="00B419CE">
      <w:pPr>
        <w:pStyle w:val="i-undertit"/>
      </w:pPr>
      <w:r w:rsidRPr="00B419CE">
        <w:t>Inntektskapittel: 3024–3051, 4600–4620, 5341, 5351, 5580, 5605, 5692–5693</w:t>
      </w:r>
    </w:p>
    <w:p w14:paraId="0909BD60" w14:textId="77777777" w:rsidR="00B419CE" w:rsidRPr="00B419CE" w:rsidRDefault="00B419CE" w:rsidP="00B419CE">
      <w:pPr>
        <w:pStyle w:val="i-statsrdato"/>
      </w:pPr>
      <w:r w:rsidRPr="00B419CE">
        <w:t xml:space="preserve">Tilråding frå </w:t>
      </w:r>
      <w:bookmarkStart w:id="1" w:name="_Hlk83918249"/>
      <w:r w:rsidRPr="00B419CE">
        <w:t xml:space="preserve">Finansdepartementet </w:t>
      </w:r>
      <w:bookmarkEnd w:id="1"/>
      <w:r w:rsidRPr="00B419CE">
        <w:t xml:space="preserve">1. oktober 2021, </w:t>
      </w:r>
      <w:r w:rsidRPr="00B419CE">
        <w:br/>
        <w:t xml:space="preserve">godkjend i statsråd same dagen. </w:t>
      </w:r>
      <w:r w:rsidRPr="00B419CE">
        <w:br/>
        <w:t>(Regjeringa Solberg)</w:t>
      </w:r>
    </w:p>
    <w:p w14:paraId="55B2CAAA" w14:textId="78C2C6FD" w:rsidR="00B419CE" w:rsidRPr="00B419CE" w:rsidRDefault="00B419CE" w:rsidP="00B419CE">
      <w:pPr>
        <w:pStyle w:val="del-nr"/>
      </w:pPr>
      <w:r w:rsidRPr="00B419CE">
        <w:t>Del I</w:t>
      </w:r>
    </w:p>
    <w:p w14:paraId="4715BDD7" w14:textId="77777777" w:rsidR="00B419CE" w:rsidRPr="00B419CE" w:rsidRDefault="00B419CE" w:rsidP="00B419CE">
      <w:pPr>
        <w:pStyle w:val="del-tittel"/>
      </w:pPr>
      <w:r w:rsidRPr="00B419CE">
        <w:t>Innleiing</w:t>
      </w:r>
    </w:p>
    <w:p w14:paraId="2820B208" w14:textId="77777777" w:rsidR="00B419CE" w:rsidRPr="00B419CE" w:rsidRDefault="00B419CE" w:rsidP="00B419CE">
      <w:pPr>
        <w:pStyle w:val="Overskrift1"/>
      </w:pPr>
      <w:r w:rsidRPr="00B419CE">
        <w:lastRenderedPageBreak/>
        <w:t>Oversikt</w:t>
      </w:r>
    </w:p>
    <w:p w14:paraId="095A96FB" w14:textId="77777777" w:rsidR="00B419CE" w:rsidRPr="00B419CE" w:rsidRDefault="00B419CE" w:rsidP="00B419CE">
      <w:pPr>
        <w:pStyle w:val="Overskrift2"/>
      </w:pPr>
      <w:r w:rsidRPr="00B419CE">
        <w:t>Område</w:t>
      </w:r>
    </w:p>
    <w:p w14:paraId="735EC5E4" w14:textId="77777777" w:rsidR="00B419CE" w:rsidRPr="00B419CE" w:rsidRDefault="00B419CE" w:rsidP="00B419CE">
      <w:r w:rsidRPr="00B419CE">
        <w:t xml:space="preserve">I denne proposisjonen kjem departementet med framlegg om utgifter og inntekter under programområde 00 </w:t>
      </w:r>
      <w:r w:rsidRPr="00B419CE">
        <w:rPr>
          <w:rStyle w:val="kursiv"/>
        </w:rPr>
        <w:t xml:space="preserve">Konstitusjonelle </w:t>
      </w:r>
      <w:proofErr w:type="spellStart"/>
      <w:r w:rsidRPr="00B419CE">
        <w:rPr>
          <w:rStyle w:val="kursiv"/>
        </w:rPr>
        <w:t>institusjonar</w:t>
      </w:r>
      <w:proofErr w:type="spellEnd"/>
      <w:r w:rsidRPr="00B419CE">
        <w:t xml:space="preserve">, programområde 23 </w:t>
      </w:r>
      <w:r w:rsidRPr="00B419CE">
        <w:rPr>
          <w:rStyle w:val="kursiv"/>
        </w:rPr>
        <w:t>Finansadministrasjon</w:t>
      </w:r>
      <w:r w:rsidRPr="00B419CE">
        <w:t xml:space="preserve">, </w:t>
      </w:r>
      <w:proofErr w:type="spellStart"/>
      <w:r w:rsidRPr="00B419CE">
        <w:t>medrekna</w:t>
      </w:r>
      <w:proofErr w:type="spellEnd"/>
      <w:r w:rsidRPr="00B419CE">
        <w:t xml:space="preserve"> skatte- og avgiftsadministrasjonen, og programområde 24 </w:t>
      </w:r>
      <w:proofErr w:type="spellStart"/>
      <w:r w:rsidRPr="00B419CE">
        <w:rPr>
          <w:rStyle w:val="kursiv"/>
        </w:rPr>
        <w:t>Statleg</w:t>
      </w:r>
      <w:proofErr w:type="spellEnd"/>
      <w:r w:rsidRPr="00B419CE">
        <w:rPr>
          <w:rStyle w:val="kursiv"/>
        </w:rPr>
        <w:t xml:space="preserve"> gjeld og krav, renter og avdrag m.m</w:t>
      </w:r>
      <w:r w:rsidRPr="00B419CE">
        <w:t xml:space="preserve">. Ansvaret for </w:t>
      </w:r>
      <w:proofErr w:type="spellStart"/>
      <w:r w:rsidRPr="00B419CE">
        <w:t>løyvingane</w:t>
      </w:r>
      <w:proofErr w:type="spellEnd"/>
      <w:r w:rsidRPr="00B419CE">
        <w:t xml:space="preserve">, </w:t>
      </w:r>
      <w:proofErr w:type="spellStart"/>
      <w:r w:rsidRPr="00B419CE">
        <w:t>medrekna</w:t>
      </w:r>
      <w:proofErr w:type="spellEnd"/>
      <w:r w:rsidRPr="00B419CE">
        <w:t xml:space="preserve"> </w:t>
      </w:r>
      <w:proofErr w:type="spellStart"/>
      <w:r w:rsidRPr="00B419CE">
        <w:t>rekneskapsavlegging</w:t>
      </w:r>
      <w:proofErr w:type="spellEnd"/>
      <w:r w:rsidRPr="00B419CE">
        <w:t xml:space="preserve">, under </w:t>
      </w:r>
      <w:proofErr w:type="spellStart"/>
      <w:r w:rsidRPr="00B419CE">
        <w:t>programkategoriane</w:t>
      </w:r>
      <w:proofErr w:type="spellEnd"/>
      <w:r w:rsidRPr="00B419CE">
        <w:t xml:space="preserve"> 00.30 </w:t>
      </w:r>
      <w:r w:rsidRPr="00B419CE">
        <w:rPr>
          <w:rStyle w:val="kursiv"/>
        </w:rPr>
        <w:t>Regjeringa</w:t>
      </w:r>
      <w:r w:rsidRPr="00B419CE">
        <w:t xml:space="preserve"> og 00.40 </w:t>
      </w:r>
      <w:r w:rsidRPr="00B419CE">
        <w:rPr>
          <w:rStyle w:val="kursiv"/>
        </w:rPr>
        <w:t>Stortinget og tilknytte organ</w:t>
      </w:r>
      <w:r w:rsidRPr="00B419CE">
        <w:t xml:space="preserve"> ligg til </w:t>
      </w:r>
      <w:proofErr w:type="spellStart"/>
      <w:r w:rsidRPr="00B419CE">
        <w:t>høvesvis</w:t>
      </w:r>
      <w:proofErr w:type="spellEnd"/>
      <w:r w:rsidRPr="00B419CE">
        <w:t xml:space="preserve"> Statsministerens kontor og Stortingets eigne </w:t>
      </w:r>
      <w:proofErr w:type="spellStart"/>
      <w:r w:rsidRPr="00B419CE">
        <w:t>institusjonar</w:t>
      </w:r>
      <w:proofErr w:type="spellEnd"/>
      <w:r w:rsidRPr="00B419CE">
        <w:t xml:space="preserve">. Av praktiske </w:t>
      </w:r>
      <w:proofErr w:type="spellStart"/>
      <w:r w:rsidRPr="00B419CE">
        <w:t>grunnar</w:t>
      </w:r>
      <w:proofErr w:type="spellEnd"/>
      <w:r w:rsidRPr="00B419CE">
        <w:t xml:space="preserve"> vert </w:t>
      </w:r>
      <w:proofErr w:type="spellStart"/>
      <w:r w:rsidRPr="00B419CE">
        <w:t>desse</w:t>
      </w:r>
      <w:proofErr w:type="spellEnd"/>
      <w:r w:rsidRPr="00B419CE">
        <w:t xml:space="preserve"> </w:t>
      </w:r>
      <w:proofErr w:type="spellStart"/>
      <w:r w:rsidRPr="00B419CE">
        <w:t>programkategoriane</w:t>
      </w:r>
      <w:proofErr w:type="spellEnd"/>
      <w:r w:rsidRPr="00B419CE">
        <w:t xml:space="preserve"> førte opp i Finansdepartementets proposisjon, og beløpa er </w:t>
      </w:r>
      <w:proofErr w:type="spellStart"/>
      <w:r w:rsidRPr="00B419CE">
        <w:t>tekne</w:t>
      </w:r>
      <w:proofErr w:type="spellEnd"/>
      <w:r w:rsidRPr="00B419CE">
        <w:t xml:space="preserve"> med i oversikt over </w:t>
      </w:r>
      <w:proofErr w:type="spellStart"/>
      <w:r w:rsidRPr="00B419CE">
        <w:t>løyvingar</w:t>
      </w:r>
      <w:proofErr w:type="spellEnd"/>
      <w:r w:rsidRPr="00B419CE">
        <w:t xml:space="preserve"> på Finansdepartementets område. Framlegg under programkategori 00.40 er i samsvar med framlegget </w:t>
      </w:r>
      <w:proofErr w:type="spellStart"/>
      <w:r w:rsidRPr="00B419CE">
        <w:t>frå</w:t>
      </w:r>
      <w:proofErr w:type="spellEnd"/>
      <w:r w:rsidRPr="00B419CE">
        <w:t xml:space="preserve"> stortingsadministrasjonen.</w:t>
      </w:r>
    </w:p>
    <w:p w14:paraId="15DAAA33" w14:textId="77777777" w:rsidR="00B419CE" w:rsidRPr="00B419CE" w:rsidRDefault="00B419CE" w:rsidP="00B419CE">
      <w:pPr>
        <w:pStyle w:val="Overskrift2"/>
      </w:pPr>
      <w:proofErr w:type="spellStart"/>
      <w:r w:rsidRPr="00B419CE">
        <w:t>Hovudoppgåver</w:t>
      </w:r>
      <w:proofErr w:type="spellEnd"/>
      <w:r w:rsidRPr="00B419CE">
        <w:t xml:space="preserve"> og organisering</w:t>
      </w:r>
    </w:p>
    <w:p w14:paraId="00C02F70" w14:textId="77777777" w:rsidR="00B419CE" w:rsidRPr="00B419CE" w:rsidRDefault="00B419CE" w:rsidP="00B419CE">
      <w:r w:rsidRPr="00B419CE">
        <w:t xml:space="preserve">Finansdepartementet med </w:t>
      </w:r>
      <w:proofErr w:type="spellStart"/>
      <w:r w:rsidRPr="00B419CE">
        <w:t>underliggjande</w:t>
      </w:r>
      <w:proofErr w:type="spellEnd"/>
      <w:r w:rsidRPr="00B419CE">
        <w:t xml:space="preserve"> </w:t>
      </w:r>
      <w:proofErr w:type="spellStart"/>
      <w:r w:rsidRPr="00B419CE">
        <w:t>etatar</w:t>
      </w:r>
      <w:proofErr w:type="spellEnd"/>
      <w:r w:rsidRPr="00B419CE">
        <w:t xml:space="preserve"> har ansvar for m.a. å</w:t>
      </w:r>
    </w:p>
    <w:p w14:paraId="67E8850C" w14:textId="77777777" w:rsidR="00B419CE" w:rsidRPr="00B419CE" w:rsidRDefault="00B419CE" w:rsidP="00B419CE">
      <w:pPr>
        <w:pStyle w:val="Liste"/>
      </w:pPr>
      <w:proofErr w:type="spellStart"/>
      <w:r w:rsidRPr="00B419CE">
        <w:t>medverke</w:t>
      </w:r>
      <w:proofErr w:type="spellEnd"/>
      <w:r w:rsidRPr="00B419CE">
        <w:t xml:space="preserve"> til </w:t>
      </w:r>
      <w:proofErr w:type="spellStart"/>
      <w:r w:rsidRPr="00B419CE">
        <w:t>eit</w:t>
      </w:r>
      <w:proofErr w:type="spellEnd"/>
      <w:r w:rsidRPr="00B419CE">
        <w:t xml:space="preserve"> </w:t>
      </w:r>
      <w:proofErr w:type="spellStart"/>
      <w:r w:rsidRPr="00B419CE">
        <w:t>høveleg</w:t>
      </w:r>
      <w:proofErr w:type="spellEnd"/>
      <w:r w:rsidRPr="00B419CE">
        <w:t xml:space="preserve"> grunnlag for vedtak i den økonomiske politikken og i budsjettarbeidet</w:t>
      </w:r>
    </w:p>
    <w:p w14:paraId="5E450163" w14:textId="77777777" w:rsidR="00B419CE" w:rsidRPr="00B419CE" w:rsidRDefault="00B419CE" w:rsidP="00B419CE">
      <w:pPr>
        <w:pStyle w:val="Liste"/>
      </w:pPr>
      <w:r w:rsidRPr="00B419CE">
        <w:t xml:space="preserve">sikre finansieringa av den </w:t>
      </w:r>
      <w:proofErr w:type="spellStart"/>
      <w:r w:rsidRPr="00B419CE">
        <w:t>offentlege</w:t>
      </w:r>
      <w:proofErr w:type="spellEnd"/>
      <w:r w:rsidRPr="00B419CE">
        <w:t xml:space="preserve"> </w:t>
      </w:r>
      <w:proofErr w:type="spellStart"/>
      <w:r w:rsidRPr="00B419CE">
        <w:t>verksemda</w:t>
      </w:r>
      <w:proofErr w:type="spellEnd"/>
      <w:r w:rsidRPr="00B419CE">
        <w:t xml:space="preserve"> gjennom </w:t>
      </w:r>
      <w:proofErr w:type="spellStart"/>
      <w:r w:rsidRPr="00B419CE">
        <w:t>skattar</w:t>
      </w:r>
      <w:proofErr w:type="spellEnd"/>
      <w:r w:rsidRPr="00B419CE">
        <w:t xml:space="preserve"> og avgifter</w:t>
      </w:r>
    </w:p>
    <w:p w14:paraId="18532B14" w14:textId="77777777" w:rsidR="00B419CE" w:rsidRPr="00B419CE" w:rsidRDefault="00B419CE" w:rsidP="00B419CE">
      <w:pPr>
        <w:pStyle w:val="Liste"/>
      </w:pPr>
      <w:r w:rsidRPr="00B419CE">
        <w:t>samordne arbeidet med statsbudsjettet og økonomistyringa i staten</w:t>
      </w:r>
    </w:p>
    <w:p w14:paraId="49A85843" w14:textId="77777777" w:rsidR="00B419CE" w:rsidRPr="00B419CE" w:rsidRDefault="00B419CE" w:rsidP="00B419CE">
      <w:pPr>
        <w:pStyle w:val="Liste"/>
      </w:pPr>
      <w:r w:rsidRPr="00B419CE">
        <w:t xml:space="preserve">forvalte </w:t>
      </w:r>
      <w:proofErr w:type="spellStart"/>
      <w:r w:rsidRPr="00B419CE">
        <w:t>statleg</w:t>
      </w:r>
      <w:proofErr w:type="spellEnd"/>
      <w:r w:rsidRPr="00B419CE">
        <w:t xml:space="preserve"> formue og gjeld</w:t>
      </w:r>
    </w:p>
    <w:p w14:paraId="5A4ECC71" w14:textId="77777777" w:rsidR="00B419CE" w:rsidRPr="00B419CE" w:rsidRDefault="00B419CE" w:rsidP="00B419CE">
      <w:pPr>
        <w:pStyle w:val="Liste"/>
      </w:pPr>
      <w:proofErr w:type="spellStart"/>
      <w:r w:rsidRPr="00B419CE">
        <w:t>medverke</w:t>
      </w:r>
      <w:proofErr w:type="spellEnd"/>
      <w:r w:rsidRPr="00B419CE">
        <w:t xml:space="preserve"> til </w:t>
      </w:r>
      <w:proofErr w:type="spellStart"/>
      <w:r w:rsidRPr="00B419CE">
        <w:t>eit</w:t>
      </w:r>
      <w:proofErr w:type="spellEnd"/>
      <w:r w:rsidRPr="00B419CE">
        <w:t xml:space="preserve"> offisielt statistikk- og datagrunnlag til bruk i </w:t>
      </w:r>
      <w:proofErr w:type="spellStart"/>
      <w:r w:rsidRPr="00B419CE">
        <w:t>offentleg</w:t>
      </w:r>
      <w:proofErr w:type="spellEnd"/>
      <w:r w:rsidRPr="00B419CE">
        <w:t xml:space="preserve"> og privat </w:t>
      </w:r>
      <w:proofErr w:type="spellStart"/>
      <w:r w:rsidRPr="00B419CE">
        <w:t>verksemd</w:t>
      </w:r>
      <w:proofErr w:type="spellEnd"/>
    </w:p>
    <w:p w14:paraId="1C05FD8B" w14:textId="77777777" w:rsidR="00B419CE" w:rsidRPr="00B419CE" w:rsidRDefault="00B419CE" w:rsidP="00B419CE">
      <w:pPr>
        <w:pStyle w:val="Liste"/>
      </w:pPr>
      <w:proofErr w:type="spellStart"/>
      <w:r w:rsidRPr="00B419CE">
        <w:t>medverke</w:t>
      </w:r>
      <w:proofErr w:type="spellEnd"/>
      <w:r w:rsidRPr="00B419CE">
        <w:t xml:space="preserve"> til </w:t>
      </w:r>
      <w:proofErr w:type="spellStart"/>
      <w:r w:rsidRPr="00B419CE">
        <w:t>velfungerande</w:t>
      </w:r>
      <w:proofErr w:type="spellEnd"/>
      <w:r w:rsidRPr="00B419CE">
        <w:t xml:space="preserve"> </w:t>
      </w:r>
      <w:proofErr w:type="spellStart"/>
      <w:r w:rsidRPr="00B419CE">
        <w:t>finansmarknader</w:t>
      </w:r>
      <w:proofErr w:type="spellEnd"/>
    </w:p>
    <w:p w14:paraId="2CDC85F4" w14:textId="77777777" w:rsidR="00B419CE" w:rsidRPr="00B419CE" w:rsidRDefault="00B419CE" w:rsidP="00B419CE">
      <w:r w:rsidRPr="00B419CE">
        <w:t xml:space="preserve">Politikken på </w:t>
      </w:r>
      <w:proofErr w:type="spellStart"/>
      <w:r w:rsidRPr="00B419CE">
        <w:t>dei</w:t>
      </w:r>
      <w:proofErr w:type="spellEnd"/>
      <w:r w:rsidRPr="00B419CE">
        <w:t xml:space="preserve"> </w:t>
      </w:r>
      <w:proofErr w:type="spellStart"/>
      <w:r w:rsidRPr="00B419CE">
        <w:t>ovannemnde</w:t>
      </w:r>
      <w:proofErr w:type="spellEnd"/>
      <w:r w:rsidRPr="00B419CE">
        <w:t xml:space="preserve"> områda er omtalt i Meld. St. 1 (2021–2022) </w:t>
      </w:r>
      <w:r w:rsidRPr="00B419CE">
        <w:rPr>
          <w:rStyle w:val="kursiv"/>
        </w:rPr>
        <w:t>Nasjonalbudsjettet 2022,</w:t>
      </w:r>
      <w:r w:rsidRPr="00B419CE">
        <w:t xml:space="preserve"> </w:t>
      </w:r>
      <w:proofErr w:type="spellStart"/>
      <w:r w:rsidRPr="00B419CE">
        <w:t>Prop</w:t>
      </w:r>
      <w:proofErr w:type="spellEnd"/>
      <w:r w:rsidRPr="00B419CE">
        <w:t xml:space="preserve">. 1 S (2021–2022) </w:t>
      </w:r>
      <w:r w:rsidRPr="00B419CE">
        <w:rPr>
          <w:rStyle w:val="kursiv"/>
        </w:rPr>
        <w:t>Statsbudsjettet for budsjettåret 2022</w:t>
      </w:r>
      <w:r w:rsidRPr="00B419CE">
        <w:t xml:space="preserve"> og </w:t>
      </w:r>
      <w:proofErr w:type="spellStart"/>
      <w:r w:rsidRPr="00B419CE">
        <w:t>Prop</w:t>
      </w:r>
      <w:proofErr w:type="spellEnd"/>
      <w:r w:rsidRPr="00B419CE">
        <w:t xml:space="preserve">. 1 LS (2021–2022) </w:t>
      </w:r>
      <w:r w:rsidRPr="00B419CE">
        <w:rPr>
          <w:rStyle w:val="kursiv"/>
        </w:rPr>
        <w:t>Skatter, avgifter og toll 2022.</w:t>
      </w:r>
      <w:r w:rsidRPr="00B419CE">
        <w:t xml:space="preserve"> Proposisjonen her </w:t>
      </w:r>
      <w:proofErr w:type="spellStart"/>
      <w:r w:rsidRPr="00B419CE">
        <w:t>omfattar</w:t>
      </w:r>
      <w:proofErr w:type="spellEnd"/>
      <w:r w:rsidRPr="00B419CE">
        <w:t xml:space="preserve"> i fyrste </w:t>
      </w:r>
      <w:proofErr w:type="spellStart"/>
      <w:r w:rsidRPr="00B419CE">
        <w:t>rekkje</w:t>
      </w:r>
      <w:proofErr w:type="spellEnd"/>
      <w:r w:rsidRPr="00B419CE">
        <w:t xml:space="preserve"> forvaltninga og administrasjonen på </w:t>
      </w:r>
      <w:proofErr w:type="spellStart"/>
      <w:r w:rsidRPr="00B419CE">
        <w:t>desse</w:t>
      </w:r>
      <w:proofErr w:type="spellEnd"/>
      <w:r w:rsidRPr="00B419CE">
        <w:t xml:space="preserve"> områda.</w:t>
      </w:r>
    </w:p>
    <w:p w14:paraId="230BADEB" w14:textId="77777777" w:rsidR="00B419CE" w:rsidRPr="00B419CE" w:rsidRDefault="00B419CE" w:rsidP="00B419CE">
      <w:proofErr w:type="spellStart"/>
      <w:r w:rsidRPr="00B419CE">
        <w:t>Nedanfor</w:t>
      </w:r>
      <w:proofErr w:type="spellEnd"/>
      <w:r w:rsidRPr="00B419CE">
        <w:t xml:space="preserve"> er </w:t>
      </w:r>
      <w:proofErr w:type="gramStart"/>
      <w:r w:rsidRPr="00B419CE">
        <w:t>ei oversikt</w:t>
      </w:r>
      <w:proofErr w:type="gramEnd"/>
      <w:r w:rsidRPr="00B419CE">
        <w:t xml:space="preserve"> over </w:t>
      </w:r>
      <w:proofErr w:type="spellStart"/>
      <w:r w:rsidRPr="00B419CE">
        <w:t>verksemder</w:t>
      </w:r>
      <w:proofErr w:type="spellEnd"/>
      <w:r w:rsidRPr="00B419CE">
        <w:t xml:space="preserve"> på Finansdepartementets område.</w:t>
      </w:r>
    </w:p>
    <w:p w14:paraId="121BE6C4" w14:textId="19BEA5B1" w:rsidR="00B419CE" w:rsidRPr="00B419CE" w:rsidRDefault="00B419CE" w:rsidP="00B419CE">
      <w:r w:rsidRPr="00B419CE">
        <w:drawing>
          <wp:inline distT="0" distB="0" distL="0" distR="0" wp14:anchorId="263C0304" wp14:editId="3BE34AF0">
            <wp:extent cx="5762625" cy="252412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2524125"/>
                    </a:xfrm>
                    <a:prstGeom prst="rect">
                      <a:avLst/>
                    </a:prstGeom>
                    <a:noFill/>
                    <a:ln>
                      <a:noFill/>
                    </a:ln>
                  </pic:spPr>
                </pic:pic>
              </a:graphicData>
            </a:graphic>
          </wp:inline>
        </w:drawing>
      </w:r>
    </w:p>
    <w:p w14:paraId="5370B13D" w14:textId="77777777" w:rsidR="00B419CE" w:rsidRPr="00B419CE" w:rsidRDefault="00B419CE" w:rsidP="00B419CE">
      <w:pPr>
        <w:pStyle w:val="figur-tittel"/>
      </w:pPr>
      <w:proofErr w:type="spellStart"/>
      <w:r w:rsidRPr="00B419CE">
        <w:lastRenderedPageBreak/>
        <w:t>Verksemder</w:t>
      </w:r>
      <w:proofErr w:type="spellEnd"/>
      <w:r w:rsidRPr="00B419CE">
        <w:t xml:space="preserve"> på Finansdepartementets område i 2022</w:t>
      </w:r>
    </w:p>
    <w:p w14:paraId="254C484E" w14:textId="77777777" w:rsidR="00B419CE" w:rsidRPr="00B419CE" w:rsidRDefault="00B419CE" w:rsidP="00B419CE">
      <w:pPr>
        <w:pStyle w:val="figur-noter"/>
        <w:rPr>
          <w:rStyle w:val="skrift-hevet"/>
        </w:rPr>
      </w:pPr>
      <w:r w:rsidRPr="00B419CE">
        <w:rPr>
          <w:rStyle w:val="skrift-hevet"/>
        </w:rPr>
        <w:t>1</w:t>
      </w:r>
      <w:r w:rsidRPr="00B419CE">
        <w:rPr>
          <w:rStyle w:val="skrift-hevet"/>
        </w:rPr>
        <w:tab/>
      </w:r>
      <w:r w:rsidRPr="00B419CE">
        <w:t xml:space="preserve">Ansvarstilhøvet mellom </w:t>
      </w:r>
      <w:proofErr w:type="spellStart"/>
      <w:r w:rsidRPr="00B419CE">
        <w:t>Noregs</w:t>
      </w:r>
      <w:proofErr w:type="spellEnd"/>
      <w:r w:rsidRPr="00B419CE">
        <w:t xml:space="preserve"> Bank og statsmaktene i m.a. budsjettsaker og administrative saker er regulert av lov 21. juni 2019 nr. 31 om Norges Bank og pengevesenet mv.</w:t>
      </w:r>
    </w:p>
    <w:p w14:paraId="7A7E9553" w14:textId="77777777" w:rsidR="00B419CE" w:rsidRPr="00B419CE" w:rsidRDefault="00B419CE" w:rsidP="00B419CE">
      <w:pPr>
        <w:pStyle w:val="figur-noter"/>
        <w:rPr>
          <w:rStyle w:val="skrift-hevet"/>
        </w:rPr>
      </w:pPr>
      <w:r w:rsidRPr="00B419CE">
        <w:rPr>
          <w:rStyle w:val="skrift-hevet"/>
        </w:rPr>
        <w:t>2</w:t>
      </w:r>
      <w:r w:rsidRPr="00B419CE">
        <w:rPr>
          <w:rStyle w:val="skrift-hevet"/>
        </w:rPr>
        <w:tab/>
      </w:r>
      <w:r w:rsidRPr="00B419CE">
        <w:t>Fondet er særskilt rettssubjekt, jf. lov 29. juni 2007 nr. 44 om Folketrygdfondet.</w:t>
      </w:r>
    </w:p>
    <w:p w14:paraId="65338BCF" w14:textId="77777777" w:rsidR="00B419CE" w:rsidRPr="00B419CE" w:rsidRDefault="00B419CE" w:rsidP="00B419CE">
      <w:pPr>
        <w:pStyle w:val="figur-noter"/>
      </w:pPr>
      <w:r w:rsidRPr="00B419CE">
        <w:rPr>
          <w:rStyle w:val="skrift-hevet"/>
        </w:rPr>
        <w:t>3</w:t>
      </w:r>
      <w:r w:rsidRPr="00B419CE">
        <w:rPr>
          <w:rStyle w:val="skrift-hevet"/>
        </w:rPr>
        <w:tab/>
      </w:r>
      <w:proofErr w:type="spellStart"/>
      <w:r w:rsidRPr="00B419CE">
        <w:t>Verksemd</w:t>
      </w:r>
      <w:proofErr w:type="spellEnd"/>
      <w:r w:rsidRPr="00B419CE">
        <w:t xml:space="preserve"> med eige styre.</w:t>
      </w:r>
    </w:p>
    <w:p w14:paraId="05876B61" w14:textId="77777777" w:rsidR="00B419CE" w:rsidRPr="00B419CE" w:rsidRDefault="00B419CE" w:rsidP="00B419CE">
      <w:pPr>
        <w:pStyle w:val="Overskrift2"/>
      </w:pPr>
      <w:r w:rsidRPr="00B419CE">
        <w:t>Oversikt over budsjettframlegget for Finansdepartementet</w:t>
      </w:r>
    </w:p>
    <w:p w14:paraId="372F2049" w14:textId="77777777" w:rsidR="00B419CE" w:rsidRPr="00B419CE" w:rsidRDefault="00B419CE" w:rsidP="00B419CE">
      <w:pPr>
        <w:pStyle w:val="avsnitt-tittel"/>
      </w:pPr>
      <w:r w:rsidRPr="00B419CE">
        <w:t>Programområde under departementet</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6929DAD1" w14:textId="77777777" w:rsidTr="00B419CE">
        <w:trPr>
          <w:trHeight w:val="640"/>
          <w:hidden/>
        </w:trPr>
        <w:tc>
          <w:tcPr>
            <w:tcW w:w="1020" w:type="dxa"/>
            <w:shd w:val="clear" w:color="auto" w:fill="FFFFFF"/>
          </w:tcPr>
          <w:p w14:paraId="25F66544" w14:textId="77777777" w:rsidR="00B419CE" w:rsidRPr="00B419CE" w:rsidRDefault="00B419CE" w:rsidP="00B419CE">
            <w:pPr>
              <w:pStyle w:val="Tabellnavn"/>
            </w:pPr>
            <w:r w:rsidRPr="00B419CE">
              <w:t>UIPOPO</w:t>
            </w:r>
          </w:p>
        </w:tc>
        <w:tc>
          <w:tcPr>
            <w:tcW w:w="4080" w:type="dxa"/>
          </w:tcPr>
          <w:p w14:paraId="7897A5E2" w14:textId="77777777" w:rsidR="00B419CE" w:rsidRPr="00B419CE" w:rsidRDefault="00B419CE" w:rsidP="00B419CE"/>
        </w:tc>
        <w:tc>
          <w:tcPr>
            <w:tcW w:w="1020" w:type="dxa"/>
          </w:tcPr>
          <w:p w14:paraId="6CC3DA8A" w14:textId="77777777" w:rsidR="00B419CE" w:rsidRPr="00B419CE" w:rsidRDefault="00B419CE" w:rsidP="00B419CE">
            <w:pPr>
              <w:jc w:val="right"/>
            </w:pPr>
          </w:p>
        </w:tc>
        <w:tc>
          <w:tcPr>
            <w:tcW w:w="1020" w:type="dxa"/>
          </w:tcPr>
          <w:p w14:paraId="30A3E1AF" w14:textId="77777777" w:rsidR="00B419CE" w:rsidRPr="00B419CE" w:rsidRDefault="00B419CE" w:rsidP="00B419CE">
            <w:pPr>
              <w:jc w:val="right"/>
            </w:pPr>
          </w:p>
        </w:tc>
        <w:tc>
          <w:tcPr>
            <w:tcW w:w="1020" w:type="dxa"/>
          </w:tcPr>
          <w:p w14:paraId="1A15D2AA" w14:textId="77777777" w:rsidR="00B419CE" w:rsidRPr="00B419CE" w:rsidRDefault="00B419CE" w:rsidP="00B419CE">
            <w:pPr>
              <w:jc w:val="right"/>
            </w:pPr>
          </w:p>
        </w:tc>
        <w:tc>
          <w:tcPr>
            <w:tcW w:w="1020" w:type="dxa"/>
          </w:tcPr>
          <w:p w14:paraId="523F804D" w14:textId="77777777" w:rsidR="00B419CE" w:rsidRPr="00B419CE" w:rsidRDefault="00B419CE" w:rsidP="00B419CE">
            <w:pPr>
              <w:jc w:val="right"/>
            </w:pPr>
            <w:r w:rsidRPr="00B419CE">
              <w:t>(i 1 000 kr)</w:t>
            </w:r>
          </w:p>
        </w:tc>
      </w:tr>
      <w:tr w:rsidR="00B419CE" w:rsidRPr="00B419CE" w14:paraId="7053FEB1" w14:textId="77777777" w:rsidTr="00B419CE">
        <w:trPr>
          <w:trHeight w:val="600"/>
        </w:trPr>
        <w:tc>
          <w:tcPr>
            <w:tcW w:w="1020" w:type="dxa"/>
          </w:tcPr>
          <w:p w14:paraId="05BC83C2" w14:textId="77777777" w:rsidR="00B419CE" w:rsidRPr="00B419CE" w:rsidRDefault="00B419CE" w:rsidP="00B419CE"/>
        </w:tc>
        <w:tc>
          <w:tcPr>
            <w:tcW w:w="4080" w:type="dxa"/>
          </w:tcPr>
          <w:p w14:paraId="2C17584F" w14:textId="77777777" w:rsidR="00B419CE" w:rsidRPr="00B419CE" w:rsidRDefault="00B419CE" w:rsidP="00B419CE">
            <w:proofErr w:type="spellStart"/>
            <w:r w:rsidRPr="00B419CE">
              <w:t>Nemning</w:t>
            </w:r>
            <w:proofErr w:type="spellEnd"/>
          </w:p>
        </w:tc>
        <w:tc>
          <w:tcPr>
            <w:tcW w:w="1020" w:type="dxa"/>
          </w:tcPr>
          <w:p w14:paraId="16A39655"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1CCB073C" w14:textId="77777777" w:rsidR="00B419CE" w:rsidRPr="00B419CE" w:rsidRDefault="00B419CE" w:rsidP="00B419CE">
            <w:pPr>
              <w:jc w:val="right"/>
            </w:pPr>
            <w:r w:rsidRPr="00B419CE">
              <w:t>Saldert</w:t>
            </w:r>
            <w:r w:rsidRPr="00B419CE">
              <w:br/>
              <w:t xml:space="preserve"> budsjett 2021</w:t>
            </w:r>
          </w:p>
        </w:tc>
        <w:tc>
          <w:tcPr>
            <w:tcW w:w="1020" w:type="dxa"/>
          </w:tcPr>
          <w:p w14:paraId="33E13FCC" w14:textId="77777777" w:rsidR="00B419CE" w:rsidRPr="00B419CE" w:rsidRDefault="00B419CE" w:rsidP="00B419CE">
            <w:pPr>
              <w:jc w:val="right"/>
            </w:pPr>
            <w:r w:rsidRPr="00B419CE">
              <w:t>Forslag</w:t>
            </w:r>
            <w:r w:rsidRPr="00B419CE">
              <w:br/>
              <w:t xml:space="preserve"> 2022</w:t>
            </w:r>
          </w:p>
        </w:tc>
        <w:tc>
          <w:tcPr>
            <w:tcW w:w="1020" w:type="dxa"/>
          </w:tcPr>
          <w:p w14:paraId="63593505" w14:textId="77777777" w:rsidR="00B419CE" w:rsidRPr="00B419CE" w:rsidRDefault="00B419CE" w:rsidP="00B419CE">
            <w:pPr>
              <w:jc w:val="right"/>
            </w:pPr>
            <w:r w:rsidRPr="00B419CE">
              <w:t>Endring</w:t>
            </w:r>
            <w:r w:rsidRPr="00B419CE">
              <w:br/>
              <w:t xml:space="preserve"> i pst.</w:t>
            </w:r>
          </w:p>
        </w:tc>
      </w:tr>
      <w:tr w:rsidR="00B419CE" w:rsidRPr="00B419CE" w14:paraId="7E25201A" w14:textId="77777777" w:rsidTr="00B419CE">
        <w:trPr>
          <w:trHeight w:val="640"/>
        </w:trPr>
        <w:tc>
          <w:tcPr>
            <w:tcW w:w="1020" w:type="dxa"/>
          </w:tcPr>
          <w:p w14:paraId="615ED27F" w14:textId="77777777" w:rsidR="00B419CE" w:rsidRPr="00B419CE" w:rsidRDefault="00B419CE" w:rsidP="00B419CE"/>
        </w:tc>
        <w:tc>
          <w:tcPr>
            <w:tcW w:w="4080" w:type="dxa"/>
          </w:tcPr>
          <w:p w14:paraId="0DBE3844" w14:textId="77777777" w:rsidR="00B419CE" w:rsidRPr="00B419CE" w:rsidRDefault="00B419CE" w:rsidP="00B419CE">
            <w:r w:rsidRPr="00B419CE">
              <w:t xml:space="preserve">Programområde 00 Konstitusjonelle </w:t>
            </w:r>
            <w:proofErr w:type="spellStart"/>
            <w:r w:rsidRPr="00B419CE">
              <w:t>institusjonar</w:t>
            </w:r>
            <w:proofErr w:type="spellEnd"/>
          </w:p>
        </w:tc>
        <w:tc>
          <w:tcPr>
            <w:tcW w:w="1020" w:type="dxa"/>
          </w:tcPr>
          <w:p w14:paraId="55815248" w14:textId="77777777" w:rsidR="00B419CE" w:rsidRPr="00B419CE" w:rsidRDefault="00B419CE" w:rsidP="00B419CE">
            <w:pPr>
              <w:jc w:val="right"/>
            </w:pPr>
            <w:r w:rsidRPr="00B419CE">
              <w:t>2 409 181</w:t>
            </w:r>
          </w:p>
        </w:tc>
        <w:tc>
          <w:tcPr>
            <w:tcW w:w="1020" w:type="dxa"/>
          </w:tcPr>
          <w:p w14:paraId="5D3E7C3B" w14:textId="77777777" w:rsidR="00B419CE" w:rsidRPr="00B419CE" w:rsidRDefault="00B419CE" w:rsidP="00B419CE">
            <w:pPr>
              <w:jc w:val="right"/>
            </w:pPr>
            <w:r w:rsidRPr="00B419CE">
              <w:t>2 513 700</w:t>
            </w:r>
          </w:p>
        </w:tc>
        <w:tc>
          <w:tcPr>
            <w:tcW w:w="1020" w:type="dxa"/>
          </w:tcPr>
          <w:p w14:paraId="4130C8BD" w14:textId="77777777" w:rsidR="00B419CE" w:rsidRPr="00B419CE" w:rsidRDefault="00B419CE" w:rsidP="00B419CE">
            <w:pPr>
              <w:jc w:val="right"/>
            </w:pPr>
            <w:r w:rsidRPr="00B419CE">
              <w:t>2 574 025</w:t>
            </w:r>
          </w:p>
        </w:tc>
        <w:tc>
          <w:tcPr>
            <w:tcW w:w="1020" w:type="dxa"/>
          </w:tcPr>
          <w:p w14:paraId="0791C452" w14:textId="77777777" w:rsidR="00B419CE" w:rsidRPr="00B419CE" w:rsidRDefault="00B419CE" w:rsidP="00B419CE">
            <w:pPr>
              <w:jc w:val="right"/>
            </w:pPr>
            <w:r w:rsidRPr="00B419CE">
              <w:t>2,4</w:t>
            </w:r>
          </w:p>
        </w:tc>
      </w:tr>
      <w:tr w:rsidR="00B419CE" w:rsidRPr="00B419CE" w14:paraId="5D329EDE" w14:textId="77777777" w:rsidTr="00B419CE">
        <w:trPr>
          <w:trHeight w:val="640"/>
        </w:trPr>
        <w:tc>
          <w:tcPr>
            <w:tcW w:w="1020" w:type="dxa"/>
          </w:tcPr>
          <w:p w14:paraId="714D8CFD" w14:textId="77777777" w:rsidR="00B419CE" w:rsidRPr="00B419CE" w:rsidRDefault="00B419CE" w:rsidP="00B419CE"/>
        </w:tc>
        <w:tc>
          <w:tcPr>
            <w:tcW w:w="4080" w:type="dxa"/>
          </w:tcPr>
          <w:p w14:paraId="4726B661" w14:textId="77777777" w:rsidR="00B419CE" w:rsidRPr="00B419CE" w:rsidRDefault="00B419CE" w:rsidP="00B419CE">
            <w:r w:rsidRPr="00B419CE">
              <w:t>Programområde 23 Finansadministrasjon</w:t>
            </w:r>
          </w:p>
        </w:tc>
        <w:tc>
          <w:tcPr>
            <w:tcW w:w="1020" w:type="dxa"/>
          </w:tcPr>
          <w:p w14:paraId="332F7371" w14:textId="77777777" w:rsidR="00B419CE" w:rsidRPr="00B419CE" w:rsidRDefault="00B419CE" w:rsidP="00B419CE">
            <w:pPr>
              <w:jc w:val="right"/>
            </w:pPr>
            <w:r w:rsidRPr="00B419CE">
              <w:t>116 514 924</w:t>
            </w:r>
          </w:p>
        </w:tc>
        <w:tc>
          <w:tcPr>
            <w:tcW w:w="1020" w:type="dxa"/>
          </w:tcPr>
          <w:p w14:paraId="3E6C857A" w14:textId="77777777" w:rsidR="00B419CE" w:rsidRPr="00B419CE" w:rsidRDefault="00B419CE" w:rsidP="00B419CE">
            <w:pPr>
              <w:jc w:val="right"/>
            </w:pPr>
            <w:r w:rsidRPr="00B419CE">
              <w:t>52 340 435</w:t>
            </w:r>
          </w:p>
        </w:tc>
        <w:tc>
          <w:tcPr>
            <w:tcW w:w="1020" w:type="dxa"/>
          </w:tcPr>
          <w:p w14:paraId="64496179" w14:textId="77777777" w:rsidR="00B419CE" w:rsidRPr="00B419CE" w:rsidRDefault="00B419CE" w:rsidP="00B419CE">
            <w:pPr>
              <w:jc w:val="right"/>
            </w:pPr>
            <w:r w:rsidRPr="00B419CE">
              <w:t>53 219 314</w:t>
            </w:r>
          </w:p>
        </w:tc>
        <w:tc>
          <w:tcPr>
            <w:tcW w:w="1020" w:type="dxa"/>
          </w:tcPr>
          <w:p w14:paraId="6E2D5C16" w14:textId="77777777" w:rsidR="00B419CE" w:rsidRPr="00B419CE" w:rsidRDefault="00B419CE" w:rsidP="00B419CE">
            <w:pPr>
              <w:jc w:val="right"/>
            </w:pPr>
            <w:r w:rsidRPr="00B419CE">
              <w:t>1,7</w:t>
            </w:r>
          </w:p>
        </w:tc>
      </w:tr>
      <w:tr w:rsidR="00B419CE" w:rsidRPr="00B419CE" w14:paraId="215327A8" w14:textId="77777777" w:rsidTr="00B419CE">
        <w:trPr>
          <w:trHeight w:val="640"/>
        </w:trPr>
        <w:tc>
          <w:tcPr>
            <w:tcW w:w="1020" w:type="dxa"/>
          </w:tcPr>
          <w:p w14:paraId="7A05939F" w14:textId="77777777" w:rsidR="00B419CE" w:rsidRPr="00B419CE" w:rsidRDefault="00B419CE" w:rsidP="00B419CE"/>
        </w:tc>
        <w:tc>
          <w:tcPr>
            <w:tcW w:w="4080" w:type="dxa"/>
          </w:tcPr>
          <w:p w14:paraId="42FD26F5" w14:textId="77777777" w:rsidR="00B419CE" w:rsidRPr="00B419CE" w:rsidRDefault="00B419CE" w:rsidP="00B419CE">
            <w:r w:rsidRPr="00B419CE">
              <w:t xml:space="preserve">Programområde 24 </w:t>
            </w:r>
            <w:proofErr w:type="spellStart"/>
            <w:r w:rsidRPr="00B419CE">
              <w:t>Statleg</w:t>
            </w:r>
            <w:proofErr w:type="spellEnd"/>
            <w:r w:rsidRPr="00B419CE">
              <w:t xml:space="preserve"> gjeld og krav, renter og avdrag m.m.</w:t>
            </w:r>
          </w:p>
        </w:tc>
        <w:tc>
          <w:tcPr>
            <w:tcW w:w="1020" w:type="dxa"/>
          </w:tcPr>
          <w:p w14:paraId="04CC69F0" w14:textId="77777777" w:rsidR="00B419CE" w:rsidRPr="00B419CE" w:rsidRDefault="00B419CE" w:rsidP="00B419CE">
            <w:pPr>
              <w:jc w:val="right"/>
            </w:pPr>
            <w:r w:rsidRPr="00B419CE">
              <w:t>24 467 723</w:t>
            </w:r>
          </w:p>
        </w:tc>
        <w:tc>
          <w:tcPr>
            <w:tcW w:w="1020" w:type="dxa"/>
          </w:tcPr>
          <w:p w14:paraId="3108C300" w14:textId="77777777" w:rsidR="00B419CE" w:rsidRPr="00B419CE" w:rsidRDefault="00B419CE" w:rsidP="00B419CE">
            <w:pPr>
              <w:jc w:val="right"/>
            </w:pPr>
            <w:r w:rsidRPr="00B419CE">
              <w:t>98 160 900</w:t>
            </w:r>
          </w:p>
        </w:tc>
        <w:tc>
          <w:tcPr>
            <w:tcW w:w="1020" w:type="dxa"/>
          </w:tcPr>
          <w:p w14:paraId="382DB449" w14:textId="77777777" w:rsidR="00B419CE" w:rsidRPr="00B419CE" w:rsidRDefault="00B419CE" w:rsidP="00B419CE">
            <w:pPr>
              <w:jc w:val="right"/>
            </w:pPr>
            <w:r w:rsidRPr="00B419CE">
              <w:t>10 250 600</w:t>
            </w:r>
          </w:p>
        </w:tc>
        <w:tc>
          <w:tcPr>
            <w:tcW w:w="1020" w:type="dxa"/>
          </w:tcPr>
          <w:p w14:paraId="4C6A33D4" w14:textId="77777777" w:rsidR="00B419CE" w:rsidRPr="00B419CE" w:rsidRDefault="00B419CE" w:rsidP="00B419CE">
            <w:pPr>
              <w:jc w:val="right"/>
            </w:pPr>
            <w:r w:rsidRPr="00B419CE">
              <w:t>-89,6</w:t>
            </w:r>
          </w:p>
        </w:tc>
      </w:tr>
      <w:tr w:rsidR="00B419CE" w:rsidRPr="00B419CE" w14:paraId="48691386" w14:textId="77777777" w:rsidTr="00B419CE">
        <w:trPr>
          <w:trHeight w:val="380"/>
        </w:trPr>
        <w:tc>
          <w:tcPr>
            <w:tcW w:w="1020" w:type="dxa"/>
          </w:tcPr>
          <w:p w14:paraId="0E251121" w14:textId="77777777" w:rsidR="00B419CE" w:rsidRPr="00B419CE" w:rsidRDefault="00B419CE" w:rsidP="00B419CE"/>
        </w:tc>
        <w:tc>
          <w:tcPr>
            <w:tcW w:w="4080" w:type="dxa"/>
          </w:tcPr>
          <w:p w14:paraId="3F0EE233" w14:textId="77777777" w:rsidR="00B419CE" w:rsidRPr="00B419CE" w:rsidRDefault="00B419CE" w:rsidP="00B419CE">
            <w:r w:rsidRPr="00B419CE">
              <w:rPr>
                <w:rStyle w:val="kursiv"/>
              </w:rPr>
              <w:t>Sum utgifter</w:t>
            </w:r>
          </w:p>
        </w:tc>
        <w:tc>
          <w:tcPr>
            <w:tcW w:w="1020" w:type="dxa"/>
          </w:tcPr>
          <w:p w14:paraId="390895BF" w14:textId="77777777" w:rsidR="00B419CE" w:rsidRPr="00B419CE" w:rsidRDefault="00B419CE" w:rsidP="00B419CE">
            <w:pPr>
              <w:jc w:val="right"/>
            </w:pPr>
            <w:r w:rsidRPr="00B419CE">
              <w:rPr>
                <w:rStyle w:val="kursiv"/>
              </w:rPr>
              <w:t>143 391 828</w:t>
            </w:r>
          </w:p>
        </w:tc>
        <w:tc>
          <w:tcPr>
            <w:tcW w:w="1020" w:type="dxa"/>
          </w:tcPr>
          <w:p w14:paraId="19658459" w14:textId="77777777" w:rsidR="00B419CE" w:rsidRPr="00B419CE" w:rsidRDefault="00B419CE" w:rsidP="00B419CE">
            <w:pPr>
              <w:jc w:val="right"/>
            </w:pPr>
            <w:r w:rsidRPr="00B419CE">
              <w:rPr>
                <w:rStyle w:val="kursiv"/>
              </w:rPr>
              <w:t>153 015 035</w:t>
            </w:r>
          </w:p>
        </w:tc>
        <w:tc>
          <w:tcPr>
            <w:tcW w:w="1020" w:type="dxa"/>
          </w:tcPr>
          <w:p w14:paraId="66931A81" w14:textId="77777777" w:rsidR="00B419CE" w:rsidRPr="00B419CE" w:rsidRDefault="00B419CE" w:rsidP="00B419CE">
            <w:pPr>
              <w:jc w:val="right"/>
            </w:pPr>
            <w:r w:rsidRPr="00B419CE">
              <w:rPr>
                <w:rStyle w:val="kursiv"/>
              </w:rPr>
              <w:t>66 043 939</w:t>
            </w:r>
          </w:p>
        </w:tc>
        <w:tc>
          <w:tcPr>
            <w:tcW w:w="1020" w:type="dxa"/>
          </w:tcPr>
          <w:p w14:paraId="346CAE57" w14:textId="77777777" w:rsidR="00B419CE" w:rsidRPr="00B419CE" w:rsidRDefault="00B419CE" w:rsidP="00B419CE">
            <w:pPr>
              <w:jc w:val="right"/>
            </w:pPr>
            <w:r w:rsidRPr="00B419CE">
              <w:rPr>
                <w:rStyle w:val="kursiv"/>
              </w:rPr>
              <w:t>-56,8</w:t>
            </w:r>
          </w:p>
        </w:tc>
      </w:tr>
      <w:tr w:rsidR="00B419CE" w:rsidRPr="00B419CE" w14:paraId="7F174327" w14:textId="77777777" w:rsidTr="00B419CE">
        <w:trPr>
          <w:trHeight w:val="640"/>
        </w:trPr>
        <w:tc>
          <w:tcPr>
            <w:tcW w:w="1020" w:type="dxa"/>
          </w:tcPr>
          <w:p w14:paraId="021EE64F" w14:textId="77777777" w:rsidR="00B419CE" w:rsidRPr="00B419CE" w:rsidRDefault="00B419CE" w:rsidP="00B419CE"/>
        </w:tc>
        <w:tc>
          <w:tcPr>
            <w:tcW w:w="4080" w:type="dxa"/>
          </w:tcPr>
          <w:p w14:paraId="76760404" w14:textId="77777777" w:rsidR="00B419CE" w:rsidRPr="00B419CE" w:rsidRDefault="00B419CE" w:rsidP="00B419CE">
            <w:r w:rsidRPr="00B419CE">
              <w:t xml:space="preserve">Programområde 00 Konstitusjonelle </w:t>
            </w:r>
            <w:proofErr w:type="spellStart"/>
            <w:r w:rsidRPr="00B419CE">
              <w:t>institusjonar</w:t>
            </w:r>
            <w:proofErr w:type="spellEnd"/>
          </w:p>
        </w:tc>
        <w:tc>
          <w:tcPr>
            <w:tcW w:w="1020" w:type="dxa"/>
          </w:tcPr>
          <w:p w14:paraId="28850AD0" w14:textId="77777777" w:rsidR="00B419CE" w:rsidRPr="00B419CE" w:rsidRDefault="00B419CE" w:rsidP="00B419CE">
            <w:pPr>
              <w:jc w:val="right"/>
            </w:pPr>
            <w:r w:rsidRPr="00B419CE">
              <w:t>26 081</w:t>
            </w:r>
          </w:p>
        </w:tc>
        <w:tc>
          <w:tcPr>
            <w:tcW w:w="1020" w:type="dxa"/>
          </w:tcPr>
          <w:p w14:paraId="12FC93A0" w14:textId="77777777" w:rsidR="00B419CE" w:rsidRPr="00B419CE" w:rsidRDefault="00B419CE" w:rsidP="00B419CE">
            <w:pPr>
              <w:jc w:val="right"/>
            </w:pPr>
            <w:r w:rsidRPr="00B419CE">
              <w:t>29 600</w:t>
            </w:r>
          </w:p>
        </w:tc>
        <w:tc>
          <w:tcPr>
            <w:tcW w:w="1020" w:type="dxa"/>
          </w:tcPr>
          <w:p w14:paraId="7EB80E3A" w14:textId="77777777" w:rsidR="00B419CE" w:rsidRPr="00B419CE" w:rsidRDefault="00B419CE" w:rsidP="00B419CE">
            <w:pPr>
              <w:jc w:val="right"/>
            </w:pPr>
            <w:r w:rsidRPr="00B419CE">
              <w:t>31 000</w:t>
            </w:r>
          </w:p>
        </w:tc>
        <w:tc>
          <w:tcPr>
            <w:tcW w:w="1020" w:type="dxa"/>
          </w:tcPr>
          <w:p w14:paraId="7606D49B" w14:textId="77777777" w:rsidR="00B419CE" w:rsidRPr="00B419CE" w:rsidRDefault="00B419CE" w:rsidP="00B419CE">
            <w:pPr>
              <w:jc w:val="right"/>
            </w:pPr>
            <w:r w:rsidRPr="00B419CE">
              <w:t>4,7</w:t>
            </w:r>
          </w:p>
        </w:tc>
      </w:tr>
      <w:tr w:rsidR="00B419CE" w:rsidRPr="00B419CE" w14:paraId="20E99F73" w14:textId="77777777" w:rsidTr="00B419CE">
        <w:trPr>
          <w:trHeight w:val="640"/>
        </w:trPr>
        <w:tc>
          <w:tcPr>
            <w:tcW w:w="1020" w:type="dxa"/>
          </w:tcPr>
          <w:p w14:paraId="3A783152" w14:textId="77777777" w:rsidR="00B419CE" w:rsidRPr="00B419CE" w:rsidRDefault="00B419CE" w:rsidP="00B419CE"/>
        </w:tc>
        <w:tc>
          <w:tcPr>
            <w:tcW w:w="4080" w:type="dxa"/>
          </w:tcPr>
          <w:p w14:paraId="3008DDE6" w14:textId="77777777" w:rsidR="00B419CE" w:rsidRPr="00B419CE" w:rsidRDefault="00B419CE" w:rsidP="00B419CE">
            <w:r w:rsidRPr="00B419CE">
              <w:t>Programområde 23 Finansadministrasjon</w:t>
            </w:r>
          </w:p>
        </w:tc>
        <w:tc>
          <w:tcPr>
            <w:tcW w:w="1020" w:type="dxa"/>
          </w:tcPr>
          <w:p w14:paraId="5F35827D" w14:textId="77777777" w:rsidR="00B419CE" w:rsidRPr="00B419CE" w:rsidRDefault="00B419CE" w:rsidP="00B419CE">
            <w:pPr>
              <w:jc w:val="right"/>
            </w:pPr>
            <w:r w:rsidRPr="00B419CE">
              <w:t>3 164 836</w:t>
            </w:r>
          </w:p>
        </w:tc>
        <w:tc>
          <w:tcPr>
            <w:tcW w:w="1020" w:type="dxa"/>
          </w:tcPr>
          <w:p w14:paraId="22DBEF9F" w14:textId="77777777" w:rsidR="00B419CE" w:rsidRPr="00B419CE" w:rsidRDefault="00B419CE" w:rsidP="00B419CE">
            <w:pPr>
              <w:jc w:val="right"/>
            </w:pPr>
            <w:r w:rsidRPr="00B419CE">
              <w:t>3 302 693</w:t>
            </w:r>
          </w:p>
        </w:tc>
        <w:tc>
          <w:tcPr>
            <w:tcW w:w="1020" w:type="dxa"/>
          </w:tcPr>
          <w:p w14:paraId="6A84640D" w14:textId="77777777" w:rsidR="00B419CE" w:rsidRPr="00B419CE" w:rsidRDefault="00B419CE" w:rsidP="00B419CE">
            <w:pPr>
              <w:jc w:val="right"/>
            </w:pPr>
            <w:r w:rsidRPr="00B419CE">
              <w:t>3 568 854</w:t>
            </w:r>
          </w:p>
        </w:tc>
        <w:tc>
          <w:tcPr>
            <w:tcW w:w="1020" w:type="dxa"/>
          </w:tcPr>
          <w:p w14:paraId="73FF36E3" w14:textId="77777777" w:rsidR="00B419CE" w:rsidRPr="00B419CE" w:rsidRDefault="00B419CE" w:rsidP="00B419CE">
            <w:pPr>
              <w:jc w:val="right"/>
            </w:pPr>
            <w:r w:rsidRPr="00B419CE">
              <w:t>8,1</w:t>
            </w:r>
          </w:p>
        </w:tc>
      </w:tr>
      <w:tr w:rsidR="00B419CE" w:rsidRPr="00B419CE" w14:paraId="432B3EBD" w14:textId="77777777" w:rsidTr="00B419CE">
        <w:trPr>
          <w:trHeight w:val="640"/>
        </w:trPr>
        <w:tc>
          <w:tcPr>
            <w:tcW w:w="1020" w:type="dxa"/>
          </w:tcPr>
          <w:p w14:paraId="3D96B15B" w14:textId="77777777" w:rsidR="00B419CE" w:rsidRPr="00B419CE" w:rsidRDefault="00B419CE" w:rsidP="00B419CE"/>
        </w:tc>
        <w:tc>
          <w:tcPr>
            <w:tcW w:w="4080" w:type="dxa"/>
          </w:tcPr>
          <w:p w14:paraId="591EBAD6" w14:textId="77777777" w:rsidR="00B419CE" w:rsidRPr="00B419CE" w:rsidRDefault="00B419CE" w:rsidP="00B419CE">
            <w:r w:rsidRPr="00B419CE">
              <w:t xml:space="preserve">Programområde 24 </w:t>
            </w:r>
            <w:proofErr w:type="spellStart"/>
            <w:r w:rsidRPr="00B419CE">
              <w:t>Statleg</w:t>
            </w:r>
            <w:proofErr w:type="spellEnd"/>
            <w:r w:rsidRPr="00B419CE">
              <w:t xml:space="preserve"> gjeld </w:t>
            </w:r>
            <w:r w:rsidRPr="00B419CE">
              <w:br/>
              <w:t>og krav, renter og avdrag m.m.</w:t>
            </w:r>
          </w:p>
        </w:tc>
        <w:tc>
          <w:tcPr>
            <w:tcW w:w="1020" w:type="dxa"/>
          </w:tcPr>
          <w:p w14:paraId="0AF28839" w14:textId="77777777" w:rsidR="00B419CE" w:rsidRPr="00B419CE" w:rsidRDefault="00B419CE" w:rsidP="00B419CE">
            <w:pPr>
              <w:jc w:val="right"/>
            </w:pPr>
            <w:r w:rsidRPr="00B419CE">
              <w:t>21 728 862</w:t>
            </w:r>
          </w:p>
        </w:tc>
        <w:tc>
          <w:tcPr>
            <w:tcW w:w="1020" w:type="dxa"/>
          </w:tcPr>
          <w:p w14:paraId="1560BC70" w14:textId="77777777" w:rsidR="00B419CE" w:rsidRPr="00B419CE" w:rsidRDefault="00B419CE" w:rsidP="00B419CE">
            <w:pPr>
              <w:jc w:val="right"/>
            </w:pPr>
            <w:r w:rsidRPr="00B419CE">
              <w:t>25 802 200</w:t>
            </w:r>
          </w:p>
        </w:tc>
        <w:tc>
          <w:tcPr>
            <w:tcW w:w="1020" w:type="dxa"/>
          </w:tcPr>
          <w:p w14:paraId="3B29E456" w14:textId="77777777" w:rsidR="00B419CE" w:rsidRPr="00B419CE" w:rsidRDefault="00B419CE" w:rsidP="00B419CE">
            <w:pPr>
              <w:jc w:val="right"/>
            </w:pPr>
            <w:r w:rsidRPr="00B419CE">
              <w:t>11 719 900</w:t>
            </w:r>
          </w:p>
        </w:tc>
        <w:tc>
          <w:tcPr>
            <w:tcW w:w="1020" w:type="dxa"/>
          </w:tcPr>
          <w:p w14:paraId="5129944D" w14:textId="77777777" w:rsidR="00B419CE" w:rsidRPr="00B419CE" w:rsidRDefault="00B419CE" w:rsidP="00B419CE">
            <w:pPr>
              <w:jc w:val="right"/>
            </w:pPr>
            <w:r w:rsidRPr="00B419CE">
              <w:t>-54,6</w:t>
            </w:r>
          </w:p>
        </w:tc>
      </w:tr>
      <w:tr w:rsidR="00B419CE" w:rsidRPr="00B419CE" w14:paraId="25212B4F" w14:textId="77777777" w:rsidTr="00B419CE">
        <w:trPr>
          <w:trHeight w:val="380"/>
        </w:trPr>
        <w:tc>
          <w:tcPr>
            <w:tcW w:w="1020" w:type="dxa"/>
          </w:tcPr>
          <w:p w14:paraId="6D12C0A8" w14:textId="77777777" w:rsidR="00B419CE" w:rsidRPr="00B419CE" w:rsidRDefault="00B419CE" w:rsidP="00B419CE"/>
        </w:tc>
        <w:tc>
          <w:tcPr>
            <w:tcW w:w="4080" w:type="dxa"/>
          </w:tcPr>
          <w:p w14:paraId="0375F1BC" w14:textId="77777777" w:rsidR="00B419CE" w:rsidRPr="00B419CE" w:rsidRDefault="00B419CE" w:rsidP="00B419CE">
            <w:r w:rsidRPr="00B419CE">
              <w:rPr>
                <w:rStyle w:val="kursiv"/>
              </w:rPr>
              <w:t>Sum inntekter</w:t>
            </w:r>
          </w:p>
        </w:tc>
        <w:tc>
          <w:tcPr>
            <w:tcW w:w="1020" w:type="dxa"/>
          </w:tcPr>
          <w:p w14:paraId="5EC760C8" w14:textId="77777777" w:rsidR="00B419CE" w:rsidRPr="00B419CE" w:rsidRDefault="00B419CE" w:rsidP="00B419CE">
            <w:pPr>
              <w:jc w:val="right"/>
            </w:pPr>
            <w:r w:rsidRPr="00B419CE">
              <w:rPr>
                <w:rStyle w:val="kursiv"/>
              </w:rPr>
              <w:t>24 919 779</w:t>
            </w:r>
          </w:p>
        </w:tc>
        <w:tc>
          <w:tcPr>
            <w:tcW w:w="1020" w:type="dxa"/>
          </w:tcPr>
          <w:p w14:paraId="21D8CE4C" w14:textId="77777777" w:rsidR="00B419CE" w:rsidRPr="00B419CE" w:rsidRDefault="00B419CE" w:rsidP="00B419CE">
            <w:pPr>
              <w:jc w:val="right"/>
            </w:pPr>
            <w:r w:rsidRPr="00B419CE">
              <w:rPr>
                <w:rStyle w:val="kursiv"/>
              </w:rPr>
              <w:t>29 134 493</w:t>
            </w:r>
          </w:p>
        </w:tc>
        <w:tc>
          <w:tcPr>
            <w:tcW w:w="1020" w:type="dxa"/>
          </w:tcPr>
          <w:p w14:paraId="156EF3D5" w14:textId="77777777" w:rsidR="00B419CE" w:rsidRPr="00B419CE" w:rsidRDefault="00B419CE" w:rsidP="00B419CE">
            <w:pPr>
              <w:jc w:val="right"/>
            </w:pPr>
            <w:r w:rsidRPr="00B419CE">
              <w:rPr>
                <w:rStyle w:val="kursiv"/>
              </w:rPr>
              <w:t>15 319 754</w:t>
            </w:r>
          </w:p>
        </w:tc>
        <w:tc>
          <w:tcPr>
            <w:tcW w:w="1020" w:type="dxa"/>
          </w:tcPr>
          <w:p w14:paraId="5C8CEB06" w14:textId="77777777" w:rsidR="00B419CE" w:rsidRPr="00B419CE" w:rsidRDefault="00B419CE" w:rsidP="00B419CE">
            <w:pPr>
              <w:jc w:val="right"/>
            </w:pPr>
            <w:r w:rsidRPr="00B419CE">
              <w:rPr>
                <w:rStyle w:val="kursiv"/>
              </w:rPr>
              <w:t>-47,4</w:t>
            </w:r>
          </w:p>
        </w:tc>
      </w:tr>
    </w:tbl>
    <w:p w14:paraId="04873F48" w14:textId="77777777" w:rsidR="00B419CE" w:rsidRPr="00B419CE" w:rsidRDefault="00B419CE" w:rsidP="00B419CE">
      <w:pPr>
        <w:pStyle w:val="avsnitt-tittel"/>
      </w:pPr>
      <w:r w:rsidRPr="00B419CE">
        <w:t xml:space="preserve">Programområde 00 Konstitusjonelle </w:t>
      </w:r>
      <w:proofErr w:type="spellStart"/>
      <w:r w:rsidRPr="00B419CE">
        <w:t>institusjonar</w:t>
      </w:r>
      <w:proofErr w:type="spellEnd"/>
    </w:p>
    <w:p w14:paraId="53936EDE" w14:textId="77777777" w:rsidR="00B419CE" w:rsidRPr="00B419CE" w:rsidRDefault="00B419CE" w:rsidP="00B419CE">
      <w:r w:rsidRPr="00B419CE">
        <w:t xml:space="preserve">Programområde 00 </w:t>
      </w:r>
      <w:r w:rsidRPr="00B419CE">
        <w:rPr>
          <w:rStyle w:val="kursiv"/>
        </w:rPr>
        <w:t xml:space="preserve">Konstitusjonelle </w:t>
      </w:r>
      <w:proofErr w:type="spellStart"/>
      <w:r w:rsidRPr="00B419CE">
        <w:rPr>
          <w:rStyle w:val="kursiv"/>
        </w:rPr>
        <w:t>institusjonar</w:t>
      </w:r>
      <w:proofErr w:type="spellEnd"/>
      <w:r w:rsidRPr="00B419CE">
        <w:t xml:space="preserve"> </w:t>
      </w:r>
      <w:proofErr w:type="spellStart"/>
      <w:r w:rsidRPr="00B419CE">
        <w:t>omfattar</w:t>
      </w:r>
      <w:proofErr w:type="spellEnd"/>
      <w:r w:rsidRPr="00B419CE">
        <w:t xml:space="preserve"> regjeringa og Stortinget med </w:t>
      </w:r>
      <w:proofErr w:type="spellStart"/>
      <w:r w:rsidRPr="00B419CE">
        <w:t>underliggjande</w:t>
      </w:r>
      <w:proofErr w:type="spellEnd"/>
      <w:r w:rsidRPr="00B419CE">
        <w:t xml:space="preserve"> </w:t>
      </w:r>
      <w:proofErr w:type="spellStart"/>
      <w:r w:rsidRPr="00B419CE">
        <w:t>institusjonar</w:t>
      </w:r>
      <w:proofErr w:type="spellEnd"/>
      <w:r w:rsidRPr="00B419CE">
        <w:t xml:space="preserve">. Framlegg til løyving for 2022 under dette programområdet </w:t>
      </w:r>
      <w:proofErr w:type="spellStart"/>
      <w:r w:rsidRPr="00B419CE">
        <w:t>utgjer</w:t>
      </w:r>
      <w:proofErr w:type="spellEnd"/>
      <w:r w:rsidRPr="00B419CE">
        <w:t xml:space="preserve"> 2 574,0 mill. kroner som reelt er om lag det same som i saldert budsjett 2021. Under programkategori 00.30 </w:t>
      </w:r>
      <w:r w:rsidRPr="00B419CE">
        <w:rPr>
          <w:rStyle w:val="kursiv"/>
        </w:rPr>
        <w:t>Regjeringa</w:t>
      </w:r>
      <w:r w:rsidRPr="00B419CE">
        <w:t xml:space="preserve">, er det </w:t>
      </w:r>
      <w:proofErr w:type="spellStart"/>
      <w:r w:rsidRPr="00B419CE">
        <w:t>ein</w:t>
      </w:r>
      <w:proofErr w:type="spellEnd"/>
      <w:r w:rsidRPr="00B419CE">
        <w:t xml:space="preserve"> reduksjon med vel 1,7 mill. kroner. Reduksjonen kjem </w:t>
      </w:r>
      <w:proofErr w:type="spellStart"/>
      <w:r w:rsidRPr="00B419CE">
        <w:t>særleg</w:t>
      </w:r>
      <w:proofErr w:type="spellEnd"/>
      <w:r w:rsidRPr="00B419CE">
        <w:t xml:space="preserve"> av </w:t>
      </w:r>
      <w:proofErr w:type="spellStart"/>
      <w:r w:rsidRPr="00B419CE">
        <w:t>lågare</w:t>
      </w:r>
      <w:proofErr w:type="spellEnd"/>
      <w:r w:rsidRPr="00B419CE">
        <w:t xml:space="preserve"> behov til Koronakommisjonen og ei teknisk omlegging av premieordninga til Statens pensjonskasse. Under programkategori 00.40 </w:t>
      </w:r>
      <w:r w:rsidRPr="00B419CE">
        <w:rPr>
          <w:rStyle w:val="kursiv"/>
        </w:rPr>
        <w:lastRenderedPageBreak/>
        <w:t>Stortinget og tilknytte organ</w:t>
      </w:r>
      <w:r w:rsidRPr="00B419CE">
        <w:t xml:space="preserve">, </w:t>
      </w:r>
      <w:proofErr w:type="spellStart"/>
      <w:r w:rsidRPr="00B419CE">
        <w:t>gjer</w:t>
      </w:r>
      <w:proofErr w:type="spellEnd"/>
      <w:r w:rsidRPr="00B419CE">
        <w:t xml:space="preserve"> </w:t>
      </w:r>
      <w:proofErr w:type="spellStart"/>
      <w:r w:rsidRPr="00B419CE">
        <w:t>ein</w:t>
      </w:r>
      <w:proofErr w:type="spellEnd"/>
      <w:r w:rsidRPr="00B419CE">
        <w:t xml:space="preserve"> framlegg om å </w:t>
      </w:r>
      <w:proofErr w:type="spellStart"/>
      <w:r w:rsidRPr="00B419CE">
        <w:t>auke</w:t>
      </w:r>
      <w:proofErr w:type="spellEnd"/>
      <w:r w:rsidRPr="00B419CE">
        <w:t xml:space="preserve"> </w:t>
      </w:r>
      <w:proofErr w:type="spellStart"/>
      <w:r w:rsidRPr="00B419CE">
        <w:t>løyvingane</w:t>
      </w:r>
      <w:proofErr w:type="spellEnd"/>
      <w:r w:rsidRPr="00B419CE">
        <w:t xml:space="preserve"> med 62,1 mill. kroner eller 2,9 pst.</w:t>
      </w:r>
    </w:p>
    <w:p w14:paraId="5A111FF3" w14:textId="77777777" w:rsidR="00B419CE" w:rsidRPr="00B419CE" w:rsidRDefault="00B419CE" w:rsidP="00B419CE">
      <w:r w:rsidRPr="00B419CE">
        <w:t xml:space="preserve">Framlegget under programkategori 00.40 </w:t>
      </w:r>
      <w:r w:rsidRPr="00B419CE">
        <w:rPr>
          <w:rStyle w:val="kursiv"/>
        </w:rPr>
        <w:t>Stortinget og tilknytte organ</w:t>
      </w:r>
      <w:r w:rsidRPr="00B419CE">
        <w:t xml:space="preserve"> er i samsvar med framlegget </w:t>
      </w:r>
      <w:proofErr w:type="spellStart"/>
      <w:r w:rsidRPr="00B419CE">
        <w:t>frå</w:t>
      </w:r>
      <w:proofErr w:type="spellEnd"/>
      <w:r w:rsidRPr="00B419CE">
        <w:t xml:space="preserve"> stortingsadministrasjonen.</w:t>
      </w:r>
    </w:p>
    <w:p w14:paraId="5E039D4B" w14:textId="77777777" w:rsidR="00B419CE" w:rsidRPr="00B419CE" w:rsidRDefault="00B419CE" w:rsidP="00B419CE">
      <w:pPr>
        <w:pStyle w:val="avsnitt-tittel"/>
      </w:pPr>
      <w:r w:rsidRPr="00B419CE">
        <w:t>Programområde 23 Finansadministrasjon</w:t>
      </w:r>
    </w:p>
    <w:p w14:paraId="4BB6354A" w14:textId="77777777" w:rsidR="00B419CE" w:rsidRPr="00B419CE" w:rsidRDefault="00B419CE" w:rsidP="00B419CE">
      <w:r w:rsidRPr="00B419CE">
        <w:t xml:space="preserve">Programområde 23 </w:t>
      </w:r>
      <w:r w:rsidRPr="00B419CE">
        <w:rPr>
          <w:rStyle w:val="kursiv"/>
        </w:rPr>
        <w:t>Finansadministrasjon</w:t>
      </w:r>
      <w:r w:rsidRPr="00B419CE">
        <w:t xml:space="preserve"> </w:t>
      </w:r>
      <w:proofErr w:type="spellStart"/>
      <w:r w:rsidRPr="00B419CE">
        <w:t>omfattar</w:t>
      </w:r>
      <w:proofErr w:type="spellEnd"/>
      <w:r w:rsidRPr="00B419CE">
        <w:t xml:space="preserve"> skatte- og avgiftsadministrasjon, offisiell statistikk, finansadministrasjon og </w:t>
      </w:r>
      <w:proofErr w:type="spellStart"/>
      <w:r w:rsidRPr="00B419CE">
        <w:t>nokre</w:t>
      </w:r>
      <w:proofErr w:type="spellEnd"/>
      <w:r w:rsidRPr="00B419CE">
        <w:t xml:space="preserve"> andre </w:t>
      </w:r>
      <w:proofErr w:type="spellStart"/>
      <w:r w:rsidRPr="00B419CE">
        <w:t>føremål</w:t>
      </w:r>
      <w:proofErr w:type="spellEnd"/>
      <w:r w:rsidRPr="00B419CE">
        <w:t xml:space="preserve">. Det samla framlegget til løyving for 2022 under dette programområdet </w:t>
      </w:r>
      <w:proofErr w:type="spellStart"/>
      <w:r w:rsidRPr="00B419CE">
        <w:t>utgjer</w:t>
      </w:r>
      <w:proofErr w:type="spellEnd"/>
      <w:r w:rsidRPr="00B419CE">
        <w:t xml:space="preserve"> 53 219,3 mill. kroner. Det er </w:t>
      </w:r>
      <w:proofErr w:type="spellStart"/>
      <w:r w:rsidRPr="00B419CE">
        <w:t>ein</w:t>
      </w:r>
      <w:proofErr w:type="spellEnd"/>
      <w:r w:rsidRPr="00B419CE">
        <w:t xml:space="preserve"> </w:t>
      </w:r>
      <w:proofErr w:type="spellStart"/>
      <w:r w:rsidRPr="00B419CE">
        <w:t>auke</w:t>
      </w:r>
      <w:proofErr w:type="spellEnd"/>
      <w:r w:rsidRPr="00B419CE">
        <w:t xml:space="preserve"> på 876,0 mill. kroner </w:t>
      </w:r>
      <w:proofErr w:type="spellStart"/>
      <w:r w:rsidRPr="00B419CE">
        <w:t>frå</w:t>
      </w:r>
      <w:proofErr w:type="spellEnd"/>
      <w:r w:rsidRPr="00B419CE">
        <w:t xml:space="preserve"> saldert budsjett 2021. Av </w:t>
      </w:r>
      <w:proofErr w:type="spellStart"/>
      <w:r w:rsidRPr="00B419CE">
        <w:t>auken</w:t>
      </w:r>
      <w:proofErr w:type="spellEnd"/>
      <w:r w:rsidRPr="00B419CE">
        <w:t xml:space="preserve"> gjeld vel 707 mill. kroner nettoordninga for </w:t>
      </w:r>
      <w:proofErr w:type="spellStart"/>
      <w:r w:rsidRPr="00B419CE">
        <w:t>statleg</w:t>
      </w:r>
      <w:proofErr w:type="spellEnd"/>
      <w:r w:rsidRPr="00B419CE">
        <w:t xml:space="preserve"> betalt </w:t>
      </w:r>
      <w:proofErr w:type="spellStart"/>
      <w:r w:rsidRPr="00B419CE">
        <w:t>meirverdiavgift</w:t>
      </w:r>
      <w:proofErr w:type="spellEnd"/>
      <w:r w:rsidRPr="00B419CE">
        <w:t xml:space="preserve">. Til Skatteetaten ligg det inne </w:t>
      </w:r>
      <w:proofErr w:type="spellStart"/>
      <w:r w:rsidRPr="00B419CE">
        <w:t>ein</w:t>
      </w:r>
      <w:proofErr w:type="spellEnd"/>
      <w:r w:rsidRPr="00B419CE">
        <w:t xml:space="preserve"> </w:t>
      </w:r>
      <w:proofErr w:type="spellStart"/>
      <w:r w:rsidRPr="00B419CE">
        <w:t>auke</w:t>
      </w:r>
      <w:proofErr w:type="spellEnd"/>
      <w:r w:rsidRPr="00B419CE">
        <w:t xml:space="preserve"> med 446,8 mill. kroner som </w:t>
      </w:r>
      <w:proofErr w:type="spellStart"/>
      <w:r w:rsidRPr="00B419CE">
        <w:t>særleg</w:t>
      </w:r>
      <w:proofErr w:type="spellEnd"/>
      <w:r w:rsidRPr="00B419CE">
        <w:t xml:space="preserve"> gjeld </w:t>
      </w:r>
      <w:proofErr w:type="spellStart"/>
      <w:r w:rsidRPr="00B419CE">
        <w:t>igangsetjing</w:t>
      </w:r>
      <w:proofErr w:type="spellEnd"/>
      <w:r w:rsidRPr="00B419CE">
        <w:t xml:space="preserve"> av </w:t>
      </w:r>
      <w:proofErr w:type="spellStart"/>
      <w:r w:rsidRPr="00B419CE">
        <w:t>eit</w:t>
      </w:r>
      <w:proofErr w:type="spellEnd"/>
      <w:r w:rsidRPr="00B419CE">
        <w:t xml:space="preserve"> </w:t>
      </w:r>
      <w:proofErr w:type="spellStart"/>
      <w:r w:rsidRPr="00B419CE">
        <w:t>fleirårig</w:t>
      </w:r>
      <w:proofErr w:type="spellEnd"/>
      <w:r w:rsidRPr="00B419CE">
        <w:t xml:space="preserve"> prosjekt for modernisering på </w:t>
      </w:r>
      <w:proofErr w:type="spellStart"/>
      <w:r w:rsidRPr="00B419CE">
        <w:t>innkrevjingsområdet</w:t>
      </w:r>
      <w:proofErr w:type="spellEnd"/>
      <w:r w:rsidRPr="00B419CE">
        <w:t xml:space="preserve"> og tiltak for betre IT-</w:t>
      </w:r>
      <w:proofErr w:type="spellStart"/>
      <w:r w:rsidRPr="00B419CE">
        <w:t>sikkerheit</w:t>
      </w:r>
      <w:proofErr w:type="spellEnd"/>
      <w:r w:rsidRPr="00B419CE">
        <w:t>.</w:t>
      </w:r>
    </w:p>
    <w:p w14:paraId="28273911" w14:textId="77777777" w:rsidR="00B419CE" w:rsidRPr="00B419CE" w:rsidRDefault="00B419CE" w:rsidP="00B419CE">
      <w:pPr>
        <w:pStyle w:val="avsnitt-tittel"/>
      </w:pPr>
      <w:r w:rsidRPr="00B419CE">
        <w:t xml:space="preserve">Programområde 24 </w:t>
      </w:r>
      <w:proofErr w:type="spellStart"/>
      <w:r w:rsidRPr="00B419CE">
        <w:t>Statleg</w:t>
      </w:r>
      <w:proofErr w:type="spellEnd"/>
      <w:r w:rsidRPr="00B419CE">
        <w:t xml:space="preserve"> gjeld og krav, renter og avdrag m.m.</w:t>
      </w:r>
    </w:p>
    <w:p w14:paraId="03C50B35" w14:textId="77777777" w:rsidR="00B419CE" w:rsidRPr="00B419CE" w:rsidRDefault="00B419CE" w:rsidP="00B419CE">
      <w:r w:rsidRPr="00B419CE">
        <w:t xml:space="preserve">Programområdet </w:t>
      </w:r>
      <w:proofErr w:type="spellStart"/>
      <w:r w:rsidRPr="00B419CE">
        <w:t>omfattar</w:t>
      </w:r>
      <w:proofErr w:type="spellEnd"/>
      <w:r w:rsidRPr="00B419CE">
        <w:t xml:space="preserve"> utgifter til renter og avdrag på den </w:t>
      </w:r>
      <w:proofErr w:type="spellStart"/>
      <w:r w:rsidRPr="00B419CE">
        <w:t>innanlandske</w:t>
      </w:r>
      <w:proofErr w:type="spellEnd"/>
      <w:r w:rsidRPr="00B419CE">
        <w:t xml:space="preserve"> statsgjelda og på statskassa sine krav. Departementet sine renter og avdrag på statsgjeld er budsjetterte til 10 250,6 mill. kroner. </w:t>
      </w:r>
      <w:proofErr w:type="spellStart"/>
      <w:r w:rsidRPr="00B419CE">
        <w:t>Hovudgrunnen</w:t>
      </w:r>
      <w:proofErr w:type="spellEnd"/>
      <w:r w:rsidRPr="00B419CE">
        <w:t xml:space="preserve"> til minkinga her med 87 910,3 mill. kroner </w:t>
      </w:r>
      <w:proofErr w:type="spellStart"/>
      <w:r w:rsidRPr="00B419CE">
        <w:t>frå</w:t>
      </w:r>
      <w:proofErr w:type="spellEnd"/>
      <w:r w:rsidRPr="00B419CE">
        <w:t xml:space="preserve"> saldert budsjett 2021 er at </w:t>
      </w:r>
      <w:proofErr w:type="spellStart"/>
      <w:r w:rsidRPr="00B419CE">
        <w:t>eit</w:t>
      </w:r>
      <w:proofErr w:type="spellEnd"/>
      <w:r w:rsidRPr="00B419CE">
        <w:t xml:space="preserve"> stort obligasjonslån hadde forfall i 2021, </w:t>
      </w:r>
      <w:proofErr w:type="spellStart"/>
      <w:r w:rsidRPr="00B419CE">
        <w:t>medan</w:t>
      </w:r>
      <w:proofErr w:type="spellEnd"/>
      <w:r w:rsidRPr="00B419CE">
        <w:t xml:space="preserve"> det for 2022 </w:t>
      </w:r>
      <w:proofErr w:type="spellStart"/>
      <w:r w:rsidRPr="00B419CE">
        <w:t>ikkje</w:t>
      </w:r>
      <w:proofErr w:type="spellEnd"/>
      <w:r w:rsidRPr="00B419CE">
        <w:t xml:space="preserve"> vert </w:t>
      </w:r>
      <w:proofErr w:type="spellStart"/>
      <w:r w:rsidRPr="00B419CE">
        <w:t>rekna</w:t>
      </w:r>
      <w:proofErr w:type="spellEnd"/>
      <w:r w:rsidRPr="00B419CE">
        <w:t xml:space="preserve"> med </w:t>
      </w:r>
      <w:proofErr w:type="spellStart"/>
      <w:r w:rsidRPr="00B419CE">
        <w:t>nokon</w:t>
      </w:r>
      <w:proofErr w:type="spellEnd"/>
      <w:r w:rsidRPr="00B419CE">
        <w:t xml:space="preserve"> avdrag.</w:t>
      </w:r>
    </w:p>
    <w:p w14:paraId="394BB56A" w14:textId="77777777" w:rsidR="00B419CE" w:rsidRPr="00B419CE" w:rsidRDefault="00B419CE" w:rsidP="00B419CE">
      <w:pPr>
        <w:pStyle w:val="avsnitt-tittel"/>
      </w:pPr>
      <w:r w:rsidRPr="00B419CE">
        <w:t>Verknader av ny premiemodell i Statens pensjonskasse</w:t>
      </w:r>
    </w:p>
    <w:p w14:paraId="287B7016" w14:textId="77777777" w:rsidR="00B419CE" w:rsidRPr="00B419CE" w:rsidRDefault="00B419CE" w:rsidP="00B419CE">
      <w:r w:rsidRPr="00B419CE">
        <w:t xml:space="preserve">Premiesystemet i Statens pensjonskasse vert </w:t>
      </w:r>
      <w:proofErr w:type="spellStart"/>
      <w:r w:rsidRPr="00B419CE">
        <w:t>no</w:t>
      </w:r>
      <w:proofErr w:type="spellEnd"/>
      <w:r w:rsidRPr="00B419CE">
        <w:t xml:space="preserve"> modernisert. </w:t>
      </w:r>
      <w:proofErr w:type="spellStart"/>
      <w:r w:rsidRPr="00B419CE">
        <w:t>Frå</w:t>
      </w:r>
      <w:proofErr w:type="spellEnd"/>
      <w:r w:rsidRPr="00B419CE">
        <w:t xml:space="preserve"> 2022 tek </w:t>
      </w:r>
      <w:proofErr w:type="spellStart"/>
      <w:r w:rsidRPr="00B419CE">
        <w:t>ein</w:t>
      </w:r>
      <w:proofErr w:type="spellEnd"/>
      <w:r w:rsidRPr="00B419CE">
        <w:t xml:space="preserve"> i bruk </w:t>
      </w:r>
      <w:proofErr w:type="spellStart"/>
      <w:r w:rsidRPr="00B419CE">
        <w:t>ein</w:t>
      </w:r>
      <w:proofErr w:type="spellEnd"/>
      <w:r w:rsidRPr="00B419CE">
        <w:t xml:space="preserve"> ny premiemodell. Denne tek omsyn til spesifikke forhold i kvar </w:t>
      </w:r>
      <w:proofErr w:type="spellStart"/>
      <w:r w:rsidRPr="00B419CE">
        <w:t>einskild</w:t>
      </w:r>
      <w:proofErr w:type="spellEnd"/>
      <w:r w:rsidRPr="00B419CE">
        <w:t xml:space="preserve"> </w:t>
      </w:r>
      <w:proofErr w:type="spellStart"/>
      <w:r w:rsidRPr="00B419CE">
        <w:t>verksemd</w:t>
      </w:r>
      <w:proofErr w:type="spellEnd"/>
      <w:r w:rsidRPr="00B419CE">
        <w:t xml:space="preserve">, og der det </w:t>
      </w:r>
      <w:proofErr w:type="spellStart"/>
      <w:r w:rsidRPr="00B419CE">
        <w:t>laupande</w:t>
      </w:r>
      <w:proofErr w:type="spellEnd"/>
      <w:r w:rsidRPr="00B419CE">
        <w:t xml:space="preserve"> vert gjort </w:t>
      </w:r>
      <w:proofErr w:type="spellStart"/>
      <w:r w:rsidRPr="00B419CE">
        <w:t>justeringar</w:t>
      </w:r>
      <w:proofErr w:type="spellEnd"/>
      <w:r w:rsidRPr="00B419CE">
        <w:t xml:space="preserve"> på grunnlag av til dømes </w:t>
      </w:r>
      <w:proofErr w:type="spellStart"/>
      <w:r w:rsidRPr="00B419CE">
        <w:t>lønsnivå</w:t>
      </w:r>
      <w:proofErr w:type="spellEnd"/>
      <w:r w:rsidRPr="00B419CE">
        <w:t xml:space="preserve">, tidspunkt for pensjonering og </w:t>
      </w:r>
      <w:proofErr w:type="spellStart"/>
      <w:r w:rsidRPr="00B419CE">
        <w:t>alderssamansetjing</w:t>
      </w:r>
      <w:proofErr w:type="spellEnd"/>
      <w:r w:rsidRPr="00B419CE">
        <w:t xml:space="preserve">. For </w:t>
      </w:r>
      <w:proofErr w:type="spellStart"/>
      <w:r w:rsidRPr="00B419CE">
        <w:t>verksemdene</w:t>
      </w:r>
      <w:proofErr w:type="spellEnd"/>
      <w:r w:rsidRPr="00B419CE">
        <w:t xml:space="preserve"> skal omlegginga </w:t>
      </w:r>
      <w:proofErr w:type="spellStart"/>
      <w:r w:rsidRPr="00B419CE">
        <w:t>vere</w:t>
      </w:r>
      <w:proofErr w:type="spellEnd"/>
      <w:r w:rsidRPr="00B419CE">
        <w:t xml:space="preserve"> om lag budsjettnøytral </w:t>
      </w:r>
      <w:proofErr w:type="spellStart"/>
      <w:r w:rsidRPr="00B419CE">
        <w:t>sidan</w:t>
      </w:r>
      <w:proofErr w:type="spellEnd"/>
      <w:r w:rsidRPr="00B419CE">
        <w:t xml:space="preserve"> opp- eller nedjustering av løyvinga skal svare til endringa av premiekravet.</w:t>
      </w:r>
    </w:p>
    <w:p w14:paraId="2287C7E6" w14:textId="77777777" w:rsidR="00B419CE" w:rsidRPr="00B419CE" w:rsidRDefault="00B419CE" w:rsidP="00B419CE">
      <w:r w:rsidRPr="00B419CE">
        <w:t xml:space="preserve">For </w:t>
      </w:r>
      <w:proofErr w:type="spellStart"/>
      <w:r w:rsidRPr="00B419CE">
        <w:t>dei</w:t>
      </w:r>
      <w:proofErr w:type="spellEnd"/>
      <w:r w:rsidRPr="00B419CE">
        <w:t xml:space="preserve"> </w:t>
      </w:r>
      <w:proofErr w:type="spellStart"/>
      <w:r w:rsidRPr="00B419CE">
        <w:t>verksemder</w:t>
      </w:r>
      <w:proofErr w:type="spellEnd"/>
      <w:r w:rsidRPr="00B419CE">
        <w:t xml:space="preserve"> som er omfatta av denne proposisjonen, </w:t>
      </w:r>
      <w:proofErr w:type="spellStart"/>
      <w:r w:rsidRPr="00B419CE">
        <w:t>utgjer</w:t>
      </w:r>
      <w:proofErr w:type="spellEnd"/>
      <w:r w:rsidRPr="00B419CE">
        <w:t xml:space="preserve"> </w:t>
      </w:r>
      <w:proofErr w:type="spellStart"/>
      <w:r w:rsidRPr="00B419CE">
        <w:t>justeringane</w:t>
      </w:r>
      <w:proofErr w:type="spellEnd"/>
      <w:r w:rsidRPr="00B419CE">
        <w:t xml:space="preserve"> til </w:t>
      </w:r>
      <w:proofErr w:type="spellStart"/>
      <w:r w:rsidRPr="00B419CE">
        <w:t>saman</w:t>
      </w:r>
      <w:proofErr w:type="spellEnd"/>
      <w:r w:rsidRPr="00B419CE">
        <w:t xml:space="preserve"> </w:t>
      </w:r>
      <w:proofErr w:type="spellStart"/>
      <w:r w:rsidRPr="00B419CE">
        <w:t>ein</w:t>
      </w:r>
      <w:proofErr w:type="spellEnd"/>
      <w:r w:rsidRPr="00B419CE">
        <w:t xml:space="preserve"> netto reduksjon med om lag 161,9 mill. kroner.</w:t>
      </w:r>
    </w:p>
    <w:p w14:paraId="4E0C761B" w14:textId="77777777" w:rsidR="00B419CE" w:rsidRPr="00B419CE" w:rsidRDefault="00B419CE" w:rsidP="00B419CE">
      <w:pPr>
        <w:pStyle w:val="avsnitt-tittel"/>
      </w:pPr>
      <w:r w:rsidRPr="00B419CE">
        <w:t>Inntekter</w:t>
      </w:r>
    </w:p>
    <w:p w14:paraId="4F1BC273" w14:textId="77777777" w:rsidR="00B419CE" w:rsidRPr="00B419CE" w:rsidRDefault="00B419CE" w:rsidP="00B419CE">
      <w:r w:rsidRPr="00B419CE">
        <w:t xml:space="preserve">Samla inntekter, </w:t>
      </w:r>
      <w:proofErr w:type="spellStart"/>
      <w:r w:rsidRPr="00B419CE">
        <w:t>utanom</w:t>
      </w:r>
      <w:proofErr w:type="spellEnd"/>
      <w:r w:rsidRPr="00B419CE">
        <w:t xml:space="preserve"> </w:t>
      </w:r>
      <w:proofErr w:type="spellStart"/>
      <w:r w:rsidRPr="00B419CE">
        <w:t>skattar</w:t>
      </w:r>
      <w:proofErr w:type="spellEnd"/>
      <w:r w:rsidRPr="00B419CE">
        <w:t xml:space="preserve"> og avgifter, </w:t>
      </w:r>
      <w:proofErr w:type="spellStart"/>
      <w:r w:rsidRPr="00B419CE">
        <w:t>utgjer</w:t>
      </w:r>
      <w:proofErr w:type="spellEnd"/>
      <w:r w:rsidRPr="00B419CE">
        <w:t xml:space="preserve"> 15 319,8 mill. kroner. Av det er 11 719,2 mill. kroner </w:t>
      </w:r>
      <w:proofErr w:type="spellStart"/>
      <w:r w:rsidRPr="00B419CE">
        <w:t>utbyte</w:t>
      </w:r>
      <w:proofErr w:type="spellEnd"/>
      <w:r w:rsidRPr="00B419CE">
        <w:t xml:space="preserve"> og renteinntekter, m.a. 10 113,0 mill. kroner i overføring </w:t>
      </w:r>
      <w:proofErr w:type="spellStart"/>
      <w:r w:rsidRPr="00B419CE">
        <w:t>frå</w:t>
      </w:r>
      <w:proofErr w:type="spellEnd"/>
      <w:r w:rsidRPr="00B419CE">
        <w:t xml:space="preserve"> overføringsfondet i </w:t>
      </w:r>
      <w:proofErr w:type="spellStart"/>
      <w:r w:rsidRPr="00B419CE">
        <w:t>Noregs</w:t>
      </w:r>
      <w:proofErr w:type="spellEnd"/>
      <w:r w:rsidRPr="00B419CE">
        <w:t xml:space="preserve"> Bank. Statens renteinntekter av foliokontoen i </w:t>
      </w:r>
      <w:proofErr w:type="spellStart"/>
      <w:r w:rsidRPr="00B419CE">
        <w:t>Noregs</w:t>
      </w:r>
      <w:proofErr w:type="spellEnd"/>
      <w:r w:rsidRPr="00B419CE">
        <w:t xml:space="preserve"> Bank og andre krav i 2022 er omtalte i kap. 5605 </w:t>
      </w:r>
      <w:r w:rsidRPr="00B419CE">
        <w:rPr>
          <w:rStyle w:val="kursiv"/>
        </w:rPr>
        <w:t xml:space="preserve">Renter av </w:t>
      </w:r>
      <w:proofErr w:type="spellStart"/>
      <w:r w:rsidRPr="00B419CE">
        <w:rPr>
          <w:rStyle w:val="kursiv"/>
        </w:rPr>
        <w:t>kontantar</w:t>
      </w:r>
      <w:proofErr w:type="spellEnd"/>
      <w:r w:rsidRPr="00B419CE">
        <w:rPr>
          <w:rStyle w:val="kursiv"/>
        </w:rPr>
        <w:t xml:space="preserve"> i statskassa og andre </w:t>
      </w:r>
      <w:proofErr w:type="spellStart"/>
      <w:r w:rsidRPr="00B419CE">
        <w:rPr>
          <w:rStyle w:val="kursiv"/>
        </w:rPr>
        <w:t>fordringar</w:t>
      </w:r>
      <w:proofErr w:type="spellEnd"/>
      <w:r w:rsidRPr="00B419CE">
        <w:t xml:space="preserve">. Det er gjort greie for </w:t>
      </w:r>
      <w:proofErr w:type="spellStart"/>
      <w:r w:rsidRPr="00B419CE">
        <w:t>skattar</w:t>
      </w:r>
      <w:proofErr w:type="spellEnd"/>
      <w:r w:rsidRPr="00B419CE">
        <w:t xml:space="preserve"> og avgifter i </w:t>
      </w:r>
      <w:proofErr w:type="spellStart"/>
      <w:r w:rsidRPr="00B419CE">
        <w:t>ein</w:t>
      </w:r>
      <w:proofErr w:type="spellEnd"/>
      <w:r w:rsidRPr="00B419CE">
        <w:t xml:space="preserve"> </w:t>
      </w:r>
      <w:proofErr w:type="spellStart"/>
      <w:r w:rsidRPr="00B419CE">
        <w:t>særskild</w:t>
      </w:r>
      <w:proofErr w:type="spellEnd"/>
      <w:r w:rsidRPr="00B419CE">
        <w:t xml:space="preserve"> proposisjon – </w:t>
      </w:r>
      <w:proofErr w:type="spellStart"/>
      <w:r w:rsidRPr="00B419CE">
        <w:t>Prop</w:t>
      </w:r>
      <w:proofErr w:type="spellEnd"/>
      <w:r w:rsidRPr="00B419CE">
        <w:t xml:space="preserve">. 1 LS (2021–2022) </w:t>
      </w:r>
      <w:r w:rsidRPr="00B419CE">
        <w:rPr>
          <w:rStyle w:val="kursiv"/>
        </w:rPr>
        <w:t>Skatter, avgifter og toll 2022</w:t>
      </w:r>
      <w:r w:rsidRPr="00B419CE">
        <w:t>.</w:t>
      </w:r>
    </w:p>
    <w:p w14:paraId="76FF8B0B" w14:textId="77777777" w:rsidR="00B419CE" w:rsidRPr="00B419CE" w:rsidRDefault="00B419CE" w:rsidP="00B419CE">
      <w:pPr>
        <w:pStyle w:val="Undertittel"/>
      </w:pPr>
      <w:r w:rsidRPr="00B419CE">
        <w:lastRenderedPageBreak/>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7CE2C5F6" w14:textId="77777777" w:rsidTr="00B419CE">
        <w:trPr>
          <w:trHeight w:val="640"/>
          <w:hidden/>
        </w:trPr>
        <w:tc>
          <w:tcPr>
            <w:tcW w:w="1020" w:type="dxa"/>
            <w:shd w:val="clear" w:color="auto" w:fill="FFFFFF"/>
          </w:tcPr>
          <w:p w14:paraId="448619F6" w14:textId="77777777" w:rsidR="00B419CE" w:rsidRPr="00B419CE" w:rsidRDefault="00B419CE" w:rsidP="00B419CE">
            <w:pPr>
              <w:pStyle w:val="Tabellnavn"/>
            </w:pPr>
            <w:r w:rsidRPr="00B419CE">
              <w:t>UIPOPR</w:t>
            </w:r>
          </w:p>
        </w:tc>
        <w:tc>
          <w:tcPr>
            <w:tcW w:w="4080" w:type="dxa"/>
          </w:tcPr>
          <w:p w14:paraId="679EBAAC" w14:textId="77777777" w:rsidR="00B419CE" w:rsidRPr="00B419CE" w:rsidRDefault="00B419CE" w:rsidP="00B419CE"/>
        </w:tc>
        <w:tc>
          <w:tcPr>
            <w:tcW w:w="1020" w:type="dxa"/>
          </w:tcPr>
          <w:p w14:paraId="4F6C3D30" w14:textId="77777777" w:rsidR="00B419CE" w:rsidRPr="00B419CE" w:rsidRDefault="00B419CE" w:rsidP="00B419CE">
            <w:pPr>
              <w:jc w:val="right"/>
            </w:pPr>
          </w:p>
        </w:tc>
        <w:tc>
          <w:tcPr>
            <w:tcW w:w="1020" w:type="dxa"/>
          </w:tcPr>
          <w:p w14:paraId="06743913" w14:textId="77777777" w:rsidR="00B419CE" w:rsidRPr="00B419CE" w:rsidRDefault="00B419CE" w:rsidP="00B419CE">
            <w:pPr>
              <w:jc w:val="right"/>
            </w:pPr>
          </w:p>
        </w:tc>
        <w:tc>
          <w:tcPr>
            <w:tcW w:w="1020" w:type="dxa"/>
          </w:tcPr>
          <w:p w14:paraId="33BE5130" w14:textId="77777777" w:rsidR="00B419CE" w:rsidRPr="00B419CE" w:rsidRDefault="00B419CE" w:rsidP="00B419CE">
            <w:pPr>
              <w:jc w:val="right"/>
            </w:pPr>
          </w:p>
        </w:tc>
        <w:tc>
          <w:tcPr>
            <w:tcW w:w="1020" w:type="dxa"/>
          </w:tcPr>
          <w:p w14:paraId="273D7CA0" w14:textId="77777777" w:rsidR="00B419CE" w:rsidRPr="00B419CE" w:rsidRDefault="00B419CE" w:rsidP="00B419CE">
            <w:pPr>
              <w:jc w:val="right"/>
            </w:pPr>
            <w:r w:rsidRPr="00B419CE">
              <w:t>(i 1 000 kr)</w:t>
            </w:r>
          </w:p>
        </w:tc>
      </w:tr>
      <w:tr w:rsidR="00B419CE" w:rsidRPr="00B419CE" w14:paraId="3050A442" w14:textId="77777777" w:rsidTr="00B419CE">
        <w:trPr>
          <w:trHeight w:val="600"/>
        </w:trPr>
        <w:tc>
          <w:tcPr>
            <w:tcW w:w="1020" w:type="dxa"/>
          </w:tcPr>
          <w:p w14:paraId="22D16548" w14:textId="77777777" w:rsidR="00B419CE" w:rsidRPr="00B419CE" w:rsidRDefault="00B419CE" w:rsidP="00B419CE">
            <w:r w:rsidRPr="00B419CE">
              <w:t>Post- gr.</w:t>
            </w:r>
          </w:p>
        </w:tc>
        <w:tc>
          <w:tcPr>
            <w:tcW w:w="4080" w:type="dxa"/>
          </w:tcPr>
          <w:p w14:paraId="562738D2" w14:textId="77777777" w:rsidR="00B419CE" w:rsidRPr="00B419CE" w:rsidRDefault="00B419CE" w:rsidP="00B419CE">
            <w:proofErr w:type="spellStart"/>
            <w:r w:rsidRPr="00B419CE">
              <w:t>Nemning</w:t>
            </w:r>
            <w:proofErr w:type="spellEnd"/>
          </w:p>
        </w:tc>
        <w:tc>
          <w:tcPr>
            <w:tcW w:w="1020" w:type="dxa"/>
          </w:tcPr>
          <w:p w14:paraId="39BBBCF0"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724C0532" w14:textId="77777777" w:rsidR="00B419CE" w:rsidRPr="00B419CE" w:rsidRDefault="00B419CE" w:rsidP="00B419CE">
            <w:pPr>
              <w:jc w:val="right"/>
            </w:pPr>
            <w:r w:rsidRPr="00B419CE">
              <w:t>Saldert</w:t>
            </w:r>
            <w:r w:rsidRPr="00B419CE">
              <w:br/>
              <w:t xml:space="preserve"> budsjett 2021</w:t>
            </w:r>
          </w:p>
        </w:tc>
        <w:tc>
          <w:tcPr>
            <w:tcW w:w="1020" w:type="dxa"/>
          </w:tcPr>
          <w:p w14:paraId="69705057" w14:textId="77777777" w:rsidR="00B419CE" w:rsidRPr="00B419CE" w:rsidRDefault="00B419CE" w:rsidP="00B419CE">
            <w:pPr>
              <w:jc w:val="right"/>
            </w:pPr>
            <w:r w:rsidRPr="00B419CE">
              <w:t>Forslag</w:t>
            </w:r>
            <w:r w:rsidRPr="00B419CE">
              <w:br/>
              <w:t xml:space="preserve"> 2022</w:t>
            </w:r>
          </w:p>
        </w:tc>
        <w:tc>
          <w:tcPr>
            <w:tcW w:w="1020" w:type="dxa"/>
          </w:tcPr>
          <w:p w14:paraId="14C6F924" w14:textId="77777777" w:rsidR="00B419CE" w:rsidRPr="00B419CE" w:rsidRDefault="00B419CE" w:rsidP="00B419CE">
            <w:pPr>
              <w:jc w:val="right"/>
            </w:pPr>
            <w:r w:rsidRPr="00B419CE">
              <w:t>Endring</w:t>
            </w:r>
            <w:r w:rsidRPr="00B419CE">
              <w:br/>
              <w:t xml:space="preserve"> i pst.</w:t>
            </w:r>
          </w:p>
        </w:tc>
      </w:tr>
      <w:tr w:rsidR="00B419CE" w:rsidRPr="00B419CE" w14:paraId="65551B89" w14:textId="77777777" w:rsidTr="00B419CE">
        <w:trPr>
          <w:trHeight w:val="380"/>
        </w:trPr>
        <w:tc>
          <w:tcPr>
            <w:tcW w:w="1020" w:type="dxa"/>
          </w:tcPr>
          <w:p w14:paraId="20BA4B13" w14:textId="77777777" w:rsidR="00B419CE" w:rsidRPr="00B419CE" w:rsidRDefault="00B419CE" w:rsidP="00B419CE">
            <w:r w:rsidRPr="00B419CE">
              <w:t>01–29</w:t>
            </w:r>
          </w:p>
        </w:tc>
        <w:tc>
          <w:tcPr>
            <w:tcW w:w="4080" w:type="dxa"/>
          </w:tcPr>
          <w:p w14:paraId="25DEDC3D" w14:textId="77777777" w:rsidR="00B419CE" w:rsidRPr="00B419CE" w:rsidRDefault="00B419CE" w:rsidP="00B419CE">
            <w:r w:rsidRPr="00B419CE">
              <w:t>Statens egne driftsutgifter</w:t>
            </w:r>
          </w:p>
        </w:tc>
        <w:tc>
          <w:tcPr>
            <w:tcW w:w="1020" w:type="dxa"/>
          </w:tcPr>
          <w:p w14:paraId="71B3DCCF" w14:textId="77777777" w:rsidR="00B419CE" w:rsidRPr="00B419CE" w:rsidRDefault="00B419CE" w:rsidP="00B419CE">
            <w:pPr>
              <w:jc w:val="right"/>
            </w:pPr>
            <w:r w:rsidRPr="00B419CE">
              <w:t>21 584 220</w:t>
            </w:r>
          </w:p>
        </w:tc>
        <w:tc>
          <w:tcPr>
            <w:tcW w:w="1020" w:type="dxa"/>
          </w:tcPr>
          <w:p w14:paraId="1C2AEA70" w14:textId="77777777" w:rsidR="00B419CE" w:rsidRPr="00B419CE" w:rsidRDefault="00B419CE" w:rsidP="00B419CE">
            <w:pPr>
              <w:jc w:val="right"/>
            </w:pPr>
            <w:r w:rsidRPr="00B419CE">
              <w:t>22 659 635</w:t>
            </w:r>
          </w:p>
        </w:tc>
        <w:tc>
          <w:tcPr>
            <w:tcW w:w="1020" w:type="dxa"/>
          </w:tcPr>
          <w:p w14:paraId="35707A45" w14:textId="77777777" w:rsidR="00B419CE" w:rsidRPr="00B419CE" w:rsidRDefault="00B419CE" w:rsidP="00B419CE">
            <w:pPr>
              <w:jc w:val="right"/>
            </w:pPr>
            <w:r w:rsidRPr="00B419CE">
              <w:t>23 806 506</w:t>
            </w:r>
          </w:p>
        </w:tc>
        <w:tc>
          <w:tcPr>
            <w:tcW w:w="1020" w:type="dxa"/>
          </w:tcPr>
          <w:p w14:paraId="370F69A8" w14:textId="77777777" w:rsidR="00B419CE" w:rsidRPr="00B419CE" w:rsidRDefault="00B419CE" w:rsidP="00B419CE">
            <w:pPr>
              <w:jc w:val="right"/>
            </w:pPr>
            <w:r w:rsidRPr="00B419CE">
              <w:t>5,1</w:t>
            </w:r>
          </w:p>
        </w:tc>
      </w:tr>
      <w:tr w:rsidR="00B419CE" w:rsidRPr="00B419CE" w14:paraId="3435F6DF" w14:textId="77777777" w:rsidTr="00B419CE">
        <w:trPr>
          <w:trHeight w:val="380"/>
        </w:trPr>
        <w:tc>
          <w:tcPr>
            <w:tcW w:w="1020" w:type="dxa"/>
          </w:tcPr>
          <w:p w14:paraId="0D0E37E1" w14:textId="77777777" w:rsidR="00B419CE" w:rsidRPr="00B419CE" w:rsidRDefault="00B419CE" w:rsidP="00B419CE">
            <w:r w:rsidRPr="00B419CE">
              <w:t>30–49</w:t>
            </w:r>
          </w:p>
        </w:tc>
        <w:tc>
          <w:tcPr>
            <w:tcW w:w="4080" w:type="dxa"/>
          </w:tcPr>
          <w:p w14:paraId="758275CC" w14:textId="77777777" w:rsidR="00B419CE" w:rsidRPr="00B419CE" w:rsidRDefault="00B419CE" w:rsidP="00B419CE">
            <w:r w:rsidRPr="00B419CE">
              <w:t>Nybygg, anlegg o.a.</w:t>
            </w:r>
          </w:p>
        </w:tc>
        <w:tc>
          <w:tcPr>
            <w:tcW w:w="1020" w:type="dxa"/>
          </w:tcPr>
          <w:p w14:paraId="28EE02C1" w14:textId="77777777" w:rsidR="00B419CE" w:rsidRPr="00B419CE" w:rsidRDefault="00B419CE" w:rsidP="00B419CE">
            <w:pPr>
              <w:jc w:val="right"/>
            </w:pPr>
            <w:r w:rsidRPr="00B419CE">
              <w:t>569 941</w:t>
            </w:r>
          </w:p>
        </w:tc>
        <w:tc>
          <w:tcPr>
            <w:tcW w:w="1020" w:type="dxa"/>
          </w:tcPr>
          <w:p w14:paraId="4DEC7277" w14:textId="77777777" w:rsidR="00B419CE" w:rsidRPr="00B419CE" w:rsidRDefault="00B419CE" w:rsidP="00B419CE">
            <w:pPr>
              <w:jc w:val="right"/>
            </w:pPr>
            <w:r w:rsidRPr="00B419CE">
              <w:t>413 600</w:t>
            </w:r>
          </w:p>
        </w:tc>
        <w:tc>
          <w:tcPr>
            <w:tcW w:w="1020" w:type="dxa"/>
          </w:tcPr>
          <w:p w14:paraId="02F01C98" w14:textId="77777777" w:rsidR="00B419CE" w:rsidRPr="00B419CE" w:rsidRDefault="00B419CE" w:rsidP="00B419CE">
            <w:pPr>
              <w:jc w:val="right"/>
            </w:pPr>
            <w:r w:rsidRPr="00B419CE">
              <w:t>513 900</w:t>
            </w:r>
          </w:p>
        </w:tc>
        <w:tc>
          <w:tcPr>
            <w:tcW w:w="1020" w:type="dxa"/>
          </w:tcPr>
          <w:p w14:paraId="5085B322" w14:textId="77777777" w:rsidR="00B419CE" w:rsidRPr="00B419CE" w:rsidRDefault="00B419CE" w:rsidP="00B419CE">
            <w:pPr>
              <w:jc w:val="right"/>
            </w:pPr>
            <w:r w:rsidRPr="00B419CE">
              <w:t>24,3</w:t>
            </w:r>
          </w:p>
        </w:tc>
      </w:tr>
      <w:tr w:rsidR="00B419CE" w:rsidRPr="00B419CE" w14:paraId="3EC5FBF8" w14:textId="77777777" w:rsidTr="00B419CE">
        <w:trPr>
          <w:trHeight w:val="380"/>
        </w:trPr>
        <w:tc>
          <w:tcPr>
            <w:tcW w:w="1020" w:type="dxa"/>
          </w:tcPr>
          <w:p w14:paraId="154C997D" w14:textId="77777777" w:rsidR="00B419CE" w:rsidRPr="00B419CE" w:rsidRDefault="00B419CE" w:rsidP="00B419CE">
            <w:r w:rsidRPr="00B419CE">
              <w:t>50–89</w:t>
            </w:r>
          </w:p>
        </w:tc>
        <w:tc>
          <w:tcPr>
            <w:tcW w:w="4080" w:type="dxa"/>
          </w:tcPr>
          <w:p w14:paraId="36A90709" w14:textId="77777777" w:rsidR="00B419CE" w:rsidRPr="00B419CE" w:rsidRDefault="00B419CE" w:rsidP="00B419CE">
            <w:proofErr w:type="spellStart"/>
            <w:r w:rsidRPr="00B419CE">
              <w:t>Overføringar</w:t>
            </w:r>
            <w:proofErr w:type="spellEnd"/>
            <w:r w:rsidRPr="00B419CE">
              <w:t xml:space="preserve"> til andre</w:t>
            </w:r>
          </w:p>
        </w:tc>
        <w:tc>
          <w:tcPr>
            <w:tcW w:w="1020" w:type="dxa"/>
          </w:tcPr>
          <w:p w14:paraId="0D7FA7B5" w14:textId="77777777" w:rsidR="00B419CE" w:rsidRPr="00B419CE" w:rsidRDefault="00B419CE" w:rsidP="00B419CE">
            <w:pPr>
              <w:jc w:val="right"/>
            </w:pPr>
            <w:r w:rsidRPr="00B419CE">
              <w:t>57 242 667</w:t>
            </w:r>
          </w:p>
        </w:tc>
        <w:tc>
          <w:tcPr>
            <w:tcW w:w="1020" w:type="dxa"/>
          </w:tcPr>
          <w:p w14:paraId="75519082" w14:textId="77777777" w:rsidR="00B419CE" w:rsidRPr="00B419CE" w:rsidRDefault="00B419CE" w:rsidP="00B419CE">
            <w:pPr>
              <w:jc w:val="right"/>
            </w:pPr>
            <w:r w:rsidRPr="00B419CE">
              <w:t>41 941 800</w:t>
            </w:r>
          </w:p>
        </w:tc>
        <w:tc>
          <w:tcPr>
            <w:tcW w:w="1020" w:type="dxa"/>
          </w:tcPr>
          <w:p w14:paraId="5521CF8D" w14:textId="77777777" w:rsidR="00B419CE" w:rsidRPr="00B419CE" w:rsidRDefault="00B419CE" w:rsidP="00B419CE">
            <w:pPr>
              <w:jc w:val="right"/>
            </w:pPr>
            <w:r w:rsidRPr="00B419CE">
              <w:t>41 723 533</w:t>
            </w:r>
          </w:p>
        </w:tc>
        <w:tc>
          <w:tcPr>
            <w:tcW w:w="1020" w:type="dxa"/>
          </w:tcPr>
          <w:p w14:paraId="0D2425AC" w14:textId="77777777" w:rsidR="00B419CE" w:rsidRPr="00B419CE" w:rsidRDefault="00B419CE" w:rsidP="00B419CE">
            <w:pPr>
              <w:jc w:val="right"/>
            </w:pPr>
            <w:r w:rsidRPr="00B419CE">
              <w:t>-0,5</w:t>
            </w:r>
          </w:p>
        </w:tc>
      </w:tr>
      <w:tr w:rsidR="00B419CE" w:rsidRPr="00B419CE" w14:paraId="0394B322" w14:textId="77777777" w:rsidTr="00B419CE">
        <w:trPr>
          <w:trHeight w:val="380"/>
        </w:trPr>
        <w:tc>
          <w:tcPr>
            <w:tcW w:w="1020" w:type="dxa"/>
          </w:tcPr>
          <w:p w14:paraId="4C6033AE" w14:textId="77777777" w:rsidR="00B419CE" w:rsidRPr="00B419CE" w:rsidRDefault="00B419CE" w:rsidP="00B419CE">
            <w:r w:rsidRPr="00B419CE">
              <w:t>90–99</w:t>
            </w:r>
          </w:p>
        </w:tc>
        <w:tc>
          <w:tcPr>
            <w:tcW w:w="4080" w:type="dxa"/>
          </w:tcPr>
          <w:p w14:paraId="21AB8B34" w14:textId="77777777" w:rsidR="00B419CE" w:rsidRPr="00B419CE" w:rsidRDefault="00B419CE" w:rsidP="00B419CE">
            <w:r w:rsidRPr="00B419CE">
              <w:t>Utlån, statsgjeld o.a.</w:t>
            </w:r>
          </w:p>
        </w:tc>
        <w:tc>
          <w:tcPr>
            <w:tcW w:w="1020" w:type="dxa"/>
          </w:tcPr>
          <w:p w14:paraId="4D08206F" w14:textId="77777777" w:rsidR="00B419CE" w:rsidRPr="00B419CE" w:rsidRDefault="00B419CE" w:rsidP="00B419CE">
            <w:pPr>
              <w:jc w:val="right"/>
            </w:pPr>
            <w:r w:rsidRPr="00B419CE">
              <w:t>63 995 000</w:t>
            </w:r>
          </w:p>
        </w:tc>
        <w:tc>
          <w:tcPr>
            <w:tcW w:w="1020" w:type="dxa"/>
          </w:tcPr>
          <w:p w14:paraId="4BD1144C" w14:textId="77777777" w:rsidR="00B419CE" w:rsidRPr="00B419CE" w:rsidRDefault="00B419CE" w:rsidP="00B419CE">
            <w:pPr>
              <w:jc w:val="right"/>
            </w:pPr>
            <w:r w:rsidRPr="00B419CE">
              <w:t>88 000 000</w:t>
            </w:r>
          </w:p>
        </w:tc>
        <w:tc>
          <w:tcPr>
            <w:tcW w:w="1020" w:type="dxa"/>
          </w:tcPr>
          <w:p w14:paraId="2F047683" w14:textId="77777777" w:rsidR="00B419CE" w:rsidRPr="00B419CE" w:rsidRDefault="00B419CE" w:rsidP="00B419CE">
            <w:pPr>
              <w:jc w:val="right"/>
            </w:pPr>
          </w:p>
        </w:tc>
        <w:tc>
          <w:tcPr>
            <w:tcW w:w="1020" w:type="dxa"/>
          </w:tcPr>
          <w:p w14:paraId="59433D54" w14:textId="77777777" w:rsidR="00B419CE" w:rsidRPr="00B419CE" w:rsidRDefault="00B419CE" w:rsidP="00B419CE">
            <w:pPr>
              <w:jc w:val="right"/>
            </w:pPr>
            <w:r w:rsidRPr="00B419CE">
              <w:t>-100,0</w:t>
            </w:r>
          </w:p>
        </w:tc>
      </w:tr>
      <w:tr w:rsidR="00B419CE" w:rsidRPr="00B419CE" w14:paraId="24A50BCA" w14:textId="77777777" w:rsidTr="00B419CE">
        <w:trPr>
          <w:trHeight w:val="380"/>
        </w:trPr>
        <w:tc>
          <w:tcPr>
            <w:tcW w:w="1020" w:type="dxa"/>
          </w:tcPr>
          <w:p w14:paraId="7AA8DD3D" w14:textId="77777777" w:rsidR="00B419CE" w:rsidRPr="00B419CE" w:rsidRDefault="00B419CE" w:rsidP="00B419CE"/>
        </w:tc>
        <w:tc>
          <w:tcPr>
            <w:tcW w:w="4080" w:type="dxa"/>
          </w:tcPr>
          <w:p w14:paraId="3B3C6EB6" w14:textId="77777777" w:rsidR="00B419CE" w:rsidRPr="00B419CE" w:rsidRDefault="00B419CE" w:rsidP="00B419CE">
            <w:r w:rsidRPr="00B419CE">
              <w:t>Sum under departementet</w:t>
            </w:r>
          </w:p>
        </w:tc>
        <w:tc>
          <w:tcPr>
            <w:tcW w:w="1020" w:type="dxa"/>
          </w:tcPr>
          <w:p w14:paraId="18701835" w14:textId="77777777" w:rsidR="00B419CE" w:rsidRPr="00B419CE" w:rsidRDefault="00B419CE" w:rsidP="00B419CE">
            <w:pPr>
              <w:jc w:val="right"/>
            </w:pPr>
            <w:r w:rsidRPr="00B419CE">
              <w:t>143 391 828</w:t>
            </w:r>
          </w:p>
        </w:tc>
        <w:tc>
          <w:tcPr>
            <w:tcW w:w="1020" w:type="dxa"/>
          </w:tcPr>
          <w:p w14:paraId="1F5D65CC" w14:textId="77777777" w:rsidR="00B419CE" w:rsidRPr="00B419CE" w:rsidRDefault="00B419CE" w:rsidP="00B419CE">
            <w:pPr>
              <w:jc w:val="right"/>
            </w:pPr>
            <w:r w:rsidRPr="00B419CE">
              <w:t>153 015 035</w:t>
            </w:r>
          </w:p>
        </w:tc>
        <w:tc>
          <w:tcPr>
            <w:tcW w:w="1020" w:type="dxa"/>
          </w:tcPr>
          <w:p w14:paraId="5D1713F5" w14:textId="77777777" w:rsidR="00B419CE" w:rsidRPr="00B419CE" w:rsidRDefault="00B419CE" w:rsidP="00B419CE">
            <w:pPr>
              <w:jc w:val="right"/>
            </w:pPr>
            <w:r w:rsidRPr="00B419CE">
              <w:t>66 043 939</w:t>
            </w:r>
          </w:p>
        </w:tc>
        <w:tc>
          <w:tcPr>
            <w:tcW w:w="1020" w:type="dxa"/>
          </w:tcPr>
          <w:p w14:paraId="59657778" w14:textId="77777777" w:rsidR="00B419CE" w:rsidRPr="00B419CE" w:rsidRDefault="00B419CE" w:rsidP="00B419CE">
            <w:pPr>
              <w:jc w:val="right"/>
            </w:pPr>
            <w:r w:rsidRPr="00B419CE">
              <w:t>-56,8</w:t>
            </w:r>
          </w:p>
        </w:tc>
      </w:tr>
    </w:tbl>
    <w:p w14:paraId="6AC20C03" w14:textId="77777777" w:rsidR="00B419CE" w:rsidRPr="00B419CE" w:rsidRDefault="00B419CE" w:rsidP="00B419CE">
      <w:pPr>
        <w:pStyle w:val="Overskrift1"/>
      </w:pPr>
      <w:proofErr w:type="spellStart"/>
      <w:r w:rsidRPr="00B419CE">
        <w:t>Nokre</w:t>
      </w:r>
      <w:proofErr w:type="spellEnd"/>
      <w:r w:rsidRPr="00B419CE">
        <w:t xml:space="preserve"> viktige </w:t>
      </w:r>
      <w:proofErr w:type="spellStart"/>
      <w:r w:rsidRPr="00B419CE">
        <w:t>oppgåver</w:t>
      </w:r>
      <w:proofErr w:type="spellEnd"/>
      <w:r w:rsidRPr="00B419CE">
        <w:t xml:space="preserve"> i 2022</w:t>
      </w:r>
    </w:p>
    <w:p w14:paraId="3153C1CE" w14:textId="77777777" w:rsidR="00B419CE" w:rsidRPr="00B419CE" w:rsidRDefault="00B419CE" w:rsidP="00B419CE">
      <w:proofErr w:type="spellStart"/>
      <w:r w:rsidRPr="00B419CE">
        <w:t>Nedanfor</w:t>
      </w:r>
      <w:proofErr w:type="spellEnd"/>
      <w:r w:rsidRPr="00B419CE">
        <w:t xml:space="preserve"> er det gjort greie for </w:t>
      </w:r>
      <w:proofErr w:type="spellStart"/>
      <w:r w:rsidRPr="00B419CE">
        <w:t>nokre</w:t>
      </w:r>
      <w:proofErr w:type="spellEnd"/>
      <w:r w:rsidRPr="00B419CE">
        <w:t xml:space="preserve"> av </w:t>
      </w:r>
      <w:proofErr w:type="spellStart"/>
      <w:r w:rsidRPr="00B419CE">
        <w:t>dei</w:t>
      </w:r>
      <w:proofErr w:type="spellEnd"/>
      <w:r w:rsidRPr="00B419CE">
        <w:t xml:space="preserve"> viktige </w:t>
      </w:r>
      <w:proofErr w:type="spellStart"/>
      <w:r w:rsidRPr="00B419CE">
        <w:t>oppgåvene</w:t>
      </w:r>
      <w:proofErr w:type="spellEnd"/>
      <w:r w:rsidRPr="00B419CE">
        <w:t xml:space="preserve"> Finansdepartementet skal utføre i 2022, i tillegg til å samordne den økonomiske politikken.</w:t>
      </w:r>
    </w:p>
    <w:p w14:paraId="753ED932" w14:textId="77777777" w:rsidR="00B419CE" w:rsidRPr="00B419CE" w:rsidRDefault="00B419CE" w:rsidP="00B419CE">
      <w:pPr>
        <w:pStyle w:val="Overskrift2"/>
      </w:pPr>
      <w:r w:rsidRPr="00B419CE">
        <w:t>Koronapandemien</w:t>
      </w:r>
    </w:p>
    <w:p w14:paraId="071F3972" w14:textId="77777777" w:rsidR="00B419CE" w:rsidRPr="00B419CE" w:rsidRDefault="00B419CE" w:rsidP="00B419CE">
      <w:r w:rsidRPr="00B419CE">
        <w:t xml:space="preserve">Koronapandemien har i stor grad prega den økonomiske utviklinga i norsk og internasjonal økonomi i 2020 og 2021. </w:t>
      </w:r>
      <w:proofErr w:type="spellStart"/>
      <w:r w:rsidRPr="00B419CE">
        <w:t>Sidan</w:t>
      </w:r>
      <w:proofErr w:type="spellEnd"/>
      <w:r w:rsidRPr="00B419CE">
        <w:t xml:space="preserve"> </w:t>
      </w:r>
      <w:proofErr w:type="spellStart"/>
      <w:r w:rsidRPr="00B419CE">
        <w:t>forsommaren</w:t>
      </w:r>
      <w:proofErr w:type="spellEnd"/>
      <w:r w:rsidRPr="00B419CE">
        <w:t xml:space="preserve"> 2021 har vaksineringa </w:t>
      </w:r>
      <w:proofErr w:type="spellStart"/>
      <w:r w:rsidRPr="00B419CE">
        <w:t>komen</w:t>
      </w:r>
      <w:proofErr w:type="spellEnd"/>
      <w:r w:rsidRPr="00B419CE">
        <w:t xml:space="preserve"> så langt at </w:t>
      </w:r>
      <w:proofErr w:type="spellStart"/>
      <w:r w:rsidRPr="00B419CE">
        <w:t>dei</w:t>
      </w:r>
      <w:proofErr w:type="spellEnd"/>
      <w:r w:rsidRPr="00B419CE">
        <w:t xml:space="preserve"> strenge smitteverntiltaka gradvis har vorte avvikla. </w:t>
      </w:r>
      <w:proofErr w:type="spellStart"/>
      <w:r w:rsidRPr="00B419CE">
        <w:t>Gjenopninga</w:t>
      </w:r>
      <w:proofErr w:type="spellEnd"/>
      <w:r w:rsidRPr="00B419CE">
        <w:t xml:space="preserve"> av samfunnet har gjeve </w:t>
      </w:r>
      <w:proofErr w:type="spellStart"/>
      <w:r w:rsidRPr="00B419CE">
        <w:t>eit</w:t>
      </w:r>
      <w:proofErr w:type="spellEnd"/>
      <w:r w:rsidRPr="00B419CE">
        <w:t xml:space="preserve"> kraftig oppsving i husholda sin etterspørsel etter varer og </w:t>
      </w:r>
      <w:proofErr w:type="spellStart"/>
      <w:r w:rsidRPr="00B419CE">
        <w:t>tenester</w:t>
      </w:r>
      <w:proofErr w:type="spellEnd"/>
      <w:r w:rsidRPr="00B419CE">
        <w:t xml:space="preserve">, og farten i fastlandsøkonomien er </w:t>
      </w:r>
      <w:proofErr w:type="spellStart"/>
      <w:r w:rsidRPr="00B419CE">
        <w:t>høg</w:t>
      </w:r>
      <w:proofErr w:type="spellEnd"/>
      <w:r w:rsidRPr="00B419CE">
        <w:t xml:space="preserve">. Den registrerte </w:t>
      </w:r>
      <w:proofErr w:type="spellStart"/>
      <w:r w:rsidRPr="00B419CE">
        <w:t>arbeidsløysa</w:t>
      </w:r>
      <w:proofErr w:type="spellEnd"/>
      <w:r w:rsidRPr="00B419CE">
        <w:t xml:space="preserve"> går raskt ned, og store </w:t>
      </w:r>
      <w:proofErr w:type="spellStart"/>
      <w:r w:rsidRPr="00B419CE">
        <w:t>delar</w:t>
      </w:r>
      <w:proofErr w:type="spellEnd"/>
      <w:r w:rsidRPr="00B419CE">
        <w:t xml:space="preserve"> av næringslivet </w:t>
      </w:r>
      <w:proofErr w:type="spellStart"/>
      <w:r w:rsidRPr="00B419CE">
        <w:t>ventar</w:t>
      </w:r>
      <w:proofErr w:type="spellEnd"/>
      <w:r w:rsidRPr="00B419CE">
        <w:t xml:space="preserve"> </w:t>
      </w:r>
      <w:proofErr w:type="spellStart"/>
      <w:r w:rsidRPr="00B419CE">
        <w:t>høg</w:t>
      </w:r>
      <w:proofErr w:type="spellEnd"/>
      <w:r w:rsidRPr="00B419CE">
        <w:t xml:space="preserve"> vekst framover. Det </w:t>
      </w:r>
      <w:proofErr w:type="spellStart"/>
      <w:r w:rsidRPr="00B419CE">
        <w:t>ligg</w:t>
      </w:r>
      <w:proofErr w:type="spellEnd"/>
      <w:r w:rsidRPr="00B419CE">
        <w:t xml:space="preserve"> an til at norsk økonomi vil </w:t>
      </w:r>
      <w:proofErr w:type="spellStart"/>
      <w:r w:rsidRPr="00B419CE">
        <w:t>kome</w:t>
      </w:r>
      <w:proofErr w:type="spellEnd"/>
      <w:r w:rsidRPr="00B419CE">
        <w:t xml:space="preserve"> inn i </w:t>
      </w:r>
      <w:proofErr w:type="spellStart"/>
      <w:r w:rsidRPr="00B419CE">
        <w:t>ein</w:t>
      </w:r>
      <w:proofErr w:type="spellEnd"/>
      <w:r w:rsidRPr="00B419CE">
        <w:t xml:space="preserve"> høgkonjunktur i 2022 og at den registrerte </w:t>
      </w:r>
      <w:proofErr w:type="spellStart"/>
      <w:r w:rsidRPr="00B419CE">
        <w:t>arbeidsløysa</w:t>
      </w:r>
      <w:proofErr w:type="spellEnd"/>
      <w:r w:rsidRPr="00B419CE">
        <w:t xml:space="preserve"> vil </w:t>
      </w:r>
      <w:proofErr w:type="spellStart"/>
      <w:r w:rsidRPr="00B419CE">
        <w:t>vere</w:t>
      </w:r>
      <w:proofErr w:type="spellEnd"/>
      <w:r w:rsidRPr="00B419CE">
        <w:t xml:space="preserve"> </w:t>
      </w:r>
      <w:proofErr w:type="spellStart"/>
      <w:r w:rsidRPr="00B419CE">
        <w:t>lågare</w:t>
      </w:r>
      <w:proofErr w:type="spellEnd"/>
      <w:r w:rsidRPr="00B419CE">
        <w:t xml:space="preserve"> enn snittet for </w:t>
      </w:r>
      <w:proofErr w:type="spellStart"/>
      <w:r w:rsidRPr="00B419CE">
        <w:t>dei</w:t>
      </w:r>
      <w:proofErr w:type="spellEnd"/>
      <w:r w:rsidRPr="00B419CE">
        <w:t xml:space="preserve"> siste 20 åra. </w:t>
      </w:r>
      <w:proofErr w:type="spellStart"/>
      <w:r w:rsidRPr="00B419CE">
        <w:t>Fleire</w:t>
      </w:r>
      <w:proofErr w:type="spellEnd"/>
      <w:r w:rsidRPr="00B419CE">
        <w:t xml:space="preserve"> </w:t>
      </w:r>
      <w:proofErr w:type="spellStart"/>
      <w:r w:rsidRPr="00B419CE">
        <w:t>næringar</w:t>
      </w:r>
      <w:proofErr w:type="spellEnd"/>
      <w:r w:rsidRPr="00B419CE">
        <w:t xml:space="preserve"> opplever </w:t>
      </w:r>
      <w:proofErr w:type="spellStart"/>
      <w:r w:rsidRPr="00B419CE">
        <w:t>no</w:t>
      </w:r>
      <w:proofErr w:type="spellEnd"/>
      <w:r w:rsidRPr="00B419CE">
        <w:t xml:space="preserve"> at det er </w:t>
      </w:r>
      <w:proofErr w:type="spellStart"/>
      <w:r w:rsidRPr="00B419CE">
        <w:t>vanskeleg</w:t>
      </w:r>
      <w:proofErr w:type="spellEnd"/>
      <w:r w:rsidRPr="00B419CE">
        <w:t xml:space="preserve"> å få tak i kvalifisert arbeidskraft.</w:t>
      </w:r>
    </w:p>
    <w:p w14:paraId="53EB7BA4" w14:textId="77777777" w:rsidR="00B419CE" w:rsidRPr="00B419CE" w:rsidRDefault="00B419CE" w:rsidP="00B419CE">
      <w:r w:rsidRPr="00B419CE">
        <w:t xml:space="preserve">Regjeringa har </w:t>
      </w:r>
      <w:proofErr w:type="spellStart"/>
      <w:r w:rsidRPr="00B419CE">
        <w:t>fremja</w:t>
      </w:r>
      <w:proofErr w:type="spellEnd"/>
      <w:r w:rsidRPr="00B419CE">
        <w:t xml:space="preserve"> </w:t>
      </w:r>
      <w:proofErr w:type="spellStart"/>
      <w:r w:rsidRPr="00B419CE">
        <w:t>omfattande</w:t>
      </w:r>
      <w:proofErr w:type="spellEnd"/>
      <w:r w:rsidRPr="00B419CE">
        <w:t xml:space="preserve"> økonomiske tiltak for å minke </w:t>
      </w:r>
      <w:proofErr w:type="spellStart"/>
      <w:r w:rsidRPr="00B419CE">
        <w:t>dei</w:t>
      </w:r>
      <w:proofErr w:type="spellEnd"/>
      <w:r w:rsidRPr="00B419CE">
        <w:t xml:space="preserve"> negative </w:t>
      </w:r>
      <w:proofErr w:type="spellStart"/>
      <w:r w:rsidRPr="00B419CE">
        <w:t>konsekvensane</w:t>
      </w:r>
      <w:proofErr w:type="spellEnd"/>
      <w:r w:rsidRPr="00B419CE">
        <w:t xml:space="preserve"> av pandemien og smitteverntiltaka. Oljepengebruken har vorte løfta kraftig i 2020 og 2021 for å kompensere for inntektsbortfall som har </w:t>
      </w:r>
      <w:proofErr w:type="spellStart"/>
      <w:r w:rsidRPr="00B419CE">
        <w:t>følgt</w:t>
      </w:r>
      <w:proofErr w:type="spellEnd"/>
      <w:r w:rsidRPr="00B419CE">
        <w:t xml:space="preserve"> av </w:t>
      </w:r>
      <w:proofErr w:type="spellStart"/>
      <w:r w:rsidRPr="00B419CE">
        <w:t>aktivitetsdempande</w:t>
      </w:r>
      <w:proofErr w:type="spellEnd"/>
      <w:r w:rsidRPr="00B419CE">
        <w:t xml:space="preserve"> smitteverntiltak. Samstundes har sparinga i husholda </w:t>
      </w:r>
      <w:proofErr w:type="spellStart"/>
      <w:r w:rsidRPr="00B419CE">
        <w:t>auka</w:t>
      </w:r>
      <w:proofErr w:type="spellEnd"/>
      <w:r w:rsidRPr="00B419CE">
        <w:t xml:space="preserve"> til rekordhøge nivå, </w:t>
      </w:r>
      <w:proofErr w:type="spellStart"/>
      <w:r w:rsidRPr="00B419CE">
        <w:t>sidan</w:t>
      </w:r>
      <w:proofErr w:type="spellEnd"/>
      <w:r w:rsidRPr="00B419CE">
        <w:t xml:space="preserve"> smitteverntiltaka har hindra </w:t>
      </w:r>
      <w:proofErr w:type="spellStart"/>
      <w:r w:rsidRPr="00B419CE">
        <w:t>hushalda</w:t>
      </w:r>
      <w:proofErr w:type="spellEnd"/>
      <w:r w:rsidRPr="00B419CE">
        <w:t xml:space="preserve"> </w:t>
      </w:r>
      <w:proofErr w:type="spellStart"/>
      <w:r w:rsidRPr="00B419CE">
        <w:t>frå</w:t>
      </w:r>
      <w:proofErr w:type="spellEnd"/>
      <w:r w:rsidRPr="00B419CE">
        <w:t xml:space="preserve"> å bruke </w:t>
      </w:r>
      <w:proofErr w:type="spellStart"/>
      <w:r w:rsidRPr="00B419CE">
        <w:t>pengar</w:t>
      </w:r>
      <w:proofErr w:type="spellEnd"/>
      <w:r w:rsidRPr="00B419CE">
        <w:t xml:space="preserve"> som normalt. Når smitteverntiltaka vert trappa </w:t>
      </w:r>
      <w:proofErr w:type="spellStart"/>
      <w:r w:rsidRPr="00B419CE">
        <w:t>vidare</w:t>
      </w:r>
      <w:proofErr w:type="spellEnd"/>
      <w:r w:rsidRPr="00B419CE">
        <w:t xml:space="preserve"> ned, </w:t>
      </w:r>
      <w:proofErr w:type="spellStart"/>
      <w:r w:rsidRPr="00B419CE">
        <w:t>ventar</w:t>
      </w:r>
      <w:proofErr w:type="spellEnd"/>
      <w:r w:rsidRPr="00B419CE">
        <w:t xml:space="preserve"> vi at den økonomiske aktiviteten vil </w:t>
      </w:r>
      <w:proofErr w:type="spellStart"/>
      <w:r w:rsidRPr="00B419CE">
        <w:t>auke</w:t>
      </w:r>
      <w:proofErr w:type="spellEnd"/>
      <w:r w:rsidRPr="00B419CE">
        <w:t xml:space="preserve"> </w:t>
      </w:r>
      <w:r w:rsidRPr="00B419CE">
        <w:lastRenderedPageBreak/>
        <w:t xml:space="preserve">raskt. Dersom den økonomiske politikken </w:t>
      </w:r>
      <w:proofErr w:type="spellStart"/>
      <w:r w:rsidRPr="00B419CE">
        <w:t>ikkje</w:t>
      </w:r>
      <w:proofErr w:type="spellEnd"/>
      <w:r w:rsidRPr="00B419CE">
        <w:t xml:space="preserve"> vert lagt om i tide, </w:t>
      </w:r>
      <w:proofErr w:type="spellStart"/>
      <w:r w:rsidRPr="00B419CE">
        <w:t>aukar</w:t>
      </w:r>
      <w:proofErr w:type="spellEnd"/>
      <w:r w:rsidRPr="00B419CE">
        <w:t xml:space="preserve"> risikoen for at </w:t>
      </w:r>
      <w:proofErr w:type="spellStart"/>
      <w:r w:rsidRPr="00B419CE">
        <w:t>låg</w:t>
      </w:r>
      <w:proofErr w:type="spellEnd"/>
      <w:r w:rsidRPr="00B419CE">
        <w:t xml:space="preserve"> rente og høg oljepengebruk skaper pressproblem og store </w:t>
      </w:r>
      <w:proofErr w:type="spellStart"/>
      <w:r w:rsidRPr="00B419CE">
        <w:t>svingingar</w:t>
      </w:r>
      <w:proofErr w:type="spellEnd"/>
      <w:r w:rsidRPr="00B419CE">
        <w:t xml:space="preserve"> i økonomien.</w:t>
      </w:r>
    </w:p>
    <w:p w14:paraId="0BF32962" w14:textId="77777777" w:rsidR="00B419CE" w:rsidRPr="00B419CE" w:rsidRDefault="00B419CE" w:rsidP="00B419CE">
      <w:r w:rsidRPr="00B419CE">
        <w:t xml:space="preserve">Regjeringa har gjennom heile krisa framheva at </w:t>
      </w:r>
      <w:proofErr w:type="spellStart"/>
      <w:r w:rsidRPr="00B419CE">
        <w:t>dei</w:t>
      </w:r>
      <w:proofErr w:type="spellEnd"/>
      <w:r w:rsidRPr="00B419CE">
        <w:t xml:space="preserve"> </w:t>
      </w:r>
      <w:proofErr w:type="spellStart"/>
      <w:r w:rsidRPr="00B419CE">
        <w:t>mellombelse</w:t>
      </w:r>
      <w:proofErr w:type="spellEnd"/>
      <w:r w:rsidRPr="00B419CE">
        <w:t xml:space="preserve"> økonomiske tiltaka skal </w:t>
      </w:r>
      <w:proofErr w:type="spellStart"/>
      <w:r w:rsidRPr="00B419CE">
        <w:t>verte</w:t>
      </w:r>
      <w:proofErr w:type="spellEnd"/>
      <w:r w:rsidRPr="00B419CE">
        <w:t xml:space="preserve"> avvikla når </w:t>
      </w:r>
      <w:proofErr w:type="spellStart"/>
      <w:r w:rsidRPr="00B419CE">
        <w:t>dei</w:t>
      </w:r>
      <w:proofErr w:type="spellEnd"/>
      <w:r w:rsidRPr="00B419CE">
        <w:t xml:space="preserve"> </w:t>
      </w:r>
      <w:proofErr w:type="spellStart"/>
      <w:r w:rsidRPr="00B419CE">
        <w:t>ikkje</w:t>
      </w:r>
      <w:proofErr w:type="spellEnd"/>
      <w:r w:rsidRPr="00B419CE">
        <w:t xml:space="preserve"> lenger er </w:t>
      </w:r>
      <w:proofErr w:type="spellStart"/>
      <w:r w:rsidRPr="00B419CE">
        <w:t>naudsynte</w:t>
      </w:r>
      <w:proofErr w:type="spellEnd"/>
      <w:r w:rsidRPr="00B419CE">
        <w:t xml:space="preserve">. Med utsikter til at pandemien i store trekk kan gå over i </w:t>
      </w:r>
      <w:proofErr w:type="spellStart"/>
      <w:r w:rsidRPr="00B419CE">
        <w:t>laupet</w:t>
      </w:r>
      <w:proofErr w:type="spellEnd"/>
      <w:r w:rsidRPr="00B419CE">
        <w:t xml:space="preserve"> av 2021, legg regjeringa opp til at den kraftige og </w:t>
      </w:r>
      <w:proofErr w:type="spellStart"/>
      <w:r w:rsidRPr="00B419CE">
        <w:t>mellombelse</w:t>
      </w:r>
      <w:proofErr w:type="spellEnd"/>
      <w:r w:rsidRPr="00B419CE">
        <w:t xml:space="preserve"> </w:t>
      </w:r>
      <w:proofErr w:type="spellStart"/>
      <w:r w:rsidRPr="00B419CE">
        <w:t>auken</w:t>
      </w:r>
      <w:proofErr w:type="spellEnd"/>
      <w:r w:rsidRPr="00B419CE">
        <w:t xml:space="preserve"> i </w:t>
      </w:r>
      <w:proofErr w:type="spellStart"/>
      <w:r w:rsidRPr="00B419CE">
        <w:t>offentleg</w:t>
      </w:r>
      <w:proofErr w:type="spellEnd"/>
      <w:r w:rsidRPr="00B419CE">
        <w:t xml:space="preserve"> pengebruk i all </w:t>
      </w:r>
      <w:proofErr w:type="spellStart"/>
      <w:r w:rsidRPr="00B419CE">
        <w:t>hovudsak</w:t>
      </w:r>
      <w:proofErr w:type="spellEnd"/>
      <w:r w:rsidRPr="00B419CE">
        <w:t xml:space="preserve"> vert </w:t>
      </w:r>
      <w:proofErr w:type="spellStart"/>
      <w:r w:rsidRPr="00B419CE">
        <w:t>trekt</w:t>
      </w:r>
      <w:proofErr w:type="spellEnd"/>
      <w:r w:rsidRPr="00B419CE">
        <w:t xml:space="preserve"> tilbake. Avvikling av kompensasjonen har motpost i avvikling av </w:t>
      </w:r>
      <w:proofErr w:type="spellStart"/>
      <w:r w:rsidRPr="00B419CE">
        <w:t>aktivitetsdempande</w:t>
      </w:r>
      <w:proofErr w:type="spellEnd"/>
      <w:r w:rsidRPr="00B419CE">
        <w:t xml:space="preserve"> smitteverntiltak, </w:t>
      </w:r>
      <w:proofErr w:type="spellStart"/>
      <w:r w:rsidRPr="00B419CE">
        <w:t>noko</w:t>
      </w:r>
      <w:proofErr w:type="spellEnd"/>
      <w:r w:rsidRPr="00B419CE">
        <w:t xml:space="preserve"> som i seg </w:t>
      </w:r>
      <w:proofErr w:type="spellStart"/>
      <w:r w:rsidRPr="00B419CE">
        <w:t>sjølv</w:t>
      </w:r>
      <w:proofErr w:type="spellEnd"/>
      <w:r w:rsidRPr="00B419CE">
        <w:t xml:space="preserve"> </w:t>
      </w:r>
      <w:proofErr w:type="spellStart"/>
      <w:r w:rsidRPr="00B419CE">
        <w:t>verkar</w:t>
      </w:r>
      <w:proofErr w:type="spellEnd"/>
      <w:r w:rsidRPr="00B419CE">
        <w:t xml:space="preserve"> ekspansivt på økonomien. Den </w:t>
      </w:r>
      <w:proofErr w:type="spellStart"/>
      <w:r w:rsidRPr="00B419CE">
        <w:t>auka</w:t>
      </w:r>
      <w:proofErr w:type="spellEnd"/>
      <w:r w:rsidRPr="00B419CE">
        <w:t xml:space="preserve"> sparinga i husholda gjennom krisa representerer òg </w:t>
      </w:r>
      <w:proofErr w:type="spellStart"/>
      <w:r w:rsidRPr="00B419CE">
        <w:t>ein</w:t>
      </w:r>
      <w:proofErr w:type="spellEnd"/>
      <w:r w:rsidRPr="00B419CE">
        <w:t xml:space="preserve"> </w:t>
      </w:r>
      <w:proofErr w:type="spellStart"/>
      <w:r w:rsidRPr="00B419CE">
        <w:t>oppdemma</w:t>
      </w:r>
      <w:proofErr w:type="spellEnd"/>
      <w:r w:rsidRPr="00B419CE">
        <w:t xml:space="preserve"> etterspørsel etter varer og </w:t>
      </w:r>
      <w:proofErr w:type="spellStart"/>
      <w:r w:rsidRPr="00B419CE">
        <w:t>tenester</w:t>
      </w:r>
      <w:proofErr w:type="spellEnd"/>
      <w:r w:rsidRPr="00B419CE">
        <w:t xml:space="preserve"> som </w:t>
      </w:r>
      <w:proofErr w:type="spellStart"/>
      <w:r w:rsidRPr="00B419CE">
        <w:t>no</w:t>
      </w:r>
      <w:proofErr w:type="spellEnd"/>
      <w:r w:rsidRPr="00B419CE">
        <w:t xml:space="preserve"> vert utløyst.</w:t>
      </w:r>
    </w:p>
    <w:p w14:paraId="0A87502C" w14:textId="77777777" w:rsidR="00B419CE" w:rsidRPr="00B419CE" w:rsidRDefault="00B419CE" w:rsidP="00B419CE">
      <w:r w:rsidRPr="00B419CE">
        <w:t xml:space="preserve">Regjeringa er samstundes </w:t>
      </w:r>
      <w:proofErr w:type="spellStart"/>
      <w:r w:rsidRPr="00B419CE">
        <w:t>oppteken</w:t>
      </w:r>
      <w:proofErr w:type="spellEnd"/>
      <w:r w:rsidRPr="00B419CE">
        <w:t xml:space="preserve"> av å </w:t>
      </w:r>
      <w:proofErr w:type="spellStart"/>
      <w:r w:rsidRPr="00B419CE">
        <w:t>førebyggje</w:t>
      </w:r>
      <w:proofErr w:type="spellEnd"/>
      <w:r w:rsidRPr="00B419CE">
        <w:t xml:space="preserve"> negative </w:t>
      </w:r>
      <w:proofErr w:type="spellStart"/>
      <w:r w:rsidRPr="00B419CE">
        <w:t>etterverknader</w:t>
      </w:r>
      <w:proofErr w:type="spellEnd"/>
      <w:r w:rsidRPr="00B419CE">
        <w:t xml:space="preserve"> av krisa. Målet er at </w:t>
      </w:r>
      <w:proofErr w:type="spellStart"/>
      <w:r w:rsidRPr="00B419CE">
        <w:t>arbeidsløysa</w:t>
      </w:r>
      <w:proofErr w:type="spellEnd"/>
      <w:r w:rsidRPr="00B419CE">
        <w:t xml:space="preserve"> </w:t>
      </w:r>
      <w:proofErr w:type="spellStart"/>
      <w:r w:rsidRPr="00B419CE">
        <w:t>ikkje</w:t>
      </w:r>
      <w:proofErr w:type="spellEnd"/>
      <w:r w:rsidRPr="00B419CE">
        <w:t xml:space="preserve"> skal </w:t>
      </w:r>
      <w:proofErr w:type="spellStart"/>
      <w:r w:rsidRPr="00B419CE">
        <w:t>vere</w:t>
      </w:r>
      <w:proofErr w:type="spellEnd"/>
      <w:r w:rsidRPr="00B419CE">
        <w:t xml:space="preserve"> </w:t>
      </w:r>
      <w:proofErr w:type="spellStart"/>
      <w:r w:rsidRPr="00B419CE">
        <w:t>høgare</w:t>
      </w:r>
      <w:proofErr w:type="spellEnd"/>
      <w:r w:rsidRPr="00B419CE">
        <w:t xml:space="preserve"> etter krisa enn før, og å møte </w:t>
      </w:r>
      <w:proofErr w:type="spellStart"/>
      <w:r w:rsidRPr="00B419CE">
        <w:t>dei</w:t>
      </w:r>
      <w:proofErr w:type="spellEnd"/>
      <w:r w:rsidRPr="00B419CE">
        <w:t xml:space="preserve"> krava krisa har skapt for å ta igjen tapt progresjon i </w:t>
      </w:r>
      <w:proofErr w:type="spellStart"/>
      <w:r w:rsidRPr="00B419CE">
        <w:t>skulen</w:t>
      </w:r>
      <w:proofErr w:type="spellEnd"/>
      <w:r w:rsidRPr="00B419CE">
        <w:t xml:space="preserve">, og å ivareta psykisk helse og sårbare grupper. Tiltaka for registrerte arbeidslause og permitterte vil </w:t>
      </w:r>
      <w:proofErr w:type="spellStart"/>
      <w:r w:rsidRPr="00B419CE">
        <w:t>vere</w:t>
      </w:r>
      <w:proofErr w:type="spellEnd"/>
      <w:r w:rsidRPr="00B419CE">
        <w:t xml:space="preserve"> på </w:t>
      </w:r>
      <w:proofErr w:type="spellStart"/>
      <w:r w:rsidRPr="00B419CE">
        <w:t>eit</w:t>
      </w:r>
      <w:proofErr w:type="spellEnd"/>
      <w:r w:rsidRPr="00B419CE">
        <w:t xml:space="preserve"> høgt nivå i 2022 òg, og tiltaka vert </w:t>
      </w:r>
      <w:proofErr w:type="spellStart"/>
      <w:r w:rsidRPr="00B419CE">
        <w:t>særleg</w:t>
      </w:r>
      <w:proofErr w:type="spellEnd"/>
      <w:r w:rsidRPr="00B419CE">
        <w:t xml:space="preserve"> retta inn mot </w:t>
      </w:r>
      <w:proofErr w:type="spellStart"/>
      <w:r w:rsidRPr="00B419CE">
        <w:t>dei</w:t>
      </w:r>
      <w:proofErr w:type="spellEnd"/>
      <w:r w:rsidRPr="00B419CE">
        <w:t xml:space="preserve"> som har gått lenge </w:t>
      </w:r>
      <w:proofErr w:type="spellStart"/>
      <w:r w:rsidRPr="00B419CE">
        <w:t>utan</w:t>
      </w:r>
      <w:proofErr w:type="spellEnd"/>
      <w:r w:rsidRPr="00B419CE">
        <w:t xml:space="preserve"> arbeid og grupper med nedsett arbeidsevne. Regjeringa har òg foreslått </w:t>
      </w:r>
      <w:proofErr w:type="spellStart"/>
      <w:r w:rsidRPr="00B419CE">
        <w:t>midlar</w:t>
      </w:r>
      <w:proofErr w:type="spellEnd"/>
      <w:r w:rsidRPr="00B419CE">
        <w:t xml:space="preserve"> til </w:t>
      </w:r>
      <w:proofErr w:type="spellStart"/>
      <w:r w:rsidRPr="00B419CE">
        <w:t>ein</w:t>
      </w:r>
      <w:proofErr w:type="spellEnd"/>
      <w:r w:rsidRPr="00B419CE">
        <w:t xml:space="preserve"> tredje vaksinedose mot covid-19 i budsjettet for 2022.</w:t>
      </w:r>
    </w:p>
    <w:p w14:paraId="041B6AF9" w14:textId="77777777" w:rsidR="00B419CE" w:rsidRPr="00B419CE" w:rsidRDefault="00B419CE" w:rsidP="00B419CE">
      <w:r w:rsidRPr="00B419CE">
        <w:t xml:space="preserve">Dei økonomiske tiltaka har verka. </w:t>
      </w:r>
      <w:proofErr w:type="spellStart"/>
      <w:r w:rsidRPr="00B419CE">
        <w:t>Sjølv</w:t>
      </w:r>
      <w:proofErr w:type="spellEnd"/>
      <w:r w:rsidRPr="00B419CE">
        <w:t xml:space="preserve"> om fallet i økonomisk aktivitet våren 2020 var det djupaste i etterkrigstida, var reduksjonen i aktiviteten i norsk økonomi mindre enn i </w:t>
      </w:r>
      <w:proofErr w:type="spellStart"/>
      <w:r w:rsidRPr="00B419CE">
        <w:t>dei</w:t>
      </w:r>
      <w:proofErr w:type="spellEnd"/>
      <w:r w:rsidRPr="00B419CE">
        <w:t xml:space="preserve"> fleste andre OECD-land, og norsk økonomi har tatt seg raskt opp att. Samstundes er det viktig å evaluere </w:t>
      </w:r>
      <w:proofErr w:type="spellStart"/>
      <w:r w:rsidRPr="00B419CE">
        <w:t>dei</w:t>
      </w:r>
      <w:proofErr w:type="spellEnd"/>
      <w:r w:rsidRPr="00B419CE">
        <w:t xml:space="preserve"> nye tiltaka som pandemien gjorde det </w:t>
      </w:r>
      <w:proofErr w:type="spellStart"/>
      <w:r w:rsidRPr="00B419CE">
        <w:t>naudsynt</w:t>
      </w:r>
      <w:proofErr w:type="spellEnd"/>
      <w:r w:rsidRPr="00B419CE">
        <w:t xml:space="preserve"> å innføre, og </w:t>
      </w:r>
      <w:proofErr w:type="spellStart"/>
      <w:r w:rsidRPr="00B419CE">
        <w:t>særleg</w:t>
      </w:r>
      <w:proofErr w:type="spellEnd"/>
      <w:r w:rsidRPr="00B419CE">
        <w:t xml:space="preserve"> kompensasjonsordninga for </w:t>
      </w:r>
      <w:proofErr w:type="spellStart"/>
      <w:r w:rsidRPr="00B419CE">
        <w:t>føretak</w:t>
      </w:r>
      <w:proofErr w:type="spellEnd"/>
      <w:r w:rsidRPr="00B419CE">
        <w:t xml:space="preserve"> med stort omsetningsfall. Departementet varsla ei slik evaluering i </w:t>
      </w:r>
      <w:proofErr w:type="spellStart"/>
      <w:r w:rsidRPr="00B419CE">
        <w:t>Prop</w:t>
      </w:r>
      <w:proofErr w:type="spellEnd"/>
      <w:r w:rsidRPr="00B419CE">
        <w:t>. 70 LS (2019–2020):</w:t>
      </w:r>
    </w:p>
    <w:p w14:paraId="2AE394C5" w14:textId="77777777" w:rsidR="00B419CE" w:rsidRPr="00B419CE" w:rsidRDefault="00B419CE" w:rsidP="00B419CE">
      <w:pPr>
        <w:pStyle w:val="blokksit"/>
        <w:rPr>
          <w:rStyle w:val="kursiv"/>
        </w:rPr>
      </w:pPr>
      <w:r w:rsidRPr="00B419CE">
        <w:rPr>
          <w:rStyle w:val="kursiv"/>
        </w:rPr>
        <w:t>«Departementet legger opp til å evaluere tilskuddsordningen. Blant annet vil antallet konkurser og oppbud i målgruppen som følge av virusutbruddet og smittevernstiltakene og utviklingen i arbeidsmarkedet danne et grunnlag for en vurdering om tiltaket har hatt ønsket effekt.»</w:t>
      </w:r>
    </w:p>
    <w:p w14:paraId="77CF19E3" w14:textId="77777777" w:rsidR="00B419CE" w:rsidRPr="00B419CE" w:rsidRDefault="00B419CE" w:rsidP="00B419CE">
      <w:r w:rsidRPr="00B419CE">
        <w:t xml:space="preserve">For å kunne gjennomføre </w:t>
      </w:r>
      <w:proofErr w:type="spellStart"/>
      <w:r w:rsidRPr="00B419CE">
        <w:t>påliteleg</w:t>
      </w:r>
      <w:proofErr w:type="spellEnd"/>
      <w:r w:rsidRPr="00B419CE">
        <w:t xml:space="preserve"> analyse av </w:t>
      </w:r>
      <w:proofErr w:type="spellStart"/>
      <w:r w:rsidRPr="00B419CE">
        <w:t>dei</w:t>
      </w:r>
      <w:proofErr w:type="spellEnd"/>
      <w:r w:rsidRPr="00B419CE">
        <w:t xml:space="preserve"> økonomiske </w:t>
      </w:r>
      <w:proofErr w:type="spellStart"/>
      <w:r w:rsidRPr="00B419CE">
        <w:t>verknadane</w:t>
      </w:r>
      <w:proofErr w:type="spellEnd"/>
      <w:r w:rsidRPr="00B419CE">
        <w:t xml:space="preserve"> av ordninga, vil </w:t>
      </w:r>
      <w:proofErr w:type="spellStart"/>
      <w:r w:rsidRPr="00B419CE">
        <w:t>ein</w:t>
      </w:r>
      <w:proofErr w:type="spellEnd"/>
      <w:r w:rsidRPr="00B419CE">
        <w:t xml:space="preserve"> analysere nøkkeltal for </w:t>
      </w:r>
      <w:proofErr w:type="spellStart"/>
      <w:r w:rsidRPr="00B419CE">
        <w:t>føretaka</w:t>
      </w:r>
      <w:proofErr w:type="spellEnd"/>
      <w:r w:rsidRPr="00B419CE">
        <w:t xml:space="preserve"> som har mottatt støtte. Krisa starta i 2020, men varte inn i 2021, og det vil være </w:t>
      </w:r>
      <w:proofErr w:type="spellStart"/>
      <w:r w:rsidRPr="00B419CE">
        <w:t>føremålstenleg</w:t>
      </w:r>
      <w:proofErr w:type="spellEnd"/>
      <w:r w:rsidRPr="00B419CE">
        <w:t xml:space="preserve"> å vente til ordninga er avslutta og data for 2021 er klare. </w:t>
      </w:r>
      <w:proofErr w:type="spellStart"/>
      <w:r w:rsidRPr="00B419CE">
        <w:t>Førebelse</w:t>
      </w:r>
      <w:proofErr w:type="spellEnd"/>
      <w:r w:rsidRPr="00B419CE">
        <w:t xml:space="preserve"> </w:t>
      </w:r>
      <w:proofErr w:type="spellStart"/>
      <w:r w:rsidRPr="00B419CE">
        <w:t>vurderingar</w:t>
      </w:r>
      <w:proofErr w:type="spellEnd"/>
      <w:r w:rsidRPr="00B419CE">
        <w:t xml:space="preserve"> er at kompensasjonsordninga har verka etter </w:t>
      </w:r>
      <w:proofErr w:type="spellStart"/>
      <w:r w:rsidRPr="00B419CE">
        <w:t>føremålet</w:t>
      </w:r>
      <w:proofErr w:type="spellEnd"/>
      <w:r w:rsidRPr="00B419CE">
        <w:t xml:space="preserve">, slik Riksrevisjonen konkluderte i mai i år, men det vil </w:t>
      </w:r>
      <w:proofErr w:type="spellStart"/>
      <w:r w:rsidRPr="00B419CE">
        <w:t>verte</w:t>
      </w:r>
      <w:proofErr w:type="spellEnd"/>
      <w:r w:rsidRPr="00B419CE">
        <w:t xml:space="preserve"> gjort ei </w:t>
      </w:r>
      <w:proofErr w:type="spellStart"/>
      <w:r w:rsidRPr="00B419CE">
        <w:t>grundigare</w:t>
      </w:r>
      <w:proofErr w:type="spellEnd"/>
      <w:r w:rsidRPr="00B419CE">
        <w:t xml:space="preserve"> evaluering i </w:t>
      </w:r>
      <w:proofErr w:type="spellStart"/>
      <w:r w:rsidRPr="00B419CE">
        <w:t>laupet</w:t>
      </w:r>
      <w:proofErr w:type="spellEnd"/>
      <w:r w:rsidRPr="00B419CE">
        <w:t xml:space="preserve"> av 2022. </w:t>
      </w:r>
      <w:proofErr w:type="spellStart"/>
      <w:r w:rsidRPr="00B419CE">
        <w:t>Ein</w:t>
      </w:r>
      <w:proofErr w:type="spellEnd"/>
      <w:r w:rsidRPr="00B419CE">
        <w:t xml:space="preserve"> tar òg sikte på å </w:t>
      </w:r>
      <w:proofErr w:type="spellStart"/>
      <w:r w:rsidRPr="00B419CE">
        <w:t>gjere</w:t>
      </w:r>
      <w:proofErr w:type="spellEnd"/>
      <w:r w:rsidRPr="00B419CE">
        <w:t xml:space="preserve"> makroøkonomiske </w:t>
      </w:r>
      <w:proofErr w:type="spellStart"/>
      <w:r w:rsidRPr="00B419CE">
        <w:t>analysar</w:t>
      </w:r>
      <w:proofErr w:type="spellEnd"/>
      <w:r w:rsidRPr="00B419CE">
        <w:t xml:space="preserve"> av </w:t>
      </w:r>
      <w:proofErr w:type="spellStart"/>
      <w:r w:rsidRPr="00B419CE">
        <w:t>støtteordningane</w:t>
      </w:r>
      <w:proofErr w:type="spellEnd"/>
      <w:r w:rsidRPr="00B419CE">
        <w:t xml:space="preserve">, men det kan da være </w:t>
      </w:r>
      <w:proofErr w:type="spellStart"/>
      <w:r w:rsidRPr="00B419CE">
        <w:t>krevjande</w:t>
      </w:r>
      <w:proofErr w:type="spellEnd"/>
      <w:r w:rsidRPr="00B419CE">
        <w:t xml:space="preserve"> å isolere effekten av </w:t>
      </w:r>
      <w:proofErr w:type="spellStart"/>
      <w:r w:rsidRPr="00B419CE">
        <w:t>dei</w:t>
      </w:r>
      <w:proofErr w:type="spellEnd"/>
      <w:r w:rsidRPr="00B419CE">
        <w:t xml:space="preserve"> enkelte </w:t>
      </w:r>
      <w:proofErr w:type="spellStart"/>
      <w:r w:rsidRPr="00B419CE">
        <w:t>ordningane</w:t>
      </w:r>
      <w:proofErr w:type="spellEnd"/>
      <w:r w:rsidRPr="00B419CE">
        <w:t>.</w:t>
      </w:r>
    </w:p>
    <w:p w14:paraId="5F210EE0" w14:textId="77777777" w:rsidR="00B419CE" w:rsidRPr="00B419CE" w:rsidRDefault="00B419CE" w:rsidP="00B419CE">
      <w:proofErr w:type="spellStart"/>
      <w:r w:rsidRPr="00B419CE">
        <w:t>Ein</w:t>
      </w:r>
      <w:proofErr w:type="spellEnd"/>
      <w:r w:rsidRPr="00B419CE">
        <w:t xml:space="preserve"> </w:t>
      </w:r>
      <w:proofErr w:type="spellStart"/>
      <w:r w:rsidRPr="00B419CE">
        <w:t>nærare</w:t>
      </w:r>
      <w:proofErr w:type="spellEnd"/>
      <w:r w:rsidRPr="00B419CE">
        <w:t xml:space="preserve"> omtale av </w:t>
      </w:r>
      <w:proofErr w:type="spellStart"/>
      <w:r w:rsidRPr="00B419CE">
        <w:t>dei</w:t>
      </w:r>
      <w:proofErr w:type="spellEnd"/>
      <w:r w:rsidRPr="00B419CE">
        <w:t xml:space="preserve"> økonomiske krisetiltaka i samband med koronapandemien er gjeve i avsnittet </w:t>
      </w:r>
      <w:r w:rsidRPr="00B419CE">
        <w:rPr>
          <w:rStyle w:val="kursiv"/>
        </w:rPr>
        <w:t>Viktige resultat 2017–2021</w:t>
      </w:r>
      <w:r w:rsidRPr="00B419CE">
        <w:t xml:space="preserve"> i del 1, pkt. 3, i denne proposisjonen.</w:t>
      </w:r>
    </w:p>
    <w:p w14:paraId="1244997E" w14:textId="77777777" w:rsidR="00B419CE" w:rsidRPr="00B419CE" w:rsidRDefault="00B419CE" w:rsidP="00B419CE">
      <w:pPr>
        <w:pStyle w:val="Overskrift2"/>
      </w:pPr>
      <w:r w:rsidRPr="00B419CE">
        <w:t>Statens pensjonsfond</w:t>
      </w:r>
    </w:p>
    <w:p w14:paraId="6CC142C0" w14:textId="77777777" w:rsidR="00B419CE" w:rsidRPr="00B419CE" w:rsidRDefault="00B419CE" w:rsidP="00B419CE">
      <w:r w:rsidRPr="00B419CE">
        <w:t xml:space="preserve">Stortinget har i lov 21. desember 2005 nr. 123 om Statens pensjonsfond gjeve Finansdepartementet ansvaret for forvaltinga av fondet. Den operasjonelle forvaltinga av Statens pensjonsfond utland (SPU) og Statens pensjonsfond </w:t>
      </w:r>
      <w:proofErr w:type="spellStart"/>
      <w:r w:rsidRPr="00B419CE">
        <w:t>Noreg</w:t>
      </w:r>
      <w:proofErr w:type="spellEnd"/>
      <w:r w:rsidRPr="00B419CE">
        <w:t xml:space="preserve"> (SPN) er det </w:t>
      </w:r>
      <w:proofErr w:type="spellStart"/>
      <w:r w:rsidRPr="00B419CE">
        <w:t>høvesvis</w:t>
      </w:r>
      <w:proofErr w:type="spellEnd"/>
      <w:r w:rsidRPr="00B419CE">
        <w:t xml:space="preserve"> </w:t>
      </w:r>
      <w:proofErr w:type="spellStart"/>
      <w:r w:rsidRPr="00B419CE">
        <w:lastRenderedPageBreak/>
        <w:t>Noregs</w:t>
      </w:r>
      <w:proofErr w:type="spellEnd"/>
      <w:r w:rsidRPr="00B419CE">
        <w:t xml:space="preserve"> Bank og Folketrygdfondet som </w:t>
      </w:r>
      <w:proofErr w:type="spellStart"/>
      <w:r w:rsidRPr="00B419CE">
        <w:t>tek</w:t>
      </w:r>
      <w:proofErr w:type="spellEnd"/>
      <w:r w:rsidRPr="00B419CE">
        <w:t xml:space="preserve"> hand om, jf. § 2 i lova. Departementet har fastsett føresegner for forvaltinga i </w:t>
      </w:r>
      <w:proofErr w:type="spellStart"/>
      <w:r w:rsidRPr="00B419CE">
        <w:t>særskilde</w:t>
      </w:r>
      <w:proofErr w:type="spellEnd"/>
      <w:r w:rsidRPr="00B419CE">
        <w:t xml:space="preserve"> mandat for </w:t>
      </w:r>
      <w:proofErr w:type="spellStart"/>
      <w:r w:rsidRPr="00B419CE">
        <w:t>Noregs</w:t>
      </w:r>
      <w:proofErr w:type="spellEnd"/>
      <w:r w:rsidRPr="00B419CE">
        <w:t xml:space="preserve"> Bank og Folketrygdfondet. Her er det gjort greie for </w:t>
      </w:r>
      <w:proofErr w:type="spellStart"/>
      <w:r w:rsidRPr="00B419CE">
        <w:t>referanseindeksar</w:t>
      </w:r>
      <w:proofErr w:type="spellEnd"/>
      <w:r w:rsidRPr="00B419CE">
        <w:t xml:space="preserve"> og rammer for forvaltinga, og </w:t>
      </w:r>
      <w:proofErr w:type="spellStart"/>
      <w:r w:rsidRPr="00B419CE">
        <w:t>ein</w:t>
      </w:r>
      <w:proofErr w:type="spellEnd"/>
      <w:r w:rsidRPr="00B419CE">
        <w:t xml:space="preserve"> finn føresegner om risikostyring, rapportering og </w:t>
      </w:r>
      <w:proofErr w:type="spellStart"/>
      <w:r w:rsidRPr="00B419CE">
        <w:t>ansvarleg</w:t>
      </w:r>
      <w:proofErr w:type="spellEnd"/>
      <w:r w:rsidRPr="00B419CE">
        <w:t xml:space="preserve"> investeringspraksis. Mandata er i </w:t>
      </w:r>
      <w:proofErr w:type="spellStart"/>
      <w:r w:rsidRPr="00B419CE">
        <w:t>hovudsak</w:t>
      </w:r>
      <w:proofErr w:type="spellEnd"/>
      <w:r w:rsidRPr="00B419CE">
        <w:t xml:space="preserve"> prinsippbaserte, og </w:t>
      </w:r>
      <w:proofErr w:type="spellStart"/>
      <w:r w:rsidRPr="00B419CE">
        <w:t>dei</w:t>
      </w:r>
      <w:proofErr w:type="spellEnd"/>
      <w:r w:rsidRPr="00B419CE">
        <w:t xml:space="preserve"> </w:t>
      </w:r>
      <w:proofErr w:type="spellStart"/>
      <w:r w:rsidRPr="00B419CE">
        <w:t>føreset</w:t>
      </w:r>
      <w:proofErr w:type="spellEnd"/>
      <w:r w:rsidRPr="00B419CE">
        <w:t xml:space="preserve"> at </w:t>
      </w:r>
      <w:proofErr w:type="spellStart"/>
      <w:r w:rsidRPr="00B419CE">
        <w:t>Noregs</w:t>
      </w:r>
      <w:proofErr w:type="spellEnd"/>
      <w:r w:rsidRPr="00B419CE">
        <w:t xml:space="preserve"> Bank og Folketrygdfondet </w:t>
      </w:r>
      <w:proofErr w:type="spellStart"/>
      <w:r w:rsidRPr="00B419CE">
        <w:t>fastset</w:t>
      </w:r>
      <w:proofErr w:type="spellEnd"/>
      <w:r w:rsidRPr="00B419CE">
        <w:t xml:space="preserve"> </w:t>
      </w:r>
      <w:proofErr w:type="spellStart"/>
      <w:r w:rsidRPr="00B419CE">
        <w:t>meir</w:t>
      </w:r>
      <w:proofErr w:type="spellEnd"/>
      <w:r w:rsidRPr="00B419CE">
        <w:t xml:space="preserve"> detaljerte interne </w:t>
      </w:r>
      <w:proofErr w:type="spellStart"/>
      <w:r w:rsidRPr="00B419CE">
        <w:t>reglar</w:t>
      </w:r>
      <w:proofErr w:type="spellEnd"/>
      <w:r w:rsidRPr="00B419CE">
        <w:t>.</w:t>
      </w:r>
    </w:p>
    <w:p w14:paraId="4D2AA0A2" w14:textId="77777777" w:rsidR="00B419CE" w:rsidRPr="00B419CE" w:rsidRDefault="00B419CE" w:rsidP="00B419CE">
      <w:r w:rsidRPr="00B419CE">
        <w:t xml:space="preserve">Den samla </w:t>
      </w:r>
      <w:proofErr w:type="spellStart"/>
      <w:r w:rsidRPr="00B419CE">
        <w:t>marknadsverdien</w:t>
      </w:r>
      <w:proofErr w:type="spellEnd"/>
      <w:r w:rsidRPr="00B419CE">
        <w:t xml:space="preserve"> av Statens pensjonsfond var 11 990 mrd. kroner ved inngangen til andre halvår 2021. Av dette var 11 673 mrd. kroner i SPU og 317 mrd. kroner i SPN. Langsiktig og god forvalting av denne fellesformuen er ei viktig </w:t>
      </w:r>
      <w:proofErr w:type="spellStart"/>
      <w:r w:rsidRPr="00B419CE">
        <w:t>oppgåve</w:t>
      </w:r>
      <w:proofErr w:type="spellEnd"/>
      <w:r w:rsidRPr="00B419CE">
        <w:t>.</w:t>
      </w:r>
    </w:p>
    <w:p w14:paraId="77613B71" w14:textId="77777777" w:rsidR="00B419CE" w:rsidRPr="00B419CE" w:rsidRDefault="00B419CE" w:rsidP="00B419CE">
      <w:r w:rsidRPr="00B419CE">
        <w:t xml:space="preserve">Målet med </w:t>
      </w:r>
      <w:proofErr w:type="spellStart"/>
      <w:r w:rsidRPr="00B419CE">
        <w:t>investeringane</w:t>
      </w:r>
      <w:proofErr w:type="spellEnd"/>
      <w:r w:rsidRPr="00B419CE">
        <w:t xml:space="preserve"> i Statens pensjonsfond er </w:t>
      </w:r>
      <w:proofErr w:type="spellStart"/>
      <w:r w:rsidRPr="00B419CE">
        <w:t>høgast</w:t>
      </w:r>
      <w:proofErr w:type="spellEnd"/>
      <w:r w:rsidRPr="00B419CE">
        <w:t xml:space="preserve"> </w:t>
      </w:r>
      <w:proofErr w:type="spellStart"/>
      <w:r w:rsidRPr="00B419CE">
        <w:t>mogleg</w:t>
      </w:r>
      <w:proofErr w:type="spellEnd"/>
      <w:r w:rsidRPr="00B419CE">
        <w:t xml:space="preserve"> avkasting innafor akseptabel risiko. Fondet skal </w:t>
      </w:r>
      <w:proofErr w:type="spellStart"/>
      <w:r w:rsidRPr="00B419CE">
        <w:t>vere</w:t>
      </w:r>
      <w:proofErr w:type="spellEnd"/>
      <w:r w:rsidRPr="00B419CE">
        <w:t xml:space="preserve"> </w:t>
      </w:r>
      <w:proofErr w:type="spellStart"/>
      <w:r w:rsidRPr="00B419CE">
        <w:t>ein</w:t>
      </w:r>
      <w:proofErr w:type="spellEnd"/>
      <w:r w:rsidRPr="00B419CE">
        <w:t xml:space="preserve"> </w:t>
      </w:r>
      <w:proofErr w:type="spellStart"/>
      <w:r w:rsidRPr="00B419CE">
        <w:t>ansvarleg</w:t>
      </w:r>
      <w:proofErr w:type="spellEnd"/>
      <w:r w:rsidRPr="00B419CE">
        <w:t xml:space="preserve"> investor innafor den overordna finansielle målsettinga.</w:t>
      </w:r>
    </w:p>
    <w:p w14:paraId="68326106" w14:textId="77777777" w:rsidR="00B419CE" w:rsidRPr="00B419CE" w:rsidRDefault="00B419CE" w:rsidP="00B419CE">
      <w:r w:rsidRPr="00B419CE">
        <w:t xml:space="preserve">Finansdepartementet </w:t>
      </w:r>
      <w:proofErr w:type="spellStart"/>
      <w:r w:rsidRPr="00B419CE">
        <w:t>fastset</w:t>
      </w:r>
      <w:proofErr w:type="spellEnd"/>
      <w:r w:rsidRPr="00B419CE">
        <w:t xml:space="preserve"> investeringsstrategien for fondet og følgjer opp forvaltinga.</w:t>
      </w:r>
    </w:p>
    <w:p w14:paraId="6FC1107F" w14:textId="77777777" w:rsidR="00B419CE" w:rsidRPr="00B419CE" w:rsidRDefault="00B419CE" w:rsidP="00B419CE">
      <w:r w:rsidRPr="00B419CE">
        <w:t xml:space="preserve">Arbeidet med Statens pensjonsfond er </w:t>
      </w:r>
      <w:proofErr w:type="spellStart"/>
      <w:r w:rsidRPr="00B419CE">
        <w:t>nærare</w:t>
      </w:r>
      <w:proofErr w:type="spellEnd"/>
      <w:r w:rsidRPr="00B419CE">
        <w:t xml:space="preserve"> omtalt i Meld. St. 24 (2020–2021) </w:t>
      </w:r>
      <w:r w:rsidRPr="00B419CE">
        <w:rPr>
          <w:rStyle w:val="kursiv"/>
        </w:rPr>
        <w:t>Statens pensjonsfond 2021</w:t>
      </w:r>
      <w:r w:rsidRPr="00B419CE">
        <w:t xml:space="preserve"> og i Meld. St. 1 (2021–2021) </w:t>
      </w:r>
      <w:r w:rsidRPr="00B419CE">
        <w:rPr>
          <w:rStyle w:val="kursiv"/>
        </w:rPr>
        <w:t>Nasjonalbudsjettet 2022</w:t>
      </w:r>
      <w:r w:rsidRPr="00B419CE">
        <w:t>.</w:t>
      </w:r>
    </w:p>
    <w:p w14:paraId="5CA2D8DD" w14:textId="77777777" w:rsidR="00B419CE" w:rsidRPr="00B419CE" w:rsidRDefault="00B419CE" w:rsidP="00B419CE">
      <w:pPr>
        <w:pStyle w:val="Overskrift2"/>
      </w:pPr>
      <w:r w:rsidRPr="00B419CE">
        <w:t xml:space="preserve">Regelverksarbeid på </w:t>
      </w:r>
      <w:proofErr w:type="spellStart"/>
      <w:r w:rsidRPr="00B419CE">
        <w:t>finansmarknadsområdet</w:t>
      </w:r>
      <w:proofErr w:type="spellEnd"/>
    </w:p>
    <w:p w14:paraId="6E667285" w14:textId="77777777" w:rsidR="00B419CE" w:rsidRPr="00B419CE" w:rsidRDefault="00B419CE" w:rsidP="00B419CE">
      <w:r w:rsidRPr="00B419CE">
        <w:t xml:space="preserve">På </w:t>
      </w:r>
      <w:proofErr w:type="spellStart"/>
      <w:r w:rsidRPr="00B419CE">
        <w:t>finansmarknadsområdet</w:t>
      </w:r>
      <w:proofErr w:type="spellEnd"/>
      <w:r w:rsidRPr="00B419CE">
        <w:t xml:space="preserve"> har det i mange år </w:t>
      </w:r>
      <w:proofErr w:type="spellStart"/>
      <w:r w:rsidRPr="00B419CE">
        <w:t>vore</w:t>
      </w:r>
      <w:proofErr w:type="spellEnd"/>
      <w:r w:rsidRPr="00B419CE">
        <w:t xml:space="preserve"> arbeidd </w:t>
      </w:r>
      <w:proofErr w:type="spellStart"/>
      <w:r w:rsidRPr="00B419CE">
        <w:t>mykje</w:t>
      </w:r>
      <w:proofErr w:type="spellEnd"/>
      <w:r w:rsidRPr="00B419CE">
        <w:t xml:space="preserve"> med å utvikle og tilpasse rammevilkåra for finansnæringa gjennom </w:t>
      </w:r>
      <w:proofErr w:type="spellStart"/>
      <w:r w:rsidRPr="00B419CE">
        <w:t>føremålstenlege</w:t>
      </w:r>
      <w:proofErr w:type="spellEnd"/>
      <w:r w:rsidRPr="00B419CE">
        <w:t xml:space="preserve"> lover og forskrifter. Regelverket skal </w:t>
      </w:r>
      <w:proofErr w:type="spellStart"/>
      <w:r w:rsidRPr="00B419CE">
        <w:t>medverke</w:t>
      </w:r>
      <w:proofErr w:type="spellEnd"/>
      <w:r w:rsidRPr="00B419CE">
        <w:t xml:space="preserve"> til at </w:t>
      </w:r>
      <w:proofErr w:type="spellStart"/>
      <w:r w:rsidRPr="00B419CE">
        <w:t>finansmarknadene</w:t>
      </w:r>
      <w:proofErr w:type="spellEnd"/>
      <w:r w:rsidRPr="00B419CE">
        <w:t xml:space="preserve"> og </w:t>
      </w:r>
      <w:proofErr w:type="spellStart"/>
      <w:r w:rsidRPr="00B419CE">
        <w:t>finansinstitusjonane</w:t>
      </w:r>
      <w:proofErr w:type="spellEnd"/>
      <w:r w:rsidRPr="00B419CE">
        <w:t xml:space="preserve"> er effektive. Samstundes skal det </w:t>
      </w:r>
      <w:proofErr w:type="spellStart"/>
      <w:r w:rsidRPr="00B419CE">
        <w:t>fremje</w:t>
      </w:r>
      <w:proofErr w:type="spellEnd"/>
      <w:r w:rsidRPr="00B419CE">
        <w:t xml:space="preserve"> tryggleik, soliditet og stabilitet i </w:t>
      </w:r>
      <w:proofErr w:type="spellStart"/>
      <w:r w:rsidRPr="00B419CE">
        <w:t>finansmarknaden</w:t>
      </w:r>
      <w:proofErr w:type="spellEnd"/>
      <w:r w:rsidRPr="00B419CE">
        <w:t xml:space="preserve">. Det er lagt stor vekt på at den samla reguleringa skjer på </w:t>
      </w:r>
      <w:proofErr w:type="spellStart"/>
      <w:r w:rsidRPr="00B419CE">
        <w:t>ein</w:t>
      </w:r>
      <w:proofErr w:type="spellEnd"/>
      <w:r w:rsidRPr="00B419CE">
        <w:t xml:space="preserve"> konsistent måte for </w:t>
      </w:r>
      <w:proofErr w:type="spellStart"/>
      <w:r w:rsidRPr="00B419CE">
        <w:t>dei</w:t>
      </w:r>
      <w:proofErr w:type="spellEnd"/>
      <w:r w:rsidRPr="00B419CE">
        <w:t xml:space="preserve"> ulike </w:t>
      </w:r>
      <w:proofErr w:type="spellStart"/>
      <w:r w:rsidRPr="00B419CE">
        <w:t>typar</w:t>
      </w:r>
      <w:proofErr w:type="spellEnd"/>
      <w:r w:rsidRPr="00B419CE">
        <w:t xml:space="preserve"> </w:t>
      </w:r>
      <w:proofErr w:type="spellStart"/>
      <w:r w:rsidRPr="00B419CE">
        <w:t>finansinstitusjonar</w:t>
      </w:r>
      <w:proofErr w:type="spellEnd"/>
      <w:r w:rsidRPr="00B419CE">
        <w:t xml:space="preserve">, med lik regulering av lik type risiko, uavhengig av </w:t>
      </w:r>
      <w:proofErr w:type="spellStart"/>
      <w:r w:rsidRPr="00B419CE">
        <w:t>kva</w:t>
      </w:r>
      <w:proofErr w:type="spellEnd"/>
      <w:r w:rsidRPr="00B419CE">
        <w:t xml:space="preserve"> </w:t>
      </w:r>
      <w:proofErr w:type="spellStart"/>
      <w:r w:rsidRPr="00B419CE">
        <w:t>slag</w:t>
      </w:r>
      <w:proofErr w:type="spellEnd"/>
      <w:r w:rsidRPr="00B419CE">
        <w:t xml:space="preserve"> finansinstitusjon som </w:t>
      </w:r>
      <w:proofErr w:type="spellStart"/>
      <w:r w:rsidRPr="00B419CE">
        <w:t>tek</w:t>
      </w:r>
      <w:proofErr w:type="spellEnd"/>
      <w:r w:rsidRPr="00B419CE">
        <w:t xml:space="preserve"> risikoen. Interessene til </w:t>
      </w:r>
      <w:proofErr w:type="spellStart"/>
      <w:r w:rsidRPr="00B419CE">
        <w:t>kundane</w:t>
      </w:r>
      <w:proofErr w:type="spellEnd"/>
      <w:r w:rsidRPr="00B419CE">
        <w:t xml:space="preserve"> skal òg </w:t>
      </w:r>
      <w:proofErr w:type="spellStart"/>
      <w:r w:rsidRPr="00B419CE">
        <w:t>takast</w:t>
      </w:r>
      <w:proofErr w:type="spellEnd"/>
      <w:r w:rsidRPr="00B419CE">
        <w:t xml:space="preserve"> vare på når </w:t>
      </w:r>
      <w:proofErr w:type="spellStart"/>
      <w:r w:rsidRPr="00B419CE">
        <w:t>ein</w:t>
      </w:r>
      <w:proofErr w:type="spellEnd"/>
      <w:r w:rsidRPr="00B419CE">
        <w:t xml:space="preserve"> </w:t>
      </w:r>
      <w:proofErr w:type="spellStart"/>
      <w:r w:rsidRPr="00B419CE">
        <w:t>fastset</w:t>
      </w:r>
      <w:proofErr w:type="spellEnd"/>
      <w:r w:rsidRPr="00B419CE">
        <w:t xml:space="preserve"> </w:t>
      </w:r>
      <w:proofErr w:type="spellStart"/>
      <w:r w:rsidRPr="00B419CE">
        <w:t>reglar</w:t>
      </w:r>
      <w:proofErr w:type="spellEnd"/>
      <w:r w:rsidRPr="00B419CE">
        <w:t xml:space="preserve">. Regelverksarbeidet </w:t>
      </w:r>
      <w:proofErr w:type="spellStart"/>
      <w:r w:rsidRPr="00B419CE">
        <w:t>speglar</w:t>
      </w:r>
      <w:proofErr w:type="spellEnd"/>
      <w:r w:rsidRPr="00B419CE">
        <w:t xml:space="preserve"> i stor mon arbeidet med nye </w:t>
      </w:r>
      <w:proofErr w:type="spellStart"/>
      <w:r w:rsidRPr="00B419CE">
        <w:t>reglar</w:t>
      </w:r>
      <w:proofErr w:type="spellEnd"/>
      <w:r w:rsidRPr="00B419CE">
        <w:t xml:space="preserve"> i EU/EØS, i tillegg til enkelte nasjonalt initierte </w:t>
      </w:r>
      <w:proofErr w:type="spellStart"/>
      <w:r w:rsidRPr="00B419CE">
        <w:t>prosessar</w:t>
      </w:r>
      <w:proofErr w:type="spellEnd"/>
      <w:r w:rsidRPr="00B419CE">
        <w:t xml:space="preserve">. Rapporteringa av gjennomførte </w:t>
      </w:r>
      <w:proofErr w:type="spellStart"/>
      <w:r w:rsidRPr="00B419CE">
        <w:t>regelverksoppgåver</w:t>
      </w:r>
      <w:proofErr w:type="spellEnd"/>
      <w:r w:rsidRPr="00B419CE">
        <w:t xml:space="preserve"> og gjennomgang av prioriterte </w:t>
      </w:r>
      <w:proofErr w:type="spellStart"/>
      <w:r w:rsidRPr="00B419CE">
        <w:t>regelverksoppgåver</w:t>
      </w:r>
      <w:proofErr w:type="spellEnd"/>
      <w:r w:rsidRPr="00B419CE">
        <w:t xml:space="preserve"> er omtalt i del II av proposisjonen under kap. 1600 Finansdepartementet.</w:t>
      </w:r>
    </w:p>
    <w:p w14:paraId="6B444928" w14:textId="77777777" w:rsidR="00B419CE" w:rsidRPr="00B419CE" w:rsidRDefault="00B419CE" w:rsidP="00B419CE">
      <w:r w:rsidRPr="00B419CE">
        <w:t xml:space="preserve">Arbeidet med finansiell stabilitet er delt mellom Finansdepartementet, Finanstilsynet og </w:t>
      </w:r>
      <w:proofErr w:type="spellStart"/>
      <w:r w:rsidRPr="00B419CE">
        <w:t>Noregs</w:t>
      </w:r>
      <w:proofErr w:type="spellEnd"/>
      <w:r w:rsidRPr="00B419CE">
        <w:t xml:space="preserve"> Bank. Finansdepartementet arbeider </w:t>
      </w:r>
      <w:proofErr w:type="spellStart"/>
      <w:r w:rsidRPr="00B419CE">
        <w:t>særleg</w:t>
      </w:r>
      <w:proofErr w:type="spellEnd"/>
      <w:r w:rsidRPr="00B419CE">
        <w:t xml:space="preserve"> med rammevilkåra for finanssektoren. </w:t>
      </w:r>
      <w:proofErr w:type="spellStart"/>
      <w:r w:rsidRPr="00B419CE">
        <w:t>Ein</w:t>
      </w:r>
      <w:proofErr w:type="spellEnd"/>
      <w:r w:rsidRPr="00B419CE">
        <w:t xml:space="preserve"> omtale av dette arbeidet og </w:t>
      </w:r>
      <w:proofErr w:type="spellStart"/>
      <w:r w:rsidRPr="00B419CE">
        <w:t>stoda</w:t>
      </w:r>
      <w:proofErr w:type="spellEnd"/>
      <w:r w:rsidRPr="00B419CE">
        <w:t xml:space="preserve"> i </w:t>
      </w:r>
      <w:proofErr w:type="spellStart"/>
      <w:r w:rsidRPr="00B419CE">
        <w:t>dei</w:t>
      </w:r>
      <w:proofErr w:type="spellEnd"/>
      <w:r w:rsidRPr="00B419CE">
        <w:t xml:space="preserve"> internasjonale </w:t>
      </w:r>
      <w:proofErr w:type="spellStart"/>
      <w:r w:rsidRPr="00B419CE">
        <w:t>finansmarknadene</w:t>
      </w:r>
      <w:proofErr w:type="spellEnd"/>
      <w:r w:rsidRPr="00B419CE">
        <w:t xml:space="preserve"> er </w:t>
      </w:r>
      <w:proofErr w:type="spellStart"/>
      <w:r w:rsidRPr="00B419CE">
        <w:t>gjeven</w:t>
      </w:r>
      <w:proofErr w:type="spellEnd"/>
      <w:r w:rsidRPr="00B419CE">
        <w:t xml:space="preserve"> i Meld. St. 1 (2021–2022) </w:t>
      </w:r>
      <w:r w:rsidRPr="00B419CE">
        <w:rPr>
          <w:rStyle w:val="kursiv"/>
        </w:rPr>
        <w:t>Nasjonalbudsjettet 2022</w:t>
      </w:r>
      <w:r w:rsidRPr="00B419CE">
        <w:t xml:space="preserve"> og i den </w:t>
      </w:r>
      <w:proofErr w:type="spellStart"/>
      <w:r w:rsidRPr="00B419CE">
        <w:t>årlege</w:t>
      </w:r>
      <w:proofErr w:type="spellEnd"/>
      <w:r w:rsidRPr="00B419CE">
        <w:t xml:space="preserve"> </w:t>
      </w:r>
      <w:proofErr w:type="spellStart"/>
      <w:r w:rsidRPr="00B419CE">
        <w:t>finansmarknadsmeldinga</w:t>
      </w:r>
      <w:proofErr w:type="spellEnd"/>
      <w:r w:rsidRPr="00B419CE">
        <w:t xml:space="preserve"> som har </w:t>
      </w:r>
      <w:proofErr w:type="spellStart"/>
      <w:r w:rsidRPr="00B419CE">
        <w:t>meir</w:t>
      </w:r>
      <w:proofErr w:type="spellEnd"/>
      <w:r w:rsidRPr="00B419CE">
        <w:t xml:space="preserve"> </w:t>
      </w:r>
      <w:proofErr w:type="spellStart"/>
      <w:r w:rsidRPr="00B419CE">
        <w:t>utførleg</w:t>
      </w:r>
      <w:proofErr w:type="spellEnd"/>
      <w:r w:rsidRPr="00B419CE">
        <w:t xml:space="preserve"> informasjon om utviklinga i </w:t>
      </w:r>
      <w:proofErr w:type="spellStart"/>
      <w:r w:rsidRPr="00B419CE">
        <w:t>finansmarknadene</w:t>
      </w:r>
      <w:proofErr w:type="spellEnd"/>
      <w:r w:rsidRPr="00B419CE">
        <w:t xml:space="preserve">, utsiktene for finansiell stabilitet og omtale av </w:t>
      </w:r>
      <w:proofErr w:type="spellStart"/>
      <w:r w:rsidRPr="00B419CE">
        <w:t>finansmarknadsreguleringa</w:t>
      </w:r>
      <w:proofErr w:type="spellEnd"/>
      <w:r w:rsidRPr="00B419CE">
        <w:t xml:space="preserve">. Meld. St. 31 (2020–2021) </w:t>
      </w:r>
      <w:r w:rsidRPr="00B419CE">
        <w:rPr>
          <w:rStyle w:val="kursiv"/>
        </w:rPr>
        <w:t>Finansmarkedsmeldingen 2021</w:t>
      </w:r>
      <w:r w:rsidRPr="00B419CE">
        <w:t xml:space="preserve"> </w:t>
      </w:r>
      <w:proofErr w:type="spellStart"/>
      <w:r w:rsidRPr="00B419CE">
        <w:t>vart</w:t>
      </w:r>
      <w:proofErr w:type="spellEnd"/>
      <w:r w:rsidRPr="00B419CE">
        <w:t xml:space="preserve"> lagd fram i april 2021 og drøfta då Stortinget behandla </w:t>
      </w:r>
      <w:proofErr w:type="spellStart"/>
      <w:r w:rsidRPr="00B419CE">
        <w:t>Innst</w:t>
      </w:r>
      <w:proofErr w:type="spellEnd"/>
      <w:r w:rsidRPr="00B419CE">
        <w:t>. 582 S (2020–2021).</w:t>
      </w:r>
    </w:p>
    <w:p w14:paraId="35B772A7" w14:textId="77777777" w:rsidR="00B419CE" w:rsidRPr="00B419CE" w:rsidRDefault="00B419CE" w:rsidP="00B419CE">
      <w:pPr>
        <w:pStyle w:val="Overskrift2"/>
      </w:pPr>
      <w:r w:rsidRPr="00B419CE">
        <w:lastRenderedPageBreak/>
        <w:t xml:space="preserve">Fornye, forenkle og </w:t>
      </w:r>
      <w:proofErr w:type="spellStart"/>
      <w:r w:rsidRPr="00B419CE">
        <w:t>forbetre</w:t>
      </w:r>
      <w:proofErr w:type="spellEnd"/>
    </w:p>
    <w:p w14:paraId="59B63287" w14:textId="77777777" w:rsidR="00B419CE" w:rsidRPr="00B419CE" w:rsidRDefault="00B419CE" w:rsidP="00B419CE">
      <w:pPr>
        <w:pStyle w:val="avsnitt-undertittel"/>
      </w:pPr>
      <w:r w:rsidRPr="00B419CE">
        <w:t>Skatte- og avgiftsområdet</w:t>
      </w:r>
    </w:p>
    <w:p w14:paraId="3DBD5848" w14:textId="77777777" w:rsidR="00B419CE" w:rsidRPr="00B419CE" w:rsidRDefault="00B419CE" w:rsidP="00B419CE">
      <w:r w:rsidRPr="00B419CE">
        <w:t xml:space="preserve">Skatteetaten har </w:t>
      </w:r>
      <w:proofErr w:type="spellStart"/>
      <w:r w:rsidRPr="00B419CE">
        <w:t>dei</w:t>
      </w:r>
      <w:proofErr w:type="spellEnd"/>
      <w:r w:rsidRPr="00B419CE">
        <w:t xml:space="preserve"> </w:t>
      </w:r>
      <w:proofErr w:type="spellStart"/>
      <w:r w:rsidRPr="00B419CE">
        <w:t>seinare</w:t>
      </w:r>
      <w:proofErr w:type="spellEnd"/>
      <w:r w:rsidRPr="00B419CE">
        <w:t xml:space="preserve"> åra gjennomført </w:t>
      </w:r>
      <w:proofErr w:type="spellStart"/>
      <w:r w:rsidRPr="00B419CE">
        <w:t>fleire</w:t>
      </w:r>
      <w:proofErr w:type="spellEnd"/>
      <w:r w:rsidRPr="00B419CE">
        <w:t xml:space="preserve"> store </w:t>
      </w:r>
      <w:proofErr w:type="spellStart"/>
      <w:r w:rsidRPr="00B419CE">
        <w:t>omstillingsprosessar</w:t>
      </w:r>
      <w:proofErr w:type="spellEnd"/>
      <w:r w:rsidRPr="00B419CE">
        <w:t xml:space="preserve"> der målet er ei betre og </w:t>
      </w:r>
      <w:proofErr w:type="spellStart"/>
      <w:r w:rsidRPr="00B419CE">
        <w:t>meir</w:t>
      </w:r>
      <w:proofErr w:type="spellEnd"/>
      <w:r w:rsidRPr="00B419CE">
        <w:t xml:space="preserve"> effektiv skatte- og avgiftsforvaltning. Skatteetaten består </w:t>
      </w:r>
      <w:proofErr w:type="spellStart"/>
      <w:r w:rsidRPr="00B419CE">
        <w:t>no</w:t>
      </w:r>
      <w:proofErr w:type="spellEnd"/>
      <w:r w:rsidRPr="00B419CE">
        <w:t xml:space="preserve"> av </w:t>
      </w:r>
      <w:proofErr w:type="spellStart"/>
      <w:r w:rsidRPr="00B419CE">
        <w:t>eit</w:t>
      </w:r>
      <w:proofErr w:type="spellEnd"/>
      <w:r w:rsidRPr="00B419CE">
        <w:t xml:space="preserve"> direktorat og seks </w:t>
      </w:r>
      <w:proofErr w:type="spellStart"/>
      <w:r w:rsidRPr="00B419CE">
        <w:t>divisjonar</w:t>
      </w:r>
      <w:proofErr w:type="spellEnd"/>
      <w:r w:rsidRPr="00B419CE">
        <w:t xml:space="preserve"> med </w:t>
      </w:r>
      <w:proofErr w:type="spellStart"/>
      <w:r w:rsidRPr="00B419CE">
        <w:t>landsdekkjande</w:t>
      </w:r>
      <w:proofErr w:type="spellEnd"/>
      <w:r w:rsidRPr="00B419CE">
        <w:t xml:space="preserve"> ansvar for kvar </w:t>
      </w:r>
      <w:proofErr w:type="gramStart"/>
      <w:r w:rsidRPr="00B419CE">
        <w:t>sine fagområde</w:t>
      </w:r>
      <w:proofErr w:type="gramEnd"/>
      <w:r w:rsidRPr="00B419CE">
        <w:t xml:space="preserve">. Etaten har 57 skattekontor fordelt rundt i landet. </w:t>
      </w:r>
      <w:proofErr w:type="spellStart"/>
      <w:r w:rsidRPr="00B419CE">
        <w:t>Skatteoppkrevjarfunksjonen</w:t>
      </w:r>
      <w:proofErr w:type="spellEnd"/>
      <w:r w:rsidRPr="00B419CE">
        <w:t xml:space="preserve"> </w:t>
      </w:r>
      <w:proofErr w:type="spellStart"/>
      <w:r w:rsidRPr="00B419CE">
        <w:t>vart</w:t>
      </w:r>
      <w:proofErr w:type="spellEnd"/>
      <w:r w:rsidRPr="00B419CE">
        <w:t xml:space="preserve"> overført </w:t>
      </w:r>
      <w:proofErr w:type="spellStart"/>
      <w:r w:rsidRPr="00B419CE">
        <w:t>frå</w:t>
      </w:r>
      <w:proofErr w:type="spellEnd"/>
      <w:r w:rsidRPr="00B419CE">
        <w:t xml:space="preserve"> </w:t>
      </w:r>
      <w:proofErr w:type="spellStart"/>
      <w:r w:rsidRPr="00B419CE">
        <w:t>kommunane</w:t>
      </w:r>
      <w:proofErr w:type="spellEnd"/>
      <w:r w:rsidRPr="00B419CE">
        <w:t xml:space="preserve"> til Skatteetaten 1. november 2020. Om lag 1 000 </w:t>
      </w:r>
      <w:proofErr w:type="spellStart"/>
      <w:r w:rsidRPr="00B419CE">
        <w:t>personar</w:t>
      </w:r>
      <w:proofErr w:type="spellEnd"/>
      <w:r w:rsidRPr="00B419CE">
        <w:t xml:space="preserve"> med ansvar for arbeidsgjevarkontroll, </w:t>
      </w:r>
      <w:proofErr w:type="spellStart"/>
      <w:r w:rsidRPr="00B419CE">
        <w:t>skatteinnkrevjing</w:t>
      </w:r>
      <w:proofErr w:type="spellEnd"/>
      <w:r w:rsidRPr="00B419CE">
        <w:t xml:space="preserve"> og </w:t>
      </w:r>
      <w:proofErr w:type="spellStart"/>
      <w:r w:rsidRPr="00B419CE">
        <w:t>skatterekneskap</w:t>
      </w:r>
      <w:proofErr w:type="spellEnd"/>
      <w:r w:rsidRPr="00B419CE">
        <w:t xml:space="preserve"> vart då overførte </w:t>
      </w:r>
      <w:proofErr w:type="spellStart"/>
      <w:r w:rsidRPr="00B419CE">
        <w:t>frå</w:t>
      </w:r>
      <w:proofErr w:type="spellEnd"/>
      <w:r w:rsidRPr="00B419CE">
        <w:t xml:space="preserve"> </w:t>
      </w:r>
      <w:proofErr w:type="spellStart"/>
      <w:r w:rsidRPr="00B419CE">
        <w:t>kommunane</w:t>
      </w:r>
      <w:proofErr w:type="spellEnd"/>
      <w:r w:rsidRPr="00B419CE">
        <w:t xml:space="preserve"> til Skatteetaten. Skatteetaten har </w:t>
      </w:r>
      <w:proofErr w:type="spellStart"/>
      <w:r w:rsidRPr="00B419CE">
        <w:t>no</w:t>
      </w:r>
      <w:proofErr w:type="spellEnd"/>
      <w:r w:rsidRPr="00B419CE">
        <w:t xml:space="preserve"> </w:t>
      </w:r>
      <w:proofErr w:type="spellStart"/>
      <w:r w:rsidRPr="00B419CE">
        <w:t>eit</w:t>
      </w:r>
      <w:proofErr w:type="spellEnd"/>
      <w:r w:rsidRPr="00B419CE">
        <w:t xml:space="preserve"> </w:t>
      </w:r>
      <w:proofErr w:type="spellStart"/>
      <w:r w:rsidRPr="00B419CE">
        <w:t>heilskapleg</w:t>
      </w:r>
      <w:proofErr w:type="spellEnd"/>
      <w:r w:rsidRPr="00B419CE">
        <w:t xml:space="preserve"> ansvar for </w:t>
      </w:r>
      <w:proofErr w:type="spellStart"/>
      <w:r w:rsidRPr="00B419CE">
        <w:t>fastsetjing</w:t>
      </w:r>
      <w:proofErr w:type="spellEnd"/>
      <w:r w:rsidRPr="00B419CE">
        <w:t xml:space="preserve">, </w:t>
      </w:r>
      <w:proofErr w:type="spellStart"/>
      <w:r w:rsidRPr="00B419CE">
        <w:t>innkrevjing</w:t>
      </w:r>
      <w:proofErr w:type="spellEnd"/>
      <w:r w:rsidRPr="00B419CE">
        <w:t xml:space="preserve"> og kontroll av </w:t>
      </w:r>
      <w:proofErr w:type="spellStart"/>
      <w:r w:rsidRPr="00B419CE">
        <w:t>skattar</w:t>
      </w:r>
      <w:proofErr w:type="spellEnd"/>
      <w:r w:rsidRPr="00B419CE">
        <w:t xml:space="preserve"> og avgifter. Den nye organiseringa </w:t>
      </w:r>
      <w:proofErr w:type="spellStart"/>
      <w:r w:rsidRPr="00B419CE">
        <w:t>legg</w:t>
      </w:r>
      <w:proofErr w:type="spellEnd"/>
      <w:r w:rsidRPr="00B419CE">
        <w:t xml:space="preserve"> til rette for at Skatteetaten kan løyse sine </w:t>
      </w:r>
      <w:proofErr w:type="spellStart"/>
      <w:r w:rsidRPr="00B419CE">
        <w:t>oppgåver</w:t>
      </w:r>
      <w:proofErr w:type="spellEnd"/>
      <w:r w:rsidRPr="00B419CE">
        <w:t xml:space="preserve"> på </w:t>
      </w:r>
      <w:proofErr w:type="spellStart"/>
      <w:r w:rsidRPr="00B419CE">
        <w:t>ein</w:t>
      </w:r>
      <w:proofErr w:type="spellEnd"/>
      <w:r w:rsidRPr="00B419CE">
        <w:t xml:space="preserve"> betre og </w:t>
      </w:r>
      <w:proofErr w:type="spellStart"/>
      <w:r w:rsidRPr="00B419CE">
        <w:t>meir</w:t>
      </w:r>
      <w:proofErr w:type="spellEnd"/>
      <w:r w:rsidRPr="00B419CE">
        <w:t xml:space="preserve"> effektiv måte.</w:t>
      </w:r>
    </w:p>
    <w:p w14:paraId="23F0A9EF" w14:textId="77777777" w:rsidR="00B419CE" w:rsidRPr="00B419CE" w:rsidRDefault="00B419CE" w:rsidP="00B419CE">
      <w:r w:rsidRPr="00B419CE">
        <w:t xml:space="preserve">Skatteetaten moderniserer </w:t>
      </w:r>
      <w:proofErr w:type="spellStart"/>
      <w:r w:rsidRPr="00B419CE">
        <w:t>systemportefølja</w:t>
      </w:r>
      <w:proofErr w:type="spellEnd"/>
      <w:r w:rsidRPr="00B419CE">
        <w:t xml:space="preserve"> si. Moderniseringa effektiviserer etatens interne </w:t>
      </w:r>
      <w:proofErr w:type="spellStart"/>
      <w:r w:rsidRPr="00B419CE">
        <w:t>prosessar</w:t>
      </w:r>
      <w:proofErr w:type="spellEnd"/>
      <w:r w:rsidRPr="00B419CE">
        <w:t xml:space="preserve">, men gjev òg </w:t>
      </w:r>
      <w:proofErr w:type="spellStart"/>
      <w:r w:rsidRPr="00B419CE">
        <w:t>enklare</w:t>
      </w:r>
      <w:proofErr w:type="spellEnd"/>
      <w:r w:rsidRPr="00B419CE">
        <w:t xml:space="preserve"> </w:t>
      </w:r>
      <w:proofErr w:type="spellStart"/>
      <w:r w:rsidRPr="00B419CE">
        <w:t>tenester</w:t>
      </w:r>
      <w:proofErr w:type="spellEnd"/>
      <w:r w:rsidRPr="00B419CE">
        <w:t xml:space="preserve"> for </w:t>
      </w:r>
      <w:proofErr w:type="spellStart"/>
      <w:r w:rsidRPr="00B419CE">
        <w:t>innbyggjarane</w:t>
      </w:r>
      <w:proofErr w:type="spellEnd"/>
      <w:r w:rsidRPr="00B419CE">
        <w:t xml:space="preserve"> og forenkling for næringslivet. I 2020 vart </w:t>
      </w:r>
      <w:proofErr w:type="spellStart"/>
      <w:r w:rsidRPr="00B419CE">
        <w:t>eit</w:t>
      </w:r>
      <w:proofErr w:type="spellEnd"/>
      <w:r w:rsidRPr="00B419CE">
        <w:t xml:space="preserve"> modernisert folkeregister lansert. Ei innsynsløysing for </w:t>
      </w:r>
      <w:proofErr w:type="spellStart"/>
      <w:r w:rsidRPr="00B419CE">
        <w:t>innbyggjarar</w:t>
      </w:r>
      <w:proofErr w:type="spellEnd"/>
      <w:r w:rsidRPr="00B419CE">
        <w:t xml:space="preserve">, der </w:t>
      </w:r>
      <w:proofErr w:type="spellStart"/>
      <w:r w:rsidRPr="00B419CE">
        <w:t>ein</w:t>
      </w:r>
      <w:proofErr w:type="spellEnd"/>
      <w:r w:rsidRPr="00B419CE">
        <w:t xml:space="preserve"> kan sjå eigne </w:t>
      </w:r>
      <w:proofErr w:type="spellStart"/>
      <w:r w:rsidRPr="00B419CE">
        <w:t>opplysningar</w:t>
      </w:r>
      <w:proofErr w:type="spellEnd"/>
      <w:r w:rsidRPr="00B419CE">
        <w:t xml:space="preserve">, </w:t>
      </w:r>
      <w:proofErr w:type="spellStart"/>
      <w:r w:rsidRPr="00B419CE">
        <w:t>vart</w:t>
      </w:r>
      <w:proofErr w:type="spellEnd"/>
      <w:r w:rsidRPr="00B419CE">
        <w:t xml:space="preserve"> lansert i 2021. Det er òg gjennomført ei opprydding i d-nummer-databasen. </w:t>
      </w:r>
      <w:proofErr w:type="spellStart"/>
      <w:r w:rsidRPr="00B419CE">
        <w:t>Effektar</w:t>
      </w:r>
      <w:proofErr w:type="spellEnd"/>
      <w:r w:rsidRPr="00B419CE">
        <w:t xml:space="preserve"> er mellom anna </w:t>
      </w:r>
      <w:proofErr w:type="spellStart"/>
      <w:r w:rsidRPr="00B419CE">
        <w:t>eit</w:t>
      </w:r>
      <w:proofErr w:type="spellEnd"/>
      <w:r w:rsidRPr="00B419CE">
        <w:t xml:space="preserve"> register med </w:t>
      </w:r>
      <w:proofErr w:type="spellStart"/>
      <w:r w:rsidRPr="00B419CE">
        <w:t>høgare</w:t>
      </w:r>
      <w:proofErr w:type="spellEnd"/>
      <w:r w:rsidRPr="00B419CE">
        <w:t xml:space="preserve"> kvalitet og </w:t>
      </w:r>
      <w:proofErr w:type="spellStart"/>
      <w:r w:rsidRPr="00B419CE">
        <w:t>meir</w:t>
      </w:r>
      <w:proofErr w:type="spellEnd"/>
      <w:r w:rsidRPr="00B419CE">
        <w:t xml:space="preserve"> oppdaterte </w:t>
      </w:r>
      <w:proofErr w:type="spellStart"/>
      <w:r w:rsidRPr="00B419CE">
        <w:t>opplysningar</w:t>
      </w:r>
      <w:proofErr w:type="spellEnd"/>
      <w:r w:rsidRPr="00B419CE">
        <w:t xml:space="preserve">. Manuell og papirbasert saksbehandling vert erstatta av automatiserte prosesser, og </w:t>
      </w:r>
      <w:proofErr w:type="spellStart"/>
      <w:r w:rsidRPr="00B419CE">
        <w:t>endringar</w:t>
      </w:r>
      <w:proofErr w:type="spellEnd"/>
      <w:r w:rsidRPr="00B419CE">
        <w:t xml:space="preserve"> kan </w:t>
      </w:r>
      <w:proofErr w:type="spellStart"/>
      <w:r w:rsidRPr="00B419CE">
        <w:t>sendast</w:t>
      </w:r>
      <w:proofErr w:type="spellEnd"/>
      <w:r w:rsidRPr="00B419CE">
        <w:t xml:space="preserve"> elektronisk.</w:t>
      </w:r>
    </w:p>
    <w:p w14:paraId="62B3FF41" w14:textId="77777777" w:rsidR="00B419CE" w:rsidRPr="00B419CE" w:rsidRDefault="00B419CE" w:rsidP="00B419CE">
      <w:r w:rsidRPr="00B419CE">
        <w:t xml:space="preserve">Skatteetaten </w:t>
      </w:r>
      <w:proofErr w:type="spellStart"/>
      <w:r w:rsidRPr="00B419CE">
        <w:t>utviklar</w:t>
      </w:r>
      <w:proofErr w:type="spellEnd"/>
      <w:r w:rsidRPr="00B419CE">
        <w:t xml:space="preserve"> samstundes ei ny dialogbasert skattemelding for formues- og inntektsskatt for </w:t>
      </w:r>
      <w:proofErr w:type="spellStart"/>
      <w:r w:rsidRPr="00B419CE">
        <w:t>næringsdrivande</w:t>
      </w:r>
      <w:proofErr w:type="spellEnd"/>
      <w:r w:rsidRPr="00B419CE">
        <w:t xml:space="preserve">, </w:t>
      </w:r>
      <w:proofErr w:type="spellStart"/>
      <w:r w:rsidRPr="00B419CE">
        <w:t>lønstakarar</w:t>
      </w:r>
      <w:proofErr w:type="spellEnd"/>
      <w:r w:rsidRPr="00B419CE">
        <w:t xml:space="preserve"> og </w:t>
      </w:r>
      <w:proofErr w:type="spellStart"/>
      <w:r w:rsidRPr="00B419CE">
        <w:t>pensjonistar</w:t>
      </w:r>
      <w:proofErr w:type="spellEnd"/>
      <w:r w:rsidRPr="00B419CE">
        <w:t xml:space="preserve">. Den nye </w:t>
      </w:r>
      <w:proofErr w:type="spellStart"/>
      <w:r w:rsidRPr="00B419CE">
        <w:t>skattemeldinga</w:t>
      </w:r>
      <w:proofErr w:type="spellEnd"/>
      <w:r w:rsidRPr="00B419CE">
        <w:t xml:space="preserve"> skal forenkle og </w:t>
      </w:r>
      <w:proofErr w:type="spellStart"/>
      <w:r w:rsidRPr="00B419CE">
        <w:t>forbetre</w:t>
      </w:r>
      <w:proofErr w:type="spellEnd"/>
      <w:r w:rsidRPr="00B419CE">
        <w:t xml:space="preserve"> </w:t>
      </w:r>
      <w:proofErr w:type="spellStart"/>
      <w:r w:rsidRPr="00B419CE">
        <w:t>prosessane</w:t>
      </w:r>
      <w:proofErr w:type="spellEnd"/>
      <w:r w:rsidRPr="00B419CE">
        <w:t xml:space="preserve"> for </w:t>
      </w:r>
      <w:proofErr w:type="spellStart"/>
      <w:r w:rsidRPr="00B419CE">
        <w:t>fastsetjing</w:t>
      </w:r>
      <w:proofErr w:type="spellEnd"/>
      <w:r w:rsidRPr="00B419CE">
        <w:t xml:space="preserve"> av skatt og redusere næringslivets </w:t>
      </w:r>
      <w:proofErr w:type="spellStart"/>
      <w:r w:rsidRPr="00B419CE">
        <w:t>kostnadar</w:t>
      </w:r>
      <w:proofErr w:type="spellEnd"/>
      <w:r w:rsidRPr="00B419CE">
        <w:t xml:space="preserve"> ved å etterleve </w:t>
      </w:r>
      <w:proofErr w:type="spellStart"/>
      <w:r w:rsidRPr="00B419CE">
        <w:t>statlege</w:t>
      </w:r>
      <w:proofErr w:type="spellEnd"/>
      <w:r w:rsidRPr="00B419CE">
        <w:t xml:space="preserve"> rapporteringskrav. Løysinga for </w:t>
      </w:r>
      <w:proofErr w:type="spellStart"/>
      <w:r w:rsidRPr="00B419CE">
        <w:t>lønstakarar</w:t>
      </w:r>
      <w:proofErr w:type="spellEnd"/>
      <w:r w:rsidRPr="00B419CE">
        <w:t xml:space="preserve"> og </w:t>
      </w:r>
      <w:proofErr w:type="spellStart"/>
      <w:r w:rsidRPr="00B419CE">
        <w:t>pensjonistar</w:t>
      </w:r>
      <w:proofErr w:type="spellEnd"/>
      <w:r w:rsidRPr="00B419CE">
        <w:t xml:space="preserve"> er tilnærma ferdigstilt og vart teken i bruk våren 2020 i samband med </w:t>
      </w:r>
      <w:proofErr w:type="spellStart"/>
      <w:r w:rsidRPr="00B419CE">
        <w:t>skattemeldinga</w:t>
      </w:r>
      <w:proofErr w:type="spellEnd"/>
      <w:r w:rsidRPr="00B419CE">
        <w:t xml:space="preserve"> for 2019. Denne løysinga har fungert bra. I 2022 skal prosjektet utvikle ei løysing for </w:t>
      </w:r>
      <w:proofErr w:type="spellStart"/>
      <w:r w:rsidRPr="00B419CE">
        <w:t>næringsdrivande</w:t>
      </w:r>
      <w:proofErr w:type="spellEnd"/>
      <w:r w:rsidRPr="00B419CE">
        <w:t>.</w:t>
      </w:r>
    </w:p>
    <w:p w14:paraId="2E543AC1" w14:textId="77777777" w:rsidR="00B419CE" w:rsidRPr="00B419CE" w:rsidRDefault="00B419CE" w:rsidP="00B419CE">
      <w:r w:rsidRPr="00B419CE">
        <w:t xml:space="preserve">Etaten </w:t>
      </w:r>
      <w:proofErr w:type="spellStart"/>
      <w:r w:rsidRPr="00B419CE">
        <w:t>utviklar</w:t>
      </w:r>
      <w:proofErr w:type="spellEnd"/>
      <w:r w:rsidRPr="00B419CE">
        <w:t xml:space="preserve"> òg </w:t>
      </w:r>
      <w:proofErr w:type="spellStart"/>
      <w:r w:rsidRPr="00B419CE">
        <w:t>eit</w:t>
      </w:r>
      <w:proofErr w:type="spellEnd"/>
      <w:r w:rsidRPr="00B419CE">
        <w:t xml:space="preserve"> nytt IT-system for </w:t>
      </w:r>
      <w:proofErr w:type="spellStart"/>
      <w:r w:rsidRPr="00B419CE">
        <w:t>meirverdiavgift</w:t>
      </w:r>
      <w:proofErr w:type="spellEnd"/>
      <w:r w:rsidRPr="00B419CE">
        <w:t xml:space="preserve">. Ei </w:t>
      </w:r>
      <w:proofErr w:type="spellStart"/>
      <w:r w:rsidRPr="00B419CE">
        <w:t>meir</w:t>
      </w:r>
      <w:proofErr w:type="spellEnd"/>
      <w:r w:rsidRPr="00B419CE">
        <w:t xml:space="preserve"> digitalisert </w:t>
      </w:r>
      <w:proofErr w:type="spellStart"/>
      <w:r w:rsidRPr="00B419CE">
        <w:t>prosesstøtte</w:t>
      </w:r>
      <w:proofErr w:type="spellEnd"/>
      <w:r w:rsidRPr="00B419CE">
        <w:t xml:space="preserve"> og betre rettleiing for </w:t>
      </w:r>
      <w:proofErr w:type="spellStart"/>
      <w:r w:rsidRPr="00B419CE">
        <w:t>verksemdene</w:t>
      </w:r>
      <w:proofErr w:type="spellEnd"/>
      <w:r w:rsidRPr="00B419CE">
        <w:t xml:space="preserve"> vil </w:t>
      </w:r>
      <w:proofErr w:type="spellStart"/>
      <w:r w:rsidRPr="00B419CE">
        <w:t>gjere</w:t>
      </w:r>
      <w:proofErr w:type="spellEnd"/>
      <w:r w:rsidRPr="00B419CE">
        <w:t xml:space="preserve"> det </w:t>
      </w:r>
      <w:proofErr w:type="spellStart"/>
      <w:r w:rsidRPr="00B419CE">
        <w:t>enklare</w:t>
      </w:r>
      <w:proofErr w:type="spellEnd"/>
      <w:r w:rsidRPr="00B419CE">
        <w:t xml:space="preserve"> å etterleve </w:t>
      </w:r>
      <w:proofErr w:type="spellStart"/>
      <w:r w:rsidRPr="00B419CE">
        <w:t>meirverdiavgiftsreglane</w:t>
      </w:r>
      <w:proofErr w:type="spellEnd"/>
      <w:r w:rsidRPr="00B419CE">
        <w:t xml:space="preserve">. Etter å ha utvikla og lansert </w:t>
      </w:r>
      <w:proofErr w:type="spellStart"/>
      <w:r w:rsidRPr="00B419CE">
        <w:t>ein</w:t>
      </w:r>
      <w:proofErr w:type="spellEnd"/>
      <w:r w:rsidRPr="00B419CE">
        <w:t xml:space="preserve"> ny portal for </w:t>
      </w:r>
      <w:proofErr w:type="spellStart"/>
      <w:r w:rsidRPr="00B419CE">
        <w:t>mva</w:t>
      </w:r>
      <w:proofErr w:type="spellEnd"/>
      <w:r w:rsidRPr="00B419CE">
        <w:t xml:space="preserve">-registrering i 2021, vil prosjektet i 2022 arbeide </w:t>
      </w:r>
      <w:proofErr w:type="spellStart"/>
      <w:r w:rsidRPr="00B419CE">
        <w:t>vidare</w:t>
      </w:r>
      <w:proofErr w:type="spellEnd"/>
      <w:r w:rsidRPr="00B419CE">
        <w:t xml:space="preserve"> med utvikling av ny skattemelding for mva.</w:t>
      </w:r>
    </w:p>
    <w:p w14:paraId="705EC54B" w14:textId="77777777" w:rsidR="00B419CE" w:rsidRPr="00B419CE" w:rsidRDefault="00B419CE" w:rsidP="00B419CE">
      <w:r w:rsidRPr="00B419CE">
        <w:t xml:space="preserve">Skatteetaten starta i 2020 òg utviklinga av ei løysing som skal </w:t>
      </w:r>
      <w:proofErr w:type="spellStart"/>
      <w:r w:rsidRPr="00B419CE">
        <w:t>gjere</w:t>
      </w:r>
      <w:proofErr w:type="spellEnd"/>
      <w:r w:rsidRPr="00B419CE">
        <w:t xml:space="preserve"> det </w:t>
      </w:r>
      <w:proofErr w:type="spellStart"/>
      <w:r w:rsidRPr="00B419CE">
        <w:t>mogleg</w:t>
      </w:r>
      <w:proofErr w:type="spellEnd"/>
      <w:r w:rsidRPr="00B419CE">
        <w:t xml:space="preserve"> å dele </w:t>
      </w:r>
      <w:proofErr w:type="spellStart"/>
      <w:r w:rsidRPr="00B419CE">
        <w:t>opplysningar</w:t>
      </w:r>
      <w:proofErr w:type="spellEnd"/>
      <w:r w:rsidRPr="00B419CE">
        <w:t xml:space="preserve"> om inntekt og arbeidsforhold som </w:t>
      </w:r>
      <w:proofErr w:type="spellStart"/>
      <w:r w:rsidRPr="00B419CE">
        <w:t>arbeidsgjevar</w:t>
      </w:r>
      <w:proofErr w:type="spellEnd"/>
      <w:r w:rsidRPr="00B419CE">
        <w:t xml:space="preserve"> </w:t>
      </w:r>
      <w:proofErr w:type="spellStart"/>
      <w:r w:rsidRPr="00B419CE">
        <w:t>allereie</w:t>
      </w:r>
      <w:proofErr w:type="spellEnd"/>
      <w:r w:rsidRPr="00B419CE">
        <w:t xml:space="preserve"> har innrapportert i a-meldinga, med </w:t>
      </w:r>
      <w:proofErr w:type="spellStart"/>
      <w:r w:rsidRPr="00B419CE">
        <w:t>pensjonsverksemder</w:t>
      </w:r>
      <w:proofErr w:type="spellEnd"/>
      <w:r w:rsidRPr="00B419CE">
        <w:t xml:space="preserve"> slik at </w:t>
      </w:r>
      <w:proofErr w:type="spellStart"/>
      <w:r w:rsidRPr="00B419CE">
        <w:t>desse</w:t>
      </w:r>
      <w:proofErr w:type="spellEnd"/>
      <w:r w:rsidRPr="00B419CE">
        <w:t xml:space="preserve"> kan </w:t>
      </w:r>
      <w:proofErr w:type="spellStart"/>
      <w:r w:rsidRPr="00B419CE">
        <w:t>rekne</w:t>
      </w:r>
      <w:proofErr w:type="spellEnd"/>
      <w:r w:rsidRPr="00B419CE">
        <w:t xml:space="preserve"> ut rett pensjonsgrunnlag etter OTP-regelverket. Målet er betre etterleving av </w:t>
      </w:r>
      <w:proofErr w:type="spellStart"/>
      <w:r w:rsidRPr="00B419CE">
        <w:t>pensjonsforpliktingar</w:t>
      </w:r>
      <w:proofErr w:type="spellEnd"/>
      <w:r w:rsidRPr="00B419CE">
        <w:t xml:space="preserve"> </w:t>
      </w:r>
      <w:proofErr w:type="spellStart"/>
      <w:r w:rsidRPr="00B419CE">
        <w:t>frå</w:t>
      </w:r>
      <w:proofErr w:type="spellEnd"/>
      <w:r w:rsidRPr="00B419CE">
        <w:t xml:space="preserve"> </w:t>
      </w:r>
      <w:proofErr w:type="spellStart"/>
      <w:r w:rsidRPr="00B419CE">
        <w:t>arbeidsgjevarane</w:t>
      </w:r>
      <w:proofErr w:type="spellEnd"/>
      <w:r w:rsidRPr="00B419CE">
        <w:t xml:space="preserve"> og forenkla rapportering av </w:t>
      </w:r>
      <w:proofErr w:type="spellStart"/>
      <w:r w:rsidRPr="00B419CE">
        <w:t>opplysningar</w:t>
      </w:r>
      <w:proofErr w:type="spellEnd"/>
      <w:r w:rsidRPr="00B419CE">
        <w:t xml:space="preserve"> </w:t>
      </w:r>
      <w:proofErr w:type="spellStart"/>
      <w:r w:rsidRPr="00B419CE">
        <w:t>frå</w:t>
      </w:r>
      <w:proofErr w:type="spellEnd"/>
      <w:r w:rsidRPr="00B419CE">
        <w:t xml:space="preserve"> næringslivet. Etter planen vert løysinga klar i 2022.</w:t>
      </w:r>
    </w:p>
    <w:p w14:paraId="7EC3BD83" w14:textId="77777777" w:rsidR="00B419CE" w:rsidRPr="00B419CE" w:rsidRDefault="00B419CE" w:rsidP="00B419CE">
      <w:r w:rsidRPr="00B419CE">
        <w:t xml:space="preserve">I 2022 skal Skatteetaten òg starte steg 1 av tre av ei </w:t>
      </w:r>
      <w:proofErr w:type="spellStart"/>
      <w:r w:rsidRPr="00B419CE">
        <w:t>omfattande</w:t>
      </w:r>
      <w:proofErr w:type="spellEnd"/>
      <w:r w:rsidRPr="00B419CE">
        <w:t xml:space="preserve"> modernisering av </w:t>
      </w:r>
      <w:proofErr w:type="spellStart"/>
      <w:r w:rsidRPr="00B419CE">
        <w:t>innkrevjingsområdet</w:t>
      </w:r>
      <w:proofErr w:type="spellEnd"/>
      <w:r w:rsidRPr="00B419CE">
        <w:t xml:space="preserve"> og </w:t>
      </w:r>
      <w:proofErr w:type="spellStart"/>
      <w:r w:rsidRPr="00B419CE">
        <w:t>særleg</w:t>
      </w:r>
      <w:proofErr w:type="spellEnd"/>
      <w:r w:rsidRPr="00B419CE">
        <w:t xml:space="preserve"> IT-porteføljen. Tiltaket vil </w:t>
      </w:r>
      <w:proofErr w:type="spellStart"/>
      <w:r w:rsidRPr="00B419CE">
        <w:t>leggje</w:t>
      </w:r>
      <w:proofErr w:type="spellEnd"/>
      <w:r w:rsidRPr="00B419CE">
        <w:t xml:space="preserve"> til rette for å samordne og modernisere systemporteføljen, </w:t>
      </w:r>
      <w:proofErr w:type="spellStart"/>
      <w:r w:rsidRPr="00B419CE">
        <w:t>prosessane</w:t>
      </w:r>
      <w:proofErr w:type="spellEnd"/>
      <w:r w:rsidRPr="00B419CE">
        <w:t xml:space="preserve"> og regelverket på </w:t>
      </w:r>
      <w:proofErr w:type="spellStart"/>
      <w:r w:rsidRPr="00B419CE">
        <w:t>innkrevjingsområdet</w:t>
      </w:r>
      <w:proofErr w:type="spellEnd"/>
      <w:r w:rsidRPr="00B419CE">
        <w:t xml:space="preserve">. Tiltaket vil </w:t>
      </w:r>
      <w:proofErr w:type="spellStart"/>
      <w:r w:rsidRPr="00B419CE">
        <w:t>gjere</w:t>
      </w:r>
      <w:proofErr w:type="spellEnd"/>
      <w:r w:rsidRPr="00B419CE">
        <w:t xml:space="preserve"> </w:t>
      </w:r>
      <w:proofErr w:type="spellStart"/>
      <w:r w:rsidRPr="00B419CE">
        <w:t>prosessane</w:t>
      </w:r>
      <w:proofErr w:type="spellEnd"/>
      <w:r w:rsidRPr="00B419CE">
        <w:t xml:space="preserve"> og regelverket </w:t>
      </w:r>
      <w:proofErr w:type="spellStart"/>
      <w:r w:rsidRPr="00B419CE">
        <w:t>meir</w:t>
      </w:r>
      <w:proofErr w:type="spellEnd"/>
      <w:r w:rsidRPr="00B419CE">
        <w:t xml:space="preserve"> </w:t>
      </w:r>
      <w:proofErr w:type="spellStart"/>
      <w:r w:rsidRPr="00B419CE">
        <w:t>brukarvenlege</w:t>
      </w:r>
      <w:proofErr w:type="spellEnd"/>
      <w:r w:rsidRPr="00B419CE">
        <w:t xml:space="preserve">. Programmet er ei tverrsektoriell satsing som vert foreslått gjennomført over sju år. Skatteetaten vil </w:t>
      </w:r>
      <w:r w:rsidRPr="00B419CE">
        <w:lastRenderedPageBreak/>
        <w:t xml:space="preserve">samarbeide med politiet, Nav, Lånekassa og </w:t>
      </w:r>
      <w:proofErr w:type="spellStart"/>
      <w:r w:rsidRPr="00B419CE">
        <w:t>Brønnøysundregistrane</w:t>
      </w:r>
      <w:proofErr w:type="spellEnd"/>
      <w:r w:rsidRPr="00B419CE">
        <w:t xml:space="preserve"> om å utvikle </w:t>
      </w:r>
      <w:proofErr w:type="spellStart"/>
      <w:r w:rsidRPr="00B419CE">
        <w:t>samanhengande</w:t>
      </w:r>
      <w:proofErr w:type="spellEnd"/>
      <w:r w:rsidRPr="00B419CE">
        <w:t xml:space="preserve"> </w:t>
      </w:r>
      <w:proofErr w:type="spellStart"/>
      <w:r w:rsidRPr="00B419CE">
        <w:t>tenester</w:t>
      </w:r>
      <w:proofErr w:type="spellEnd"/>
      <w:r w:rsidRPr="00B419CE">
        <w:t xml:space="preserve"> på </w:t>
      </w:r>
      <w:proofErr w:type="spellStart"/>
      <w:r w:rsidRPr="00B419CE">
        <w:t>innkrevjingsområdet</w:t>
      </w:r>
      <w:proofErr w:type="spellEnd"/>
      <w:r w:rsidRPr="00B419CE">
        <w:t>.</w:t>
      </w:r>
    </w:p>
    <w:p w14:paraId="364A40C1" w14:textId="77777777" w:rsidR="00B419CE" w:rsidRPr="00B419CE" w:rsidRDefault="00B419CE" w:rsidP="00B419CE">
      <w:r w:rsidRPr="00B419CE">
        <w:t xml:space="preserve">Skatteetaten har </w:t>
      </w:r>
      <w:proofErr w:type="spellStart"/>
      <w:r w:rsidRPr="00B419CE">
        <w:t>omfattande</w:t>
      </w:r>
      <w:proofErr w:type="spellEnd"/>
      <w:r w:rsidRPr="00B419CE">
        <w:t xml:space="preserve"> digitale </w:t>
      </w:r>
      <w:proofErr w:type="spellStart"/>
      <w:r w:rsidRPr="00B419CE">
        <w:t>prosessar</w:t>
      </w:r>
      <w:proofErr w:type="spellEnd"/>
      <w:r w:rsidRPr="00B419CE">
        <w:t xml:space="preserve"> og </w:t>
      </w:r>
      <w:proofErr w:type="spellStart"/>
      <w:r w:rsidRPr="00B419CE">
        <w:t>ein</w:t>
      </w:r>
      <w:proofErr w:type="spellEnd"/>
      <w:r w:rsidRPr="00B419CE">
        <w:t xml:space="preserve"> stor og kompleks IT-systemportefølje. </w:t>
      </w:r>
      <w:proofErr w:type="spellStart"/>
      <w:r w:rsidRPr="00B419CE">
        <w:t>Velfungerande</w:t>
      </w:r>
      <w:proofErr w:type="spellEnd"/>
      <w:r w:rsidRPr="00B419CE">
        <w:t xml:space="preserve"> og sikre IT-system i etaten er </w:t>
      </w:r>
      <w:proofErr w:type="spellStart"/>
      <w:r w:rsidRPr="00B419CE">
        <w:t>avgjerande</w:t>
      </w:r>
      <w:proofErr w:type="spellEnd"/>
      <w:r w:rsidRPr="00B419CE">
        <w:t xml:space="preserve"> for </w:t>
      </w:r>
      <w:proofErr w:type="spellStart"/>
      <w:r w:rsidRPr="00B419CE">
        <w:t>verksemda</w:t>
      </w:r>
      <w:proofErr w:type="spellEnd"/>
      <w:r w:rsidRPr="00B419CE">
        <w:t xml:space="preserve">. Etaten vil i 2022 </w:t>
      </w:r>
      <w:proofErr w:type="spellStart"/>
      <w:r w:rsidRPr="00B419CE">
        <w:t>difor</w:t>
      </w:r>
      <w:proofErr w:type="spellEnd"/>
      <w:r w:rsidRPr="00B419CE">
        <w:t xml:space="preserve"> </w:t>
      </w:r>
      <w:proofErr w:type="spellStart"/>
      <w:r w:rsidRPr="00B419CE">
        <w:t>styrkje</w:t>
      </w:r>
      <w:proofErr w:type="spellEnd"/>
      <w:r w:rsidRPr="00B419CE">
        <w:t xml:space="preserve"> arbeidet med informasjonstryggleiken i </w:t>
      </w:r>
      <w:proofErr w:type="gramStart"/>
      <w:r w:rsidRPr="00B419CE">
        <w:t>eiga system</w:t>
      </w:r>
      <w:proofErr w:type="gramEnd"/>
      <w:r w:rsidRPr="00B419CE">
        <w:t xml:space="preserve"> for å </w:t>
      </w:r>
      <w:proofErr w:type="spellStart"/>
      <w:r w:rsidRPr="00B419CE">
        <w:t>oppretthalde</w:t>
      </w:r>
      <w:proofErr w:type="spellEnd"/>
      <w:r w:rsidRPr="00B419CE">
        <w:t xml:space="preserve"> stabile og </w:t>
      </w:r>
      <w:proofErr w:type="spellStart"/>
      <w:r w:rsidRPr="00B419CE">
        <w:t>tilstrekkeleg</w:t>
      </w:r>
      <w:proofErr w:type="spellEnd"/>
      <w:r w:rsidRPr="00B419CE">
        <w:t xml:space="preserve"> sikre system.</w:t>
      </w:r>
    </w:p>
    <w:p w14:paraId="59A2F0D2" w14:textId="77777777" w:rsidR="00B419CE" w:rsidRPr="00B419CE" w:rsidRDefault="00B419CE" w:rsidP="00B419CE">
      <w:r w:rsidRPr="00B419CE">
        <w:t xml:space="preserve">Tiltaka er omtalte under kap. 1618 </w:t>
      </w:r>
      <w:r w:rsidRPr="00B419CE">
        <w:rPr>
          <w:rStyle w:val="kursiv"/>
        </w:rPr>
        <w:t>Skatteetaten</w:t>
      </w:r>
      <w:r w:rsidRPr="00B419CE">
        <w:t xml:space="preserve"> òg.</w:t>
      </w:r>
    </w:p>
    <w:p w14:paraId="5AFD97C8" w14:textId="77777777" w:rsidR="00B419CE" w:rsidRPr="00B419CE" w:rsidRDefault="00B419CE" w:rsidP="00B419CE">
      <w:pPr>
        <w:pStyle w:val="avsnitt-undertittel"/>
      </w:pPr>
      <w:r w:rsidRPr="00B419CE">
        <w:t>Tolletaten</w:t>
      </w:r>
    </w:p>
    <w:p w14:paraId="4DB4B849" w14:textId="77777777" w:rsidR="00B419CE" w:rsidRPr="00B419CE" w:rsidRDefault="00B419CE" w:rsidP="00B419CE">
      <w:r w:rsidRPr="00B419CE">
        <w:t xml:space="preserve">Tolletaten har starta arbeidet med å digitalisere </w:t>
      </w:r>
      <w:proofErr w:type="spellStart"/>
      <w:r w:rsidRPr="00B419CE">
        <w:t>systemstøtta</w:t>
      </w:r>
      <w:proofErr w:type="spellEnd"/>
      <w:r w:rsidRPr="00B419CE">
        <w:t xml:space="preserve"> på kontrollområdet og etablere ei ny løysing for deklarering og automatisk fortolling av varer på grensa (ekspressfortolling). </w:t>
      </w:r>
      <w:proofErr w:type="spellStart"/>
      <w:r w:rsidRPr="00B419CE">
        <w:t>Føremålet</w:t>
      </w:r>
      <w:proofErr w:type="spellEnd"/>
      <w:r w:rsidRPr="00B419CE">
        <w:t xml:space="preserve"> er mellom anna å effektivisere </w:t>
      </w:r>
      <w:proofErr w:type="spellStart"/>
      <w:r w:rsidRPr="00B419CE">
        <w:t>oppgåveløysinga</w:t>
      </w:r>
      <w:proofErr w:type="spellEnd"/>
      <w:r w:rsidRPr="00B419CE">
        <w:t xml:space="preserve"> for både næringslivet og Tolletaten. Ekspressfortollingsløysinga vil </w:t>
      </w:r>
      <w:proofErr w:type="spellStart"/>
      <w:r w:rsidRPr="00B419CE">
        <w:t>gje</w:t>
      </w:r>
      <w:proofErr w:type="spellEnd"/>
      <w:r w:rsidRPr="00B419CE">
        <w:t xml:space="preserve"> ei </w:t>
      </w:r>
      <w:proofErr w:type="spellStart"/>
      <w:r w:rsidRPr="00B419CE">
        <w:t>føreseieleg</w:t>
      </w:r>
      <w:proofErr w:type="spellEnd"/>
      <w:r w:rsidRPr="00B419CE">
        <w:t xml:space="preserve"> og smidig grensepassering for næringslivet. For </w:t>
      </w:r>
      <w:proofErr w:type="spellStart"/>
      <w:r w:rsidRPr="00B419CE">
        <w:t>aktørar</w:t>
      </w:r>
      <w:proofErr w:type="spellEnd"/>
      <w:r w:rsidRPr="00B419CE">
        <w:t xml:space="preserve"> som </w:t>
      </w:r>
      <w:proofErr w:type="spellStart"/>
      <w:r w:rsidRPr="00B419CE">
        <w:t>fortollar</w:t>
      </w:r>
      <w:proofErr w:type="spellEnd"/>
      <w:r w:rsidRPr="00B419CE">
        <w:t xml:space="preserve"> på grensa, betyr dette at </w:t>
      </w:r>
      <w:proofErr w:type="spellStart"/>
      <w:r w:rsidRPr="00B419CE">
        <w:t>ein</w:t>
      </w:r>
      <w:proofErr w:type="spellEnd"/>
      <w:r w:rsidRPr="00B419CE">
        <w:t xml:space="preserve">, i normalsituasjonen, slepp å stanse for å få behandla papira sine i ekspedisjonen. </w:t>
      </w:r>
      <w:proofErr w:type="spellStart"/>
      <w:r w:rsidRPr="00B419CE">
        <w:t>Frå</w:t>
      </w:r>
      <w:proofErr w:type="spellEnd"/>
      <w:r w:rsidRPr="00B419CE">
        <w:t xml:space="preserve"> 2018 har det vorte gjennomført </w:t>
      </w:r>
      <w:proofErr w:type="spellStart"/>
      <w:r w:rsidRPr="00B419CE">
        <w:t>eit</w:t>
      </w:r>
      <w:proofErr w:type="spellEnd"/>
      <w:r w:rsidRPr="00B419CE">
        <w:t xml:space="preserve"> forsøksprosjekt med ekspressfortolling på Ørje </w:t>
      </w:r>
      <w:proofErr w:type="spellStart"/>
      <w:r w:rsidRPr="00B419CE">
        <w:t>tollstad</w:t>
      </w:r>
      <w:proofErr w:type="spellEnd"/>
      <w:r w:rsidRPr="00B419CE">
        <w:t xml:space="preserve">. Løysinga vart </w:t>
      </w:r>
      <w:proofErr w:type="spellStart"/>
      <w:r w:rsidRPr="00B419CE">
        <w:t>vidareutvikla</w:t>
      </w:r>
      <w:proofErr w:type="spellEnd"/>
      <w:r w:rsidRPr="00B419CE">
        <w:t xml:space="preserve"> med </w:t>
      </w:r>
      <w:proofErr w:type="spellStart"/>
      <w:r w:rsidRPr="00B419CE">
        <w:t>fleire</w:t>
      </w:r>
      <w:proofErr w:type="spellEnd"/>
      <w:r w:rsidRPr="00B419CE">
        <w:t xml:space="preserve"> </w:t>
      </w:r>
      <w:proofErr w:type="spellStart"/>
      <w:r w:rsidRPr="00B419CE">
        <w:t>prosedyrar</w:t>
      </w:r>
      <w:proofErr w:type="spellEnd"/>
      <w:r w:rsidRPr="00B419CE">
        <w:t xml:space="preserve">, og prøvinga vart utvida til Svinesund i 2020. Prøveprosjektet er evaluert, og </w:t>
      </w:r>
      <w:proofErr w:type="spellStart"/>
      <w:r w:rsidRPr="00B419CE">
        <w:t>ein</w:t>
      </w:r>
      <w:proofErr w:type="spellEnd"/>
      <w:r w:rsidRPr="00B419CE">
        <w:t xml:space="preserve"> </w:t>
      </w:r>
      <w:proofErr w:type="spellStart"/>
      <w:r w:rsidRPr="00B419CE">
        <w:t>vidare</w:t>
      </w:r>
      <w:proofErr w:type="spellEnd"/>
      <w:r w:rsidRPr="00B419CE">
        <w:t xml:space="preserve"> strategi for arbeidet med løysinga er under arbeid.</w:t>
      </w:r>
    </w:p>
    <w:p w14:paraId="290EA030" w14:textId="77777777" w:rsidR="00B419CE" w:rsidRPr="00B419CE" w:rsidRDefault="00B419CE" w:rsidP="00B419CE">
      <w:r w:rsidRPr="00B419CE">
        <w:t xml:space="preserve">Tolletaten </w:t>
      </w:r>
      <w:proofErr w:type="spellStart"/>
      <w:r w:rsidRPr="00B419CE">
        <w:t>vart</w:t>
      </w:r>
      <w:proofErr w:type="spellEnd"/>
      <w:r w:rsidRPr="00B419CE">
        <w:t xml:space="preserve"> omorganisert 1. juni 2019 og består </w:t>
      </w:r>
      <w:proofErr w:type="spellStart"/>
      <w:r w:rsidRPr="00B419CE">
        <w:t>no</w:t>
      </w:r>
      <w:proofErr w:type="spellEnd"/>
      <w:r w:rsidRPr="00B419CE">
        <w:t xml:space="preserve"> av to </w:t>
      </w:r>
      <w:proofErr w:type="spellStart"/>
      <w:r w:rsidRPr="00B419CE">
        <w:t>fagdivisjonar</w:t>
      </w:r>
      <w:proofErr w:type="spellEnd"/>
      <w:r w:rsidRPr="00B419CE">
        <w:t xml:space="preserve"> og </w:t>
      </w:r>
      <w:proofErr w:type="spellStart"/>
      <w:r w:rsidRPr="00B419CE">
        <w:t>eit</w:t>
      </w:r>
      <w:proofErr w:type="spellEnd"/>
      <w:r w:rsidRPr="00B419CE">
        <w:t xml:space="preserve"> direktorat med fire </w:t>
      </w:r>
      <w:proofErr w:type="spellStart"/>
      <w:r w:rsidRPr="00B419CE">
        <w:t>fagdivisjonar</w:t>
      </w:r>
      <w:proofErr w:type="spellEnd"/>
      <w:r w:rsidRPr="00B419CE">
        <w:t xml:space="preserve">. </w:t>
      </w:r>
      <w:proofErr w:type="spellStart"/>
      <w:r w:rsidRPr="00B419CE">
        <w:t>Fagdivisjonane</w:t>
      </w:r>
      <w:proofErr w:type="spellEnd"/>
      <w:r w:rsidRPr="00B419CE">
        <w:t xml:space="preserve"> har ansvar og </w:t>
      </w:r>
      <w:proofErr w:type="spellStart"/>
      <w:r w:rsidRPr="00B419CE">
        <w:t>oppgåver</w:t>
      </w:r>
      <w:proofErr w:type="spellEnd"/>
      <w:r w:rsidRPr="00B419CE">
        <w:t xml:space="preserve"> for heile landet. </w:t>
      </w:r>
      <w:proofErr w:type="spellStart"/>
      <w:r w:rsidRPr="00B419CE">
        <w:t>Tidlegare</w:t>
      </w:r>
      <w:proofErr w:type="spellEnd"/>
      <w:r w:rsidRPr="00B419CE">
        <w:t xml:space="preserve"> var etaten organisert med </w:t>
      </w:r>
      <w:proofErr w:type="spellStart"/>
      <w:r w:rsidRPr="00B419CE">
        <w:t>eit</w:t>
      </w:r>
      <w:proofErr w:type="spellEnd"/>
      <w:r w:rsidRPr="00B419CE">
        <w:t xml:space="preserve"> direktorat og seks </w:t>
      </w:r>
      <w:proofErr w:type="spellStart"/>
      <w:r w:rsidRPr="00B419CE">
        <w:t>underliggjande</w:t>
      </w:r>
      <w:proofErr w:type="spellEnd"/>
      <w:r w:rsidRPr="00B419CE">
        <w:t xml:space="preserve"> </w:t>
      </w:r>
      <w:proofErr w:type="spellStart"/>
      <w:r w:rsidRPr="00B419CE">
        <w:t>tollregionar</w:t>
      </w:r>
      <w:proofErr w:type="spellEnd"/>
      <w:r w:rsidRPr="00B419CE">
        <w:t xml:space="preserve">. Tolletaten har òg innført ny organisering av nivåa under </w:t>
      </w:r>
      <w:proofErr w:type="spellStart"/>
      <w:r w:rsidRPr="00B419CE">
        <w:t>divisjonane</w:t>
      </w:r>
      <w:proofErr w:type="spellEnd"/>
      <w:r w:rsidRPr="00B419CE">
        <w:t xml:space="preserve"> i oktober 2020, og vil </w:t>
      </w:r>
      <w:proofErr w:type="spellStart"/>
      <w:r w:rsidRPr="00B419CE">
        <w:t>halde</w:t>
      </w:r>
      <w:proofErr w:type="spellEnd"/>
      <w:r w:rsidRPr="00B419CE">
        <w:t xml:space="preserve"> fram med å tilpasse organiseringa si til tida og tilhøva.</w:t>
      </w:r>
    </w:p>
    <w:p w14:paraId="312418D8" w14:textId="77777777" w:rsidR="00B419CE" w:rsidRPr="00B419CE" w:rsidRDefault="00B419CE" w:rsidP="00B419CE">
      <w:r w:rsidRPr="00B419CE">
        <w:t xml:space="preserve">Tiltaka er òg omtalte under kap. 1610 </w:t>
      </w:r>
      <w:r w:rsidRPr="00B419CE">
        <w:rPr>
          <w:rStyle w:val="kursiv"/>
        </w:rPr>
        <w:t>Tolletaten</w:t>
      </w:r>
      <w:r w:rsidRPr="00B419CE">
        <w:t>.</w:t>
      </w:r>
    </w:p>
    <w:p w14:paraId="50D9F447" w14:textId="77777777" w:rsidR="00B419CE" w:rsidRPr="00B419CE" w:rsidRDefault="00B419CE" w:rsidP="00B419CE">
      <w:pPr>
        <w:pStyle w:val="avsnitt-undertittel"/>
      </w:pPr>
      <w:r w:rsidRPr="00B419CE">
        <w:t>Direktoratet for forvaltning og økonomistyring</w:t>
      </w:r>
    </w:p>
    <w:p w14:paraId="547D3184" w14:textId="77777777" w:rsidR="00B419CE" w:rsidRPr="00B419CE" w:rsidRDefault="00B419CE" w:rsidP="00B419CE">
      <w:pPr>
        <w:rPr>
          <w:rStyle w:val="kursiv"/>
        </w:rPr>
      </w:pPr>
      <w:r w:rsidRPr="00B419CE">
        <w:rPr>
          <w:rStyle w:val="kursiv"/>
        </w:rPr>
        <w:t>Direktoratet for forvaltning og økonomistyring</w:t>
      </w:r>
      <w:r w:rsidRPr="00B419CE">
        <w:t xml:space="preserve"> (DFØ) legg til rette for effektiv ressursbruk i staten gjennom å levere standardiserte og effektive </w:t>
      </w:r>
      <w:proofErr w:type="spellStart"/>
      <w:r w:rsidRPr="00B419CE">
        <w:t>tenester</w:t>
      </w:r>
      <w:proofErr w:type="spellEnd"/>
      <w:r w:rsidRPr="00B419CE">
        <w:t xml:space="preserve"> til </w:t>
      </w:r>
      <w:proofErr w:type="spellStart"/>
      <w:r w:rsidRPr="00B419CE">
        <w:t>statlege</w:t>
      </w:r>
      <w:proofErr w:type="spellEnd"/>
      <w:r w:rsidRPr="00B419CE">
        <w:t xml:space="preserve"> </w:t>
      </w:r>
      <w:proofErr w:type="spellStart"/>
      <w:r w:rsidRPr="00B419CE">
        <w:t>verksemder</w:t>
      </w:r>
      <w:proofErr w:type="spellEnd"/>
      <w:r w:rsidRPr="00B419CE">
        <w:t xml:space="preserve">. </w:t>
      </w:r>
      <w:proofErr w:type="spellStart"/>
      <w:r w:rsidRPr="00B419CE">
        <w:t>Gjentekne</w:t>
      </w:r>
      <w:proofErr w:type="spellEnd"/>
      <w:r w:rsidRPr="00B419CE">
        <w:t xml:space="preserve">, regelbaserte </w:t>
      </w:r>
      <w:proofErr w:type="spellStart"/>
      <w:r w:rsidRPr="00B419CE">
        <w:t>oppgåver</w:t>
      </w:r>
      <w:proofErr w:type="spellEnd"/>
      <w:r w:rsidRPr="00B419CE">
        <w:t xml:space="preserve"> med store volum </w:t>
      </w:r>
      <w:proofErr w:type="spellStart"/>
      <w:r w:rsidRPr="00B419CE">
        <w:t>gjer</w:t>
      </w:r>
      <w:proofErr w:type="spellEnd"/>
      <w:r w:rsidRPr="00B419CE">
        <w:t xml:space="preserve"> slike </w:t>
      </w:r>
      <w:proofErr w:type="spellStart"/>
      <w:r w:rsidRPr="00B419CE">
        <w:t>tenester</w:t>
      </w:r>
      <w:proofErr w:type="spellEnd"/>
      <w:r w:rsidRPr="00B419CE">
        <w:t xml:space="preserve"> godt eigna for digitalisering og automatisering, og DFØ har </w:t>
      </w:r>
      <w:proofErr w:type="spellStart"/>
      <w:r w:rsidRPr="00B419CE">
        <w:t>arbeidd</w:t>
      </w:r>
      <w:proofErr w:type="spellEnd"/>
      <w:r w:rsidRPr="00B419CE">
        <w:t xml:space="preserve"> målretta med dette i </w:t>
      </w:r>
      <w:proofErr w:type="spellStart"/>
      <w:r w:rsidRPr="00B419CE">
        <w:t>fleire</w:t>
      </w:r>
      <w:proofErr w:type="spellEnd"/>
      <w:r w:rsidRPr="00B419CE">
        <w:t xml:space="preserve"> år. Den stendige utviklinga av </w:t>
      </w:r>
      <w:proofErr w:type="spellStart"/>
      <w:r w:rsidRPr="00B419CE">
        <w:t>tenestene</w:t>
      </w:r>
      <w:proofErr w:type="spellEnd"/>
      <w:r w:rsidRPr="00B419CE">
        <w:t xml:space="preserve"> </w:t>
      </w:r>
      <w:proofErr w:type="spellStart"/>
      <w:r w:rsidRPr="00B419CE">
        <w:t>bidreg</w:t>
      </w:r>
      <w:proofErr w:type="spellEnd"/>
      <w:r w:rsidRPr="00B419CE">
        <w:t xml:space="preserve"> både til effektivisering av arbeidet og </w:t>
      </w:r>
      <w:proofErr w:type="spellStart"/>
      <w:r w:rsidRPr="00B419CE">
        <w:t>auka</w:t>
      </w:r>
      <w:proofErr w:type="spellEnd"/>
      <w:r w:rsidRPr="00B419CE">
        <w:t xml:space="preserve"> kvalitet på </w:t>
      </w:r>
      <w:proofErr w:type="spellStart"/>
      <w:r w:rsidRPr="00B419CE">
        <w:t>prosessane</w:t>
      </w:r>
      <w:proofErr w:type="spellEnd"/>
      <w:r w:rsidRPr="00B419CE">
        <w:t>.</w:t>
      </w:r>
    </w:p>
    <w:p w14:paraId="61E17A1B" w14:textId="77777777" w:rsidR="00B419CE" w:rsidRPr="00B419CE" w:rsidRDefault="00B419CE" w:rsidP="00B419CE">
      <w:r w:rsidRPr="00B419CE">
        <w:t xml:space="preserve">Direktoratet </w:t>
      </w:r>
      <w:proofErr w:type="spellStart"/>
      <w:r w:rsidRPr="00B419CE">
        <w:t>bidreg</w:t>
      </w:r>
      <w:proofErr w:type="spellEnd"/>
      <w:r w:rsidRPr="00B419CE">
        <w:t xml:space="preserve"> òg til at staten får </w:t>
      </w:r>
      <w:proofErr w:type="spellStart"/>
      <w:r w:rsidRPr="00B419CE">
        <w:t>lågare</w:t>
      </w:r>
      <w:proofErr w:type="spellEnd"/>
      <w:r w:rsidRPr="00B419CE">
        <w:t xml:space="preserve"> investerings- og driftskostnader ved å kjøpe </w:t>
      </w:r>
      <w:proofErr w:type="spellStart"/>
      <w:r w:rsidRPr="00B419CE">
        <w:t>løysingar</w:t>
      </w:r>
      <w:proofErr w:type="spellEnd"/>
      <w:r w:rsidRPr="00B419CE">
        <w:t xml:space="preserve"> som mange </w:t>
      </w:r>
      <w:proofErr w:type="spellStart"/>
      <w:r w:rsidRPr="00B419CE">
        <w:t>kundar</w:t>
      </w:r>
      <w:proofErr w:type="spellEnd"/>
      <w:r w:rsidRPr="00B419CE">
        <w:t xml:space="preserve"> kan nytte. </w:t>
      </w:r>
      <w:proofErr w:type="spellStart"/>
      <w:r w:rsidRPr="00B419CE">
        <w:t>Fleire</w:t>
      </w:r>
      <w:proofErr w:type="spellEnd"/>
      <w:r w:rsidRPr="00B419CE">
        <w:t xml:space="preserve"> store og komplekse </w:t>
      </w:r>
      <w:proofErr w:type="spellStart"/>
      <w:r w:rsidRPr="00B419CE">
        <w:t>verksemder</w:t>
      </w:r>
      <w:proofErr w:type="spellEnd"/>
      <w:r w:rsidRPr="00B419CE">
        <w:t xml:space="preserve"> skal </w:t>
      </w:r>
      <w:proofErr w:type="spellStart"/>
      <w:r w:rsidRPr="00B419CE">
        <w:t>verte</w:t>
      </w:r>
      <w:proofErr w:type="spellEnd"/>
      <w:r w:rsidRPr="00B419CE">
        <w:t xml:space="preserve"> </w:t>
      </w:r>
      <w:proofErr w:type="spellStart"/>
      <w:r w:rsidRPr="00B419CE">
        <w:t>kundar</w:t>
      </w:r>
      <w:proofErr w:type="spellEnd"/>
      <w:r w:rsidRPr="00B419CE">
        <w:t xml:space="preserve"> av DFØ. Universiteta i Bergen og Oslo vart </w:t>
      </w:r>
      <w:proofErr w:type="spellStart"/>
      <w:r w:rsidRPr="00B419CE">
        <w:t>kundar</w:t>
      </w:r>
      <w:proofErr w:type="spellEnd"/>
      <w:r w:rsidRPr="00B419CE">
        <w:t xml:space="preserve"> av DFØ i 2021, og universiteta i Trondheim og Tromsø vert etter planen </w:t>
      </w:r>
      <w:proofErr w:type="spellStart"/>
      <w:r w:rsidRPr="00B419CE">
        <w:t>løns</w:t>
      </w:r>
      <w:proofErr w:type="spellEnd"/>
      <w:r w:rsidRPr="00B419CE">
        <w:t xml:space="preserve">- og </w:t>
      </w:r>
      <w:proofErr w:type="spellStart"/>
      <w:r w:rsidRPr="00B419CE">
        <w:t>rekneskapskundar</w:t>
      </w:r>
      <w:proofErr w:type="spellEnd"/>
      <w:r w:rsidRPr="00B419CE">
        <w:t xml:space="preserve"> av DFØ </w:t>
      </w:r>
      <w:proofErr w:type="spellStart"/>
      <w:r w:rsidRPr="00B419CE">
        <w:t>frå</w:t>
      </w:r>
      <w:proofErr w:type="spellEnd"/>
      <w:r w:rsidRPr="00B419CE">
        <w:t xml:space="preserve"> 2022. Dei store </w:t>
      </w:r>
      <w:proofErr w:type="spellStart"/>
      <w:r w:rsidRPr="00B419CE">
        <w:t>verksemdene</w:t>
      </w:r>
      <w:proofErr w:type="spellEnd"/>
      <w:r w:rsidRPr="00B419CE">
        <w:t xml:space="preserve"> er sterkt delaktige i utviklinga av nye </w:t>
      </w:r>
      <w:proofErr w:type="spellStart"/>
      <w:r w:rsidRPr="00B419CE">
        <w:t>løysingar</w:t>
      </w:r>
      <w:proofErr w:type="spellEnd"/>
      <w:r w:rsidRPr="00B419CE">
        <w:t xml:space="preserve"> som òg resten av staten kan nytte.</w:t>
      </w:r>
    </w:p>
    <w:p w14:paraId="22163FE4" w14:textId="77777777" w:rsidR="00B419CE" w:rsidRPr="00B419CE" w:rsidRDefault="00B419CE" w:rsidP="00B419CE">
      <w:r w:rsidRPr="00B419CE">
        <w:t xml:space="preserve">Regjeringa har òg starta arbeidet med å utvikle DFØ til </w:t>
      </w:r>
      <w:proofErr w:type="spellStart"/>
      <w:r w:rsidRPr="00B419CE">
        <w:t>eit</w:t>
      </w:r>
      <w:proofErr w:type="spellEnd"/>
      <w:r w:rsidRPr="00B419CE">
        <w:t xml:space="preserve"> kompetansesenter for </w:t>
      </w:r>
      <w:proofErr w:type="spellStart"/>
      <w:r w:rsidRPr="00B419CE">
        <w:t>offentleg</w:t>
      </w:r>
      <w:proofErr w:type="spellEnd"/>
      <w:r w:rsidRPr="00B419CE">
        <w:t xml:space="preserve"> ressursbruk for å </w:t>
      </w:r>
      <w:proofErr w:type="spellStart"/>
      <w:r w:rsidRPr="00B419CE">
        <w:t>styrkje</w:t>
      </w:r>
      <w:proofErr w:type="spellEnd"/>
      <w:r w:rsidRPr="00B419CE">
        <w:t xml:space="preserve"> </w:t>
      </w:r>
      <w:proofErr w:type="spellStart"/>
      <w:r w:rsidRPr="00B419CE">
        <w:t>merksemda</w:t>
      </w:r>
      <w:proofErr w:type="spellEnd"/>
      <w:r w:rsidRPr="00B419CE">
        <w:t xml:space="preserve"> og kompetansen på effektiv ressursbruk i </w:t>
      </w:r>
      <w:r w:rsidRPr="00B419CE">
        <w:lastRenderedPageBreak/>
        <w:t xml:space="preserve">forvaltninga. DFØ </w:t>
      </w:r>
      <w:proofErr w:type="spellStart"/>
      <w:r w:rsidRPr="00B419CE">
        <w:t>vart</w:t>
      </w:r>
      <w:proofErr w:type="spellEnd"/>
      <w:r w:rsidRPr="00B419CE">
        <w:t xml:space="preserve"> omorganisert i 2020. </w:t>
      </w:r>
      <w:proofErr w:type="spellStart"/>
      <w:r w:rsidRPr="00B419CE">
        <w:t>Frå</w:t>
      </w:r>
      <w:proofErr w:type="spellEnd"/>
      <w:r w:rsidRPr="00B419CE">
        <w:t xml:space="preserve"> 1. januar 2020 vart fagområda til avdelinga for leiing og avdelinga for utgreiing og analyse i </w:t>
      </w:r>
      <w:r w:rsidRPr="00B419CE">
        <w:rPr>
          <w:rStyle w:val="kursiv"/>
        </w:rPr>
        <w:t>Digitaliseringsdirektoratet</w:t>
      </w:r>
      <w:r w:rsidRPr="00B419CE">
        <w:t xml:space="preserve"> (</w:t>
      </w:r>
      <w:proofErr w:type="spellStart"/>
      <w:r w:rsidRPr="00B419CE">
        <w:t>tidlegare</w:t>
      </w:r>
      <w:proofErr w:type="spellEnd"/>
      <w:r w:rsidRPr="00B419CE">
        <w:t xml:space="preserve"> </w:t>
      </w:r>
      <w:proofErr w:type="spellStart"/>
      <w:r w:rsidRPr="00B419CE">
        <w:t>Difi</w:t>
      </w:r>
      <w:proofErr w:type="spellEnd"/>
      <w:r w:rsidRPr="00B419CE">
        <w:t xml:space="preserve">) flytta til DFØ. I andre halvår 2020 vart òg fagområdet innkjøp flytta </w:t>
      </w:r>
      <w:proofErr w:type="spellStart"/>
      <w:r w:rsidRPr="00B419CE">
        <w:t>frå</w:t>
      </w:r>
      <w:proofErr w:type="spellEnd"/>
      <w:r w:rsidRPr="00B419CE">
        <w:t xml:space="preserve"> </w:t>
      </w:r>
      <w:r w:rsidRPr="00B419CE">
        <w:rPr>
          <w:rStyle w:val="kursiv"/>
        </w:rPr>
        <w:t>Digitaliseringsdirektoratet</w:t>
      </w:r>
      <w:r w:rsidRPr="00B419CE">
        <w:t xml:space="preserve"> til DFØ. Ved å flytte </w:t>
      </w:r>
      <w:proofErr w:type="spellStart"/>
      <w:r w:rsidRPr="00B419CE">
        <w:t>desse</w:t>
      </w:r>
      <w:proofErr w:type="spellEnd"/>
      <w:r w:rsidRPr="00B419CE">
        <w:t xml:space="preserve"> fagområda vert fagområda økonomi, innkjøp, styring, leiing og organisering samla i DFØ. Dette </w:t>
      </w:r>
      <w:proofErr w:type="spellStart"/>
      <w:r w:rsidRPr="00B419CE">
        <w:t>legg</w:t>
      </w:r>
      <w:proofErr w:type="spellEnd"/>
      <w:r w:rsidRPr="00B419CE">
        <w:t xml:space="preserve"> til rette for ei </w:t>
      </w:r>
      <w:proofErr w:type="spellStart"/>
      <w:r w:rsidRPr="00B419CE">
        <w:t>meir</w:t>
      </w:r>
      <w:proofErr w:type="spellEnd"/>
      <w:r w:rsidRPr="00B419CE">
        <w:t xml:space="preserve"> samordna utvikling av </w:t>
      </w:r>
      <w:proofErr w:type="spellStart"/>
      <w:r w:rsidRPr="00B419CE">
        <w:t>desse</w:t>
      </w:r>
      <w:proofErr w:type="spellEnd"/>
      <w:r w:rsidRPr="00B419CE">
        <w:t xml:space="preserve"> områda, og at </w:t>
      </w:r>
      <w:proofErr w:type="spellStart"/>
      <w:r w:rsidRPr="00B419CE">
        <w:t>statlege</w:t>
      </w:r>
      <w:proofErr w:type="spellEnd"/>
      <w:r w:rsidRPr="00B419CE">
        <w:t xml:space="preserve"> </w:t>
      </w:r>
      <w:proofErr w:type="spellStart"/>
      <w:r w:rsidRPr="00B419CE">
        <w:t>verksemder</w:t>
      </w:r>
      <w:proofErr w:type="spellEnd"/>
      <w:r w:rsidRPr="00B419CE">
        <w:t xml:space="preserve"> kan få betre og </w:t>
      </w:r>
      <w:proofErr w:type="spellStart"/>
      <w:r w:rsidRPr="00B419CE">
        <w:t>meir</w:t>
      </w:r>
      <w:proofErr w:type="spellEnd"/>
      <w:r w:rsidRPr="00B419CE">
        <w:t xml:space="preserve"> </w:t>
      </w:r>
      <w:proofErr w:type="spellStart"/>
      <w:r w:rsidRPr="00B419CE">
        <w:t>heilskaplege</w:t>
      </w:r>
      <w:proofErr w:type="spellEnd"/>
      <w:r w:rsidRPr="00B419CE">
        <w:t xml:space="preserve"> </w:t>
      </w:r>
      <w:proofErr w:type="spellStart"/>
      <w:r w:rsidRPr="00B419CE">
        <w:t>tenester</w:t>
      </w:r>
      <w:proofErr w:type="spellEnd"/>
      <w:r w:rsidRPr="00B419CE">
        <w:t xml:space="preserve"> enn før.</w:t>
      </w:r>
    </w:p>
    <w:p w14:paraId="4A9DDEC0" w14:textId="77777777" w:rsidR="00B419CE" w:rsidRPr="00B419CE" w:rsidRDefault="00B419CE" w:rsidP="00B419CE">
      <w:pPr>
        <w:pStyle w:val="avsnitt-undertittel"/>
      </w:pPr>
      <w:r w:rsidRPr="00B419CE">
        <w:t>Finansområdet</w:t>
      </w:r>
    </w:p>
    <w:p w14:paraId="25774C2F" w14:textId="77777777" w:rsidR="00B419CE" w:rsidRPr="00B419CE" w:rsidRDefault="00B419CE" w:rsidP="00B419CE">
      <w:r w:rsidRPr="00B419CE">
        <w:t xml:space="preserve">Regjeringa har sett ned </w:t>
      </w:r>
      <w:proofErr w:type="spellStart"/>
      <w:r w:rsidRPr="00B419CE">
        <w:t>eit</w:t>
      </w:r>
      <w:proofErr w:type="spellEnd"/>
      <w:r w:rsidRPr="00B419CE">
        <w:t xml:space="preserve"> </w:t>
      </w:r>
      <w:proofErr w:type="spellStart"/>
      <w:r w:rsidRPr="00B419CE">
        <w:t>utval</w:t>
      </w:r>
      <w:proofErr w:type="spellEnd"/>
      <w:r w:rsidRPr="00B419CE">
        <w:t xml:space="preserve"> som skal gå gjennom </w:t>
      </w:r>
      <w:proofErr w:type="spellStart"/>
      <w:r w:rsidRPr="00B419CE">
        <w:t>verksemda</w:t>
      </w:r>
      <w:proofErr w:type="spellEnd"/>
      <w:r w:rsidRPr="00B419CE">
        <w:t xml:space="preserve"> til Finanstilsynet og utarbeide utkast til ei ny finanstilsynslov, som reflekterer utviklinga i regelverk og i tilsynsomfang og -metodikk.</w:t>
      </w:r>
    </w:p>
    <w:p w14:paraId="6CB27825" w14:textId="77777777" w:rsidR="00B419CE" w:rsidRPr="00B419CE" w:rsidRDefault="00B419CE" w:rsidP="00B419CE">
      <w:r w:rsidRPr="00B419CE">
        <w:t xml:space="preserve">Elles </w:t>
      </w:r>
      <w:proofErr w:type="spellStart"/>
      <w:r w:rsidRPr="00B419CE">
        <w:t>ventar</w:t>
      </w:r>
      <w:proofErr w:type="spellEnd"/>
      <w:r w:rsidRPr="00B419CE">
        <w:t xml:space="preserve"> tilsynet fortsatt </w:t>
      </w:r>
      <w:proofErr w:type="spellStart"/>
      <w:r w:rsidRPr="00B419CE">
        <w:t>auke</w:t>
      </w:r>
      <w:proofErr w:type="spellEnd"/>
      <w:r w:rsidRPr="00B419CE">
        <w:t xml:space="preserve"> i </w:t>
      </w:r>
      <w:proofErr w:type="spellStart"/>
      <w:r w:rsidRPr="00B419CE">
        <w:t>oppgåver</w:t>
      </w:r>
      <w:proofErr w:type="spellEnd"/>
      <w:r w:rsidRPr="00B419CE">
        <w:t xml:space="preserve">. </w:t>
      </w:r>
      <w:proofErr w:type="spellStart"/>
      <w:r w:rsidRPr="00B419CE">
        <w:t>Særleg</w:t>
      </w:r>
      <w:proofErr w:type="spellEnd"/>
      <w:r w:rsidRPr="00B419CE">
        <w:t xml:space="preserve"> </w:t>
      </w:r>
      <w:proofErr w:type="spellStart"/>
      <w:r w:rsidRPr="00B419CE">
        <w:t>omfattande</w:t>
      </w:r>
      <w:proofErr w:type="spellEnd"/>
      <w:r w:rsidRPr="00B419CE">
        <w:t xml:space="preserve"> regelverksutvikling i EU </w:t>
      </w:r>
      <w:proofErr w:type="spellStart"/>
      <w:r w:rsidRPr="00B419CE">
        <w:t>gjer</w:t>
      </w:r>
      <w:proofErr w:type="spellEnd"/>
      <w:r w:rsidRPr="00B419CE">
        <w:t xml:space="preserve"> at tilsynet må bruke </w:t>
      </w:r>
      <w:proofErr w:type="spellStart"/>
      <w:r w:rsidRPr="00B419CE">
        <w:t>betydelege</w:t>
      </w:r>
      <w:proofErr w:type="spellEnd"/>
      <w:r w:rsidRPr="00B419CE">
        <w:t xml:space="preserve"> </w:t>
      </w:r>
      <w:proofErr w:type="spellStart"/>
      <w:r w:rsidRPr="00B419CE">
        <w:t>ressursar</w:t>
      </w:r>
      <w:proofErr w:type="spellEnd"/>
      <w:r w:rsidRPr="00B419CE">
        <w:t xml:space="preserve"> på å utvikle </w:t>
      </w:r>
      <w:proofErr w:type="spellStart"/>
      <w:r w:rsidRPr="00B419CE">
        <w:t>tilsvarande</w:t>
      </w:r>
      <w:proofErr w:type="spellEnd"/>
      <w:r w:rsidRPr="00B419CE">
        <w:t xml:space="preserve"> norsk regelverk. </w:t>
      </w:r>
      <w:proofErr w:type="spellStart"/>
      <w:r w:rsidRPr="00B419CE">
        <w:t>Vidare</w:t>
      </w:r>
      <w:proofErr w:type="spellEnd"/>
      <w:r w:rsidRPr="00B419CE">
        <w:t xml:space="preserve"> </w:t>
      </w:r>
      <w:proofErr w:type="spellStart"/>
      <w:r w:rsidRPr="00B419CE">
        <w:t>auke</w:t>
      </w:r>
      <w:proofErr w:type="spellEnd"/>
      <w:r w:rsidRPr="00B419CE">
        <w:t xml:space="preserve"> i Finanstilsynets </w:t>
      </w:r>
      <w:proofErr w:type="spellStart"/>
      <w:r w:rsidRPr="00B419CE">
        <w:t>oppgåver</w:t>
      </w:r>
      <w:proofErr w:type="spellEnd"/>
      <w:r w:rsidRPr="00B419CE">
        <w:t xml:space="preserve"> </w:t>
      </w:r>
      <w:proofErr w:type="spellStart"/>
      <w:r w:rsidRPr="00B419CE">
        <w:t>skjerpar</w:t>
      </w:r>
      <w:proofErr w:type="spellEnd"/>
      <w:r w:rsidRPr="00B419CE">
        <w:t xml:space="preserve"> kravet til effektiv utnytting av tilsynet sine </w:t>
      </w:r>
      <w:proofErr w:type="spellStart"/>
      <w:r w:rsidRPr="00B419CE">
        <w:t>ressursar</w:t>
      </w:r>
      <w:proofErr w:type="spellEnd"/>
      <w:r w:rsidRPr="00B419CE">
        <w:t xml:space="preserve"> og til prioritering av innsatsen på </w:t>
      </w:r>
      <w:proofErr w:type="spellStart"/>
      <w:r w:rsidRPr="00B419CE">
        <w:t>dei</w:t>
      </w:r>
      <w:proofErr w:type="spellEnd"/>
      <w:r w:rsidRPr="00B419CE">
        <w:t xml:space="preserve"> ulike tilsynsområda. Redusert saksbehandlingstid gjennom systematisk </w:t>
      </w:r>
      <w:proofErr w:type="spellStart"/>
      <w:r w:rsidRPr="00B419CE">
        <w:t>forbetring</w:t>
      </w:r>
      <w:proofErr w:type="spellEnd"/>
      <w:r w:rsidRPr="00B419CE">
        <w:t xml:space="preserve"> av interne </w:t>
      </w:r>
      <w:proofErr w:type="spellStart"/>
      <w:r w:rsidRPr="00B419CE">
        <w:t>arbeidsprosessar</w:t>
      </w:r>
      <w:proofErr w:type="spellEnd"/>
      <w:r w:rsidRPr="00B419CE">
        <w:t xml:space="preserve">, samstundes som eksterne og interne kvalitetskrav skal </w:t>
      </w:r>
      <w:proofErr w:type="spellStart"/>
      <w:r w:rsidRPr="00B419CE">
        <w:t>møtast</w:t>
      </w:r>
      <w:proofErr w:type="spellEnd"/>
      <w:r w:rsidRPr="00B419CE">
        <w:t>, er sentralt.</w:t>
      </w:r>
    </w:p>
    <w:p w14:paraId="15B811D0" w14:textId="77777777" w:rsidR="00B419CE" w:rsidRPr="00B419CE" w:rsidRDefault="00B419CE" w:rsidP="00B419CE">
      <w:r w:rsidRPr="00B419CE">
        <w:t xml:space="preserve">Finanstilsynet har i </w:t>
      </w:r>
      <w:proofErr w:type="spellStart"/>
      <w:r w:rsidRPr="00B419CE">
        <w:t>fleire</w:t>
      </w:r>
      <w:proofErr w:type="spellEnd"/>
      <w:r w:rsidRPr="00B419CE">
        <w:t xml:space="preserve"> år gjennomført tiltak som har </w:t>
      </w:r>
      <w:proofErr w:type="spellStart"/>
      <w:r w:rsidRPr="00B419CE">
        <w:t>auka</w:t>
      </w:r>
      <w:proofErr w:type="spellEnd"/>
      <w:r w:rsidRPr="00B419CE">
        <w:t xml:space="preserve"> kvaliteten på data og effektivisert og forenkla </w:t>
      </w:r>
      <w:proofErr w:type="spellStart"/>
      <w:r w:rsidRPr="00B419CE">
        <w:t>verksemda</w:t>
      </w:r>
      <w:proofErr w:type="spellEnd"/>
      <w:r w:rsidRPr="00B419CE">
        <w:t xml:space="preserve">. I 2019 fastsette tilsynet </w:t>
      </w:r>
      <w:proofErr w:type="spellStart"/>
      <w:r w:rsidRPr="00B419CE">
        <w:t>ein</w:t>
      </w:r>
      <w:proofErr w:type="spellEnd"/>
      <w:r w:rsidRPr="00B419CE">
        <w:t xml:space="preserve"> digitaliseringsstrategi for perioden 2019–2022. Strategien </w:t>
      </w:r>
      <w:proofErr w:type="spellStart"/>
      <w:r w:rsidRPr="00B419CE">
        <w:t>inneheld</w:t>
      </w:r>
      <w:proofErr w:type="spellEnd"/>
      <w:r w:rsidRPr="00B419CE">
        <w:t xml:space="preserve"> mål, prinsipp og planar for digitaliseringsarbeid i tilsynet.</w:t>
      </w:r>
    </w:p>
    <w:p w14:paraId="51902178" w14:textId="77777777" w:rsidR="00B419CE" w:rsidRPr="00B419CE" w:rsidRDefault="00B419CE" w:rsidP="00B419CE">
      <w:proofErr w:type="spellStart"/>
      <w:r w:rsidRPr="00B419CE">
        <w:t>Frå</w:t>
      </w:r>
      <w:proofErr w:type="spellEnd"/>
      <w:r w:rsidRPr="00B419CE">
        <w:t xml:space="preserve"> 2022 skal Finanstilsynet trappe opp digitaliseringsarbeidet. Satsinga som er </w:t>
      </w:r>
      <w:proofErr w:type="spellStart"/>
      <w:r w:rsidRPr="00B419CE">
        <w:t>føresett</w:t>
      </w:r>
      <w:proofErr w:type="spellEnd"/>
      <w:r w:rsidRPr="00B419CE">
        <w:t xml:space="preserve"> å vare i fem år, vert retta inn mot automatisering av </w:t>
      </w:r>
      <w:proofErr w:type="spellStart"/>
      <w:r w:rsidRPr="00B419CE">
        <w:t>forvaltningsoppgåver</w:t>
      </w:r>
      <w:proofErr w:type="spellEnd"/>
      <w:r w:rsidRPr="00B419CE">
        <w:t xml:space="preserve">, digitalisering av </w:t>
      </w:r>
      <w:proofErr w:type="spellStart"/>
      <w:r w:rsidRPr="00B419CE">
        <w:t>tilsynsprosessar</w:t>
      </w:r>
      <w:proofErr w:type="spellEnd"/>
      <w:r w:rsidRPr="00B419CE">
        <w:t xml:space="preserve">, </w:t>
      </w:r>
      <w:proofErr w:type="spellStart"/>
      <w:r w:rsidRPr="00B419CE">
        <w:t>meir</w:t>
      </w:r>
      <w:proofErr w:type="spellEnd"/>
      <w:r w:rsidRPr="00B419CE">
        <w:t xml:space="preserve"> effektiv rapportering og datafangst, betre </w:t>
      </w:r>
      <w:proofErr w:type="spellStart"/>
      <w:r w:rsidRPr="00B419CE">
        <w:t>analyseløysingar</w:t>
      </w:r>
      <w:proofErr w:type="spellEnd"/>
      <w:r w:rsidRPr="00B419CE">
        <w:t xml:space="preserve"> og </w:t>
      </w:r>
      <w:proofErr w:type="spellStart"/>
      <w:r w:rsidRPr="00B419CE">
        <w:t>auka</w:t>
      </w:r>
      <w:proofErr w:type="spellEnd"/>
      <w:r w:rsidRPr="00B419CE">
        <w:t xml:space="preserve"> deling av data. Tilsynet vil mellom anna ta i bruk kunstig intelligens på innsamla data for å </w:t>
      </w:r>
      <w:proofErr w:type="spellStart"/>
      <w:r w:rsidRPr="00B419CE">
        <w:t>avdekkje</w:t>
      </w:r>
      <w:proofErr w:type="spellEnd"/>
      <w:r w:rsidRPr="00B419CE">
        <w:t xml:space="preserve"> mønster og </w:t>
      </w:r>
      <w:proofErr w:type="spellStart"/>
      <w:r w:rsidRPr="00B419CE">
        <w:t>ulovleg</w:t>
      </w:r>
      <w:proofErr w:type="spellEnd"/>
      <w:r w:rsidRPr="00B419CE">
        <w:t xml:space="preserve"> aktivitet i </w:t>
      </w:r>
      <w:proofErr w:type="spellStart"/>
      <w:r w:rsidRPr="00B419CE">
        <w:t>verdipapirmarknaden</w:t>
      </w:r>
      <w:proofErr w:type="spellEnd"/>
      <w:r w:rsidRPr="00B419CE">
        <w:t xml:space="preserve">. Det vil òg </w:t>
      </w:r>
      <w:proofErr w:type="spellStart"/>
      <w:r w:rsidRPr="00B419CE">
        <w:t>auke</w:t>
      </w:r>
      <w:proofErr w:type="spellEnd"/>
      <w:r w:rsidRPr="00B419CE">
        <w:t xml:space="preserve"> den maskinelle behandlinga og kontrollen med dokument og lydfiler.</w:t>
      </w:r>
    </w:p>
    <w:p w14:paraId="2160C852" w14:textId="77777777" w:rsidR="00B419CE" w:rsidRPr="00B419CE" w:rsidRDefault="00B419CE" w:rsidP="00B419CE">
      <w:pPr>
        <w:pStyle w:val="avsnitt-undertittel"/>
      </w:pPr>
      <w:r w:rsidRPr="00B419CE">
        <w:t>Modernisering av statistikkproduksjonen</w:t>
      </w:r>
    </w:p>
    <w:p w14:paraId="18F1AF75" w14:textId="77777777" w:rsidR="00B419CE" w:rsidRPr="00B419CE" w:rsidRDefault="00B419CE" w:rsidP="00B419CE">
      <w:r w:rsidRPr="00B419CE">
        <w:t xml:space="preserve">Ny statistikklov tredde i kraft 1. januar 2021. Statistisk sentralbyrå (SSB) må </w:t>
      </w:r>
      <w:proofErr w:type="spellStart"/>
      <w:r w:rsidRPr="00B419CE">
        <w:t>framleis</w:t>
      </w:r>
      <w:proofErr w:type="spellEnd"/>
      <w:r w:rsidRPr="00B419CE">
        <w:t xml:space="preserve"> arbeide med implementering av nytt regelverk. Med den nye lova har SSB fått ei ny rolle som sentral </w:t>
      </w:r>
      <w:proofErr w:type="spellStart"/>
      <w:r w:rsidRPr="00B419CE">
        <w:t>myndigheit</w:t>
      </w:r>
      <w:proofErr w:type="spellEnd"/>
      <w:r w:rsidRPr="00B419CE">
        <w:t xml:space="preserve"> for utarbeiding, utvikling og formidling av offisiell statistikk, og må ta ei større rolle som </w:t>
      </w:r>
      <w:proofErr w:type="spellStart"/>
      <w:r w:rsidRPr="00B419CE">
        <w:t>samordnar</w:t>
      </w:r>
      <w:proofErr w:type="spellEnd"/>
      <w:r w:rsidRPr="00B419CE">
        <w:t xml:space="preserve"> og </w:t>
      </w:r>
      <w:proofErr w:type="spellStart"/>
      <w:r w:rsidRPr="00B419CE">
        <w:t>kvalitetssikrar</w:t>
      </w:r>
      <w:proofErr w:type="spellEnd"/>
      <w:r w:rsidRPr="00B419CE">
        <w:t xml:space="preserve"> av statistikk </w:t>
      </w:r>
      <w:proofErr w:type="spellStart"/>
      <w:r w:rsidRPr="00B419CE">
        <w:t>frå</w:t>
      </w:r>
      <w:proofErr w:type="spellEnd"/>
      <w:r w:rsidRPr="00B419CE">
        <w:t xml:space="preserve"> alle </w:t>
      </w:r>
      <w:proofErr w:type="spellStart"/>
      <w:r w:rsidRPr="00B419CE">
        <w:t>produsentane</w:t>
      </w:r>
      <w:proofErr w:type="spellEnd"/>
      <w:r w:rsidRPr="00B419CE">
        <w:t xml:space="preserve"> i det norske statistikksystemet. Dette vil </w:t>
      </w:r>
      <w:proofErr w:type="spellStart"/>
      <w:r w:rsidRPr="00B419CE">
        <w:t>vere</w:t>
      </w:r>
      <w:proofErr w:type="spellEnd"/>
      <w:r w:rsidRPr="00B419CE">
        <w:t xml:space="preserve"> ei viktig </w:t>
      </w:r>
      <w:proofErr w:type="spellStart"/>
      <w:r w:rsidRPr="00B419CE">
        <w:t>oppgåve</w:t>
      </w:r>
      <w:proofErr w:type="spellEnd"/>
      <w:r w:rsidRPr="00B419CE">
        <w:t xml:space="preserve"> framover.</w:t>
      </w:r>
    </w:p>
    <w:p w14:paraId="0AE4E1CA" w14:textId="77777777" w:rsidR="00B419CE" w:rsidRPr="00B419CE" w:rsidRDefault="00B419CE" w:rsidP="00B419CE">
      <w:r w:rsidRPr="00B419CE">
        <w:t xml:space="preserve">Det er </w:t>
      </w:r>
      <w:proofErr w:type="spellStart"/>
      <w:r w:rsidRPr="00B419CE">
        <w:t>vedteke</w:t>
      </w:r>
      <w:proofErr w:type="spellEnd"/>
      <w:r w:rsidRPr="00B419CE">
        <w:t xml:space="preserve"> </w:t>
      </w:r>
      <w:proofErr w:type="spellStart"/>
      <w:r w:rsidRPr="00B419CE">
        <w:t>eit</w:t>
      </w:r>
      <w:proofErr w:type="spellEnd"/>
      <w:r w:rsidRPr="00B419CE">
        <w:t xml:space="preserve"> nasjonalt program for offisiell statistikk for 2021 til 2023. Fyrste program gjeld </w:t>
      </w:r>
      <w:proofErr w:type="spellStart"/>
      <w:r w:rsidRPr="00B419CE">
        <w:t>ein</w:t>
      </w:r>
      <w:proofErr w:type="spellEnd"/>
      <w:r w:rsidRPr="00B419CE">
        <w:t xml:space="preserve"> kort periode, og SSB må i 2022 starte arbeidet med å utarbeide forslag til program for neste programperiode. Forslaget skal </w:t>
      </w:r>
      <w:proofErr w:type="spellStart"/>
      <w:r w:rsidRPr="00B419CE">
        <w:t>fremjast</w:t>
      </w:r>
      <w:proofErr w:type="spellEnd"/>
      <w:r w:rsidRPr="00B419CE">
        <w:t xml:space="preserve"> etter samråd med </w:t>
      </w:r>
      <w:proofErr w:type="spellStart"/>
      <w:r w:rsidRPr="00B419CE">
        <w:rPr>
          <w:rStyle w:val="kursiv"/>
        </w:rPr>
        <w:t>Utvalet</w:t>
      </w:r>
      <w:proofErr w:type="spellEnd"/>
      <w:r w:rsidRPr="00B419CE">
        <w:rPr>
          <w:rStyle w:val="kursiv"/>
        </w:rPr>
        <w:t xml:space="preserve"> for offisiell statistikk.</w:t>
      </w:r>
    </w:p>
    <w:p w14:paraId="09B6C466" w14:textId="77777777" w:rsidR="00B419CE" w:rsidRPr="00B419CE" w:rsidRDefault="00B419CE" w:rsidP="00B419CE">
      <w:r w:rsidRPr="00B419CE">
        <w:t xml:space="preserve">SSB skal utvikle og </w:t>
      </w:r>
      <w:proofErr w:type="spellStart"/>
      <w:r w:rsidRPr="00B419CE">
        <w:t>fremje</w:t>
      </w:r>
      <w:proofErr w:type="spellEnd"/>
      <w:r w:rsidRPr="00B419CE">
        <w:t xml:space="preserve"> tiltak for kvalitetssikring og kompetansebygging </w:t>
      </w:r>
      <w:proofErr w:type="spellStart"/>
      <w:r w:rsidRPr="00B419CE">
        <w:t>innan</w:t>
      </w:r>
      <w:proofErr w:type="spellEnd"/>
      <w:r w:rsidRPr="00B419CE">
        <w:t xml:space="preserve"> det norske statistikksystemet i samråd med </w:t>
      </w:r>
      <w:proofErr w:type="spellStart"/>
      <w:r w:rsidRPr="00B419CE">
        <w:rPr>
          <w:rStyle w:val="kursiv"/>
        </w:rPr>
        <w:t>Utvalet</w:t>
      </w:r>
      <w:proofErr w:type="spellEnd"/>
      <w:r w:rsidRPr="00B419CE">
        <w:rPr>
          <w:rStyle w:val="kursiv"/>
        </w:rPr>
        <w:t xml:space="preserve"> for offisiell statistikk</w:t>
      </w:r>
      <w:r w:rsidRPr="00B419CE">
        <w:t xml:space="preserve">. </w:t>
      </w:r>
      <w:proofErr w:type="spellStart"/>
      <w:r w:rsidRPr="00B419CE">
        <w:t>Eit</w:t>
      </w:r>
      <w:proofErr w:type="spellEnd"/>
      <w:r w:rsidRPr="00B419CE">
        <w:t xml:space="preserve"> system for </w:t>
      </w:r>
      <w:r w:rsidRPr="00B419CE">
        <w:lastRenderedPageBreak/>
        <w:t xml:space="preserve">kvalitetssikring skal </w:t>
      </w:r>
      <w:proofErr w:type="spellStart"/>
      <w:r w:rsidRPr="00B419CE">
        <w:t>etablerast</w:t>
      </w:r>
      <w:proofErr w:type="spellEnd"/>
      <w:r w:rsidRPr="00B419CE">
        <w:t xml:space="preserve"> i 2021, og </w:t>
      </w:r>
      <w:proofErr w:type="spellStart"/>
      <w:r w:rsidRPr="00B419CE">
        <w:t>ein</w:t>
      </w:r>
      <w:proofErr w:type="spellEnd"/>
      <w:r w:rsidRPr="00B419CE">
        <w:t xml:space="preserve"> fyrste kvalitetsrapport for den norske offisielle statistikken skal publiserast i 2022. Denne rapporten gir grunnlag for å vurdere tiltak for betre kvalitet i offisiell statistikk og </w:t>
      </w:r>
      <w:proofErr w:type="spellStart"/>
      <w:r w:rsidRPr="00B419CE">
        <w:t>endringar</w:t>
      </w:r>
      <w:proofErr w:type="spellEnd"/>
      <w:r w:rsidRPr="00B419CE">
        <w:t xml:space="preserve"> i systemet for kvalitetssikring.</w:t>
      </w:r>
    </w:p>
    <w:p w14:paraId="43993181" w14:textId="77777777" w:rsidR="00B419CE" w:rsidRPr="00B419CE" w:rsidRDefault="00B419CE" w:rsidP="00B419CE">
      <w:r w:rsidRPr="00B419CE">
        <w:t xml:space="preserve">Teknologiske </w:t>
      </w:r>
      <w:proofErr w:type="spellStart"/>
      <w:r w:rsidRPr="00B419CE">
        <w:t>endringar</w:t>
      </w:r>
      <w:proofErr w:type="spellEnd"/>
      <w:r w:rsidRPr="00B419CE">
        <w:t xml:space="preserve"> gjev tilgang på </w:t>
      </w:r>
      <w:proofErr w:type="spellStart"/>
      <w:r w:rsidRPr="00B419CE">
        <w:t>meir</w:t>
      </w:r>
      <w:proofErr w:type="spellEnd"/>
      <w:r w:rsidRPr="00B419CE">
        <w:t xml:space="preserve"> data og nye datakjelder. Det </w:t>
      </w:r>
      <w:proofErr w:type="spellStart"/>
      <w:r w:rsidRPr="00B419CE">
        <w:t>skapar</w:t>
      </w:r>
      <w:proofErr w:type="spellEnd"/>
      <w:r w:rsidRPr="00B419CE">
        <w:t xml:space="preserve"> nye høve til statistikkutvikling, men fører òg til </w:t>
      </w:r>
      <w:proofErr w:type="spellStart"/>
      <w:r w:rsidRPr="00B419CE">
        <w:t>auka</w:t>
      </w:r>
      <w:proofErr w:type="spellEnd"/>
      <w:r w:rsidRPr="00B419CE">
        <w:t xml:space="preserve"> </w:t>
      </w:r>
      <w:proofErr w:type="spellStart"/>
      <w:r w:rsidRPr="00B419CE">
        <w:t>etterspurnad</w:t>
      </w:r>
      <w:proofErr w:type="spellEnd"/>
      <w:r w:rsidRPr="00B419CE">
        <w:t xml:space="preserve"> etter statistikk og </w:t>
      </w:r>
      <w:proofErr w:type="spellStart"/>
      <w:r w:rsidRPr="00B419CE">
        <w:t>analysar</w:t>
      </w:r>
      <w:proofErr w:type="spellEnd"/>
      <w:r w:rsidRPr="00B419CE">
        <w:t xml:space="preserve"> </w:t>
      </w:r>
      <w:proofErr w:type="spellStart"/>
      <w:r w:rsidRPr="00B419CE">
        <w:t>frå</w:t>
      </w:r>
      <w:proofErr w:type="spellEnd"/>
      <w:r w:rsidRPr="00B419CE">
        <w:t xml:space="preserve"> SSB. SSB må bruke stordata og nye </w:t>
      </w:r>
      <w:proofErr w:type="spellStart"/>
      <w:r w:rsidRPr="00B419CE">
        <w:t>metodar</w:t>
      </w:r>
      <w:proofErr w:type="spellEnd"/>
      <w:r w:rsidRPr="00B419CE">
        <w:t xml:space="preserve"> for å utvikle ny statistikk og nytte </w:t>
      </w:r>
      <w:proofErr w:type="spellStart"/>
      <w:r w:rsidRPr="00B419CE">
        <w:t>ressursane</w:t>
      </w:r>
      <w:proofErr w:type="spellEnd"/>
      <w:r w:rsidRPr="00B419CE">
        <w:t xml:space="preserve"> sine betre. Det er </w:t>
      </w:r>
      <w:proofErr w:type="spellStart"/>
      <w:r w:rsidRPr="00B419CE">
        <w:t>naudsynt</w:t>
      </w:r>
      <w:proofErr w:type="spellEnd"/>
      <w:r w:rsidRPr="00B419CE">
        <w:t xml:space="preserve"> å effektivisere og fornye, og </w:t>
      </w:r>
      <w:proofErr w:type="spellStart"/>
      <w:r w:rsidRPr="00B419CE">
        <w:t>ikkje</w:t>
      </w:r>
      <w:proofErr w:type="spellEnd"/>
      <w:r w:rsidRPr="00B419CE">
        <w:t xml:space="preserve"> minst å </w:t>
      </w:r>
      <w:proofErr w:type="spellStart"/>
      <w:r w:rsidRPr="00B419CE">
        <w:t>frigjere</w:t>
      </w:r>
      <w:proofErr w:type="spellEnd"/>
      <w:r w:rsidRPr="00B419CE">
        <w:t xml:space="preserve"> </w:t>
      </w:r>
      <w:proofErr w:type="spellStart"/>
      <w:r w:rsidRPr="00B419CE">
        <w:t>ressursar</w:t>
      </w:r>
      <w:proofErr w:type="spellEnd"/>
      <w:r w:rsidRPr="00B419CE">
        <w:t xml:space="preserve"> som kan </w:t>
      </w:r>
      <w:proofErr w:type="spellStart"/>
      <w:r w:rsidRPr="00B419CE">
        <w:t>gje</w:t>
      </w:r>
      <w:proofErr w:type="spellEnd"/>
      <w:r w:rsidRPr="00B419CE">
        <w:t xml:space="preserve"> rom for utvikling. SSB må heile tida utvikle statistikkproduksjonen for å møte </w:t>
      </w:r>
      <w:proofErr w:type="spellStart"/>
      <w:r w:rsidRPr="00B419CE">
        <w:t>auka</w:t>
      </w:r>
      <w:proofErr w:type="spellEnd"/>
      <w:r w:rsidRPr="00B419CE">
        <w:t xml:space="preserve"> krav </w:t>
      </w:r>
      <w:proofErr w:type="spellStart"/>
      <w:r w:rsidRPr="00B419CE">
        <w:t>frå</w:t>
      </w:r>
      <w:proofErr w:type="spellEnd"/>
      <w:r w:rsidRPr="00B419CE">
        <w:t xml:space="preserve"> </w:t>
      </w:r>
      <w:proofErr w:type="spellStart"/>
      <w:r w:rsidRPr="00B419CE">
        <w:t>brukarane</w:t>
      </w:r>
      <w:proofErr w:type="spellEnd"/>
      <w:r w:rsidRPr="00B419CE">
        <w:t xml:space="preserve">, samstundes som </w:t>
      </w:r>
      <w:proofErr w:type="spellStart"/>
      <w:r w:rsidRPr="00B419CE">
        <w:t>verksemda</w:t>
      </w:r>
      <w:proofErr w:type="spellEnd"/>
      <w:r w:rsidRPr="00B419CE">
        <w:t xml:space="preserve"> skal </w:t>
      </w:r>
      <w:proofErr w:type="spellStart"/>
      <w:r w:rsidRPr="00B419CE">
        <w:t>effektiviserast</w:t>
      </w:r>
      <w:proofErr w:type="spellEnd"/>
      <w:r w:rsidRPr="00B419CE">
        <w:t xml:space="preserve">. I det </w:t>
      </w:r>
      <w:proofErr w:type="spellStart"/>
      <w:r w:rsidRPr="00B419CE">
        <w:t>daglege</w:t>
      </w:r>
      <w:proofErr w:type="spellEnd"/>
      <w:r w:rsidRPr="00B419CE">
        <w:t xml:space="preserve"> arbeidet er det </w:t>
      </w:r>
      <w:proofErr w:type="spellStart"/>
      <w:r w:rsidRPr="00B419CE">
        <w:t>naudsynt</w:t>
      </w:r>
      <w:proofErr w:type="spellEnd"/>
      <w:r w:rsidRPr="00B419CE">
        <w:t xml:space="preserve"> at </w:t>
      </w:r>
      <w:proofErr w:type="spellStart"/>
      <w:r w:rsidRPr="00B419CE">
        <w:t>verksemda</w:t>
      </w:r>
      <w:proofErr w:type="spellEnd"/>
      <w:r w:rsidRPr="00B419CE">
        <w:t xml:space="preserve"> veg effektivitet opp mot andre </w:t>
      </w:r>
      <w:proofErr w:type="spellStart"/>
      <w:r w:rsidRPr="00B419CE">
        <w:t>kvalitetsindikatorar</w:t>
      </w:r>
      <w:proofErr w:type="spellEnd"/>
      <w:r w:rsidRPr="00B419CE">
        <w:t>.</w:t>
      </w:r>
    </w:p>
    <w:p w14:paraId="670D0165" w14:textId="77777777" w:rsidR="00B419CE" w:rsidRPr="00B419CE" w:rsidRDefault="00B419CE" w:rsidP="00B419CE">
      <w:r w:rsidRPr="00B419CE">
        <w:t xml:space="preserve">SSB held fram arbeidet med å etablere ei moderne IT-plattform. Utviklingsarbeidet </w:t>
      </w:r>
      <w:proofErr w:type="spellStart"/>
      <w:r w:rsidRPr="00B419CE">
        <w:t>inneber</w:t>
      </w:r>
      <w:proofErr w:type="spellEnd"/>
      <w:r w:rsidRPr="00B419CE">
        <w:t xml:space="preserve"> mellom anna nye </w:t>
      </w:r>
      <w:proofErr w:type="spellStart"/>
      <w:r w:rsidRPr="00B419CE">
        <w:t>løysingar</w:t>
      </w:r>
      <w:proofErr w:type="spellEnd"/>
      <w:r w:rsidRPr="00B419CE">
        <w:t xml:space="preserve"> for datalagring og datafangst og </w:t>
      </w:r>
      <w:proofErr w:type="spellStart"/>
      <w:r w:rsidRPr="00B419CE">
        <w:t>prosessforbetringar</w:t>
      </w:r>
      <w:proofErr w:type="spellEnd"/>
      <w:r w:rsidRPr="00B419CE">
        <w:t xml:space="preserve"> i </w:t>
      </w:r>
      <w:proofErr w:type="spellStart"/>
      <w:r w:rsidRPr="00B419CE">
        <w:t>dei</w:t>
      </w:r>
      <w:proofErr w:type="spellEnd"/>
      <w:r w:rsidRPr="00B419CE">
        <w:t xml:space="preserve"> </w:t>
      </w:r>
      <w:proofErr w:type="spellStart"/>
      <w:r w:rsidRPr="00B419CE">
        <w:t>statistikkproduserande</w:t>
      </w:r>
      <w:proofErr w:type="spellEnd"/>
      <w:r w:rsidRPr="00B419CE">
        <w:t xml:space="preserve"> </w:t>
      </w:r>
      <w:proofErr w:type="spellStart"/>
      <w:r w:rsidRPr="00B419CE">
        <w:t>avdelingane</w:t>
      </w:r>
      <w:proofErr w:type="spellEnd"/>
      <w:r w:rsidRPr="00B419CE">
        <w:t xml:space="preserve">. </w:t>
      </w:r>
      <w:proofErr w:type="spellStart"/>
      <w:r w:rsidRPr="00B419CE">
        <w:t>Rutineprosessar</w:t>
      </w:r>
      <w:proofErr w:type="spellEnd"/>
      <w:r w:rsidRPr="00B419CE">
        <w:t xml:space="preserve"> som i dag krev </w:t>
      </w:r>
      <w:proofErr w:type="spellStart"/>
      <w:r w:rsidRPr="00B419CE">
        <w:t>mykje</w:t>
      </w:r>
      <w:proofErr w:type="spellEnd"/>
      <w:r w:rsidRPr="00B419CE">
        <w:t xml:space="preserve"> arbeidsinnsats, kan i større grad </w:t>
      </w:r>
      <w:proofErr w:type="spellStart"/>
      <w:r w:rsidRPr="00B419CE">
        <w:t>standardiserast</w:t>
      </w:r>
      <w:proofErr w:type="spellEnd"/>
      <w:r w:rsidRPr="00B419CE">
        <w:t xml:space="preserve"> og </w:t>
      </w:r>
      <w:proofErr w:type="spellStart"/>
      <w:r w:rsidRPr="00B419CE">
        <w:t>automatiserast</w:t>
      </w:r>
      <w:proofErr w:type="spellEnd"/>
      <w:r w:rsidRPr="00B419CE">
        <w:t xml:space="preserve">, og slik skape rom for å nytte </w:t>
      </w:r>
      <w:proofErr w:type="spellStart"/>
      <w:r w:rsidRPr="00B419CE">
        <w:t>fleire</w:t>
      </w:r>
      <w:proofErr w:type="spellEnd"/>
      <w:r w:rsidRPr="00B419CE">
        <w:t xml:space="preserve"> nye datakjelder og lage </w:t>
      </w:r>
      <w:proofErr w:type="spellStart"/>
      <w:r w:rsidRPr="00B419CE">
        <w:t>meir</w:t>
      </w:r>
      <w:proofErr w:type="spellEnd"/>
      <w:r w:rsidRPr="00B419CE">
        <w:t xml:space="preserve"> statistikk, analyse og formidling som er godt tilpassa ulike brukaromsyn. I tillegg til at forenkla </w:t>
      </w:r>
      <w:proofErr w:type="spellStart"/>
      <w:r w:rsidRPr="00B419CE">
        <w:t>produksjonsprosessar</w:t>
      </w:r>
      <w:proofErr w:type="spellEnd"/>
      <w:r w:rsidRPr="00B419CE">
        <w:t xml:space="preserve"> kan </w:t>
      </w:r>
      <w:proofErr w:type="spellStart"/>
      <w:r w:rsidRPr="00B419CE">
        <w:t>gje</w:t>
      </w:r>
      <w:proofErr w:type="spellEnd"/>
      <w:r w:rsidRPr="00B419CE">
        <w:t xml:space="preserve"> rom for </w:t>
      </w:r>
      <w:proofErr w:type="spellStart"/>
      <w:r w:rsidRPr="00B419CE">
        <w:t>vidare</w:t>
      </w:r>
      <w:proofErr w:type="spellEnd"/>
      <w:r w:rsidRPr="00B419CE">
        <w:t xml:space="preserve"> </w:t>
      </w:r>
      <w:proofErr w:type="spellStart"/>
      <w:r w:rsidRPr="00B419CE">
        <w:t>kontinuerleg</w:t>
      </w:r>
      <w:proofErr w:type="spellEnd"/>
      <w:r w:rsidRPr="00B419CE">
        <w:t xml:space="preserve"> utvikling, vil </w:t>
      </w:r>
      <w:proofErr w:type="spellStart"/>
      <w:r w:rsidRPr="00B419CE">
        <w:t>auka</w:t>
      </w:r>
      <w:proofErr w:type="spellEnd"/>
      <w:r w:rsidRPr="00B419CE">
        <w:t xml:space="preserve"> bruk av nye datakjelder òg </w:t>
      </w:r>
      <w:proofErr w:type="spellStart"/>
      <w:r w:rsidRPr="00B419CE">
        <w:t>medverke</w:t>
      </w:r>
      <w:proofErr w:type="spellEnd"/>
      <w:r w:rsidRPr="00B419CE">
        <w:t xml:space="preserve"> til å redusere </w:t>
      </w:r>
      <w:proofErr w:type="spellStart"/>
      <w:r w:rsidRPr="00B419CE">
        <w:t>oppgåvebøra</w:t>
      </w:r>
      <w:proofErr w:type="spellEnd"/>
      <w:r w:rsidRPr="00B419CE">
        <w:t xml:space="preserve"> for </w:t>
      </w:r>
      <w:proofErr w:type="spellStart"/>
      <w:r w:rsidRPr="00B419CE">
        <w:t>oppgåvegjevarar</w:t>
      </w:r>
      <w:proofErr w:type="spellEnd"/>
      <w:r w:rsidRPr="00B419CE">
        <w:t>.</w:t>
      </w:r>
    </w:p>
    <w:p w14:paraId="78FB703B" w14:textId="77777777" w:rsidR="00B419CE" w:rsidRPr="00B419CE" w:rsidRDefault="00B419CE" w:rsidP="00B419CE">
      <w:r w:rsidRPr="00B419CE">
        <w:t xml:space="preserve">Transaksjonsdata og andre stordata kan </w:t>
      </w:r>
      <w:proofErr w:type="spellStart"/>
      <w:r w:rsidRPr="00B419CE">
        <w:t>gje</w:t>
      </w:r>
      <w:proofErr w:type="spellEnd"/>
      <w:r w:rsidRPr="00B419CE">
        <w:t xml:space="preserve"> høve til statistikk på nye område og redusere </w:t>
      </w:r>
      <w:proofErr w:type="spellStart"/>
      <w:r w:rsidRPr="00B419CE">
        <w:t>oppgåvebøra</w:t>
      </w:r>
      <w:proofErr w:type="spellEnd"/>
      <w:r w:rsidRPr="00B419CE">
        <w:t xml:space="preserve"> for </w:t>
      </w:r>
      <w:proofErr w:type="spellStart"/>
      <w:r w:rsidRPr="00B419CE">
        <w:t>oppgåvegjevarar</w:t>
      </w:r>
      <w:proofErr w:type="spellEnd"/>
      <w:r w:rsidRPr="00B419CE">
        <w:t xml:space="preserve">. Slike data kan </w:t>
      </w:r>
      <w:proofErr w:type="spellStart"/>
      <w:r w:rsidRPr="00B419CE">
        <w:t>saman</w:t>
      </w:r>
      <w:proofErr w:type="spellEnd"/>
      <w:r w:rsidRPr="00B419CE">
        <w:t xml:space="preserve"> med nye </w:t>
      </w:r>
      <w:proofErr w:type="spellStart"/>
      <w:r w:rsidRPr="00B419CE">
        <w:t>metodar</w:t>
      </w:r>
      <w:proofErr w:type="spellEnd"/>
      <w:r w:rsidRPr="00B419CE">
        <w:t xml:space="preserve"> òg bidra positivt til </w:t>
      </w:r>
      <w:proofErr w:type="spellStart"/>
      <w:r w:rsidRPr="00B419CE">
        <w:t>eksisterande</w:t>
      </w:r>
      <w:proofErr w:type="spellEnd"/>
      <w:r w:rsidRPr="00B419CE">
        <w:t xml:space="preserve"> statistikk, </w:t>
      </w:r>
      <w:proofErr w:type="spellStart"/>
      <w:r w:rsidRPr="00B419CE">
        <w:t>noko</w:t>
      </w:r>
      <w:proofErr w:type="spellEnd"/>
      <w:r w:rsidRPr="00B419CE">
        <w:t xml:space="preserve"> bruk av transaksjonsdata i produksjonen av </w:t>
      </w:r>
      <w:proofErr w:type="spellStart"/>
      <w:r w:rsidRPr="00B419CE">
        <w:t>nasjonalrekneskapen</w:t>
      </w:r>
      <w:proofErr w:type="spellEnd"/>
      <w:r w:rsidRPr="00B419CE">
        <w:t xml:space="preserve"> i 2020 er </w:t>
      </w:r>
      <w:proofErr w:type="spellStart"/>
      <w:r w:rsidRPr="00B419CE">
        <w:t>eit</w:t>
      </w:r>
      <w:proofErr w:type="spellEnd"/>
      <w:r w:rsidRPr="00B419CE">
        <w:t xml:space="preserve"> døme på. SSB vil i 2022 gjennomføre ei ny forbruksundersøking. SSB skal i dette arbeidet </w:t>
      </w:r>
      <w:proofErr w:type="spellStart"/>
      <w:r w:rsidRPr="00B419CE">
        <w:t>gjere</w:t>
      </w:r>
      <w:proofErr w:type="spellEnd"/>
      <w:r w:rsidRPr="00B419CE">
        <w:t xml:space="preserve"> seg nytte av transaksjonsdata, som det </w:t>
      </w:r>
      <w:proofErr w:type="spellStart"/>
      <w:r w:rsidRPr="00B419CE">
        <w:t>ikkje</w:t>
      </w:r>
      <w:proofErr w:type="spellEnd"/>
      <w:r w:rsidRPr="00B419CE">
        <w:t xml:space="preserve"> </w:t>
      </w:r>
      <w:proofErr w:type="spellStart"/>
      <w:r w:rsidRPr="00B419CE">
        <w:t>tidlegare</w:t>
      </w:r>
      <w:proofErr w:type="spellEnd"/>
      <w:r w:rsidRPr="00B419CE">
        <w:t xml:space="preserve"> har hatt tilgang til. </w:t>
      </w:r>
      <w:proofErr w:type="spellStart"/>
      <w:r w:rsidRPr="00B419CE">
        <w:t>Førebelse</w:t>
      </w:r>
      <w:proofErr w:type="spellEnd"/>
      <w:r w:rsidRPr="00B419CE">
        <w:t xml:space="preserve"> </w:t>
      </w:r>
      <w:proofErr w:type="spellStart"/>
      <w:r w:rsidRPr="00B419CE">
        <w:t>konklusjonar</w:t>
      </w:r>
      <w:proofErr w:type="spellEnd"/>
      <w:r w:rsidRPr="00B419CE">
        <w:t xml:space="preserve"> er at </w:t>
      </w:r>
      <w:proofErr w:type="spellStart"/>
      <w:r w:rsidRPr="00B419CE">
        <w:t>ein</w:t>
      </w:r>
      <w:proofErr w:type="spellEnd"/>
      <w:r w:rsidRPr="00B419CE">
        <w:t xml:space="preserve"> i tillegg til å nytte transaksjonsdata, må supplere med andre kjelder for å få </w:t>
      </w:r>
      <w:proofErr w:type="spellStart"/>
      <w:r w:rsidRPr="00B419CE">
        <w:t>eit</w:t>
      </w:r>
      <w:proofErr w:type="spellEnd"/>
      <w:r w:rsidRPr="00B419CE">
        <w:t xml:space="preserve"> godt nok grunnlag til å lage </w:t>
      </w:r>
      <w:proofErr w:type="spellStart"/>
      <w:r w:rsidRPr="00B419CE">
        <w:t>statistikkane</w:t>
      </w:r>
      <w:proofErr w:type="spellEnd"/>
      <w:r w:rsidRPr="00B419CE">
        <w:t>.</w:t>
      </w:r>
    </w:p>
    <w:p w14:paraId="610D80E4" w14:textId="77777777" w:rsidR="00B419CE" w:rsidRPr="00B419CE" w:rsidRDefault="00B419CE" w:rsidP="00B419CE">
      <w:pPr>
        <w:pStyle w:val="avsnitt-undertittel"/>
      </w:pPr>
      <w:proofErr w:type="spellStart"/>
      <w:r w:rsidRPr="00B419CE">
        <w:t>Budsjettgevinstar</w:t>
      </w:r>
      <w:proofErr w:type="spellEnd"/>
      <w:r w:rsidRPr="00B419CE">
        <w:t xml:space="preserve"> </w:t>
      </w:r>
      <w:proofErr w:type="spellStart"/>
      <w:r w:rsidRPr="00B419CE">
        <w:t>frå</w:t>
      </w:r>
      <w:proofErr w:type="spellEnd"/>
      <w:r w:rsidRPr="00B419CE">
        <w:t xml:space="preserve"> endra </w:t>
      </w:r>
      <w:proofErr w:type="spellStart"/>
      <w:r w:rsidRPr="00B419CE">
        <w:t>jobbreisevanar</w:t>
      </w:r>
      <w:proofErr w:type="spellEnd"/>
    </w:p>
    <w:p w14:paraId="5E169599" w14:textId="77777777" w:rsidR="00B419CE" w:rsidRPr="00B419CE" w:rsidRDefault="00B419CE" w:rsidP="00B419CE">
      <w:r w:rsidRPr="00B419CE">
        <w:t xml:space="preserve">Koronapandemien har </w:t>
      </w:r>
      <w:proofErr w:type="spellStart"/>
      <w:r w:rsidRPr="00B419CE">
        <w:t>kravd</w:t>
      </w:r>
      <w:proofErr w:type="spellEnd"/>
      <w:r w:rsidRPr="00B419CE">
        <w:t xml:space="preserve"> </w:t>
      </w:r>
      <w:proofErr w:type="spellStart"/>
      <w:r w:rsidRPr="00B419CE">
        <w:t>meir</w:t>
      </w:r>
      <w:proofErr w:type="spellEnd"/>
      <w:r w:rsidRPr="00B419CE">
        <w:t xml:space="preserve"> bruk av digitale møte og gav </w:t>
      </w:r>
      <w:proofErr w:type="spellStart"/>
      <w:r w:rsidRPr="00B419CE">
        <w:t>statlege</w:t>
      </w:r>
      <w:proofErr w:type="spellEnd"/>
      <w:r w:rsidRPr="00B419CE">
        <w:t xml:space="preserve"> </w:t>
      </w:r>
      <w:proofErr w:type="spellStart"/>
      <w:r w:rsidRPr="00B419CE">
        <w:t>verksemder</w:t>
      </w:r>
      <w:proofErr w:type="spellEnd"/>
      <w:r w:rsidRPr="00B419CE">
        <w:t xml:space="preserve"> høve til å redusere reiseomfanget. </w:t>
      </w:r>
      <w:proofErr w:type="spellStart"/>
      <w:r w:rsidRPr="00B419CE">
        <w:t>Sjølv</w:t>
      </w:r>
      <w:proofErr w:type="spellEnd"/>
      <w:r w:rsidRPr="00B419CE">
        <w:t xml:space="preserve"> om reiseaktiviteten vil </w:t>
      </w:r>
      <w:proofErr w:type="spellStart"/>
      <w:r w:rsidRPr="00B419CE">
        <w:t>auke</w:t>
      </w:r>
      <w:proofErr w:type="spellEnd"/>
      <w:r w:rsidRPr="00B419CE">
        <w:t xml:space="preserve"> igjen etter kvart som samfunnet </w:t>
      </w:r>
      <w:proofErr w:type="spellStart"/>
      <w:r w:rsidRPr="00B419CE">
        <w:t>opnar</w:t>
      </w:r>
      <w:proofErr w:type="spellEnd"/>
      <w:r w:rsidRPr="00B419CE">
        <w:t xml:space="preserve"> igjen, vil nivået </w:t>
      </w:r>
      <w:proofErr w:type="spellStart"/>
      <w:r w:rsidRPr="00B419CE">
        <w:t>truleg</w:t>
      </w:r>
      <w:proofErr w:type="spellEnd"/>
      <w:r w:rsidRPr="00B419CE">
        <w:t xml:space="preserve"> </w:t>
      </w:r>
      <w:proofErr w:type="spellStart"/>
      <w:r w:rsidRPr="00B419CE">
        <w:t>vere</w:t>
      </w:r>
      <w:proofErr w:type="spellEnd"/>
      <w:r w:rsidRPr="00B419CE">
        <w:t xml:space="preserve"> varig redusert. Dette vil redusere reiseutgifter og spare reisetid for </w:t>
      </w:r>
      <w:proofErr w:type="spellStart"/>
      <w:r w:rsidRPr="00B419CE">
        <w:t>dei</w:t>
      </w:r>
      <w:proofErr w:type="spellEnd"/>
      <w:r w:rsidRPr="00B419CE">
        <w:t xml:space="preserve"> tilsette. Regjeringa </w:t>
      </w:r>
      <w:proofErr w:type="spellStart"/>
      <w:r w:rsidRPr="00B419CE">
        <w:t>gjer</w:t>
      </w:r>
      <w:proofErr w:type="spellEnd"/>
      <w:r w:rsidRPr="00B419CE">
        <w:t xml:space="preserve"> framlegg om </w:t>
      </w:r>
      <w:proofErr w:type="spellStart"/>
      <w:r w:rsidRPr="00B419CE">
        <w:t>eit</w:t>
      </w:r>
      <w:proofErr w:type="spellEnd"/>
      <w:r w:rsidRPr="00B419CE">
        <w:t xml:space="preserve"> varig gevinstuttak </w:t>
      </w:r>
      <w:proofErr w:type="spellStart"/>
      <w:r w:rsidRPr="00B419CE">
        <w:t>frå</w:t>
      </w:r>
      <w:proofErr w:type="spellEnd"/>
      <w:r w:rsidRPr="00B419CE">
        <w:t xml:space="preserve"> og med 2022 på 5 pst. av reiseutgiftene slik </w:t>
      </w:r>
      <w:proofErr w:type="spellStart"/>
      <w:r w:rsidRPr="00B419CE">
        <w:t>desse</w:t>
      </w:r>
      <w:proofErr w:type="spellEnd"/>
      <w:r w:rsidRPr="00B419CE">
        <w:t xml:space="preserve"> var før pandemien. For </w:t>
      </w:r>
      <w:proofErr w:type="spellStart"/>
      <w:r w:rsidRPr="00B419CE">
        <w:t>dei</w:t>
      </w:r>
      <w:proofErr w:type="spellEnd"/>
      <w:r w:rsidRPr="00B419CE">
        <w:t xml:space="preserve"> </w:t>
      </w:r>
      <w:proofErr w:type="spellStart"/>
      <w:r w:rsidRPr="00B419CE">
        <w:t>verksemder</w:t>
      </w:r>
      <w:proofErr w:type="spellEnd"/>
      <w:r w:rsidRPr="00B419CE">
        <w:t xml:space="preserve"> som er omfatta av denne proposisjonen, unntatt Stortinget og tilknytte organ, </w:t>
      </w:r>
      <w:proofErr w:type="spellStart"/>
      <w:r w:rsidRPr="00B419CE">
        <w:t>utgjer</w:t>
      </w:r>
      <w:proofErr w:type="spellEnd"/>
      <w:r w:rsidRPr="00B419CE">
        <w:t xml:space="preserve"> dette 11 mill. kroner. Sjå </w:t>
      </w:r>
      <w:proofErr w:type="spellStart"/>
      <w:r w:rsidRPr="00B419CE">
        <w:t>Prop</w:t>
      </w:r>
      <w:proofErr w:type="spellEnd"/>
      <w:r w:rsidRPr="00B419CE">
        <w:t xml:space="preserve">. 1 S (2021–2022) Gul bok, for ei </w:t>
      </w:r>
      <w:proofErr w:type="spellStart"/>
      <w:r w:rsidRPr="00B419CE">
        <w:t>nærmare</w:t>
      </w:r>
      <w:proofErr w:type="spellEnd"/>
      <w:r w:rsidRPr="00B419CE">
        <w:t xml:space="preserve"> framstilling av gevinstuttaket.</w:t>
      </w:r>
    </w:p>
    <w:p w14:paraId="23760891" w14:textId="77777777" w:rsidR="00B419CE" w:rsidRPr="00B419CE" w:rsidRDefault="00B419CE" w:rsidP="00B419CE">
      <w:pPr>
        <w:pStyle w:val="Overskrift1"/>
      </w:pPr>
      <w:r w:rsidRPr="00B419CE">
        <w:lastRenderedPageBreak/>
        <w:t>Viktige resultat 2017–2021</w:t>
      </w:r>
    </w:p>
    <w:p w14:paraId="0233716E" w14:textId="77777777" w:rsidR="00B419CE" w:rsidRPr="00B419CE" w:rsidRDefault="00B419CE" w:rsidP="00B419CE">
      <w:pPr>
        <w:pStyle w:val="avsnitt-tittel"/>
      </w:pPr>
      <w:r w:rsidRPr="00B419CE">
        <w:t>Økonomiske krisetiltak i samband med koronapandemien</w:t>
      </w:r>
    </w:p>
    <w:p w14:paraId="0A9338C5" w14:textId="77777777" w:rsidR="00B419CE" w:rsidRPr="00B419CE" w:rsidRDefault="00B419CE" w:rsidP="00B419CE">
      <w:r w:rsidRPr="00B419CE">
        <w:t xml:space="preserve">Koronapandemien har skapt ei økonomisk krise ulik andre kriser. Regjeringa har </w:t>
      </w:r>
      <w:proofErr w:type="spellStart"/>
      <w:r w:rsidRPr="00B419CE">
        <w:t>saman</w:t>
      </w:r>
      <w:proofErr w:type="spellEnd"/>
      <w:r w:rsidRPr="00B419CE">
        <w:t xml:space="preserve"> med Stortinget sette i verk historisk kraftige tiltak for å </w:t>
      </w:r>
      <w:proofErr w:type="spellStart"/>
      <w:r w:rsidRPr="00B419CE">
        <w:t>motverke</w:t>
      </w:r>
      <w:proofErr w:type="spellEnd"/>
      <w:r w:rsidRPr="00B419CE">
        <w:t xml:space="preserve"> inntektsbortfall hos </w:t>
      </w:r>
      <w:proofErr w:type="spellStart"/>
      <w:r w:rsidRPr="00B419CE">
        <w:t>føretak</w:t>
      </w:r>
      <w:proofErr w:type="spellEnd"/>
      <w:r w:rsidRPr="00B419CE">
        <w:t xml:space="preserve"> og </w:t>
      </w:r>
      <w:proofErr w:type="spellStart"/>
      <w:r w:rsidRPr="00B419CE">
        <w:t>hushalda</w:t>
      </w:r>
      <w:proofErr w:type="spellEnd"/>
      <w:r w:rsidRPr="00B419CE">
        <w:t xml:space="preserve">. Både når det </w:t>
      </w:r>
      <w:proofErr w:type="spellStart"/>
      <w:r w:rsidRPr="00B419CE">
        <w:t>gjeld</w:t>
      </w:r>
      <w:proofErr w:type="spellEnd"/>
      <w:r w:rsidRPr="00B419CE">
        <w:t xml:space="preserve"> økonomien og folkehelsa har </w:t>
      </w:r>
      <w:proofErr w:type="spellStart"/>
      <w:r w:rsidRPr="00B419CE">
        <w:t>Noreg</w:t>
      </w:r>
      <w:proofErr w:type="spellEnd"/>
      <w:r w:rsidRPr="00B419CE">
        <w:t xml:space="preserve"> så langt </w:t>
      </w:r>
      <w:proofErr w:type="spellStart"/>
      <w:r w:rsidRPr="00B419CE">
        <w:t>kome</w:t>
      </w:r>
      <w:proofErr w:type="spellEnd"/>
      <w:r w:rsidRPr="00B419CE">
        <w:t xml:space="preserve"> betre gjennom krisa enn </w:t>
      </w:r>
      <w:proofErr w:type="spellStart"/>
      <w:r w:rsidRPr="00B419CE">
        <w:t>dei</w:t>
      </w:r>
      <w:proofErr w:type="spellEnd"/>
      <w:r w:rsidRPr="00B419CE">
        <w:t xml:space="preserve"> fleste andre europeiske land.</w:t>
      </w:r>
    </w:p>
    <w:p w14:paraId="4CF58CB3" w14:textId="77777777" w:rsidR="00B419CE" w:rsidRPr="00B419CE" w:rsidRDefault="00B419CE" w:rsidP="00B419CE">
      <w:proofErr w:type="spellStart"/>
      <w:r w:rsidRPr="00B419CE">
        <w:t>Sidan</w:t>
      </w:r>
      <w:proofErr w:type="spellEnd"/>
      <w:r w:rsidRPr="00B419CE">
        <w:t xml:space="preserve"> 12. mars 2020 har regjeringa </w:t>
      </w:r>
      <w:proofErr w:type="spellStart"/>
      <w:r w:rsidRPr="00B419CE">
        <w:t>fremja</w:t>
      </w:r>
      <w:proofErr w:type="spellEnd"/>
      <w:r w:rsidRPr="00B419CE">
        <w:t xml:space="preserve"> </w:t>
      </w:r>
      <w:proofErr w:type="spellStart"/>
      <w:r w:rsidRPr="00B419CE">
        <w:t>omfattande</w:t>
      </w:r>
      <w:proofErr w:type="spellEnd"/>
      <w:r w:rsidRPr="00B419CE">
        <w:t xml:space="preserve"> økonomiske tiltak for å minke </w:t>
      </w:r>
      <w:proofErr w:type="spellStart"/>
      <w:r w:rsidRPr="00B419CE">
        <w:t>dei</w:t>
      </w:r>
      <w:proofErr w:type="spellEnd"/>
      <w:r w:rsidRPr="00B419CE">
        <w:t xml:space="preserve"> negative </w:t>
      </w:r>
      <w:proofErr w:type="spellStart"/>
      <w:r w:rsidRPr="00B419CE">
        <w:t>konsekvensane</w:t>
      </w:r>
      <w:proofErr w:type="spellEnd"/>
      <w:r w:rsidRPr="00B419CE">
        <w:t xml:space="preserve"> av pandemien og smitteverntiltaka. Regjeringa sin strategi for vegen ut av krisa vart fyrste gong lagt fram våren 2020. Den er </w:t>
      </w:r>
      <w:proofErr w:type="spellStart"/>
      <w:r w:rsidRPr="00B419CE">
        <w:t>sidan</w:t>
      </w:r>
      <w:proofErr w:type="spellEnd"/>
      <w:r w:rsidRPr="00B419CE">
        <w:t xml:space="preserve"> oppdatert og utvida og </w:t>
      </w:r>
      <w:proofErr w:type="spellStart"/>
      <w:r w:rsidRPr="00B419CE">
        <w:t>inneber</w:t>
      </w:r>
      <w:proofErr w:type="spellEnd"/>
      <w:r w:rsidRPr="00B419CE">
        <w:t xml:space="preserve"> å kompensere når det er </w:t>
      </w:r>
      <w:proofErr w:type="spellStart"/>
      <w:r w:rsidRPr="00B419CE">
        <w:t>naudsynt</w:t>
      </w:r>
      <w:proofErr w:type="spellEnd"/>
      <w:r w:rsidRPr="00B419CE">
        <w:t xml:space="preserve">, men trappe ned tiltaka for å </w:t>
      </w:r>
      <w:proofErr w:type="spellStart"/>
      <w:r w:rsidRPr="00B419CE">
        <w:t>gje</w:t>
      </w:r>
      <w:proofErr w:type="spellEnd"/>
      <w:r w:rsidRPr="00B419CE">
        <w:t xml:space="preserve"> insentiv til aktivitet så snart smittesituasjonen og smitteverntiltaka </w:t>
      </w:r>
      <w:proofErr w:type="spellStart"/>
      <w:r w:rsidRPr="00B419CE">
        <w:t>gjer</w:t>
      </w:r>
      <w:proofErr w:type="spellEnd"/>
      <w:r w:rsidRPr="00B419CE">
        <w:t xml:space="preserve"> det </w:t>
      </w:r>
      <w:proofErr w:type="spellStart"/>
      <w:r w:rsidRPr="00B419CE">
        <w:t>mogleg</w:t>
      </w:r>
      <w:proofErr w:type="spellEnd"/>
      <w:r w:rsidRPr="00B419CE">
        <w:t>.</w:t>
      </w:r>
    </w:p>
    <w:p w14:paraId="0323832B" w14:textId="77777777" w:rsidR="00B419CE" w:rsidRPr="00B419CE" w:rsidRDefault="00B419CE" w:rsidP="00B419CE">
      <w:r w:rsidRPr="00B419CE">
        <w:t xml:space="preserve">Regjeringa sitt overordna mål med </w:t>
      </w:r>
      <w:proofErr w:type="spellStart"/>
      <w:r w:rsidRPr="00B419CE">
        <w:t>dei</w:t>
      </w:r>
      <w:proofErr w:type="spellEnd"/>
      <w:r w:rsidRPr="00B419CE">
        <w:t xml:space="preserve"> økonomiske tiltaka har heile tida </w:t>
      </w:r>
      <w:proofErr w:type="spellStart"/>
      <w:r w:rsidRPr="00B419CE">
        <w:t>vore</w:t>
      </w:r>
      <w:proofErr w:type="spellEnd"/>
      <w:r w:rsidRPr="00B419CE">
        <w:t xml:space="preserve"> å </w:t>
      </w:r>
      <w:proofErr w:type="spellStart"/>
      <w:r w:rsidRPr="00B419CE">
        <w:t>tryggje</w:t>
      </w:r>
      <w:proofErr w:type="spellEnd"/>
      <w:r w:rsidRPr="00B419CE">
        <w:t xml:space="preserve"> </w:t>
      </w:r>
      <w:proofErr w:type="spellStart"/>
      <w:r w:rsidRPr="00B419CE">
        <w:t>arbeidsplassar</w:t>
      </w:r>
      <w:proofErr w:type="spellEnd"/>
      <w:r w:rsidRPr="00B419CE">
        <w:t xml:space="preserve"> og forhindre at </w:t>
      </w:r>
      <w:proofErr w:type="spellStart"/>
      <w:r w:rsidRPr="00B419CE">
        <w:t>arbeidsløysa</w:t>
      </w:r>
      <w:proofErr w:type="spellEnd"/>
      <w:r w:rsidRPr="00B419CE">
        <w:t xml:space="preserve"> </w:t>
      </w:r>
      <w:proofErr w:type="spellStart"/>
      <w:r w:rsidRPr="00B419CE">
        <w:t>festar</w:t>
      </w:r>
      <w:proofErr w:type="spellEnd"/>
      <w:r w:rsidRPr="00B419CE">
        <w:t xml:space="preserve"> seg på </w:t>
      </w:r>
      <w:proofErr w:type="spellStart"/>
      <w:r w:rsidRPr="00B419CE">
        <w:t>eit</w:t>
      </w:r>
      <w:proofErr w:type="spellEnd"/>
      <w:r w:rsidRPr="00B419CE">
        <w:t xml:space="preserve"> høgt nivå. Gjennom stønad og kompensasjon til næringslivet vil </w:t>
      </w:r>
      <w:proofErr w:type="spellStart"/>
      <w:r w:rsidRPr="00B419CE">
        <w:t>fleire</w:t>
      </w:r>
      <w:proofErr w:type="spellEnd"/>
      <w:r w:rsidRPr="00B419CE">
        <w:t xml:space="preserve"> </w:t>
      </w:r>
      <w:proofErr w:type="spellStart"/>
      <w:r w:rsidRPr="00B419CE">
        <w:t>arbeidsgjevarar</w:t>
      </w:r>
      <w:proofErr w:type="spellEnd"/>
      <w:r w:rsidRPr="00B419CE">
        <w:t xml:space="preserve"> unngå konkurs under pandemien, slik at aktiviteten i økonomien raskt kan ta seg opp igjen og flest </w:t>
      </w:r>
      <w:proofErr w:type="spellStart"/>
      <w:r w:rsidRPr="00B419CE">
        <w:t>mogleg</w:t>
      </w:r>
      <w:proofErr w:type="spellEnd"/>
      <w:r w:rsidRPr="00B419CE">
        <w:t xml:space="preserve"> kan </w:t>
      </w:r>
      <w:proofErr w:type="spellStart"/>
      <w:r w:rsidRPr="00B419CE">
        <w:t>kome</w:t>
      </w:r>
      <w:proofErr w:type="spellEnd"/>
      <w:r w:rsidRPr="00B419CE">
        <w:t xml:space="preserve"> tilbake i jobb når det </w:t>
      </w:r>
      <w:proofErr w:type="spellStart"/>
      <w:r w:rsidRPr="00B419CE">
        <w:t>ikkje</w:t>
      </w:r>
      <w:proofErr w:type="spellEnd"/>
      <w:r w:rsidRPr="00B419CE">
        <w:t xml:space="preserve"> lenger er behov for strenge smitteverntiltak.</w:t>
      </w:r>
    </w:p>
    <w:p w14:paraId="046BAC24" w14:textId="77777777" w:rsidR="00B419CE" w:rsidRPr="00B419CE" w:rsidRDefault="00B419CE" w:rsidP="00B419CE">
      <w:r w:rsidRPr="00B419CE">
        <w:t xml:space="preserve">Krisa har ramma skeivt, og </w:t>
      </w:r>
      <w:proofErr w:type="spellStart"/>
      <w:r w:rsidRPr="00B419CE">
        <w:t>personar</w:t>
      </w:r>
      <w:proofErr w:type="spellEnd"/>
      <w:r w:rsidRPr="00B419CE">
        <w:t xml:space="preserve"> med lita utdanning er overrepresentert blant </w:t>
      </w:r>
      <w:proofErr w:type="spellStart"/>
      <w:r w:rsidRPr="00B419CE">
        <w:t>dei</w:t>
      </w:r>
      <w:proofErr w:type="spellEnd"/>
      <w:r w:rsidRPr="00B419CE">
        <w:t xml:space="preserve"> ledige. </w:t>
      </w:r>
      <w:proofErr w:type="spellStart"/>
      <w:r w:rsidRPr="00B419CE">
        <w:t>Auka</w:t>
      </w:r>
      <w:proofErr w:type="spellEnd"/>
      <w:r w:rsidRPr="00B419CE">
        <w:t xml:space="preserve"> satsing på utdanning og kompetansetiltak har </w:t>
      </w:r>
      <w:proofErr w:type="spellStart"/>
      <w:r w:rsidRPr="00B419CE">
        <w:t>vore</w:t>
      </w:r>
      <w:proofErr w:type="spellEnd"/>
      <w:r w:rsidRPr="00B419CE">
        <w:t xml:space="preserve"> sentralt for regjeringa, for å bidra til at </w:t>
      </w:r>
      <w:proofErr w:type="spellStart"/>
      <w:r w:rsidRPr="00B419CE">
        <w:t>fleire</w:t>
      </w:r>
      <w:proofErr w:type="spellEnd"/>
      <w:r w:rsidRPr="00B419CE">
        <w:t xml:space="preserve"> </w:t>
      </w:r>
      <w:proofErr w:type="spellStart"/>
      <w:r w:rsidRPr="00B419CE">
        <w:t>styrkjer</w:t>
      </w:r>
      <w:proofErr w:type="spellEnd"/>
      <w:r w:rsidRPr="00B419CE">
        <w:t xml:space="preserve"> sine </w:t>
      </w:r>
      <w:proofErr w:type="spellStart"/>
      <w:r w:rsidRPr="00B419CE">
        <w:t>moglegheiter</w:t>
      </w:r>
      <w:proofErr w:type="spellEnd"/>
      <w:r w:rsidRPr="00B419CE">
        <w:t xml:space="preserve"> på </w:t>
      </w:r>
      <w:proofErr w:type="spellStart"/>
      <w:r w:rsidRPr="00B419CE">
        <w:t>arbeidsmarknaden</w:t>
      </w:r>
      <w:proofErr w:type="spellEnd"/>
      <w:r w:rsidRPr="00B419CE">
        <w:t xml:space="preserve">. Regjeringa har lagt vekt på at </w:t>
      </w:r>
      <w:proofErr w:type="spellStart"/>
      <w:r w:rsidRPr="00B419CE">
        <w:t>dei</w:t>
      </w:r>
      <w:proofErr w:type="spellEnd"/>
      <w:r w:rsidRPr="00B419CE">
        <w:t xml:space="preserve"> økonomiske tiltaka skal </w:t>
      </w:r>
      <w:proofErr w:type="spellStart"/>
      <w:r w:rsidRPr="00B419CE">
        <w:t>vere</w:t>
      </w:r>
      <w:proofErr w:type="spellEnd"/>
      <w:r w:rsidRPr="00B419CE">
        <w:t xml:space="preserve"> målretta og mellombels med plan for utfasing, </w:t>
      </w:r>
      <w:proofErr w:type="spellStart"/>
      <w:r w:rsidRPr="00B419CE">
        <w:t>gje</w:t>
      </w:r>
      <w:proofErr w:type="spellEnd"/>
      <w:r w:rsidRPr="00B419CE">
        <w:t xml:space="preserve"> best </w:t>
      </w:r>
      <w:proofErr w:type="spellStart"/>
      <w:r w:rsidRPr="00B419CE">
        <w:t>moglege</w:t>
      </w:r>
      <w:proofErr w:type="spellEnd"/>
      <w:r w:rsidRPr="00B419CE">
        <w:t xml:space="preserve"> insentiv, og samstundes </w:t>
      </w:r>
      <w:proofErr w:type="spellStart"/>
      <w:r w:rsidRPr="00B419CE">
        <w:t>vere</w:t>
      </w:r>
      <w:proofErr w:type="spellEnd"/>
      <w:r w:rsidRPr="00B419CE">
        <w:t xml:space="preserve"> innretta slik at </w:t>
      </w:r>
      <w:proofErr w:type="spellStart"/>
      <w:r w:rsidRPr="00B419CE">
        <w:t>ein</w:t>
      </w:r>
      <w:proofErr w:type="spellEnd"/>
      <w:r w:rsidRPr="00B419CE">
        <w:t xml:space="preserve"> kan unngå misbruk.</w:t>
      </w:r>
    </w:p>
    <w:p w14:paraId="31B7984E" w14:textId="77777777" w:rsidR="00B419CE" w:rsidRPr="00B419CE" w:rsidRDefault="00B419CE" w:rsidP="00B419CE">
      <w:r w:rsidRPr="00B419CE">
        <w:t xml:space="preserve">Dei økonomiske tiltaka har verka. </w:t>
      </w:r>
      <w:proofErr w:type="spellStart"/>
      <w:r w:rsidRPr="00B419CE">
        <w:t>Sjølv</w:t>
      </w:r>
      <w:proofErr w:type="spellEnd"/>
      <w:r w:rsidRPr="00B419CE">
        <w:t xml:space="preserve"> om fallet i økonomisk aktivitet våren 2020 var det djupaste i etterkrigstida, var reduksjonen i brutto nasjonalprodukt (BNP) for Fastlands-</w:t>
      </w:r>
      <w:proofErr w:type="spellStart"/>
      <w:r w:rsidRPr="00B419CE">
        <w:t>Noreg</w:t>
      </w:r>
      <w:proofErr w:type="spellEnd"/>
      <w:r w:rsidRPr="00B419CE">
        <w:t xml:space="preserve"> samla i 2020 på </w:t>
      </w:r>
      <w:proofErr w:type="spellStart"/>
      <w:r w:rsidRPr="00B419CE">
        <w:t>meir</w:t>
      </w:r>
      <w:proofErr w:type="spellEnd"/>
      <w:r w:rsidRPr="00B419CE">
        <w:t xml:space="preserve"> moderate 2,5 pst. Til </w:t>
      </w:r>
      <w:proofErr w:type="spellStart"/>
      <w:r w:rsidRPr="00B419CE">
        <w:t>samanlikning</w:t>
      </w:r>
      <w:proofErr w:type="spellEnd"/>
      <w:r w:rsidRPr="00B419CE">
        <w:t xml:space="preserve"> fall BNP i heile OECD-området med 4,7 pst. i snitt.</w:t>
      </w:r>
    </w:p>
    <w:p w14:paraId="6B5AADC8" w14:textId="77777777" w:rsidR="00B419CE" w:rsidRPr="00B419CE" w:rsidRDefault="00B419CE" w:rsidP="00B419CE">
      <w:r w:rsidRPr="00B419CE">
        <w:t xml:space="preserve">Med utsikter til avvikling av </w:t>
      </w:r>
      <w:proofErr w:type="spellStart"/>
      <w:r w:rsidRPr="00B419CE">
        <w:t>dei</w:t>
      </w:r>
      <w:proofErr w:type="spellEnd"/>
      <w:r w:rsidRPr="00B419CE">
        <w:t xml:space="preserve"> fleste smitteverntiltak i </w:t>
      </w:r>
      <w:proofErr w:type="spellStart"/>
      <w:r w:rsidRPr="00B419CE">
        <w:t>laupet</w:t>
      </w:r>
      <w:proofErr w:type="spellEnd"/>
      <w:r w:rsidRPr="00B419CE">
        <w:t xml:space="preserve"> av 2021, legg regjeringa opp til at den kraftige og </w:t>
      </w:r>
      <w:proofErr w:type="spellStart"/>
      <w:r w:rsidRPr="00B419CE">
        <w:t>mellombelse</w:t>
      </w:r>
      <w:proofErr w:type="spellEnd"/>
      <w:r w:rsidRPr="00B419CE">
        <w:t xml:space="preserve"> </w:t>
      </w:r>
      <w:proofErr w:type="spellStart"/>
      <w:r w:rsidRPr="00B419CE">
        <w:t>auken</w:t>
      </w:r>
      <w:proofErr w:type="spellEnd"/>
      <w:r w:rsidRPr="00B419CE">
        <w:t xml:space="preserve"> i </w:t>
      </w:r>
      <w:proofErr w:type="spellStart"/>
      <w:r w:rsidRPr="00B419CE">
        <w:t>offentleg</w:t>
      </w:r>
      <w:proofErr w:type="spellEnd"/>
      <w:r w:rsidRPr="00B419CE">
        <w:t xml:space="preserve"> pengebruk i all </w:t>
      </w:r>
      <w:proofErr w:type="spellStart"/>
      <w:r w:rsidRPr="00B419CE">
        <w:t>hovudsak</w:t>
      </w:r>
      <w:proofErr w:type="spellEnd"/>
      <w:r w:rsidRPr="00B419CE">
        <w:t xml:space="preserve"> vert </w:t>
      </w:r>
      <w:proofErr w:type="spellStart"/>
      <w:r w:rsidRPr="00B419CE">
        <w:t>trekt</w:t>
      </w:r>
      <w:proofErr w:type="spellEnd"/>
      <w:r w:rsidRPr="00B419CE">
        <w:t xml:space="preserve"> tilbake. Regjeringa er samstundes </w:t>
      </w:r>
      <w:proofErr w:type="spellStart"/>
      <w:r w:rsidRPr="00B419CE">
        <w:t>oppteken</w:t>
      </w:r>
      <w:proofErr w:type="spellEnd"/>
      <w:r w:rsidRPr="00B419CE">
        <w:t xml:space="preserve"> av å </w:t>
      </w:r>
      <w:proofErr w:type="spellStart"/>
      <w:r w:rsidRPr="00B419CE">
        <w:t>førebyggje</w:t>
      </w:r>
      <w:proofErr w:type="spellEnd"/>
      <w:r w:rsidRPr="00B419CE">
        <w:t xml:space="preserve"> negative </w:t>
      </w:r>
      <w:proofErr w:type="spellStart"/>
      <w:r w:rsidRPr="00B419CE">
        <w:t>etterverknader</w:t>
      </w:r>
      <w:proofErr w:type="spellEnd"/>
      <w:r w:rsidRPr="00B419CE">
        <w:t xml:space="preserve"> av krisa. Målet er at </w:t>
      </w:r>
      <w:proofErr w:type="spellStart"/>
      <w:r w:rsidRPr="00B419CE">
        <w:t>arbeidsløysa</w:t>
      </w:r>
      <w:proofErr w:type="spellEnd"/>
      <w:r w:rsidRPr="00B419CE">
        <w:t xml:space="preserve"> </w:t>
      </w:r>
      <w:proofErr w:type="spellStart"/>
      <w:r w:rsidRPr="00B419CE">
        <w:t>ikkje</w:t>
      </w:r>
      <w:proofErr w:type="spellEnd"/>
      <w:r w:rsidRPr="00B419CE">
        <w:t xml:space="preserve"> skal </w:t>
      </w:r>
      <w:proofErr w:type="spellStart"/>
      <w:r w:rsidRPr="00B419CE">
        <w:t>vere</w:t>
      </w:r>
      <w:proofErr w:type="spellEnd"/>
      <w:r w:rsidRPr="00B419CE">
        <w:t xml:space="preserve"> </w:t>
      </w:r>
      <w:proofErr w:type="spellStart"/>
      <w:r w:rsidRPr="00B419CE">
        <w:t>høgare</w:t>
      </w:r>
      <w:proofErr w:type="spellEnd"/>
      <w:r w:rsidRPr="00B419CE">
        <w:t xml:space="preserve"> etter krisa enn før, og å møte </w:t>
      </w:r>
      <w:proofErr w:type="spellStart"/>
      <w:r w:rsidRPr="00B419CE">
        <w:t>dei</w:t>
      </w:r>
      <w:proofErr w:type="spellEnd"/>
      <w:r w:rsidRPr="00B419CE">
        <w:t xml:space="preserve"> krava krisa har skapt for progresjon i </w:t>
      </w:r>
      <w:proofErr w:type="spellStart"/>
      <w:r w:rsidRPr="00B419CE">
        <w:t>skulen</w:t>
      </w:r>
      <w:proofErr w:type="spellEnd"/>
      <w:r w:rsidRPr="00B419CE">
        <w:t>, psykisk helse og rus, og for sårbare grupper.</w:t>
      </w:r>
    </w:p>
    <w:p w14:paraId="10C9D13A" w14:textId="77777777" w:rsidR="00B419CE" w:rsidRPr="00B419CE" w:rsidRDefault="00B419CE" w:rsidP="00B419CE">
      <w:pPr>
        <w:pStyle w:val="avsnitt-tittel"/>
      </w:pPr>
      <w:r w:rsidRPr="00B419CE">
        <w:t>Statens pensjonsfond</w:t>
      </w:r>
    </w:p>
    <w:p w14:paraId="296C47CF" w14:textId="77777777" w:rsidR="00B419CE" w:rsidRPr="00B419CE" w:rsidRDefault="00B419CE" w:rsidP="00B419CE">
      <w:r w:rsidRPr="00B419CE">
        <w:t xml:space="preserve">Statens pensjonsfond utland har utvikla seg sterkt og hadde medio september 2021 </w:t>
      </w:r>
      <w:proofErr w:type="spellStart"/>
      <w:r w:rsidRPr="00B419CE">
        <w:t>ein</w:t>
      </w:r>
      <w:proofErr w:type="spellEnd"/>
      <w:r w:rsidRPr="00B419CE">
        <w:t xml:space="preserve"> </w:t>
      </w:r>
      <w:proofErr w:type="spellStart"/>
      <w:r w:rsidRPr="00B419CE">
        <w:t>marknadsverdi</w:t>
      </w:r>
      <w:proofErr w:type="spellEnd"/>
      <w:r w:rsidRPr="00B419CE">
        <w:t xml:space="preserve"> på om lag 12.000 mrd. norske kroner. Regjeringa har </w:t>
      </w:r>
      <w:proofErr w:type="spellStart"/>
      <w:r w:rsidRPr="00B419CE">
        <w:t>vidareført</w:t>
      </w:r>
      <w:proofErr w:type="spellEnd"/>
      <w:r w:rsidRPr="00B419CE">
        <w:t xml:space="preserve"> og utvikla investeringsstrategien til SPU, mellom anna med vekt på </w:t>
      </w:r>
      <w:proofErr w:type="spellStart"/>
      <w:r w:rsidRPr="00B419CE">
        <w:t>ytterlegare</w:t>
      </w:r>
      <w:proofErr w:type="spellEnd"/>
      <w:r w:rsidRPr="00B419CE">
        <w:t xml:space="preserve"> styrking av </w:t>
      </w:r>
      <w:proofErr w:type="spellStart"/>
      <w:r w:rsidRPr="00B419CE">
        <w:t>ansvarleg</w:t>
      </w:r>
      <w:proofErr w:type="spellEnd"/>
      <w:r w:rsidRPr="00B419CE">
        <w:t xml:space="preserve"> forvaltning som </w:t>
      </w:r>
      <w:proofErr w:type="spellStart"/>
      <w:r w:rsidRPr="00B419CE">
        <w:t>ein</w:t>
      </w:r>
      <w:proofErr w:type="spellEnd"/>
      <w:r w:rsidRPr="00B419CE">
        <w:t xml:space="preserve"> integrert del av </w:t>
      </w:r>
      <w:proofErr w:type="spellStart"/>
      <w:r w:rsidRPr="00B419CE">
        <w:t>verksemda</w:t>
      </w:r>
      <w:proofErr w:type="spellEnd"/>
      <w:r w:rsidRPr="00B419CE">
        <w:t xml:space="preserve"> i SPU. Det er brei politisk semje om at Statens pensjonsfond utland (SPU) </w:t>
      </w:r>
      <w:proofErr w:type="spellStart"/>
      <w:r w:rsidRPr="00B419CE">
        <w:t>ikkje</w:t>
      </w:r>
      <w:proofErr w:type="spellEnd"/>
      <w:r w:rsidRPr="00B419CE">
        <w:t xml:space="preserve"> skal </w:t>
      </w:r>
      <w:proofErr w:type="spellStart"/>
      <w:r w:rsidRPr="00B419CE">
        <w:t>vere</w:t>
      </w:r>
      <w:proofErr w:type="spellEnd"/>
      <w:r w:rsidRPr="00B419CE">
        <w:t xml:space="preserve"> </w:t>
      </w:r>
      <w:proofErr w:type="spellStart"/>
      <w:r w:rsidRPr="00B419CE">
        <w:t>eit</w:t>
      </w:r>
      <w:proofErr w:type="spellEnd"/>
      <w:r w:rsidRPr="00B419CE">
        <w:t xml:space="preserve"> </w:t>
      </w:r>
      <w:proofErr w:type="spellStart"/>
      <w:r w:rsidRPr="00B419CE">
        <w:t>verkemiddel</w:t>
      </w:r>
      <w:proofErr w:type="spellEnd"/>
      <w:r w:rsidRPr="00B419CE">
        <w:t xml:space="preserve"> i </w:t>
      </w:r>
      <w:proofErr w:type="spellStart"/>
      <w:r w:rsidRPr="00B419CE">
        <w:t>utanriks</w:t>
      </w:r>
      <w:proofErr w:type="spellEnd"/>
      <w:r w:rsidRPr="00B419CE">
        <w:t>- eller klimapolitikken.</w:t>
      </w:r>
    </w:p>
    <w:p w14:paraId="3A0B8A58" w14:textId="77777777" w:rsidR="00B419CE" w:rsidRPr="00B419CE" w:rsidRDefault="00B419CE" w:rsidP="00B419CE">
      <w:proofErr w:type="spellStart"/>
      <w:r w:rsidRPr="00B419CE">
        <w:lastRenderedPageBreak/>
        <w:t>Frå</w:t>
      </w:r>
      <w:proofErr w:type="spellEnd"/>
      <w:r w:rsidRPr="00B419CE">
        <w:t xml:space="preserve"> og med 2018 vart delen </w:t>
      </w:r>
      <w:proofErr w:type="spellStart"/>
      <w:r w:rsidRPr="00B419CE">
        <w:t>aksjar</w:t>
      </w:r>
      <w:proofErr w:type="spellEnd"/>
      <w:r w:rsidRPr="00B419CE">
        <w:t xml:space="preserve"> i referanseindeksen for SPU </w:t>
      </w:r>
      <w:proofErr w:type="spellStart"/>
      <w:r w:rsidRPr="00B419CE">
        <w:t>auka</w:t>
      </w:r>
      <w:proofErr w:type="spellEnd"/>
      <w:r w:rsidRPr="00B419CE">
        <w:t xml:space="preserve"> </w:t>
      </w:r>
      <w:proofErr w:type="spellStart"/>
      <w:r w:rsidRPr="00B419CE">
        <w:t>frå</w:t>
      </w:r>
      <w:proofErr w:type="spellEnd"/>
      <w:r w:rsidRPr="00B419CE">
        <w:t xml:space="preserve"> 62,5 pst. til 70 pst., samstundes som delen </w:t>
      </w:r>
      <w:proofErr w:type="spellStart"/>
      <w:r w:rsidRPr="00B419CE">
        <w:t>obligasjonar</w:t>
      </w:r>
      <w:proofErr w:type="spellEnd"/>
      <w:r w:rsidRPr="00B419CE">
        <w:t xml:space="preserve"> vart redusert </w:t>
      </w:r>
      <w:proofErr w:type="spellStart"/>
      <w:r w:rsidRPr="00B419CE">
        <w:t>tilsvarande</w:t>
      </w:r>
      <w:proofErr w:type="spellEnd"/>
      <w:r w:rsidRPr="00B419CE">
        <w:t>.</w:t>
      </w:r>
    </w:p>
    <w:p w14:paraId="67C72A02" w14:textId="77777777" w:rsidR="00B419CE" w:rsidRPr="00B419CE" w:rsidRDefault="00B419CE" w:rsidP="00B419CE">
      <w:r w:rsidRPr="00B419CE">
        <w:t xml:space="preserve">Finansdepartementet sette våren 2019 ned </w:t>
      </w:r>
      <w:proofErr w:type="spellStart"/>
      <w:r w:rsidRPr="00B419CE">
        <w:t>eit</w:t>
      </w:r>
      <w:proofErr w:type="spellEnd"/>
      <w:r w:rsidRPr="00B419CE">
        <w:t xml:space="preserve"> </w:t>
      </w:r>
      <w:proofErr w:type="spellStart"/>
      <w:r w:rsidRPr="00B419CE">
        <w:t>utval</w:t>
      </w:r>
      <w:proofErr w:type="spellEnd"/>
      <w:r w:rsidRPr="00B419CE">
        <w:t xml:space="preserve"> for å gjennomgå </w:t>
      </w:r>
      <w:proofErr w:type="spellStart"/>
      <w:r w:rsidRPr="00B419CE">
        <w:t>dei</w:t>
      </w:r>
      <w:proofErr w:type="spellEnd"/>
      <w:r w:rsidRPr="00B419CE">
        <w:t xml:space="preserve"> etiske </w:t>
      </w:r>
      <w:proofErr w:type="spellStart"/>
      <w:r w:rsidRPr="00B419CE">
        <w:t>retningslinene</w:t>
      </w:r>
      <w:proofErr w:type="spellEnd"/>
      <w:r w:rsidRPr="00B419CE">
        <w:t xml:space="preserve"> for SPU. </w:t>
      </w:r>
      <w:proofErr w:type="spellStart"/>
      <w:r w:rsidRPr="00B419CE">
        <w:t>Utvalet</w:t>
      </w:r>
      <w:proofErr w:type="spellEnd"/>
      <w:r w:rsidRPr="00B419CE">
        <w:t xml:space="preserve"> leverte si utgreiing i juni 2020, og i 2021 foreslo Finansdepartementet mellom anna </w:t>
      </w:r>
      <w:proofErr w:type="spellStart"/>
      <w:r w:rsidRPr="00B419CE">
        <w:t>endringar</w:t>
      </w:r>
      <w:proofErr w:type="spellEnd"/>
      <w:r w:rsidRPr="00B419CE">
        <w:t xml:space="preserve"> i kriteria om våpen og korrupsjon og </w:t>
      </w:r>
      <w:proofErr w:type="spellStart"/>
      <w:r w:rsidRPr="00B419CE">
        <w:t>eit</w:t>
      </w:r>
      <w:proofErr w:type="spellEnd"/>
      <w:r w:rsidRPr="00B419CE">
        <w:t xml:space="preserve"> nytt kriterium om våpensal. Finanskomiteen slutta seg til dette i juni 2021. Det er </w:t>
      </w:r>
      <w:proofErr w:type="spellStart"/>
      <w:r w:rsidRPr="00B419CE">
        <w:t>no</w:t>
      </w:r>
      <w:proofErr w:type="spellEnd"/>
      <w:r w:rsidRPr="00B419CE">
        <w:t>:</w:t>
      </w:r>
    </w:p>
    <w:p w14:paraId="5EA378F9" w14:textId="77777777" w:rsidR="00B419CE" w:rsidRPr="00B419CE" w:rsidRDefault="00B419CE" w:rsidP="00B419CE">
      <w:pPr>
        <w:pStyle w:val="Liste"/>
      </w:pPr>
      <w:proofErr w:type="spellStart"/>
      <w:r w:rsidRPr="00B419CE">
        <w:t>Opna</w:t>
      </w:r>
      <w:proofErr w:type="spellEnd"/>
      <w:r w:rsidRPr="00B419CE">
        <w:t xml:space="preserve"> for </w:t>
      </w:r>
      <w:proofErr w:type="spellStart"/>
      <w:r w:rsidRPr="00B419CE">
        <w:t>investeringar</w:t>
      </w:r>
      <w:proofErr w:type="spellEnd"/>
      <w:r w:rsidRPr="00B419CE">
        <w:t xml:space="preserve"> i unotert infrastruktur for fornybar energi under miljømandata, med krav til </w:t>
      </w:r>
      <w:proofErr w:type="spellStart"/>
      <w:r w:rsidRPr="00B419CE">
        <w:t>openheit</w:t>
      </w:r>
      <w:proofErr w:type="spellEnd"/>
      <w:r w:rsidRPr="00B419CE">
        <w:t xml:space="preserve">, avkastning og risiko som for </w:t>
      </w:r>
      <w:proofErr w:type="spellStart"/>
      <w:r w:rsidRPr="00B419CE">
        <w:t>investeringar</w:t>
      </w:r>
      <w:proofErr w:type="spellEnd"/>
      <w:r w:rsidRPr="00B419CE">
        <w:t xml:space="preserve"> elles.</w:t>
      </w:r>
    </w:p>
    <w:p w14:paraId="4064D807" w14:textId="77777777" w:rsidR="00B419CE" w:rsidRPr="00B419CE" w:rsidRDefault="00B419CE" w:rsidP="00B419CE">
      <w:pPr>
        <w:pStyle w:val="Liste"/>
      </w:pPr>
      <w:proofErr w:type="spellStart"/>
      <w:r w:rsidRPr="00B419CE">
        <w:t>Setje</w:t>
      </w:r>
      <w:proofErr w:type="spellEnd"/>
      <w:r w:rsidRPr="00B419CE">
        <w:t xml:space="preserve"> i gang nytt arbeid med klimarisiko for å </w:t>
      </w:r>
      <w:proofErr w:type="spellStart"/>
      <w:r w:rsidRPr="00B419CE">
        <w:t>auke</w:t>
      </w:r>
      <w:proofErr w:type="spellEnd"/>
      <w:r w:rsidRPr="00B419CE">
        <w:t xml:space="preserve"> kunnskapen om korleis </w:t>
      </w:r>
      <w:proofErr w:type="spellStart"/>
      <w:r w:rsidRPr="00B419CE">
        <w:t>klimaendringar</w:t>
      </w:r>
      <w:proofErr w:type="spellEnd"/>
      <w:r w:rsidRPr="00B419CE">
        <w:t xml:space="preserve">, klimapolitikk og det </w:t>
      </w:r>
      <w:proofErr w:type="spellStart"/>
      <w:r w:rsidRPr="00B419CE">
        <w:t>grøne</w:t>
      </w:r>
      <w:proofErr w:type="spellEnd"/>
      <w:r w:rsidRPr="00B419CE">
        <w:t xml:space="preserve"> skiftet kan verke inn på </w:t>
      </w:r>
      <w:proofErr w:type="spellStart"/>
      <w:r w:rsidRPr="00B419CE">
        <w:t>investorar</w:t>
      </w:r>
      <w:proofErr w:type="spellEnd"/>
      <w:r w:rsidRPr="00B419CE">
        <w:t xml:space="preserve"> som SPU, og korleis klimarisiko og klimarelaterte </w:t>
      </w:r>
      <w:proofErr w:type="spellStart"/>
      <w:r w:rsidRPr="00B419CE">
        <w:t>investeringsmoglegheiter</w:t>
      </w:r>
      <w:proofErr w:type="spellEnd"/>
      <w:r w:rsidRPr="00B419CE">
        <w:t xml:space="preserve"> kan </w:t>
      </w:r>
      <w:proofErr w:type="spellStart"/>
      <w:r w:rsidRPr="00B419CE">
        <w:t>handsamast</w:t>
      </w:r>
      <w:proofErr w:type="spellEnd"/>
      <w:r w:rsidRPr="00B419CE">
        <w:t xml:space="preserve"> ved forvaltninga av fondet.</w:t>
      </w:r>
    </w:p>
    <w:p w14:paraId="77C049C6" w14:textId="77777777" w:rsidR="00B419CE" w:rsidRPr="00B419CE" w:rsidRDefault="00B419CE" w:rsidP="00B419CE">
      <w:pPr>
        <w:pStyle w:val="Liste"/>
      </w:pPr>
      <w:r w:rsidRPr="00B419CE">
        <w:t xml:space="preserve">Gjeve </w:t>
      </w:r>
      <w:proofErr w:type="spellStart"/>
      <w:r w:rsidRPr="00B419CE">
        <w:t>Noregs</w:t>
      </w:r>
      <w:proofErr w:type="spellEnd"/>
      <w:r w:rsidRPr="00B419CE">
        <w:t xml:space="preserve"> Bank i </w:t>
      </w:r>
      <w:proofErr w:type="spellStart"/>
      <w:r w:rsidRPr="00B419CE">
        <w:t>oppgåve</w:t>
      </w:r>
      <w:proofErr w:type="spellEnd"/>
      <w:r w:rsidRPr="00B419CE">
        <w:t xml:space="preserve"> å </w:t>
      </w:r>
      <w:proofErr w:type="spellStart"/>
      <w:r w:rsidRPr="00B419CE">
        <w:t>vidareutvikle</w:t>
      </w:r>
      <w:proofErr w:type="spellEnd"/>
      <w:r w:rsidRPr="00B419CE">
        <w:t xml:space="preserve"> sitt forventningsdokument om skatt og </w:t>
      </w:r>
      <w:proofErr w:type="spellStart"/>
      <w:r w:rsidRPr="00B419CE">
        <w:t>openheit</w:t>
      </w:r>
      <w:proofErr w:type="spellEnd"/>
      <w:r w:rsidRPr="00B419CE">
        <w:t xml:space="preserve"> og vurdere korleis banken </w:t>
      </w:r>
      <w:proofErr w:type="spellStart"/>
      <w:r w:rsidRPr="00B419CE">
        <w:t>ytterlegare</w:t>
      </w:r>
      <w:proofErr w:type="spellEnd"/>
      <w:r w:rsidRPr="00B419CE">
        <w:t xml:space="preserve"> kan </w:t>
      </w:r>
      <w:proofErr w:type="spellStart"/>
      <w:r w:rsidRPr="00B419CE">
        <w:t>styrkje</w:t>
      </w:r>
      <w:proofErr w:type="spellEnd"/>
      <w:r w:rsidRPr="00B419CE">
        <w:t xml:space="preserve"> sitt arbeid på dette feltet.</w:t>
      </w:r>
    </w:p>
    <w:p w14:paraId="26DB2AD7" w14:textId="77777777" w:rsidR="00B419CE" w:rsidRPr="00B419CE" w:rsidRDefault="00B419CE" w:rsidP="00B419CE">
      <w:r w:rsidRPr="00B419CE">
        <w:t xml:space="preserve">I 2020 og 2021 førte </w:t>
      </w:r>
      <w:proofErr w:type="spellStart"/>
      <w:r w:rsidRPr="00B419CE">
        <w:t>ein</w:t>
      </w:r>
      <w:proofErr w:type="spellEnd"/>
      <w:r w:rsidRPr="00B419CE">
        <w:t xml:space="preserve"> brei gjennomgang av referanseindeksen for </w:t>
      </w:r>
      <w:proofErr w:type="spellStart"/>
      <w:r w:rsidRPr="00B419CE">
        <w:t>aksjar</w:t>
      </w:r>
      <w:proofErr w:type="spellEnd"/>
      <w:r w:rsidRPr="00B419CE">
        <w:t xml:space="preserve"> i SPU til at </w:t>
      </w:r>
      <w:proofErr w:type="spellStart"/>
      <w:r w:rsidRPr="00B419CE">
        <w:t>talet</w:t>
      </w:r>
      <w:proofErr w:type="spellEnd"/>
      <w:r w:rsidRPr="00B419CE">
        <w:t xml:space="preserve"> på selskap i aksjeindeksen vart redusert </w:t>
      </w:r>
      <w:proofErr w:type="spellStart"/>
      <w:r w:rsidRPr="00B419CE">
        <w:t>frå</w:t>
      </w:r>
      <w:proofErr w:type="spellEnd"/>
      <w:r w:rsidRPr="00B419CE">
        <w:t xml:space="preserve"> om lag 8 800 til om lag 6 600, samstundes som den delen av </w:t>
      </w:r>
      <w:proofErr w:type="spellStart"/>
      <w:r w:rsidRPr="00B419CE">
        <w:t>investeringane</w:t>
      </w:r>
      <w:proofErr w:type="spellEnd"/>
      <w:r w:rsidRPr="00B419CE">
        <w:t xml:space="preserve"> i SPU som vert plassert i Nord-Amerika vart </w:t>
      </w:r>
      <w:proofErr w:type="spellStart"/>
      <w:r w:rsidRPr="00B419CE">
        <w:t>auka</w:t>
      </w:r>
      <w:proofErr w:type="spellEnd"/>
      <w:r w:rsidRPr="00B419CE">
        <w:t xml:space="preserve"> og delen i Europa minka.</w:t>
      </w:r>
    </w:p>
    <w:p w14:paraId="410741F6" w14:textId="77777777" w:rsidR="00B419CE" w:rsidRPr="00B419CE" w:rsidRDefault="00B419CE" w:rsidP="00B419CE">
      <w:r w:rsidRPr="00B419CE">
        <w:t xml:space="preserve">Ei ekspertgruppe vurderte i 2021 finansiell </w:t>
      </w:r>
      <w:proofErr w:type="spellStart"/>
      <w:r w:rsidRPr="00B419CE">
        <w:t>klimarisko</w:t>
      </w:r>
      <w:proofErr w:type="spellEnd"/>
      <w:r w:rsidRPr="00B419CE">
        <w:t xml:space="preserve"> og klimarelaterte </w:t>
      </w:r>
      <w:proofErr w:type="spellStart"/>
      <w:r w:rsidRPr="00B419CE">
        <w:t>investeringsmoglegheiter</w:t>
      </w:r>
      <w:proofErr w:type="spellEnd"/>
      <w:r w:rsidRPr="00B419CE">
        <w:t xml:space="preserve">. I september 2021 </w:t>
      </w:r>
      <w:proofErr w:type="spellStart"/>
      <w:r w:rsidRPr="00B419CE">
        <w:t>vart</w:t>
      </w:r>
      <w:proofErr w:type="spellEnd"/>
      <w:r w:rsidRPr="00B419CE">
        <w:t xml:space="preserve"> det satt ned </w:t>
      </w:r>
      <w:proofErr w:type="spellStart"/>
      <w:r w:rsidRPr="00B419CE">
        <w:t>eit</w:t>
      </w:r>
      <w:proofErr w:type="spellEnd"/>
      <w:r w:rsidRPr="00B419CE">
        <w:t xml:space="preserve"> </w:t>
      </w:r>
      <w:proofErr w:type="spellStart"/>
      <w:r w:rsidRPr="00B419CE">
        <w:t>offentleg</w:t>
      </w:r>
      <w:proofErr w:type="spellEnd"/>
      <w:r w:rsidRPr="00B419CE">
        <w:t xml:space="preserve"> </w:t>
      </w:r>
      <w:proofErr w:type="spellStart"/>
      <w:r w:rsidRPr="00B419CE">
        <w:t>utval</w:t>
      </w:r>
      <w:proofErr w:type="spellEnd"/>
      <w:r w:rsidRPr="00B419CE">
        <w:t xml:space="preserve"> for å vurdere langsiktige perspektiv for SPU.</w:t>
      </w:r>
    </w:p>
    <w:p w14:paraId="4E7A5BA0" w14:textId="77777777" w:rsidR="00B419CE" w:rsidRPr="00B419CE" w:rsidRDefault="00B419CE" w:rsidP="00B419CE">
      <w:pPr>
        <w:pStyle w:val="avsnitt-tittel"/>
      </w:pPr>
      <w:r w:rsidRPr="00B419CE">
        <w:t>Skatt og avgift</w:t>
      </w:r>
    </w:p>
    <w:p w14:paraId="4719DA1F" w14:textId="77777777" w:rsidR="00B419CE" w:rsidRPr="00B419CE" w:rsidRDefault="00B419CE" w:rsidP="00B419CE">
      <w:r w:rsidRPr="00B419CE">
        <w:t xml:space="preserve">Regjeringa har prioritert skatte- og </w:t>
      </w:r>
      <w:proofErr w:type="spellStart"/>
      <w:r w:rsidRPr="00B419CE">
        <w:t>avgiftsendringar</w:t>
      </w:r>
      <w:proofErr w:type="spellEnd"/>
      <w:r w:rsidRPr="00B419CE">
        <w:t xml:space="preserve"> som </w:t>
      </w:r>
      <w:proofErr w:type="spellStart"/>
      <w:r w:rsidRPr="00B419CE">
        <w:t>fremjer</w:t>
      </w:r>
      <w:proofErr w:type="spellEnd"/>
      <w:r w:rsidRPr="00B419CE">
        <w:t xml:space="preserve"> økonomisk vekst og </w:t>
      </w:r>
      <w:proofErr w:type="spellStart"/>
      <w:r w:rsidRPr="00B419CE">
        <w:t>legg</w:t>
      </w:r>
      <w:proofErr w:type="spellEnd"/>
      <w:r w:rsidRPr="00B419CE">
        <w:t xml:space="preserve"> til rette for ei </w:t>
      </w:r>
      <w:proofErr w:type="spellStart"/>
      <w:r w:rsidRPr="00B419CE">
        <w:t>grøn</w:t>
      </w:r>
      <w:proofErr w:type="spellEnd"/>
      <w:r w:rsidRPr="00B419CE">
        <w:t xml:space="preserve"> omstilling. Det samla skatte- og avgiftsnivået er redusert med i overkant av 36 mrd. kroner </w:t>
      </w:r>
      <w:proofErr w:type="spellStart"/>
      <w:r w:rsidRPr="00B419CE">
        <w:t>frå</w:t>
      </w:r>
      <w:proofErr w:type="spellEnd"/>
      <w:r w:rsidRPr="00B419CE">
        <w:t xml:space="preserve"> 2013 til og med 2021. Skattesatsen på </w:t>
      </w:r>
      <w:proofErr w:type="spellStart"/>
      <w:r w:rsidRPr="00B419CE">
        <w:t>alminneleg</w:t>
      </w:r>
      <w:proofErr w:type="spellEnd"/>
      <w:r w:rsidRPr="00B419CE">
        <w:t xml:space="preserve"> inntekt er redusert </w:t>
      </w:r>
      <w:proofErr w:type="spellStart"/>
      <w:r w:rsidRPr="00B419CE">
        <w:t>frå</w:t>
      </w:r>
      <w:proofErr w:type="spellEnd"/>
      <w:r w:rsidRPr="00B419CE">
        <w:t xml:space="preserve"> 24 pst. i 2017 til 22 pst. </w:t>
      </w:r>
      <w:proofErr w:type="spellStart"/>
      <w:r w:rsidRPr="00B419CE">
        <w:t>frå</w:t>
      </w:r>
      <w:proofErr w:type="spellEnd"/>
      <w:r w:rsidRPr="00B419CE">
        <w:t xml:space="preserve"> 2019. Det har vorte </w:t>
      </w:r>
      <w:proofErr w:type="spellStart"/>
      <w:r w:rsidRPr="00B419CE">
        <w:t>meir</w:t>
      </w:r>
      <w:proofErr w:type="spellEnd"/>
      <w:r w:rsidRPr="00B419CE">
        <w:t xml:space="preserve"> </w:t>
      </w:r>
      <w:proofErr w:type="spellStart"/>
      <w:r w:rsidRPr="00B419CE">
        <w:t>lønsamt</w:t>
      </w:r>
      <w:proofErr w:type="spellEnd"/>
      <w:r w:rsidRPr="00B419CE">
        <w:t xml:space="preserve"> å arbeide fordi marginalskatten på arbeid er redusert, mest for </w:t>
      </w:r>
      <w:proofErr w:type="spellStart"/>
      <w:r w:rsidRPr="00B419CE">
        <w:t>dei</w:t>
      </w:r>
      <w:proofErr w:type="spellEnd"/>
      <w:r w:rsidRPr="00B419CE">
        <w:t xml:space="preserve"> </w:t>
      </w:r>
      <w:proofErr w:type="spellStart"/>
      <w:r w:rsidRPr="00B419CE">
        <w:t>lågaste</w:t>
      </w:r>
      <w:proofErr w:type="spellEnd"/>
      <w:r w:rsidRPr="00B419CE">
        <w:t xml:space="preserve"> inntektene. Kringkastingsavgifta er fjerna og erstatta av ordinær skattefinansiering.</w:t>
      </w:r>
    </w:p>
    <w:p w14:paraId="45D1BEAA" w14:textId="77777777" w:rsidR="00B419CE" w:rsidRPr="00B419CE" w:rsidRDefault="00B419CE" w:rsidP="00B419CE">
      <w:r w:rsidRPr="00B419CE">
        <w:t xml:space="preserve">Regjeringa har prioritert </w:t>
      </w:r>
      <w:proofErr w:type="spellStart"/>
      <w:r w:rsidRPr="00B419CE">
        <w:t>lågare</w:t>
      </w:r>
      <w:proofErr w:type="spellEnd"/>
      <w:r w:rsidRPr="00B419CE">
        <w:t xml:space="preserve"> formuesskatt for å støtte norske </w:t>
      </w:r>
      <w:proofErr w:type="spellStart"/>
      <w:r w:rsidRPr="00B419CE">
        <w:t>eigarar</w:t>
      </w:r>
      <w:proofErr w:type="spellEnd"/>
      <w:r w:rsidRPr="00B419CE">
        <w:t xml:space="preserve"> i å utvikle </w:t>
      </w:r>
      <w:proofErr w:type="spellStart"/>
      <w:r w:rsidRPr="00B419CE">
        <w:t>næringsverksemder</w:t>
      </w:r>
      <w:proofErr w:type="spellEnd"/>
      <w:r w:rsidRPr="00B419CE">
        <w:t xml:space="preserve"> og </w:t>
      </w:r>
      <w:proofErr w:type="spellStart"/>
      <w:r w:rsidRPr="00B419CE">
        <w:t>arbeidsplassar</w:t>
      </w:r>
      <w:proofErr w:type="spellEnd"/>
      <w:r w:rsidRPr="00B419CE">
        <w:t xml:space="preserve">. Lettene i formuesskatten </w:t>
      </w:r>
      <w:proofErr w:type="spellStart"/>
      <w:r w:rsidRPr="00B419CE">
        <w:t>sidan</w:t>
      </w:r>
      <w:proofErr w:type="spellEnd"/>
      <w:r w:rsidRPr="00B419CE">
        <w:t xml:space="preserve"> 2013 </w:t>
      </w:r>
      <w:proofErr w:type="spellStart"/>
      <w:r w:rsidRPr="00B419CE">
        <w:t>utgjer</w:t>
      </w:r>
      <w:proofErr w:type="spellEnd"/>
      <w:r w:rsidRPr="00B419CE">
        <w:t xml:space="preserve"> 9,9 mrd. kroner. I 2017 </w:t>
      </w:r>
      <w:proofErr w:type="spellStart"/>
      <w:r w:rsidRPr="00B419CE">
        <w:t>vart</w:t>
      </w:r>
      <w:proofErr w:type="spellEnd"/>
      <w:r w:rsidRPr="00B419CE">
        <w:t xml:space="preserve"> det innført </w:t>
      </w:r>
      <w:proofErr w:type="spellStart"/>
      <w:r w:rsidRPr="00B419CE">
        <w:t>ein</w:t>
      </w:r>
      <w:proofErr w:type="spellEnd"/>
      <w:r w:rsidRPr="00B419CE">
        <w:t xml:space="preserve"> eigen rabatt på </w:t>
      </w:r>
      <w:proofErr w:type="spellStart"/>
      <w:r w:rsidRPr="00B419CE">
        <w:t>aksjar</w:t>
      </w:r>
      <w:proofErr w:type="spellEnd"/>
      <w:r w:rsidRPr="00B419CE">
        <w:t xml:space="preserve"> og driftsmiddel. Rabatten har vorte gradvis </w:t>
      </w:r>
      <w:proofErr w:type="spellStart"/>
      <w:r w:rsidRPr="00B419CE">
        <w:t>auka</w:t>
      </w:r>
      <w:proofErr w:type="spellEnd"/>
      <w:r w:rsidRPr="00B419CE">
        <w:t xml:space="preserve">, slik at </w:t>
      </w:r>
      <w:proofErr w:type="spellStart"/>
      <w:r w:rsidRPr="00B419CE">
        <w:t>aksjar</w:t>
      </w:r>
      <w:proofErr w:type="spellEnd"/>
      <w:r w:rsidRPr="00B419CE">
        <w:t xml:space="preserve"> og driftsmiddel i 2021 vert verdsette til 55 pst. av verdien før rabatt.</w:t>
      </w:r>
    </w:p>
    <w:p w14:paraId="1A8C4CB6" w14:textId="77777777" w:rsidR="00B419CE" w:rsidRPr="00B419CE" w:rsidRDefault="00B419CE" w:rsidP="00B419CE">
      <w:r w:rsidRPr="00B419CE">
        <w:t xml:space="preserve">Selskapsskatten er redusert til </w:t>
      </w:r>
      <w:proofErr w:type="spellStart"/>
      <w:r w:rsidRPr="00B419CE">
        <w:t>eit</w:t>
      </w:r>
      <w:proofErr w:type="spellEnd"/>
      <w:r w:rsidRPr="00B419CE">
        <w:t xml:space="preserve"> konkurransedyktig nivå på 22 pst. Regjeringa har òg </w:t>
      </w:r>
      <w:proofErr w:type="spellStart"/>
      <w:r w:rsidRPr="00B419CE">
        <w:t>betra</w:t>
      </w:r>
      <w:proofErr w:type="spellEnd"/>
      <w:r w:rsidRPr="00B419CE">
        <w:t xml:space="preserve"> </w:t>
      </w:r>
      <w:proofErr w:type="spellStart"/>
      <w:r w:rsidRPr="00B419CE">
        <w:t>dei</w:t>
      </w:r>
      <w:proofErr w:type="spellEnd"/>
      <w:r w:rsidRPr="00B419CE">
        <w:t xml:space="preserve"> skattemessige rammevilkåra for oppstartsselskap. Det er innført ei skatteinsentivordning for </w:t>
      </w:r>
      <w:proofErr w:type="spellStart"/>
      <w:r w:rsidRPr="00B419CE">
        <w:t>investeringar</w:t>
      </w:r>
      <w:proofErr w:type="spellEnd"/>
      <w:r w:rsidRPr="00B419CE">
        <w:t xml:space="preserve"> i slike </w:t>
      </w:r>
      <w:proofErr w:type="spellStart"/>
      <w:r w:rsidRPr="00B419CE">
        <w:t>verksemder</w:t>
      </w:r>
      <w:proofErr w:type="spellEnd"/>
      <w:r w:rsidRPr="00B419CE">
        <w:t xml:space="preserve">, og som vart </w:t>
      </w:r>
      <w:proofErr w:type="spellStart"/>
      <w:r w:rsidRPr="00B419CE">
        <w:t>ytterlegere</w:t>
      </w:r>
      <w:proofErr w:type="spellEnd"/>
      <w:r w:rsidRPr="00B419CE">
        <w:t xml:space="preserve"> utvida i 2020. I 2018 vart ei ny skatteordning for </w:t>
      </w:r>
      <w:proofErr w:type="spellStart"/>
      <w:r w:rsidRPr="00B419CE">
        <w:t>tilsetteopsjonar</w:t>
      </w:r>
      <w:proofErr w:type="spellEnd"/>
      <w:r w:rsidRPr="00B419CE">
        <w:t xml:space="preserve"> i små oppstartsselskap innført og </w:t>
      </w:r>
      <w:proofErr w:type="spellStart"/>
      <w:r w:rsidRPr="00B419CE">
        <w:t>seinare</w:t>
      </w:r>
      <w:proofErr w:type="spellEnd"/>
      <w:r w:rsidRPr="00B419CE">
        <w:t xml:space="preserve"> utvida </w:t>
      </w:r>
      <w:proofErr w:type="spellStart"/>
      <w:r w:rsidRPr="00B419CE">
        <w:t>fleire</w:t>
      </w:r>
      <w:proofErr w:type="spellEnd"/>
      <w:r w:rsidRPr="00B419CE">
        <w:t xml:space="preserve"> gonger.</w:t>
      </w:r>
    </w:p>
    <w:p w14:paraId="1367AA80" w14:textId="77777777" w:rsidR="00B419CE" w:rsidRPr="00B419CE" w:rsidRDefault="00B419CE" w:rsidP="00B419CE">
      <w:r w:rsidRPr="00B419CE">
        <w:t xml:space="preserve">Regjeringa har lagt til rette for </w:t>
      </w:r>
      <w:proofErr w:type="spellStart"/>
      <w:r w:rsidRPr="00B419CE">
        <w:t>grøn</w:t>
      </w:r>
      <w:proofErr w:type="spellEnd"/>
      <w:r w:rsidRPr="00B419CE">
        <w:t xml:space="preserve"> omstilling ved å </w:t>
      </w:r>
      <w:proofErr w:type="spellStart"/>
      <w:r w:rsidRPr="00B419CE">
        <w:t>auke</w:t>
      </w:r>
      <w:proofErr w:type="spellEnd"/>
      <w:r w:rsidRPr="00B419CE">
        <w:t xml:space="preserve"> det generelle avgiftsnivået på </w:t>
      </w:r>
      <w:proofErr w:type="spellStart"/>
      <w:r w:rsidRPr="00B419CE">
        <w:t>ikkje</w:t>
      </w:r>
      <w:proofErr w:type="spellEnd"/>
      <w:r w:rsidRPr="00B419CE">
        <w:t xml:space="preserve">-kvotepliktige utslepp av </w:t>
      </w:r>
      <w:proofErr w:type="spellStart"/>
      <w:r w:rsidRPr="00B419CE">
        <w:t>klimagassar</w:t>
      </w:r>
      <w:proofErr w:type="spellEnd"/>
      <w:r w:rsidRPr="00B419CE">
        <w:t xml:space="preserve"> og ved å avvikle fritak og reduserte </w:t>
      </w:r>
      <w:proofErr w:type="spellStart"/>
      <w:r w:rsidRPr="00B419CE">
        <w:t>satsar</w:t>
      </w:r>
      <w:proofErr w:type="spellEnd"/>
      <w:r w:rsidRPr="00B419CE">
        <w:t xml:space="preserve">. Dette </w:t>
      </w:r>
      <w:proofErr w:type="spellStart"/>
      <w:r w:rsidRPr="00B419CE">
        <w:t>gjer</w:t>
      </w:r>
      <w:proofErr w:type="spellEnd"/>
      <w:r w:rsidRPr="00B419CE">
        <w:t xml:space="preserve"> at </w:t>
      </w:r>
      <w:proofErr w:type="spellStart"/>
      <w:r w:rsidRPr="00B419CE">
        <w:t>ein</w:t>
      </w:r>
      <w:proofErr w:type="spellEnd"/>
      <w:r w:rsidRPr="00B419CE">
        <w:t xml:space="preserve"> stadig større del av norske utslepp står overfor </w:t>
      </w:r>
      <w:proofErr w:type="spellStart"/>
      <w:r w:rsidRPr="00B419CE">
        <w:t>ein</w:t>
      </w:r>
      <w:proofErr w:type="spellEnd"/>
      <w:r w:rsidRPr="00B419CE">
        <w:t xml:space="preserve"> karbonpris som gir </w:t>
      </w:r>
      <w:proofErr w:type="spellStart"/>
      <w:r w:rsidRPr="00B419CE">
        <w:lastRenderedPageBreak/>
        <w:t>hushald</w:t>
      </w:r>
      <w:proofErr w:type="spellEnd"/>
      <w:r w:rsidRPr="00B419CE">
        <w:t xml:space="preserve"> og </w:t>
      </w:r>
      <w:proofErr w:type="spellStart"/>
      <w:r w:rsidRPr="00B419CE">
        <w:t>verksemder</w:t>
      </w:r>
      <w:proofErr w:type="spellEnd"/>
      <w:r w:rsidRPr="00B419CE">
        <w:t xml:space="preserve"> økonomiske insentiv til å redusere utsleppa. Om lag 85 pst. av norske utslepp av </w:t>
      </w:r>
      <w:proofErr w:type="spellStart"/>
      <w:r w:rsidRPr="00B419CE">
        <w:t>klimagassar</w:t>
      </w:r>
      <w:proofErr w:type="spellEnd"/>
      <w:r w:rsidRPr="00B419CE">
        <w:t xml:space="preserve"> er prisa gjennom avgifter og kvotesystemet. Samtidig har regjeringa redusert det samla nivået av </w:t>
      </w:r>
      <w:proofErr w:type="spellStart"/>
      <w:r w:rsidRPr="00B419CE">
        <w:t>skattar</w:t>
      </w:r>
      <w:proofErr w:type="spellEnd"/>
      <w:r w:rsidRPr="00B419CE">
        <w:t xml:space="preserve"> og avgifter.</w:t>
      </w:r>
    </w:p>
    <w:p w14:paraId="0B04B5D0" w14:textId="77777777" w:rsidR="00B419CE" w:rsidRPr="00B419CE" w:rsidRDefault="00B419CE" w:rsidP="00B419CE">
      <w:r w:rsidRPr="00B419CE">
        <w:t xml:space="preserve">Finansdepartementet sende 3. september 2021 </w:t>
      </w:r>
      <w:proofErr w:type="spellStart"/>
      <w:r w:rsidRPr="00B419CE">
        <w:t>eit</w:t>
      </w:r>
      <w:proofErr w:type="spellEnd"/>
      <w:r w:rsidRPr="00B419CE">
        <w:t xml:space="preserve"> framlegg på </w:t>
      </w:r>
      <w:proofErr w:type="spellStart"/>
      <w:r w:rsidRPr="00B419CE">
        <w:t>høyring</w:t>
      </w:r>
      <w:proofErr w:type="spellEnd"/>
      <w:r w:rsidRPr="00B419CE">
        <w:t xml:space="preserve"> om å </w:t>
      </w:r>
      <w:proofErr w:type="spellStart"/>
      <w:r w:rsidRPr="00B419CE">
        <w:t>leggje</w:t>
      </w:r>
      <w:proofErr w:type="spellEnd"/>
      <w:r w:rsidRPr="00B419CE">
        <w:t xml:space="preserve"> om særskatten for </w:t>
      </w:r>
      <w:proofErr w:type="spellStart"/>
      <w:r w:rsidRPr="00B419CE">
        <w:t>petroleumsverksemd</w:t>
      </w:r>
      <w:proofErr w:type="spellEnd"/>
      <w:r w:rsidRPr="00B419CE">
        <w:t xml:space="preserve"> til </w:t>
      </w:r>
      <w:proofErr w:type="spellStart"/>
      <w:r w:rsidRPr="00B419CE">
        <w:t>ein</w:t>
      </w:r>
      <w:proofErr w:type="spellEnd"/>
      <w:r w:rsidRPr="00B419CE">
        <w:t xml:space="preserve"> kontantstraumsskatt </w:t>
      </w:r>
      <w:proofErr w:type="spellStart"/>
      <w:r w:rsidRPr="00B419CE">
        <w:t>frå</w:t>
      </w:r>
      <w:proofErr w:type="spellEnd"/>
      <w:r w:rsidRPr="00B419CE">
        <w:t xml:space="preserve"> inntektsåret 2022. Framlegget vil </w:t>
      </w:r>
      <w:proofErr w:type="spellStart"/>
      <w:r w:rsidRPr="00B419CE">
        <w:t>gjere</w:t>
      </w:r>
      <w:proofErr w:type="spellEnd"/>
      <w:r w:rsidRPr="00B419CE">
        <w:t xml:space="preserve"> særskatten nøytral og dermed gi samsvar mellom selskapas og samfunnets </w:t>
      </w:r>
      <w:proofErr w:type="spellStart"/>
      <w:r w:rsidRPr="00B419CE">
        <w:t>vurderingar</w:t>
      </w:r>
      <w:proofErr w:type="spellEnd"/>
      <w:r w:rsidRPr="00B419CE">
        <w:t>.</w:t>
      </w:r>
    </w:p>
    <w:p w14:paraId="4EBFA0B6" w14:textId="77777777" w:rsidR="00B419CE" w:rsidRPr="00B419CE" w:rsidRDefault="00B419CE" w:rsidP="00B419CE">
      <w:r w:rsidRPr="00B419CE">
        <w:t xml:space="preserve">Regjeringa har òg lagt fram prinsipp for </w:t>
      </w:r>
      <w:proofErr w:type="spellStart"/>
      <w:r w:rsidRPr="00B419CE">
        <w:t>eit</w:t>
      </w:r>
      <w:proofErr w:type="spellEnd"/>
      <w:r w:rsidRPr="00B419CE">
        <w:t xml:space="preserve"> framtidig bilavgiftssystem. Dagens system er </w:t>
      </w:r>
      <w:proofErr w:type="spellStart"/>
      <w:r w:rsidRPr="00B419CE">
        <w:t>ikkje</w:t>
      </w:r>
      <w:proofErr w:type="spellEnd"/>
      <w:r w:rsidRPr="00B419CE">
        <w:t xml:space="preserve"> </w:t>
      </w:r>
      <w:proofErr w:type="spellStart"/>
      <w:r w:rsidRPr="00B419CE">
        <w:t>berekraftig</w:t>
      </w:r>
      <w:proofErr w:type="spellEnd"/>
      <w:r w:rsidRPr="00B419CE">
        <w:t xml:space="preserve">. Provenyet fell kraftig, og </w:t>
      </w:r>
      <w:proofErr w:type="spellStart"/>
      <w:r w:rsidRPr="00B419CE">
        <w:t>dei</w:t>
      </w:r>
      <w:proofErr w:type="spellEnd"/>
      <w:r w:rsidRPr="00B419CE">
        <w:t xml:space="preserve"> eksterne kostnadene ved bruk av </w:t>
      </w:r>
      <w:proofErr w:type="spellStart"/>
      <w:r w:rsidRPr="00B419CE">
        <w:t>køyretøy</w:t>
      </w:r>
      <w:proofErr w:type="spellEnd"/>
      <w:r w:rsidRPr="00B419CE">
        <w:t xml:space="preserve">, </w:t>
      </w:r>
      <w:proofErr w:type="spellStart"/>
      <w:r w:rsidRPr="00B419CE">
        <w:t>utanom</w:t>
      </w:r>
      <w:proofErr w:type="spellEnd"/>
      <w:r w:rsidRPr="00B419CE">
        <w:t xml:space="preserve"> utslepp av CO</w:t>
      </w:r>
      <w:r w:rsidRPr="00B419CE">
        <w:rPr>
          <w:rStyle w:val="skrift-senket"/>
        </w:rPr>
        <w:t>2</w:t>
      </w:r>
      <w:r w:rsidRPr="00B419CE">
        <w:t xml:space="preserve">, er </w:t>
      </w:r>
      <w:proofErr w:type="spellStart"/>
      <w:r w:rsidRPr="00B419CE">
        <w:t>ikkje</w:t>
      </w:r>
      <w:proofErr w:type="spellEnd"/>
      <w:r w:rsidRPr="00B419CE">
        <w:t xml:space="preserve"> </w:t>
      </w:r>
      <w:proofErr w:type="spellStart"/>
      <w:r w:rsidRPr="00B419CE">
        <w:t>tilstrekkeleg</w:t>
      </w:r>
      <w:proofErr w:type="spellEnd"/>
      <w:r w:rsidRPr="00B419CE">
        <w:t xml:space="preserve"> prisa.</w:t>
      </w:r>
    </w:p>
    <w:p w14:paraId="28855024" w14:textId="77777777" w:rsidR="00B419CE" w:rsidRPr="00B419CE" w:rsidRDefault="00B419CE" w:rsidP="00B419CE">
      <w:r w:rsidRPr="00B419CE">
        <w:t xml:space="preserve">Det er </w:t>
      </w:r>
      <w:proofErr w:type="spellStart"/>
      <w:r w:rsidRPr="00B419CE">
        <w:t>vedteke</w:t>
      </w:r>
      <w:proofErr w:type="spellEnd"/>
      <w:r w:rsidRPr="00B419CE">
        <w:t xml:space="preserve"> </w:t>
      </w:r>
      <w:proofErr w:type="spellStart"/>
      <w:r w:rsidRPr="00B419CE">
        <w:t>enklare</w:t>
      </w:r>
      <w:proofErr w:type="spellEnd"/>
      <w:r w:rsidRPr="00B419CE">
        <w:t xml:space="preserve"> </w:t>
      </w:r>
      <w:proofErr w:type="spellStart"/>
      <w:r w:rsidRPr="00B419CE">
        <w:t>reglar</w:t>
      </w:r>
      <w:proofErr w:type="spellEnd"/>
      <w:r w:rsidRPr="00B419CE">
        <w:t xml:space="preserve"> for </w:t>
      </w:r>
      <w:proofErr w:type="spellStart"/>
      <w:r w:rsidRPr="00B419CE">
        <w:t>utanlandske</w:t>
      </w:r>
      <w:proofErr w:type="spellEnd"/>
      <w:r w:rsidRPr="00B419CE">
        <w:t xml:space="preserve"> </w:t>
      </w:r>
      <w:proofErr w:type="spellStart"/>
      <w:r w:rsidRPr="00B419CE">
        <w:t>arbeidstakarar</w:t>
      </w:r>
      <w:proofErr w:type="spellEnd"/>
      <w:r w:rsidRPr="00B419CE">
        <w:t xml:space="preserve"> på kortvarig </w:t>
      </w:r>
      <w:proofErr w:type="spellStart"/>
      <w:r w:rsidRPr="00B419CE">
        <w:t>opphald</w:t>
      </w:r>
      <w:proofErr w:type="spellEnd"/>
      <w:r w:rsidRPr="00B419CE">
        <w:t xml:space="preserve"> i </w:t>
      </w:r>
      <w:proofErr w:type="spellStart"/>
      <w:r w:rsidRPr="00B419CE">
        <w:t>Noreg</w:t>
      </w:r>
      <w:proofErr w:type="spellEnd"/>
      <w:r w:rsidRPr="00B419CE">
        <w:t xml:space="preserve">. I ordninga vert </w:t>
      </w:r>
      <w:proofErr w:type="spellStart"/>
      <w:r w:rsidRPr="00B419CE">
        <w:t>lønsinntekter</w:t>
      </w:r>
      <w:proofErr w:type="spellEnd"/>
      <w:r w:rsidRPr="00B419CE">
        <w:t xml:space="preserve"> </w:t>
      </w:r>
      <w:proofErr w:type="spellStart"/>
      <w:r w:rsidRPr="00B419CE">
        <w:t>skattlagde</w:t>
      </w:r>
      <w:proofErr w:type="spellEnd"/>
      <w:r w:rsidRPr="00B419CE">
        <w:t xml:space="preserve"> etter </w:t>
      </w:r>
      <w:proofErr w:type="spellStart"/>
      <w:r w:rsidRPr="00B419CE">
        <w:t>ein</w:t>
      </w:r>
      <w:proofErr w:type="spellEnd"/>
      <w:r w:rsidRPr="00B419CE">
        <w:t xml:space="preserve"> bruttometode med </w:t>
      </w:r>
      <w:proofErr w:type="spellStart"/>
      <w:r w:rsidRPr="00B419CE">
        <w:t>ein</w:t>
      </w:r>
      <w:proofErr w:type="spellEnd"/>
      <w:r w:rsidRPr="00B419CE">
        <w:t xml:space="preserve"> flat sats på 25 pst. Ordninga tok til å gjelde </w:t>
      </w:r>
      <w:proofErr w:type="spellStart"/>
      <w:r w:rsidRPr="00B419CE">
        <w:t>frå</w:t>
      </w:r>
      <w:proofErr w:type="spellEnd"/>
      <w:r w:rsidRPr="00B419CE">
        <w:t xml:space="preserve"> inntektsåret 2019 og skal </w:t>
      </w:r>
      <w:proofErr w:type="spellStart"/>
      <w:r w:rsidRPr="00B419CE">
        <w:t>gje</w:t>
      </w:r>
      <w:proofErr w:type="spellEnd"/>
      <w:r w:rsidRPr="00B419CE">
        <w:t xml:space="preserve"> </w:t>
      </w:r>
      <w:proofErr w:type="spellStart"/>
      <w:r w:rsidRPr="00B419CE">
        <w:t>meir</w:t>
      </w:r>
      <w:proofErr w:type="spellEnd"/>
      <w:r w:rsidRPr="00B419CE">
        <w:t xml:space="preserve"> rett skattlegging i tråd med regelverket. Det er </w:t>
      </w:r>
      <w:proofErr w:type="spellStart"/>
      <w:r w:rsidRPr="00B419CE">
        <w:t>vedteke</w:t>
      </w:r>
      <w:proofErr w:type="spellEnd"/>
      <w:r w:rsidRPr="00B419CE">
        <w:t xml:space="preserve"> nye </w:t>
      </w:r>
      <w:proofErr w:type="spellStart"/>
      <w:r w:rsidRPr="00B419CE">
        <w:t>reglar</w:t>
      </w:r>
      <w:proofErr w:type="spellEnd"/>
      <w:r w:rsidRPr="00B419CE">
        <w:t xml:space="preserve"> om kjeldeskatt på renter og royalty m.m. </w:t>
      </w:r>
      <w:proofErr w:type="spellStart"/>
      <w:r w:rsidRPr="00B419CE">
        <w:t>Reglane</w:t>
      </w:r>
      <w:proofErr w:type="spellEnd"/>
      <w:r w:rsidRPr="00B419CE">
        <w:t xml:space="preserve"> skal </w:t>
      </w:r>
      <w:proofErr w:type="spellStart"/>
      <w:r w:rsidRPr="00B419CE">
        <w:t>motverke</w:t>
      </w:r>
      <w:proofErr w:type="spellEnd"/>
      <w:r w:rsidRPr="00B419CE">
        <w:t xml:space="preserve"> </w:t>
      </w:r>
      <w:proofErr w:type="spellStart"/>
      <w:r w:rsidRPr="00B419CE">
        <w:t>overskotsflytting</w:t>
      </w:r>
      <w:proofErr w:type="spellEnd"/>
      <w:r w:rsidRPr="00B419CE">
        <w:t xml:space="preserve"> og at inntekt </w:t>
      </w:r>
      <w:proofErr w:type="spellStart"/>
      <w:r w:rsidRPr="00B419CE">
        <w:t>ikkje</w:t>
      </w:r>
      <w:proofErr w:type="spellEnd"/>
      <w:r w:rsidRPr="00B419CE">
        <w:t xml:space="preserve"> vert skattlagt. </w:t>
      </w:r>
      <w:proofErr w:type="spellStart"/>
      <w:r w:rsidRPr="00B419CE">
        <w:t>Reglane</w:t>
      </w:r>
      <w:proofErr w:type="spellEnd"/>
      <w:r w:rsidRPr="00B419CE">
        <w:t xml:space="preserve"> </w:t>
      </w:r>
      <w:proofErr w:type="spellStart"/>
      <w:r w:rsidRPr="00B419CE">
        <w:t>tek</w:t>
      </w:r>
      <w:proofErr w:type="spellEnd"/>
      <w:r w:rsidRPr="00B419CE">
        <w:t xml:space="preserve"> til å gjelde i løpet av 2021.</w:t>
      </w:r>
    </w:p>
    <w:p w14:paraId="1D604FBE" w14:textId="77777777" w:rsidR="00B419CE" w:rsidRPr="00B419CE" w:rsidRDefault="00B419CE" w:rsidP="00B419CE">
      <w:r w:rsidRPr="00B419CE">
        <w:t xml:space="preserve">Med verknad </w:t>
      </w:r>
      <w:proofErr w:type="spellStart"/>
      <w:r w:rsidRPr="00B419CE">
        <w:t>frå</w:t>
      </w:r>
      <w:proofErr w:type="spellEnd"/>
      <w:r w:rsidRPr="00B419CE">
        <w:t xml:space="preserve"> og med 2020 vart den </w:t>
      </w:r>
      <w:proofErr w:type="spellStart"/>
      <w:r w:rsidRPr="00B419CE">
        <w:t>tidlegare</w:t>
      </w:r>
      <w:proofErr w:type="spellEnd"/>
      <w:r w:rsidRPr="00B419CE">
        <w:t xml:space="preserve"> ulovfesta </w:t>
      </w:r>
      <w:proofErr w:type="spellStart"/>
      <w:r w:rsidRPr="00B419CE">
        <w:t>omgåingsregelen</w:t>
      </w:r>
      <w:proofErr w:type="spellEnd"/>
      <w:r w:rsidRPr="00B419CE">
        <w:t xml:space="preserve"> lovfesta. Etter </w:t>
      </w:r>
      <w:proofErr w:type="spellStart"/>
      <w:r w:rsidRPr="00B419CE">
        <w:t>omgåingsregelen</w:t>
      </w:r>
      <w:proofErr w:type="spellEnd"/>
      <w:r w:rsidRPr="00B419CE">
        <w:t xml:space="preserve"> kan </w:t>
      </w:r>
      <w:proofErr w:type="spellStart"/>
      <w:r w:rsidRPr="00B419CE">
        <w:t>ein</w:t>
      </w:r>
      <w:proofErr w:type="spellEnd"/>
      <w:r w:rsidRPr="00B419CE">
        <w:t xml:space="preserve"> skattepliktig miste </w:t>
      </w:r>
      <w:proofErr w:type="spellStart"/>
      <w:r w:rsidRPr="00B419CE">
        <w:t>ein</w:t>
      </w:r>
      <w:proofErr w:type="spellEnd"/>
      <w:r w:rsidRPr="00B419CE">
        <w:t xml:space="preserve"> skattefordel når </w:t>
      </w:r>
      <w:proofErr w:type="spellStart"/>
      <w:r w:rsidRPr="00B419CE">
        <w:t>hovudføremålet</w:t>
      </w:r>
      <w:proofErr w:type="spellEnd"/>
      <w:r w:rsidRPr="00B419CE">
        <w:t xml:space="preserve"> med </w:t>
      </w:r>
      <w:proofErr w:type="spellStart"/>
      <w:r w:rsidRPr="00B419CE">
        <w:t>ein</w:t>
      </w:r>
      <w:proofErr w:type="spellEnd"/>
      <w:r w:rsidRPr="00B419CE">
        <w:t xml:space="preserve"> transaksjon er å oppnå skattefordelen, og ulike vilkår er oppfylte. </w:t>
      </w:r>
      <w:proofErr w:type="spellStart"/>
      <w:r w:rsidRPr="00B419CE">
        <w:t>Ikkje</w:t>
      </w:r>
      <w:proofErr w:type="spellEnd"/>
      <w:r w:rsidRPr="00B419CE">
        <w:t xml:space="preserve"> minst omsynet til førehandsvisse for </w:t>
      </w:r>
      <w:proofErr w:type="spellStart"/>
      <w:r w:rsidRPr="00B419CE">
        <w:t>skattytarane</w:t>
      </w:r>
      <w:proofErr w:type="spellEnd"/>
      <w:r w:rsidRPr="00B419CE">
        <w:t xml:space="preserve"> taler for at </w:t>
      </w:r>
      <w:proofErr w:type="spellStart"/>
      <w:r w:rsidRPr="00B419CE">
        <w:t>ein</w:t>
      </w:r>
      <w:proofErr w:type="spellEnd"/>
      <w:r w:rsidRPr="00B419CE">
        <w:t xml:space="preserve"> så viktig regel er lovfesta. </w:t>
      </w:r>
      <w:proofErr w:type="spellStart"/>
      <w:r w:rsidRPr="00B419CE">
        <w:t>Innhaldet</w:t>
      </w:r>
      <w:proofErr w:type="spellEnd"/>
      <w:r w:rsidRPr="00B419CE">
        <w:t xml:space="preserve"> i den lovfesta regelen svarer langt på veg til </w:t>
      </w:r>
      <w:proofErr w:type="spellStart"/>
      <w:r w:rsidRPr="00B419CE">
        <w:t>innhaldet</w:t>
      </w:r>
      <w:proofErr w:type="spellEnd"/>
      <w:r w:rsidRPr="00B419CE">
        <w:t xml:space="preserve"> i den ulovfesta regelen, men med </w:t>
      </w:r>
      <w:proofErr w:type="spellStart"/>
      <w:r w:rsidRPr="00B419CE">
        <w:t>endringar</w:t>
      </w:r>
      <w:proofErr w:type="spellEnd"/>
      <w:r w:rsidRPr="00B419CE">
        <w:t xml:space="preserve"> når det </w:t>
      </w:r>
      <w:proofErr w:type="spellStart"/>
      <w:r w:rsidRPr="00B419CE">
        <w:t>gjeld</w:t>
      </w:r>
      <w:proofErr w:type="spellEnd"/>
      <w:r w:rsidRPr="00B419CE">
        <w:t xml:space="preserve"> skatt i utlandet, det </w:t>
      </w:r>
      <w:proofErr w:type="spellStart"/>
      <w:r w:rsidRPr="00B419CE">
        <w:t>føremålet</w:t>
      </w:r>
      <w:proofErr w:type="spellEnd"/>
      <w:r w:rsidRPr="00B419CE">
        <w:t xml:space="preserve"> </w:t>
      </w:r>
      <w:proofErr w:type="spellStart"/>
      <w:r w:rsidRPr="00B419CE">
        <w:t>skattytaren</w:t>
      </w:r>
      <w:proofErr w:type="spellEnd"/>
      <w:r w:rsidRPr="00B419CE">
        <w:t xml:space="preserve"> meiner å ha med </w:t>
      </w:r>
      <w:proofErr w:type="spellStart"/>
      <w:r w:rsidRPr="00B419CE">
        <w:t>ein</w:t>
      </w:r>
      <w:proofErr w:type="spellEnd"/>
      <w:r w:rsidRPr="00B419CE">
        <w:t xml:space="preserve"> transaksjon og ved at </w:t>
      </w:r>
      <w:proofErr w:type="spellStart"/>
      <w:r w:rsidRPr="00B419CE">
        <w:t>ein</w:t>
      </w:r>
      <w:proofErr w:type="spellEnd"/>
      <w:r w:rsidRPr="00B419CE">
        <w:t xml:space="preserve"> kan nytte regelen på tilfelle som er omtalt i lovforarbeider.</w:t>
      </w:r>
    </w:p>
    <w:p w14:paraId="12DFFDA0" w14:textId="77777777" w:rsidR="00B419CE" w:rsidRPr="00B419CE" w:rsidRDefault="00B419CE" w:rsidP="00B419CE">
      <w:r w:rsidRPr="00B419CE">
        <w:t xml:space="preserve">Med verknad </w:t>
      </w:r>
      <w:proofErr w:type="spellStart"/>
      <w:r w:rsidRPr="00B419CE">
        <w:t>frå</w:t>
      </w:r>
      <w:proofErr w:type="spellEnd"/>
      <w:r w:rsidRPr="00B419CE">
        <w:t xml:space="preserve"> 1. januar 2020 </w:t>
      </w:r>
      <w:proofErr w:type="spellStart"/>
      <w:r w:rsidRPr="00B419CE">
        <w:t>vart</w:t>
      </w:r>
      <w:proofErr w:type="spellEnd"/>
      <w:r w:rsidRPr="00B419CE">
        <w:t xml:space="preserve"> det innført ei plikt til å </w:t>
      </w:r>
      <w:proofErr w:type="spellStart"/>
      <w:r w:rsidRPr="00B419CE">
        <w:t>gje</w:t>
      </w:r>
      <w:proofErr w:type="spellEnd"/>
      <w:r w:rsidRPr="00B419CE">
        <w:t xml:space="preserve"> </w:t>
      </w:r>
      <w:proofErr w:type="spellStart"/>
      <w:r w:rsidRPr="00B419CE">
        <w:t>opplysningar</w:t>
      </w:r>
      <w:proofErr w:type="spellEnd"/>
      <w:r w:rsidRPr="00B419CE">
        <w:t xml:space="preserve"> </w:t>
      </w:r>
      <w:proofErr w:type="spellStart"/>
      <w:r w:rsidRPr="00B419CE">
        <w:t>frå</w:t>
      </w:r>
      <w:proofErr w:type="spellEnd"/>
      <w:r w:rsidRPr="00B419CE">
        <w:t xml:space="preserve"> digitale plattformer om </w:t>
      </w:r>
      <w:proofErr w:type="spellStart"/>
      <w:r w:rsidRPr="00B419CE">
        <w:t>utleige</w:t>
      </w:r>
      <w:proofErr w:type="spellEnd"/>
      <w:r w:rsidRPr="00B419CE">
        <w:t xml:space="preserve"> og </w:t>
      </w:r>
      <w:proofErr w:type="spellStart"/>
      <w:r w:rsidRPr="00B419CE">
        <w:t>tenester</w:t>
      </w:r>
      <w:proofErr w:type="spellEnd"/>
      <w:r w:rsidRPr="00B419CE">
        <w:t xml:space="preserve"> som vert formidla over digitale plattformer. Arbeidet </w:t>
      </w:r>
      <w:proofErr w:type="spellStart"/>
      <w:r w:rsidRPr="00B419CE">
        <w:t>følgde</w:t>
      </w:r>
      <w:proofErr w:type="spellEnd"/>
      <w:r w:rsidRPr="00B419CE">
        <w:t xml:space="preserve"> opp innstillinga </w:t>
      </w:r>
      <w:proofErr w:type="spellStart"/>
      <w:r w:rsidRPr="00B419CE">
        <w:t>frå</w:t>
      </w:r>
      <w:proofErr w:type="spellEnd"/>
      <w:r w:rsidRPr="00B419CE">
        <w:t xml:space="preserve"> </w:t>
      </w:r>
      <w:proofErr w:type="spellStart"/>
      <w:r w:rsidRPr="00B419CE">
        <w:t>Delingsøkonomiutvalet</w:t>
      </w:r>
      <w:proofErr w:type="spellEnd"/>
      <w:r w:rsidRPr="00B419CE">
        <w:t xml:space="preserve"> i NOU 2017: 4 </w:t>
      </w:r>
      <w:r w:rsidRPr="00B419CE">
        <w:rPr>
          <w:rStyle w:val="kursiv"/>
        </w:rPr>
        <w:t>Delingsøkonomien – muligheter og utfordringer</w:t>
      </w:r>
      <w:r w:rsidRPr="00B419CE">
        <w:t>.</w:t>
      </w:r>
    </w:p>
    <w:p w14:paraId="36118F2F" w14:textId="77777777" w:rsidR="00B419CE" w:rsidRPr="00B419CE" w:rsidRDefault="00B419CE" w:rsidP="00B419CE">
      <w:r w:rsidRPr="00B419CE">
        <w:t xml:space="preserve">Regjeringa har gjort viktige </w:t>
      </w:r>
      <w:proofErr w:type="spellStart"/>
      <w:r w:rsidRPr="00B419CE">
        <w:t>avklaringar</w:t>
      </w:r>
      <w:proofErr w:type="spellEnd"/>
      <w:r w:rsidRPr="00B419CE">
        <w:t xml:space="preserve"> om </w:t>
      </w:r>
      <w:proofErr w:type="spellStart"/>
      <w:r w:rsidRPr="00B419CE">
        <w:t>reglane</w:t>
      </w:r>
      <w:proofErr w:type="spellEnd"/>
      <w:r w:rsidRPr="00B419CE">
        <w:t xml:space="preserve"> for </w:t>
      </w:r>
      <w:proofErr w:type="spellStart"/>
      <w:r w:rsidRPr="00B419CE">
        <w:t>naturalytingar</w:t>
      </w:r>
      <w:proofErr w:type="spellEnd"/>
      <w:r w:rsidRPr="00B419CE">
        <w:t xml:space="preserve"> i arbeidshøve. Dette, </w:t>
      </w:r>
      <w:proofErr w:type="spellStart"/>
      <w:r w:rsidRPr="00B419CE">
        <w:t>saman</w:t>
      </w:r>
      <w:proofErr w:type="spellEnd"/>
      <w:r w:rsidRPr="00B419CE">
        <w:t xml:space="preserve"> med </w:t>
      </w:r>
      <w:proofErr w:type="spellStart"/>
      <w:r w:rsidRPr="00B419CE">
        <w:t>vesentleg</w:t>
      </w:r>
      <w:proofErr w:type="spellEnd"/>
      <w:r w:rsidRPr="00B419CE">
        <w:t xml:space="preserve"> utvida grenser for skattefrie </w:t>
      </w:r>
      <w:proofErr w:type="spellStart"/>
      <w:r w:rsidRPr="00B419CE">
        <w:t>ytingar</w:t>
      </w:r>
      <w:proofErr w:type="spellEnd"/>
      <w:r w:rsidRPr="00B419CE">
        <w:t xml:space="preserve">, gjev </w:t>
      </w:r>
      <w:proofErr w:type="spellStart"/>
      <w:r w:rsidRPr="00B419CE">
        <w:t>klårare</w:t>
      </w:r>
      <w:proofErr w:type="spellEnd"/>
      <w:r w:rsidRPr="00B419CE">
        <w:t xml:space="preserve"> </w:t>
      </w:r>
      <w:proofErr w:type="spellStart"/>
      <w:r w:rsidRPr="00B419CE">
        <w:t>reglar</w:t>
      </w:r>
      <w:proofErr w:type="spellEnd"/>
      <w:r w:rsidRPr="00B419CE">
        <w:t xml:space="preserve"> samstundes som det er stor fleksibilitet til å </w:t>
      </w:r>
      <w:proofErr w:type="spellStart"/>
      <w:r w:rsidRPr="00B419CE">
        <w:t>gje</w:t>
      </w:r>
      <w:proofErr w:type="spellEnd"/>
      <w:r w:rsidRPr="00B419CE">
        <w:t xml:space="preserve"> </w:t>
      </w:r>
      <w:proofErr w:type="spellStart"/>
      <w:r w:rsidRPr="00B419CE">
        <w:t>naturalytingar</w:t>
      </w:r>
      <w:proofErr w:type="spellEnd"/>
      <w:r w:rsidRPr="00B419CE">
        <w:t xml:space="preserve"> skattefritt i </w:t>
      </w:r>
      <w:proofErr w:type="spellStart"/>
      <w:r w:rsidRPr="00B419CE">
        <w:t>rimeleg</w:t>
      </w:r>
      <w:proofErr w:type="spellEnd"/>
      <w:r w:rsidRPr="00B419CE">
        <w:t xml:space="preserve"> omfang.</w:t>
      </w:r>
    </w:p>
    <w:p w14:paraId="5AAED06B" w14:textId="77777777" w:rsidR="00B419CE" w:rsidRPr="00B419CE" w:rsidRDefault="00B419CE" w:rsidP="00B419CE">
      <w:r w:rsidRPr="00B419CE">
        <w:t xml:space="preserve">Regjeringa har </w:t>
      </w:r>
      <w:proofErr w:type="spellStart"/>
      <w:r w:rsidRPr="00B419CE">
        <w:t>følgt</w:t>
      </w:r>
      <w:proofErr w:type="spellEnd"/>
      <w:r w:rsidRPr="00B419CE">
        <w:t xml:space="preserve"> opp oppmodinga </w:t>
      </w:r>
      <w:proofErr w:type="spellStart"/>
      <w:r w:rsidRPr="00B419CE">
        <w:t>frå</w:t>
      </w:r>
      <w:proofErr w:type="spellEnd"/>
      <w:r w:rsidRPr="00B419CE">
        <w:t xml:space="preserve"> </w:t>
      </w:r>
      <w:proofErr w:type="spellStart"/>
      <w:r w:rsidRPr="00B419CE">
        <w:t>utvalet</w:t>
      </w:r>
      <w:proofErr w:type="spellEnd"/>
      <w:r w:rsidRPr="00B419CE">
        <w:t xml:space="preserve"> </w:t>
      </w:r>
      <w:r w:rsidRPr="00B419CE">
        <w:rPr>
          <w:rStyle w:val="kursiv"/>
        </w:rPr>
        <w:t>Norge mot 2025</w:t>
      </w:r>
      <w:r w:rsidRPr="00B419CE">
        <w:t xml:space="preserve"> om å </w:t>
      </w:r>
      <w:proofErr w:type="spellStart"/>
      <w:r w:rsidRPr="00B419CE">
        <w:t>setje</w:t>
      </w:r>
      <w:proofErr w:type="spellEnd"/>
      <w:r w:rsidRPr="00B419CE">
        <w:t xml:space="preserve"> ned </w:t>
      </w:r>
      <w:proofErr w:type="spellStart"/>
      <w:r w:rsidRPr="00B419CE">
        <w:t>eit</w:t>
      </w:r>
      <w:proofErr w:type="spellEnd"/>
      <w:r w:rsidRPr="00B419CE">
        <w:t xml:space="preserve"> nytt </w:t>
      </w:r>
      <w:proofErr w:type="spellStart"/>
      <w:r w:rsidRPr="00B419CE">
        <w:t>skatteutval</w:t>
      </w:r>
      <w:proofErr w:type="spellEnd"/>
      <w:r w:rsidRPr="00B419CE">
        <w:t xml:space="preserve">. </w:t>
      </w:r>
      <w:proofErr w:type="spellStart"/>
      <w:r w:rsidRPr="00B419CE">
        <w:t>Utvalet</w:t>
      </w:r>
      <w:proofErr w:type="spellEnd"/>
      <w:r w:rsidRPr="00B419CE">
        <w:t xml:space="preserve"> skal sjå på perspektiv for framtidas skatte- og avgiftssystem og </w:t>
      </w:r>
      <w:proofErr w:type="spellStart"/>
      <w:r w:rsidRPr="00B419CE">
        <w:t>gjere</w:t>
      </w:r>
      <w:proofErr w:type="spellEnd"/>
      <w:r w:rsidRPr="00B419CE">
        <w:t xml:space="preserve"> </w:t>
      </w:r>
      <w:proofErr w:type="spellStart"/>
      <w:r w:rsidRPr="00B419CE">
        <w:t>ein</w:t>
      </w:r>
      <w:proofErr w:type="spellEnd"/>
      <w:r w:rsidRPr="00B419CE">
        <w:t xml:space="preserve"> brei gjennomgang av skattesystemet. </w:t>
      </w:r>
      <w:proofErr w:type="spellStart"/>
      <w:r w:rsidRPr="00B419CE">
        <w:t>Utvalet</w:t>
      </w:r>
      <w:proofErr w:type="spellEnd"/>
      <w:r w:rsidRPr="00B419CE">
        <w:t xml:space="preserve"> skal levere si utgreiing </w:t>
      </w:r>
      <w:proofErr w:type="spellStart"/>
      <w:r w:rsidRPr="00B419CE">
        <w:t>innan</w:t>
      </w:r>
      <w:proofErr w:type="spellEnd"/>
      <w:r w:rsidRPr="00B419CE">
        <w:t xml:space="preserve"> 1. november 2022.</w:t>
      </w:r>
    </w:p>
    <w:p w14:paraId="7F7E8A9C" w14:textId="77777777" w:rsidR="00B419CE" w:rsidRPr="00B419CE" w:rsidRDefault="00B419CE" w:rsidP="00B419CE">
      <w:pPr>
        <w:pStyle w:val="avsnitt-tittel"/>
      </w:pPr>
      <w:proofErr w:type="spellStart"/>
      <w:r w:rsidRPr="00B419CE">
        <w:t>Finansmarknadene</w:t>
      </w:r>
      <w:proofErr w:type="spellEnd"/>
    </w:p>
    <w:p w14:paraId="34987889" w14:textId="77777777" w:rsidR="00B419CE" w:rsidRPr="00B419CE" w:rsidRDefault="00B419CE" w:rsidP="00B419CE">
      <w:proofErr w:type="spellStart"/>
      <w:r w:rsidRPr="00B419CE">
        <w:t>Velfungerande</w:t>
      </w:r>
      <w:proofErr w:type="spellEnd"/>
      <w:r w:rsidRPr="00B419CE">
        <w:t xml:space="preserve"> </w:t>
      </w:r>
      <w:proofErr w:type="spellStart"/>
      <w:r w:rsidRPr="00B419CE">
        <w:t>kapitalmarknader</w:t>
      </w:r>
      <w:proofErr w:type="spellEnd"/>
      <w:r w:rsidRPr="00B419CE">
        <w:t xml:space="preserve">, godt </w:t>
      </w:r>
      <w:proofErr w:type="spellStart"/>
      <w:r w:rsidRPr="00B419CE">
        <w:t>forbrukarvern</w:t>
      </w:r>
      <w:proofErr w:type="spellEnd"/>
      <w:r w:rsidRPr="00B419CE">
        <w:t xml:space="preserve"> og trygg </w:t>
      </w:r>
      <w:proofErr w:type="spellStart"/>
      <w:r w:rsidRPr="00B419CE">
        <w:t>finansverksemd</w:t>
      </w:r>
      <w:proofErr w:type="spellEnd"/>
      <w:r w:rsidRPr="00B419CE">
        <w:t xml:space="preserve"> er viktig for vekstevna i økonomien og </w:t>
      </w:r>
      <w:proofErr w:type="spellStart"/>
      <w:r w:rsidRPr="00B419CE">
        <w:t>kvardagen</w:t>
      </w:r>
      <w:proofErr w:type="spellEnd"/>
      <w:r w:rsidRPr="00B419CE">
        <w:t xml:space="preserve"> til folk. Regjeringa har mellom anna </w:t>
      </w:r>
      <w:proofErr w:type="spellStart"/>
      <w:r w:rsidRPr="00B419CE">
        <w:t>medverka</w:t>
      </w:r>
      <w:proofErr w:type="spellEnd"/>
      <w:r w:rsidRPr="00B419CE">
        <w:t xml:space="preserve"> til </w:t>
      </w:r>
      <w:proofErr w:type="spellStart"/>
      <w:r w:rsidRPr="00B419CE">
        <w:t>likare</w:t>
      </w:r>
      <w:proofErr w:type="spellEnd"/>
      <w:r w:rsidRPr="00B419CE">
        <w:t xml:space="preserve"> kapitalkrav for norske og </w:t>
      </w:r>
      <w:proofErr w:type="spellStart"/>
      <w:r w:rsidRPr="00B419CE">
        <w:t>utanlandske</w:t>
      </w:r>
      <w:proofErr w:type="spellEnd"/>
      <w:r w:rsidRPr="00B419CE">
        <w:t xml:space="preserve"> </w:t>
      </w:r>
      <w:proofErr w:type="spellStart"/>
      <w:r w:rsidRPr="00B419CE">
        <w:t>bankar</w:t>
      </w:r>
      <w:proofErr w:type="spellEnd"/>
      <w:r w:rsidRPr="00B419CE">
        <w:t xml:space="preserve">, styrkt </w:t>
      </w:r>
      <w:proofErr w:type="spellStart"/>
      <w:r w:rsidRPr="00B419CE">
        <w:t>innskotsgarantien</w:t>
      </w:r>
      <w:proofErr w:type="spellEnd"/>
      <w:r w:rsidRPr="00B419CE">
        <w:t xml:space="preserve"> og verktøykassa for krisehandtering, </w:t>
      </w:r>
      <w:proofErr w:type="spellStart"/>
      <w:r w:rsidRPr="00B419CE">
        <w:t>vidareført</w:t>
      </w:r>
      <w:proofErr w:type="spellEnd"/>
      <w:r w:rsidRPr="00B419CE">
        <w:t xml:space="preserve"> reguleringa av utlånspraksis i </w:t>
      </w:r>
      <w:proofErr w:type="spellStart"/>
      <w:r w:rsidRPr="00B419CE">
        <w:t>bankane</w:t>
      </w:r>
      <w:proofErr w:type="spellEnd"/>
      <w:r w:rsidRPr="00B419CE">
        <w:t xml:space="preserve"> og </w:t>
      </w:r>
      <w:proofErr w:type="spellStart"/>
      <w:r w:rsidRPr="00B419CE">
        <w:lastRenderedPageBreak/>
        <w:t>treft</w:t>
      </w:r>
      <w:proofErr w:type="spellEnd"/>
      <w:r w:rsidRPr="00B419CE">
        <w:t xml:space="preserve"> tiltak for </w:t>
      </w:r>
      <w:proofErr w:type="spellStart"/>
      <w:r w:rsidRPr="00B419CE">
        <w:t>ein</w:t>
      </w:r>
      <w:proofErr w:type="spellEnd"/>
      <w:r w:rsidRPr="00B419CE">
        <w:t xml:space="preserve"> </w:t>
      </w:r>
      <w:proofErr w:type="spellStart"/>
      <w:r w:rsidRPr="00B419CE">
        <w:t>meir</w:t>
      </w:r>
      <w:proofErr w:type="spellEnd"/>
      <w:r w:rsidRPr="00B419CE">
        <w:t xml:space="preserve"> </w:t>
      </w:r>
      <w:proofErr w:type="spellStart"/>
      <w:r w:rsidRPr="00B419CE">
        <w:t>velfungerande</w:t>
      </w:r>
      <w:proofErr w:type="spellEnd"/>
      <w:r w:rsidRPr="00B419CE">
        <w:t xml:space="preserve"> </w:t>
      </w:r>
      <w:proofErr w:type="spellStart"/>
      <w:r w:rsidRPr="00B419CE">
        <w:t>marknad</w:t>
      </w:r>
      <w:proofErr w:type="spellEnd"/>
      <w:r w:rsidRPr="00B419CE">
        <w:t xml:space="preserve"> for forbrukslån. Regjeringa har utvikla den norske </w:t>
      </w:r>
      <w:proofErr w:type="spellStart"/>
      <w:r w:rsidRPr="00B419CE">
        <w:t>verdipapirmarknaden</w:t>
      </w:r>
      <w:proofErr w:type="spellEnd"/>
      <w:r w:rsidRPr="00B419CE">
        <w:t xml:space="preserve"> ved mellom anna å </w:t>
      </w:r>
      <w:proofErr w:type="spellStart"/>
      <w:r w:rsidRPr="00B419CE">
        <w:t>auke</w:t>
      </w:r>
      <w:proofErr w:type="spellEnd"/>
      <w:r w:rsidRPr="00B419CE">
        <w:t xml:space="preserve"> investorvernet</w:t>
      </w:r>
    </w:p>
    <w:p w14:paraId="5854EEF8" w14:textId="77777777" w:rsidR="00B419CE" w:rsidRPr="00B419CE" w:rsidRDefault="00B419CE" w:rsidP="00B419CE">
      <w:r w:rsidRPr="00B419CE">
        <w:t xml:space="preserve">Regjeringa har gjennomført </w:t>
      </w:r>
      <w:proofErr w:type="spellStart"/>
      <w:r w:rsidRPr="00B419CE">
        <w:t>fleire</w:t>
      </w:r>
      <w:proofErr w:type="spellEnd"/>
      <w:r w:rsidRPr="00B419CE">
        <w:t xml:space="preserve"> viktige </w:t>
      </w:r>
      <w:proofErr w:type="spellStart"/>
      <w:r w:rsidRPr="00B419CE">
        <w:t>regelverksendringar</w:t>
      </w:r>
      <w:proofErr w:type="spellEnd"/>
      <w:r w:rsidRPr="00B419CE">
        <w:t xml:space="preserve"> for </w:t>
      </w:r>
      <w:proofErr w:type="spellStart"/>
      <w:r w:rsidRPr="00B419CE">
        <w:t>dei</w:t>
      </w:r>
      <w:proofErr w:type="spellEnd"/>
      <w:r w:rsidRPr="00B419CE">
        <w:t xml:space="preserve"> private </w:t>
      </w:r>
      <w:proofErr w:type="spellStart"/>
      <w:r w:rsidRPr="00B419CE">
        <w:t>tenestepensjonsordningane</w:t>
      </w:r>
      <w:proofErr w:type="spellEnd"/>
      <w:r w:rsidRPr="00B419CE">
        <w:t xml:space="preserve">, mellom anna gjennom etablering av eigen pensjonskonto. Måla for </w:t>
      </w:r>
      <w:proofErr w:type="spellStart"/>
      <w:r w:rsidRPr="00B419CE">
        <w:t>desse</w:t>
      </w:r>
      <w:proofErr w:type="spellEnd"/>
      <w:r w:rsidRPr="00B419CE">
        <w:t xml:space="preserve"> </w:t>
      </w:r>
      <w:proofErr w:type="spellStart"/>
      <w:r w:rsidRPr="00B419CE">
        <w:t>endringane</w:t>
      </w:r>
      <w:proofErr w:type="spellEnd"/>
      <w:r w:rsidRPr="00B419CE">
        <w:t xml:space="preserve"> er tryggleik for opptente </w:t>
      </w:r>
      <w:proofErr w:type="spellStart"/>
      <w:r w:rsidRPr="00B419CE">
        <w:t>pensjonar</w:t>
      </w:r>
      <w:proofErr w:type="spellEnd"/>
      <w:r w:rsidRPr="00B419CE">
        <w:t xml:space="preserve">, større </w:t>
      </w:r>
      <w:proofErr w:type="spellStart"/>
      <w:r w:rsidRPr="00B419CE">
        <w:t>valfridom</w:t>
      </w:r>
      <w:proofErr w:type="spellEnd"/>
      <w:r w:rsidRPr="00B419CE">
        <w:t xml:space="preserve"> og ei effektiv og rasjonell forvaltning av pensjonskapital. Regjeringa har òg foreslått </w:t>
      </w:r>
      <w:proofErr w:type="spellStart"/>
      <w:r w:rsidRPr="00B419CE">
        <w:t>pensjonsopptening</w:t>
      </w:r>
      <w:proofErr w:type="spellEnd"/>
      <w:r w:rsidRPr="00B419CE">
        <w:t xml:space="preserve"> </w:t>
      </w:r>
      <w:proofErr w:type="spellStart"/>
      <w:r w:rsidRPr="00B419CE">
        <w:t>frå</w:t>
      </w:r>
      <w:proofErr w:type="spellEnd"/>
      <w:r w:rsidRPr="00B419CE">
        <w:t xml:space="preserve"> fyrste krone.</w:t>
      </w:r>
    </w:p>
    <w:p w14:paraId="4D6079B5" w14:textId="77777777" w:rsidR="00B419CE" w:rsidRPr="00B419CE" w:rsidRDefault="00B419CE" w:rsidP="00B419CE">
      <w:r w:rsidRPr="00B419CE">
        <w:t xml:space="preserve">Regjeringa har lagt til rette for nye </w:t>
      </w:r>
      <w:proofErr w:type="spellStart"/>
      <w:r w:rsidRPr="00B419CE">
        <w:t>forretningsmodellar</w:t>
      </w:r>
      <w:proofErr w:type="spellEnd"/>
      <w:r w:rsidRPr="00B419CE">
        <w:t xml:space="preserve"> og bruk av ny teknologi i den finansielle </w:t>
      </w:r>
      <w:proofErr w:type="spellStart"/>
      <w:r w:rsidRPr="00B419CE">
        <w:t>tenesteproduksjonen</w:t>
      </w:r>
      <w:proofErr w:type="spellEnd"/>
      <w:r w:rsidRPr="00B419CE">
        <w:t xml:space="preserve">. Det er etablert ei regulatorisk sandkasse for </w:t>
      </w:r>
      <w:proofErr w:type="spellStart"/>
      <w:r w:rsidRPr="00B419CE">
        <w:t>fintech</w:t>
      </w:r>
      <w:proofErr w:type="spellEnd"/>
      <w:r w:rsidRPr="00B419CE">
        <w:t xml:space="preserve"> i regi av Finanstilsynet.</w:t>
      </w:r>
    </w:p>
    <w:p w14:paraId="0929F7E3" w14:textId="77777777" w:rsidR="00B419CE" w:rsidRPr="00B419CE" w:rsidRDefault="00B419CE" w:rsidP="00B419CE">
      <w:r w:rsidRPr="00B419CE">
        <w:t xml:space="preserve">Regjeringa har </w:t>
      </w:r>
      <w:proofErr w:type="spellStart"/>
      <w:r w:rsidRPr="00B419CE">
        <w:t>arbeidd</w:t>
      </w:r>
      <w:proofErr w:type="spellEnd"/>
      <w:r w:rsidRPr="00B419CE">
        <w:t xml:space="preserve"> for å dreie privat kapital over mot </w:t>
      </w:r>
      <w:proofErr w:type="spellStart"/>
      <w:r w:rsidRPr="00B419CE">
        <w:t>meir</w:t>
      </w:r>
      <w:proofErr w:type="spellEnd"/>
      <w:r w:rsidRPr="00B419CE">
        <w:t xml:space="preserve"> </w:t>
      </w:r>
      <w:proofErr w:type="spellStart"/>
      <w:r w:rsidRPr="00B419CE">
        <w:t>berekraftige</w:t>
      </w:r>
      <w:proofErr w:type="spellEnd"/>
      <w:r w:rsidRPr="00B419CE">
        <w:t xml:space="preserve"> </w:t>
      </w:r>
      <w:proofErr w:type="spellStart"/>
      <w:r w:rsidRPr="00B419CE">
        <w:t>investeringar</w:t>
      </w:r>
      <w:proofErr w:type="spellEnd"/>
      <w:r w:rsidRPr="00B419CE">
        <w:t xml:space="preserve">, handtering av finansiell risiko som </w:t>
      </w:r>
      <w:proofErr w:type="spellStart"/>
      <w:r w:rsidRPr="00B419CE">
        <w:t>følgje</w:t>
      </w:r>
      <w:proofErr w:type="spellEnd"/>
      <w:r w:rsidRPr="00B419CE">
        <w:t xml:space="preserve"> av </w:t>
      </w:r>
      <w:proofErr w:type="spellStart"/>
      <w:r w:rsidRPr="00B419CE">
        <w:t>klimaendringar</w:t>
      </w:r>
      <w:proofErr w:type="spellEnd"/>
      <w:r w:rsidRPr="00B419CE">
        <w:t xml:space="preserve"> og </w:t>
      </w:r>
      <w:proofErr w:type="spellStart"/>
      <w:r w:rsidRPr="00B419CE">
        <w:t>fremje</w:t>
      </w:r>
      <w:proofErr w:type="spellEnd"/>
      <w:r w:rsidRPr="00B419CE">
        <w:t xml:space="preserve"> </w:t>
      </w:r>
      <w:proofErr w:type="spellStart"/>
      <w:r w:rsidRPr="00B419CE">
        <w:t>openheit</w:t>
      </w:r>
      <w:proofErr w:type="spellEnd"/>
      <w:r w:rsidRPr="00B419CE">
        <w:t xml:space="preserve"> og </w:t>
      </w:r>
      <w:proofErr w:type="spellStart"/>
      <w:r w:rsidRPr="00B419CE">
        <w:t>langsiktigheit</w:t>
      </w:r>
      <w:proofErr w:type="spellEnd"/>
      <w:r w:rsidRPr="00B419CE">
        <w:t xml:space="preserve"> i </w:t>
      </w:r>
      <w:proofErr w:type="spellStart"/>
      <w:r w:rsidRPr="00B419CE">
        <w:t>finansmarknadene</w:t>
      </w:r>
      <w:proofErr w:type="spellEnd"/>
      <w:r w:rsidRPr="00B419CE">
        <w:t>.</w:t>
      </w:r>
    </w:p>
    <w:p w14:paraId="2A177EDB" w14:textId="77777777" w:rsidR="00B419CE" w:rsidRPr="00B419CE" w:rsidRDefault="00B419CE" w:rsidP="00B419CE">
      <w:r w:rsidRPr="00B419CE">
        <w:t xml:space="preserve">Regjeringa har styrkt innsatsen mot kvitvasking og terrorfinansiering og lagt fram </w:t>
      </w:r>
      <w:proofErr w:type="spellStart"/>
      <w:r w:rsidRPr="00B419CE">
        <w:t>ein</w:t>
      </w:r>
      <w:proofErr w:type="spellEnd"/>
      <w:r w:rsidRPr="00B419CE">
        <w:t xml:space="preserve"> ny strategi mot kvitvasking, terrorfinansiering og finansiering av spreiing av </w:t>
      </w:r>
      <w:proofErr w:type="spellStart"/>
      <w:r w:rsidRPr="00B419CE">
        <w:t>masseøydeleggingsvåpen</w:t>
      </w:r>
      <w:proofErr w:type="spellEnd"/>
      <w:r w:rsidRPr="00B419CE">
        <w:t>.</w:t>
      </w:r>
    </w:p>
    <w:p w14:paraId="626A64A8" w14:textId="77777777" w:rsidR="00B419CE" w:rsidRPr="00B419CE" w:rsidRDefault="00B419CE" w:rsidP="00B419CE">
      <w:pPr>
        <w:pStyle w:val="avsnitt-tittel"/>
      </w:pPr>
      <w:r w:rsidRPr="00B419CE">
        <w:t xml:space="preserve">Effektiv bruk av </w:t>
      </w:r>
      <w:proofErr w:type="spellStart"/>
      <w:r w:rsidRPr="00B419CE">
        <w:t>ressursar</w:t>
      </w:r>
      <w:proofErr w:type="spellEnd"/>
    </w:p>
    <w:p w14:paraId="26A47DB7" w14:textId="77777777" w:rsidR="00B419CE" w:rsidRPr="00B419CE" w:rsidRDefault="00B419CE" w:rsidP="00B419CE">
      <w:r w:rsidRPr="00B419CE">
        <w:t xml:space="preserve">Regjeringa </w:t>
      </w:r>
      <w:proofErr w:type="spellStart"/>
      <w:r w:rsidRPr="00B419CE">
        <w:t>byggjer</w:t>
      </w:r>
      <w:proofErr w:type="spellEnd"/>
      <w:r w:rsidRPr="00B419CE">
        <w:t xml:space="preserve"> politikken sin på </w:t>
      </w:r>
      <w:proofErr w:type="spellStart"/>
      <w:r w:rsidRPr="00B419CE">
        <w:t>ein</w:t>
      </w:r>
      <w:proofErr w:type="spellEnd"/>
      <w:r w:rsidRPr="00B419CE">
        <w:t xml:space="preserve"> effektiv bruk av fellesskapets </w:t>
      </w:r>
      <w:proofErr w:type="spellStart"/>
      <w:r w:rsidRPr="00B419CE">
        <w:t>ressursar</w:t>
      </w:r>
      <w:proofErr w:type="spellEnd"/>
      <w:r w:rsidRPr="00B419CE">
        <w:t xml:space="preserve"> og har i perioden styrkt arbeidet for gode </w:t>
      </w:r>
      <w:proofErr w:type="spellStart"/>
      <w:r w:rsidRPr="00B419CE">
        <w:t>utgreiingar</w:t>
      </w:r>
      <w:proofErr w:type="spellEnd"/>
      <w:r w:rsidRPr="00B419CE">
        <w:t xml:space="preserve"> og god ressursbruk. Gjennom avbyråkratiserings- og </w:t>
      </w:r>
      <w:proofErr w:type="spellStart"/>
      <w:r w:rsidRPr="00B419CE">
        <w:t>effektiviseringsreforma</w:t>
      </w:r>
      <w:proofErr w:type="spellEnd"/>
      <w:r w:rsidRPr="00B419CE">
        <w:t xml:space="preserve"> vert det gitt insentiv til </w:t>
      </w:r>
      <w:proofErr w:type="spellStart"/>
      <w:r w:rsidRPr="00B419CE">
        <w:t>meir</w:t>
      </w:r>
      <w:proofErr w:type="spellEnd"/>
      <w:r w:rsidRPr="00B419CE">
        <w:t xml:space="preserve"> effektiv </w:t>
      </w:r>
      <w:proofErr w:type="spellStart"/>
      <w:r w:rsidRPr="00B419CE">
        <w:t>statleg</w:t>
      </w:r>
      <w:proofErr w:type="spellEnd"/>
      <w:r w:rsidRPr="00B419CE">
        <w:t xml:space="preserve"> drift. </w:t>
      </w:r>
      <w:proofErr w:type="spellStart"/>
      <w:r w:rsidRPr="00B419CE">
        <w:t>Frå</w:t>
      </w:r>
      <w:proofErr w:type="spellEnd"/>
      <w:r w:rsidRPr="00B419CE">
        <w:t xml:space="preserve"> og med saldert budsjett 2018 og til og med saldert budsjett 2021 har </w:t>
      </w:r>
      <w:proofErr w:type="spellStart"/>
      <w:r w:rsidRPr="00B419CE">
        <w:t>ein</w:t>
      </w:r>
      <w:proofErr w:type="spellEnd"/>
      <w:r w:rsidRPr="00B419CE">
        <w:t xml:space="preserve"> gjennom denne reforma </w:t>
      </w:r>
      <w:proofErr w:type="spellStart"/>
      <w:r w:rsidRPr="00B419CE">
        <w:t>trekt</w:t>
      </w:r>
      <w:proofErr w:type="spellEnd"/>
      <w:r w:rsidRPr="00B419CE">
        <w:t xml:space="preserve"> inn vel 7,7 mrd. kroner til andre prioriterte </w:t>
      </w:r>
      <w:proofErr w:type="spellStart"/>
      <w:r w:rsidRPr="00B419CE">
        <w:t>føremål</w:t>
      </w:r>
      <w:proofErr w:type="spellEnd"/>
      <w:r w:rsidRPr="00B419CE">
        <w:t xml:space="preserve"> som tiltak innafor utdanning, helse og samferdsel</w:t>
      </w:r>
    </w:p>
    <w:p w14:paraId="0F77928D" w14:textId="77777777" w:rsidR="00B419CE" w:rsidRPr="00B419CE" w:rsidRDefault="00B419CE" w:rsidP="00B419CE">
      <w:r w:rsidRPr="00B419CE">
        <w:t xml:space="preserve">Regjeringa har gjennomført ei </w:t>
      </w:r>
      <w:proofErr w:type="spellStart"/>
      <w:r w:rsidRPr="00B419CE">
        <w:t>rekkje</w:t>
      </w:r>
      <w:proofErr w:type="spellEnd"/>
      <w:r w:rsidRPr="00B419CE">
        <w:t xml:space="preserve"> </w:t>
      </w:r>
      <w:proofErr w:type="spellStart"/>
      <w:r w:rsidRPr="00B419CE">
        <w:t>djupare</w:t>
      </w:r>
      <w:proofErr w:type="spellEnd"/>
      <w:r w:rsidRPr="00B419CE">
        <w:t xml:space="preserve"> </w:t>
      </w:r>
      <w:proofErr w:type="spellStart"/>
      <w:r w:rsidRPr="00B419CE">
        <w:t>analysar</w:t>
      </w:r>
      <w:proofErr w:type="spellEnd"/>
      <w:r w:rsidRPr="00B419CE">
        <w:t xml:space="preserve"> av </w:t>
      </w:r>
      <w:proofErr w:type="spellStart"/>
      <w:r w:rsidRPr="00B419CE">
        <w:t>utvalde</w:t>
      </w:r>
      <w:proofErr w:type="spellEnd"/>
      <w:r w:rsidRPr="00B419CE">
        <w:t xml:space="preserve"> område for å identifisere effektiviseringspotensial og betre målretting av ressursbruken over statsbudsjettet. For å </w:t>
      </w:r>
      <w:proofErr w:type="spellStart"/>
      <w:r w:rsidRPr="00B419CE">
        <w:t>styrkje</w:t>
      </w:r>
      <w:proofErr w:type="spellEnd"/>
      <w:r w:rsidRPr="00B419CE">
        <w:t xml:space="preserve"> </w:t>
      </w:r>
      <w:proofErr w:type="spellStart"/>
      <w:r w:rsidRPr="00B419CE">
        <w:t>merksemda</w:t>
      </w:r>
      <w:proofErr w:type="spellEnd"/>
      <w:r w:rsidRPr="00B419CE">
        <w:t xml:space="preserve"> og kompetansen på området har regjeringa starta med å utvikle Direktoratet for forvaltning og økonomistyring til </w:t>
      </w:r>
      <w:proofErr w:type="spellStart"/>
      <w:r w:rsidRPr="00B419CE">
        <w:t>eit</w:t>
      </w:r>
      <w:proofErr w:type="spellEnd"/>
      <w:r w:rsidRPr="00B419CE">
        <w:t xml:space="preserve"> kompetansesenter for </w:t>
      </w:r>
      <w:proofErr w:type="spellStart"/>
      <w:r w:rsidRPr="00B419CE">
        <w:t>offentleg</w:t>
      </w:r>
      <w:proofErr w:type="spellEnd"/>
      <w:r w:rsidRPr="00B419CE">
        <w:t xml:space="preserve"> ressursbruk.</w:t>
      </w:r>
    </w:p>
    <w:p w14:paraId="793DE01E" w14:textId="77777777" w:rsidR="00B419CE" w:rsidRPr="00B419CE" w:rsidRDefault="00B419CE" w:rsidP="00B419CE">
      <w:pPr>
        <w:pStyle w:val="avsnitt-tittel"/>
      </w:pPr>
      <w:r w:rsidRPr="00B419CE">
        <w:t xml:space="preserve">Overføring av </w:t>
      </w:r>
      <w:proofErr w:type="spellStart"/>
      <w:r w:rsidRPr="00B419CE">
        <w:t>skatteoppkrevjinga</w:t>
      </w:r>
      <w:proofErr w:type="spellEnd"/>
      <w:r w:rsidRPr="00B419CE">
        <w:t xml:space="preserve"> </w:t>
      </w:r>
      <w:proofErr w:type="spellStart"/>
      <w:r w:rsidRPr="00B419CE">
        <w:t>frå</w:t>
      </w:r>
      <w:proofErr w:type="spellEnd"/>
      <w:r w:rsidRPr="00B419CE">
        <w:t xml:space="preserve"> </w:t>
      </w:r>
      <w:proofErr w:type="spellStart"/>
      <w:r w:rsidRPr="00B419CE">
        <w:t>kommunane</w:t>
      </w:r>
      <w:proofErr w:type="spellEnd"/>
      <w:r w:rsidRPr="00B419CE">
        <w:t xml:space="preserve"> til Skatteetaten</w:t>
      </w:r>
    </w:p>
    <w:p w14:paraId="55CBE83E" w14:textId="77777777" w:rsidR="00B419CE" w:rsidRPr="00B419CE" w:rsidRDefault="00B419CE" w:rsidP="00B419CE">
      <w:proofErr w:type="spellStart"/>
      <w:r w:rsidRPr="00B419CE">
        <w:t>Frå</w:t>
      </w:r>
      <w:proofErr w:type="spellEnd"/>
      <w:r w:rsidRPr="00B419CE">
        <w:t xml:space="preserve"> 1. november 2020 er ansvaret for </w:t>
      </w:r>
      <w:proofErr w:type="spellStart"/>
      <w:r w:rsidRPr="00B419CE">
        <w:t>skatteoppkrevjinga</w:t>
      </w:r>
      <w:proofErr w:type="spellEnd"/>
      <w:r w:rsidRPr="00B419CE">
        <w:t xml:space="preserve"> overført </w:t>
      </w:r>
      <w:proofErr w:type="spellStart"/>
      <w:r w:rsidRPr="00B419CE">
        <w:t>frå</w:t>
      </w:r>
      <w:proofErr w:type="spellEnd"/>
      <w:r w:rsidRPr="00B419CE">
        <w:t xml:space="preserve"> </w:t>
      </w:r>
      <w:proofErr w:type="spellStart"/>
      <w:r w:rsidRPr="00B419CE">
        <w:t>kommunane</w:t>
      </w:r>
      <w:proofErr w:type="spellEnd"/>
      <w:r w:rsidRPr="00B419CE">
        <w:t xml:space="preserve"> til Skatteetaten. Med ny organisering har Skatteetaten </w:t>
      </w:r>
      <w:proofErr w:type="spellStart"/>
      <w:r w:rsidRPr="00B419CE">
        <w:t>eit</w:t>
      </w:r>
      <w:proofErr w:type="spellEnd"/>
      <w:r w:rsidRPr="00B419CE">
        <w:t xml:space="preserve"> </w:t>
      </w:r>
      <w:proofErr w:type="spellStart"/>
      <w:r w:rsidRPr="00B419CE">
        <w:t>heilskapleg</w:t>
      </w:r>
      <w:proofErr w:type="spellEnd"/>
      <w:r w:rsidRPr="00B419CE">
        <w:t xml:space="preserve"> ansvar for </w:t>
      </w:r>
      <w:proofErr w:type="spellStart"/>
      <w:r w:rsidRPr="00B419CE">
        <w:t>fastsetjing</w:t>
      </w:r>
      <w:proofErr w:type="spellEnd"/>
      <w:r w:rsidRPr="00B419CE">
        <w:t xml:space="preserve">, </w:t>
      </w:r>
      <w:proofErr w:type="spellStart"/>
      <w:r w:rsidRPr="00B419CE">
        <w:t>innkrevjing</w:t>
      </w:r>
      <w:proofErr w:type="spellEnd"/>
      <w:r w:rsidRPr="00B419CE">
        <w:t xml:space="preserve"> og kontroll av </w:t>
      </w:r>
      <w:proofErr w:type="spellStart"/>
      <w:r w:rsidRPr="00B419CE">
        <w:t>skattar</w:t>
      </w:r>
      <w:proofErr w:type="spellEnd"/>
      <w:r w:rsidRPr="00B419CE">
        <w:t xml:space="preserve"> og avgifter. </w:t>
      </w:r>
      <w:proofErr w:type="spellStart"/>
      <w:r w:rsidRPr="00B419CE">
        <w:t>Eit</w:t>
      </w:r>
      <w:proofErr w:type="spellEnd"/>
      <w:r w:rsidRPr="00B419CE">
        <w:t xml:space="preserve"> viktig </w:t>
      </w:r>
      <w:proofErr w:type="spellStart"/>
      <w:r w:rsidRPr="00B419CE">
        <w:t>føremål</w:t>
      </w:r>
      <w:proofErr w:type="spellEnd"/>
      <w:r w:rsidRPr="00B419CE">
        <w:t xml:space="preserve"> med overføringa er større og betre fagmiljø, </w:t>
      </w:r>
      <w:proofErr w:type="spellStart"/>
      <w:r w:rsidRPr="00B419CE">
        <w:t>auka</w:t>
      </w:r>
      <w:proofErr w:type="spellEnd"/>
      <w:r w:rsidRPr="00B419CE">
        <w:t xml:space="preserve"> grad av likebehandling av </w:t>
      </w:r>
      <w:proofErr w:type="spellStart"/>
      <w:r w:rsidRPr="00B419CE">
        <w:t>skattytarar</w:t>
      </w:r>
      <w:proofErr w:type="spellEnd"/>
      <w:r w:rsidRPr="00B419CE">
        <w:t xml:space="preserve"> og betre rettstryggleik. For </w:t>
      </w:r>
      <w:proofErr w:type="spellStart"/>
      <w:r w:rsidRPr="00B419CE">
        <w:t>dei</w:t>
      </w:r>
      <w:proofErr w:type="spellEnd"/>
      <w:r w:rsidRPr="00B419CE">
        <w:t xml:space="preserve"> skatte- og avgiftspliktige er det ei forenkling </w:t>
      </w:r>
      <w:proofErr w:type="spellStart"/>
      <w:r w:rsidRPr="00B419CE">
        <w:t>sidan</w:t>
      </w:r>
      <w:proofErr w:type="spellEnd"/>
      <w:r w:rsidRPr="00B419CE">
        <w:t xml:space="preserve"> </w:t>
      </w:r>
      <w:proofErr w:type="spellStart"/>
      <w:r w:rsidRPr="00B419CE">
        <w:t>dei</w:t>
      </w:r>
      <w:proofErr w:type="spellEnd"/>
      <w:r w:rsidRPr="00B419CE">
        <w:t xml:space="preserve"> </w:t>
      </w:r>
      <w:proofErr w:type="spellStart"/>
      <w:r w:rsidRPr="00B419CE">
        <w:t>no</w:t>
      </w:r>
      <w:proofErr w:type="spellEnd"/>
      <w:r w:rsidRPr="00B419CE">
        <w:t xml:space="preserve"> </w:t>
      </w:r>
      <w:proofErr w:type="spellStart"/>
      <w:r w:rsidRPr="00B419CE">
        <w:t>berre</w:t>
      </w:r>
      <w:proofErr w:type="spellEnd"/>
      <w:r w:rsidRPr="00B419CE">
        <w:t xml:space="preserve"> treng å ha kontakt med </w:t>
      </w:r>
      <w:proofErr w:type="spellStart"/>
      <w:r w:rsidRPr="00B419CE">
        <w:t>ein</w:t>
      </w:r>
      <w:proofErr w:type="spellEnd"/>
      <w:r w:rsidRPr="00B419CE">
        <w:t xml:space="preserve"> etat med heile ansvaret for </w:t>
      </w:r>
      <w:proofErr w:type="spellStart"/>
      <w:r w:rsidRPr="00B419CE">
        <w:t>fastsetjing</w:t>
      </w:r>
      <w:proofErr w:type="spellEnd"/>
      <w:r w:rsidRPr="00B419CE">
        <w:t xml:space="preserve">, </w:t>
      </w:r>
      <w:proofErr w:type="spellStart"/>
      <w:r w:rsidRPr="00B419CE">
        <w:t>innkrevjing</w:t>
      </w:r>
      <w:proofErr w:type="spellEnd"/>
      <w:r w:rsidRPr="00B419CE">
        <w:t xml:space="preserve"> og kontroll av </w:t>
      </w:r>
      <w:proofErr w:type="spellStart"/>
      <w:r w:rsidRPr="00B419CE">
        <w:t>skattar</w:t>
      </w:r>
      <w:proofErr w:type="spellEnd"/>
      <w:r w:rsidRPr="00B419CE">
        <w:t xml:space="preserve"> og avgifter. </w:t>
      </w:r>
      <w:proofErr w:type="spellStart"/>
      <w:r w:rsidRPr="00B419CE">
        <w:t>Endå</w:t>
      </w:r>
      <w:proofErr w:type="spellEnd"/>
      <w:r w:rsidRPr="00B419CE">
        <w:t xml:space="preserve"> </w:t>
      </w:r>
      <w:proofErr w:type="spellStart"/>
      <w:r w:rsidRPr="00B419CE">
        <w:t>viktigare</w:t>
      </w:r>
      <w:proofErr w:type="spellEnd"/>
      <w:r w:rsidRPr="00B419CE">
        <w:t xml:space="preserve"> er kampen mot svart økonomi og arbeidslivskriminalitet. </w:t>
      </w:r>
      <w:proofErr w:type="spellStart"/>
      <w:r w:rsidRPr="00B419CE">
        <w:t>Skatteoppkrevjinga</w:t>
      </w:r>
      <w:proofErr w:type="spellEnd"/>
      <w:r w:rsidRPr="00B419CE">
        <w:t xml:space="preserve"> er </w:t>
      </w:r>
      <w:proofErr w:type="spellStart"/>
      <w:r w:rsidRPr="00B419CE">
        <w:t>no</w:t>
      </w:r>
      <w:proofErr w:type="spellEnd"/>
      <w:r w:rsidRPr="00B419CE">
        <w:t xml:space="preserve"> lokalisert til 40 skattekontor, </w:t>
      </w:r>
      <w:proofErr w:type="spellStart"/>
      <w:r w:rsidRPr="00B419CE">
        <w:t>medan</w:t>
      </w:r>
      <w:proofErr w:type="spellEnd"/>
      <w:r w:rsidRPr="00B419CE">
        <w:t xml:space="preserve"> </w:t>
      </w:r>
      <w:proofErr w:type="spellStart"/>
      <w:r w:rsidRPr="00B419CE">
        <w:t>dei</w:t>
      </w:r>
      <w:proofErr w:type="spellEnd"/>
      <w:r w:rsidRPr="00B419CE">
        <w:t xml:space="preserve"> </w:t>
      </w:r>
      <w:proofErr w:type="spellStart"/>
      <w:r w:rsidRPr="00B419CE">
        <w:t>resterande</w:t>
      </w:r>
      <w:proofErr w:type="spellEnd"/>
      <w:r w:rsidRPr="00B419CE">
        <w:t xml:space="preserve"> 16 skattekontora (Svalbard </w:t>
      </w:r>
      <w:proofErr w:type="spellStart"/>
      <w:r w:rsidRPr="00B419CE">
        <w:t>unnateke</w:t>
      </w:r>
      <w:proofErr w:type="spellEnd"/>
      <w:r w:rsidRPr="00B419CE">
        <w:t xml:space="preserve">) òg kan </w:t>
      </w:r>
      <w:proofErr w:type="spellStart"/>
      <w:r w:rsidRPr="00B419CE">
        <w:t>gje</w:t>
      </w:r>
      <w:proofErr w:type="spellEnd"/>
      <w:r w:rsidRPr="00B419CE">
        <w:t xml:space="preserve"> rettleiing i samband med </w:t>
      </w:r>
      <w:proofErr w:type="spellStart"/>
      <w:r w:rsidRPr="00B419CE">
        <w:t>skatteoppkrevjinga</w:t>
      </w:r>
      <w:proofErr w:type="spellEnd"/>
      <w:r w:rsidRPr="00B419CE">
        <w:t xml:space="preserve">. Endringa </w:t>
      </w:r>
      <w:proofErr w:type="spellStart"/>
      <w:r w:rsidRPr="00B419CE">
        <w:t>inneber</w:t>
      </w:r>
      <w:proofErr w:type="spellEnd"/>
      <w:r w:rsidRPr="00B419CE">
        <w:t xml:space="preserve"> at det er oppretta mange store fagmiljø med </w:t>
      </w:r>
      <w:proofErr w:type="spellStart"/>
      <w:r w:rsidRPr="00B419CE">
        <w:lastRenderedPageBreak/>
        <w:t>kompetansearbeidsplassar</w:t>
      </w:r>
      <w:proofErr w:type="spellEnd"/>
      <w:r w:rsidRPr="00B419CE">
        <w:t xml:space="preserve"> i heile landet, òg </w:t>
      </w:r>
      <w:proofErr w:type="spellStart"/>
      <w:r w:rsidRPr="00B419CE">
        <w:t>utanfor</w:t>
      </w:r>
      <w:proofErr w:type="spellEnd"/>
      <w:r w:rsidRPr="00B419CE">
        <w:t xml:space="preserve"> </w:t>
      </w:r>
      <w:proofErr w:type="spellStart"/>
      <w:r w:rsidRPr="00B419CE">
        <w:t>dei</w:t>
      </w:r>
      <w:proofErr w:type="spellEnd"/>
      <w:r w:rsidRPr="00B419CE">
        <w:t xml:space="preserve"> største </w:t>
      </w:r>
      <w:proofErr w:type="spellStart"/>
      <w:r w:rsidRPr="00B419CE">
        <w:t>byane</w:t>
      </w:r>
      <w:proofErr w:type="spellEnd"/>
      <w:r w:rsidRPr="00B419CE">
        <w:t xml:space="preserve">. Med ny organisering har </w:t>
      </w:r>
      <w:proofErr w:type="spellStart"/>
      <w:r w:rsidRPr="00B419CE">
        <w:t>arbeidsmarknadsregion</w:t>
      </w:r>
      <w:proofErr w:type="spellEnd"/>
      <w:r w:rsidRPr="00B419CE">
        <w:t xml:space="preserve"> Oslo i overkant av 23 pst. av årsverka til </w:t>
      </w:r>
      <w:proofErr w:type="spellStart"/>
      <w:r w:rsidRPr="00B419CE">
        <w:t>skatteoppkrevjinga</w:t>
      </w:r>
      <w:proofErr w:type="spellEnd"/>
      <w:r w:rsidRPr="00B419CE">
        <w:t xml:space="preserve">, mot </w:t>
      </w:r>
      <w:proofErr w:type="spellStart"/>
      <w:r w:rsidRPr="00B419CE">
        <w:t>tidlegare</w:t>
      </w:r>
      <w:proofErr w:type="spellEnd"/>
      <w:r w:rsidRPr="00B419CE">
        <w:t xml:space="preserve"> 28 pst. Samstundes vil </w:t>
      </w:r>
      <w:proofErr w:type="spellStart"/>
      <w:r w:rsidRPr="00B419CE">
        <w:t>ein</w:t>
      </w:r>
      <w:proofErr w:type="spellEnd"/>
      <w:r w:rsidRPr="00B419CE">
        <w:t xml:space="preserve"> kunne </w:t>
      </w:r>
      <w:proofErr w:type="spellStart"/>
      <w:r w:rsidRPr="00B419CE">
        <w:t>gjere</w:t>
      </w:r>
      <w:proofErr w:type="spellEnd"/>
      <w:r w:rsidRPr="00B419CE">
        <w:t xml:space="preserve"> </w:t>
      </w:r>
      <w:proofErr w:type="spellStart"/>
      <w:r w:rsidRPr="00B419CE">
        <w:t>oppgåva</w:t>
      </w:r>
      <w:proofErr w:type="spellEnd"/>
      <w:r w:rsidRPr="00B419CE">
        <w:t xml:space="preserve"> </w:t>
      </w:r>
      <w:proofErr w:type="spellStart"/>
      <w:r w:rsidRPr="00B419CE">
        <w:t>meir</w:t>
      </w:r>
      <w:proofErr w:type="spellEnd"/>
      <w:r w:rsidRPr="00B419CE">
        <w:t xml:space="preserve"> effektivt: Skatteetaten vil på sikt nytte 918 årsverk til </w:t>
      </w:r>
      <w:proofErr w:type="spellStart"/>
      <w:r w:rsidRPr="00B419CE">
        <w:t>oppgåva</w:t>
      </w:r>
      <w:proofErr w:type="spellEnd"/>
      <w:r w:rsidRPr="00B419CE">
        <w:t xml:space="preserve">, mot om lag 1 300 i </w:t>
      </w:r>
      <w:proofErr w:type="spellStart"/>
      <w:r w:rsidRPr="00B419CE">
        <w:t>kommunane</w:t>
      </w:r>
      <w:proofErr w:type="spellEnd"/>
      <w:r w:rsidRPr="00B419CE">
        <w:t xml:space="preserve">. Heilårsverknaden av gevinsten </w:t>
      </w:r>
      <w:proofErr w:type="spellStart"/>
      <w:r w:rsidRPr="00B419CE">
        <w:t>frå</w:t>
      </w:r>
      <w:proofErr w:type="spellEnd"/>
      <w:r w:rsidRPr="00B419CE">
        <w:t xml:space="preserve"> overføringa er </w:t>
      </w:r>
      <w:proofErr w:type="spellStart"/>
      <w:r w:rsidRPr="00B419CE">
        <w:t>rekna</w:t>
      </w:r>
      <w:proofErr w:type="spellEnd"/>
      <w:r w:rsidRPr="00B419CE">
        <w:t xml:space="preserve"> til 370 mill. kroner </w:t>
      </w:r>
      <w:proofErr w:type="spellStart"/>
      <w:r w:rsidRPr="00B419CE">
        <w:t>årleg</w:t>
      </w:r>
      <w:proofErr w:type="spellEnd"/>
      <w:r w:rsidRPr="00B419CE">
        <w:t>.</w:t>
      </w:r>
    </w:p>
    <w:p w14:paraId="0A996A6B" w14:textId="77777777" w:rsidR="00B419CE" w:rsidRPr="00B419CE" w:rsidRDefault="00B419CE" w:rsidP="00B419CE">
      <w:r w:rsidRPr="00B419CE">
        <w:t xml:space="preserve">Samordninga av arbeidsgjevarkontrollen med Skatteetatens andre </w:t>
      </w:r>
      <w:proofErr w:type="spellStart"/>
      <w:r w:rsidRPr="00B419CE">
        <w:t>kontrollaktivitetar</w:t>
      </w:r>
      <w:proofErr w:type="spellEnd"/>
      <w:r w:rsidRPr="00B419CE">
        <w:t xml:space="preserve"> vil </w:t>
      </w:r>
      <w:proofErr w:type="spellStart"/>
      <w:r w:rsidRPr="00B419CE">
        <w:t>medverke</w:t>
      </w:r>
      <w:proofErr w:type="spellEnd"/>
      <w:r w:rsidRPr="00B419CE">
        <w:t xml:space="preserve"> til betre og </w:t>
      </w:r>
      <w:proofErr w:type="spellStart"/>
      <w:r w:rsidRPr="00B419CE">
        <w:t>meir</w:t>
      </w:r>
      <w:proofErr w:type="spellEnd"/>
      <w:r w:rsidRPr="00B419CE">
        <w:t xml:space="preserve"> effektive </w:t>
      </w:r>
      <w:proofErr w:type="spellStart"/>
      <w:r w:rsidRPr="00B419CE">
        <w:t>kontrollar</w:t>
      </w:r>
      <w:proofErr w:type="spellEnd"/>
      <w:r w:rsidRPr="00B419CE">
        <w:t xml:space="preserve">, større og </w:t>
      </w:r>
      <w:proofErr w:type="spellStart"/>
      <w:r w:rsidRPr="00B419CE">
        <w:t>meir</w:t>
      </w:r>
      <w:proofErr w:type="spellEnd"/>
      <w:r w:rsidRPr="00B419CE">
        <w:t xml:space="preserve"> kompetente kontrollmiljø og </w:t>
      </w:r>
      <w:proofErr w:type="spellStart"/>
      <w:r w:rsidRPr="00B419CE">
        <w:t>gjere</w:t>
      </w:r>
      <w:proofErr w:type="spellEnd"/>
      <w:r w:rsidRPr="00B419CE">
        <w:t xml:space="preserve"> det </w:t>
      </w:r>
      <w:proofErr w:type="spellStart"/>
      <w:r w:rsidRPr="00B419CE">
        <w:t>lettare</w:t>
      </w:r>
      <w:proofErr w:type="spellEnd"/>
      <w:r w:rsidRPr="00B419CE">
        <w:t xml:space="preserve"> å arbeide </w:t>
      </w:r>
      <w:proofErr w:type="spellStart"/>
      <w:r w:rsidRPr="00B419CE">
        <w:t>heilskapleg</w:t>
      </w:r>
      <w:proofErr w:type="spellEnd"/>
      <w:r w:rsidRPr="00B419CE">
        <w:t xml:space="preserve"> med kontroll av bedrifter og </w:t>
      </w:r>
      <w:proofErr w:type="spellStart"/>
      <w:r w:rsidRPr="00B419CE">
        <w:t>enkeltpersonar</w:t>
      </w:r>
      <w:proofErr w:type="spellEnd"/>
      <w:r w:rsidRPr="00B419CE">
        <w:t>.</w:t>
      </w:r>
    </w:p>
    <w:p w14:paraId="3A9440D2" w14:textId="77777777" w:rsidR="00B419CE" w:rsidRPr="00B419CE" w:rsidRDefault="00B419CE" w:rsidP="00B419CE">
      <w:pPr>
        <w:pStyle w:val="avsnitt-tittel"/>
      </w:pPr>
      <w:r w:rsidRPr="00B419CE">
        <w:t>Folkeregisteret</w:t>
      </w:r>
    </w:p>
    <w:p w14:paraId="648789BC" w14:textId="77777777" w:rsidR="00B419CE" w:rsidRPr="00B419CE" w:rsidRDefault="00B419CE" w:rsidP="00B419CE">
      <w:r w:rsidRPr="00B419CE">
        <w:t xml:space="preserve">Regjeringa gjorde i statsbudsjettet for 2016 framlegg om </w:t>
      </w:r>
      <w:proofErr w:type="spellStart"/>
      <w:r w:rsidRPr="00B419CE">
        <w:t>eit</w:t>
      </w:r>
      <w:proofErr w:type="spellEnd"/>
      <w:r w:rsidRPr="00B419CE">
        <w:t xml:space="preserve"> prosjekt for å modernisere Folkeregisteret. Prosjektet </w:t>
      </w:r>
      <w:proofErr w:type="spellStart"/>
      <w:r w:rsidRPr="00B419CE">
        <w:t>vart</w:t>
      </w:r>
      <w:proofErr w:type="spellEnd"/>
      <w:r w:rsidRPr="00B419CE">
        <w:t xml:space="preserve"> avslutta i 2020. Folkeregisteret er </w:t>
      </w:r>
      <w:proofErr w:type="spellStart"/>
      <w:r w:rsidRPr="00B419CE">
        <w:t>ein</w:t>
      </w:r>
      <w:proofErr w:type="spellEnd"/>
      <w:r w:rsidRPr="00B419CE">
        <w:t xml:space="preserve"> nasjonal felleskomponent og </w:t>
      </w:r>
      <w:proofErr w:type="spellStart"/>
      <w:r w:rsidRPr="00B419CE">
        <w:t>ein</w:t>
      </w:r>
      <w:proofErr w:type="spellEnd"/>
      <w:r w:rsidRPr="00B419CE">
        <w:t xml:space="preserve"> viktig del av </w:t>
      </w:r>
      <w:proofErr w:type="spellStart"/>
      <w:r w:rsidRPr="00B419CE">
        <w:t>Noregs</w:t>
      </w:r>
      <w:proofErr w:type="spellEnd"/>
      <w:r w:rsidRPr="00B419CE">
        <w:t xml:space="preserve"> digitale infrastruktur. Folkeregisteret gjev oversikt over kven som er busett i </w:t>
      </w:r>
      <w:proofErr w:type="spellStart"/>
      <w:r w:rsidRPr="00B419CE">
        <w:t>Noreg</w:t>
      </w:r>
      <w:proofErr w:type="spellEnd"/>
      <w:r w:rsidRPr="00B419CE">
        <w:t xml:space="preserve"> og andre </w:t>
      </w:r>
      <w:proofErr w:type="spellStart"/>
      <w:r w:rsidRPr="00B419CE">
        <w:t>personar</w:t>
      </w:r>
      <w:proofErr w:type="spellEnd"/>
      <w:r w:rsidRPr="00B419CE">
        <w:t xml:space="preserve"> som har ei </w:t>
      </w:r>
      <w:proofErr w:type="spellStart"/>
      <w:r w:rsidRPr="00B419CE">
        <w:t>tilknyting</w:t>
      </w:r>
      <w:proofErr w:type="spellEnd"/>
      <w:r w:rsidRPr="00B419CE">
        <w:t xml:space="preserve"> til landet (til dømes </w:t>
      </w:r>
      <w:proofErr w:type="spellStart"/>
      <w:r w:rsidRPr="00B419CE">
        <w:t>utanlandske</w:t>
      </w:r>
      <w:proofErr w:type="spellEnd"/>
      <w:r w:rsidRPr="00B419CE">
        <w:t xml:space="preserve"> </w:t>
      </w:r>
      <w:proofErr w:type="spellStart"/>
      <w:r w:rsidRPr="00B419CE">
        <w:t>arbeidarar</w:t>
      </w:r>
      <w:proofErr w:type="spellEnd"/>
      <w:r w:rsidRPr="00B419CE">
        <w:t xml:space="preserve"> eller </w:t>
      </w:r>
      <w:proofErr w:type="spellStart"/>
      <w:r w:rsidRPr="00B419CE">
        <w:t>studentar</w:t>
      </w:r>
      <w:proofErr w:type="spellEnd"/>
      <w:r w:rsidRPr="00B419CE">
        <w:t xml:space="preserve">). Registeret skal òg syne kven som har innvandra og utvandra. Ei korrekt oppføring i Folkeregisteret er </w:t>
      </w:r>
      <w:proofErr w:type="spellStart"/>
      <w:r w:rsidRPr="00B419CE">
        <w:t>ein</w:t>
      </w:r>
      <w:proofErr w:type="spellEnd"/>
      <w:r w:rsidRPr="00B419CE">
        <w:t xml:space="preserve"> viktig </w:t>
      </w:r>
      <w:proofErr w:type="spellStart"/>
      <w:r w:rsidRPr="00B419CE">
        <w:t>føresetnad</w:t>
      </w:r>
      <w:proofErr w:type="spellEnd"/>
      <w:r w:rsidRPr="00B419CE">
        <w:t xml:space="preserve"> for </w:t>
      </w:r>
      <w:proofErr w:type="spellStart"/>
      <w:r w:rsidRPr="00B419CE">
        <w:t>dei</w:t>
      </w:r>
      <w:proofErr w:type="spellEnd"/>
      <w:r w:rsidRPr="00B419CE">
        <w:t xml:space="preserve"> </w:t>
      </w:r>
      <w:proofErr w:type="spellStart"/>
      <w:r w:rsidRPr="00B419CE">
        <w:t>rettane</w:t>
      </w:r>
      <w:proofErr w:type="spellEnd"/>
      <w:r w:rsidRPr="00B419CE">
        <w:t xml:space="preserve"> og </w:t>
      </w:r>
      <w:proofErr w:type="spellStart"/>
      <w:r w:rsidRPr="00B419CE">
        <w:t>pliktane</w:t>
      </w:r>
      <w:proofErr w:type="spellEnd"/>
      <w:r w:rsidRPr="00B419CE">
        <w:t xml:space="preserve"> den </w:t>
      </w:r>
      <w:proofErr w:type="spellStart"/>
      <w:r w:rsidRPr="00B419CE">
        <w:t>einskilde</w:t>
      </w:r>
      <w:proofErr w:type="spellEnd"/>
      <w:r w:rsidRPr="00B419CE">
        <w:t xml:space="preserve"> </w:t>
      </w:r>
      <w:proofErr w:type="spellStart"/>
      <w:r w:rsidRPr="00B419CE">
        <w:t>borgar</w:t>
      </w:r>
      <w:proofErr w:type="spellEnd"/>
      <w:r w:rsidRPr="00B419CE">
        <w:t xml:space="preserve"> har i samfunnet. Informasjon </w:t>
      </w:r>
      <w:proofErr w:type="spellStart"/>
      <w:r w:rsidRPr="00B419CE">
        <w:t>frå</w:t>
      </w:r>
      <w:proofErr w:type="spellEnd"/>
      <w:r w:rsidRPr="00B419CE">
        <w:t xml:space="preserve"> Folkeregisteret er sentral i </w:t>
      </w:r>
      <w:proofErr w:type="spellStart"/>
      <w:r w:rsidRPr="00B419CE">
        <w:t>offentleg</w:t>
      </w:r>
      <w:proofErr w:type="spellEnd"/>
      <w:r w:rsidRPr="00B419CE">
        <w:t xml:space="preserve"> saksbehandling og planlegging, og er viktig informasjonskjelde for private </w:t>
      </w:r>
      <w:proofErr w:type="spellStart"/>
      <w:r w:rsidRPr="00B419CE">
        <w:t>aktørar</w:t>
      </w:r>
      <w:proofErr w:type="spellEnd"/>
      <w:r w:rsidRPr="00B419CE">
        <w:t xml:space="preserve"> som treng </w:t>
      </w:r>
      <w:proofErr w:type="spellStart"/>
      <w:r w:rsidRPr="00B419CE">
        <w:t>personopplysningar</w:t>
      </w:r>
      <w:proofErr w:type="spellEnd"/>
      <w:r w:rsidRPr="00B419CE">
        <w:t xml:space="preserve"> av </w:t>
      </w:r>
      <w:proofErr w:type="spellStart"/>
      <w:r w:rsidRPr="00B419CE">
        <w:t>høg</w:t>
      </w:r>
      <w:proofErr w:type="spellEnd"/>
      <w:r w:rsidRPr="00B419CE">
        <w:t xml:space="preserve"> kvalitet.</w:t>
      </w:r>
    </w:p>
    <w:p w14:paraId="3EBBDC25" w14:textId="77777777" w:rsidR="00B419CE" w:rsidRPr="00B419CE" w:rsidRDefault="00B419CE" w:rsidP="00B419CE">
      <w:r w:rsidRPr="00B419CE">
        <w:t xml:space="preserve">Folkeregisteret oppfylte </w:t>
      </w:r>
      <w:proofErr w:type="spellStart"/>
      <w:r w:rsidRPr="00B419CE">
        <w:t>tidlegare</w:t>
      </w:r>
      <w:proofErr w:type="spellEnd"/>
      <w:r w:rsidRPr="00B419CE">
        <w:t xml:space="preserve"> </w:t>
      </w:r>
      <w:proofErr w:type="spellStart"/>
      <w:r w:rsidRPr="00B419CE">
        <w:t>ikkje</w:t>
      </w:r>
      <w:proofErr w:type="spellEnd"/>
      <w:r w:rsidRPr="00B419CE">
        <w:t xml:space="preserve"> samfunnets krav til registerkvalitet. Moderniseringa av Folkeregisteret har </w:t>
      </w:r>
      <w:proofErr w:type="spellStart"/>
      <w:r w:rsidRPr="00B419CE">
        <w:t>vore</w:t>
      </w:r>
      <w:proofErr w:type="spellEnd"/>
      <w:r w:rsidRPr="00B419CE">
        <w:t xml:space="preserve"> </w:t>
      </w:r>
      <w:proofErr w:type="spellStart"/>
      <w:r w:rsidRPr="00B419CE">
        <w:t>eit</w:t>
      </w:r>
      <w:proofErr w:type="spellEnd"/>
      <w:r w:rsidRPr="00B419CE">
        <w:t xml:space="preserve"> viktig tiltak for </w:t>
      </w:r>
      <w:proofErr w:type="spellStart"/>
      <w:r w:rsidRPr="00B419CE">
        <w:t>auka</w:t>
      </w:r>
      <w:proofErr w:type="spellEnd"/>
      <w:r w:rsidRPr="00B419CE">
        <w:t xml:space="preserve"> digitalisering og effektivisering av </w:t>
      </w:r>
      <w:proofErr w:type="spellStart"/>
      <w:r w:rsidRPr="00B419CE">
        <w:t>offentleg</w:t>
      </w:r>
      <w:proofErr w:type="spellEnd"/>
      <w:r w:rsidRPr="00B419CE">
        <w:t xml:space="preserve"> sektor. Den nye løysinga gjev nye </w:t>
      </w:r>
      <w:proofErr w:type="spellStart"/>
      <w:r w:rsidRPr="00B419CE">
        <w:t>tenester</w:t>
      </w:r>
      <w:proofErr w:type="spellEnd"/>
      <w:r w:rsidRPr="00B419CE">
        <w:t xml:space="preserve"> til </w:t>
      </w:r>
      <w:proofErr w:type="spellStart"/>
      <w:r w:rsidRPr="00B419CE">
        <w:t>innbyggjarane</w:t>
      </w:r>
      <w:proofErr w:type="spellEnd"/>
      <w:r w:rsidRPr="00B419CE">
        <w:t xml:space="preserve">, betre kvalitet i </w:t>
      </w:r>
      <w:proofErr w:type="spellStart"/>
      <w:r w:rsidRPr="00B419CE">
        <w:t>opplysningane</w:t>
      </w:r>
      <w:proofErr w:type="spellEnd"/>
      <w:r w:rsidRPr="00B419CE">
        <w:t xml:space="preserve"> og </w:t>
      </w:r>
      <w:proofErr w:type="spellStart"/>
      <w:r w:rsidRPr="00B419CE">
        <w:t>raskare</w:t>
      </w:r>
      <w:proofErr w:type="spellEnd"/>
      <w:r w:rsidRPr="00B419CE">
        <w:t xml:space="preserve"> og </w:t>
      </w:r>
      <w:proofErr w:type="spellStart"/>
      <w:r w:rsidRPr="00B419CE">
        <w:t>meir</w:t>
      </w:r>
      <w:proofErr w:type="spellEnd"/>
      <w:r w:rsidRPr="00B419CE">
        <w:t xml:space="preserve"> automatisert saksbehandling i Skatteetaten og hos andre </w:t>
      </w:r>
      <w:proofErr w:type="spellStart"/>
      <w:r w:rsidRPr="00B419CE">
        <w:t>brukarar</w:t>
      </w:r>
      <w:proofErr w:type="spellEnd"/>
      <w:r w:rsidRPr="00B419CE">
        <w:t xml:space="preserve"> av Folkeregisteret. Elektronisk og rask utveksling av </w:t>
      </w:r>
      <w:proofErr w:type="spellStart"/>
      <w:r w:rsidRPr="00B419CE">
        <w:t>personopplysningar</w:t>
      </w:r>
      <w:proofErr w:type="spellEnd"/>
      <w:r w:rsidRPr="00B419CE">
        <w:t xml:space="preserve"> er sentralt i effektivisering og digitalisering av </w:t>
      </w:r>
      <w:proofErr w:type="spellStart"/>
      <w:r w:rsidRPr="00B419CE">
        <w:t>offentleg</w:t>
      </w:r>
      <w:proofErr w:type="spellEnd"/>
      <w:r w:rsidRPr="00B419CE">
        <w:t xml:space="preserve"> forvalting og vil </w:t>
      </w:r>
      <w:proofErr w:type="spellStart"/>
      <w:r w:rsidRPr="00B419CE">
        <w:t>leggje</w:t>
      </w:r>
      <w:proofErr w:type="spellEnd"/>
      <w:r w:rsidRPr="00B419CE">
        <w:t xml:space="preserve"> til rette for betre samhandling mellom </w:t>
      </w:r>
      <w:proofErr w:type="spellStart"/>
      <w:r w:rsidRPr="00B419CE">
        <w:t>personar</w:t>
      </w:r>
      <w:proofErr w:type="spellEnd"/>
      <w:r w:rsidRPr="00B419CE">
        <w:t xml:space="preserve"> og privat næringsliv.</w:t>
      </w:r>
    </w:p>
    <w:p w14:paraId="47F95208" w14:textId="77777777" w:rsidR="00B419CE" w:rsidRPr="00B419CE" w:rsidRDefault="00B419CE" w:rsidP="00B419CE">
      <w:pPr>
        <w:pStyle w:val="avsnitt-tittel"/>
      </w:pPr>
      <w:r w:rsidRPr="00B419CE">
        <w:t>Ny systemløysing for avgiftsforvaltninga</w:t>
      </w:r>
    </w:p>
    <w:p w14:paraId="42CCC789" w14:textId="77777777" w:rsidR="00B419CE" w:rsidRPr="00B419CE" w:rsidRDefault="00B419CE" w:rsidP="00B419CE">
      <w:proofErr w:type="spellStart"/>
      <w:r w:rsidRPr="00B419CE">
        <w:t>Eit</w:t>
      </w:r>
      <w:proofErr w:type="spellEnd"/>
      <w:r w:rsidRPr="00B419CE">
        <w:t xml:space="preserve"> modernisert IT-system for forvalting av særavgifter vart ferdig i 2019. IT-løysinga handterer </w:t>
      </w:r>
      <w:proofErr w:type="spellStart"/>
      <w:r w:rsidRPr="00B419CE">
        <w:t>fastsetjing</w:t>
      </w:r>
      <w:proofErr w:type="spellEnd"/>
      <w:r w:rsidRPr="00B419CE">
        <w:t xml:space="preserve"> og </w:t>
      </w:r>
      <w:proofErr w:type="spellStart"/>
      <w:r w:rsidRPr="00B419CE">
        <w:t>innkrevjing</w:t>
      </w:r>
      <w:proofErr w:type="spellEnd"/>
      <w:r w:rsidRPr="00B419CE">
        <w:t xml:space="preserve"> av særavgifter, </w:t>
      </w:r>
      <w:proofErr w:type="spellStart"/>
      <w:r w:rsidRPr="00B419CE">
        <w:t>meirverdiavgift</w:t>
      </w:r>
      <w:proofErr w:type="spellEnd"/>
      <w:r w:rsidRPr="00B419CE">
        <w:t xml:space="preserve"> ved innførsel og </w:t>
      </w:r>
      <w:proofErr w:type="spellStart"/>
      <w:r w:rsidRPr="00B419CE">
        <w:t>innkrevjing</w:t>
      </w:r>
      <w:proofErr w:type="spellEnd"/>
      <w:r w:rsidRPr="00B419CE">
        <w:t xml:space="preserve"> av alle </w:t>
      </w:r>
      <w:proofErr w:type="spellStart"/>
      <w:r w:rsidRPr="00B419CE">
        <w:t>pengestraumar</w:t>
      </w:r>
      <w:proofErr w:type="spellEnd"/>
      <w:r w:rsidRPr="00B419CE">
        <w:t xml:space="preserve"> ved import. Den nye løysinga </w:t>
      </w:r>
      <w:proofErr w:type="spellStart"/>
      <w:r w:rsidRPr="00B419CE">
        <w:t>sikrar</w:t>
      </w:r>
      <w:proofErr w:type="spellEnd"/>
      <w:r w:rsidRPr="00B419CE">
        <w:t xml:space="preserve"> provenyet og stør den nye </w:t>
      </w:r>
      <w:proofErr w:type="spellStart"/>
      <w:r w:rsidRPr="00B419CE">
        <w:t>oppgåvefordelinga</w:t>
      </w:r>
      <w:proofErr w:type="spellEnd"/>
      <w:r w:rsidRPr="00B419CE">
        <w:t xml:space="preserve"> etter at ansvaret for særavgifter og </w:t>
      </w:r>
      <w:proofErr w:type="spellStart"/>
      <w:r w:rsidRPr="00B419CE">
        <w:t>meirverdiavgift</w:t>
      </w:r>
      <w:proofErr w:type="spellEnd"/>
      <w:r w:rsidRPr="00B419CE">
        <w:t xml:space="preserve"> ved innførsel </w:t>
      </w:r>
      <w:proofErr w:type="spellStart"/>
      <w:r w:rsidRPr="00B419CE">
        <w:t>vart</w:t>
      </w:r>
      <w:proofErr w:type="spellEnd"/>
      <w:r w:rsidRPr="00B419CE">
        <w:t xml:space="preserve"> overført </w:t>
      </w:r>
      <w:proofErr w:type="spellStart"/>
      <w:r w:rsidRPr="00B419CE">
        <w:t>frå</w:t>
      </w:r>
      <w:proofErr w:type="spellEnd"/>
      <w:r w:rsidRPr="00B419CE">
        <w:t xml:space="preserve"> Tolletaten til Skatteetaten i 2016 og 2017. Den nye løysinga har gjeve automatisert </w:t>
      </w:r>
      <w:proofErr w:type="spellStart"/>
      <w:r w:rsidRPr="00B419CE">
        <w:t>fastsetjing</w:t>
      </w:r>
      <w:proofErr w:type="spellEnd"/>
      <w:r w:rsidRPr="00B419CE">
        <w:t xml:space="preserve"> av særavgifter og </w:t>
      </w:r>
      <w:proofErr w:type="spellStart"/>
      <w:r w:rsidRPr="00B419CE">
        <w:t>meir</w:t>
      </w:r>
      <w:proofErr w:type="spellEnd"/>
      <w:r w:rsidRPr="00B419CE">
        <w:t xml:space="preserve"> effektiv innrapportering. Det er òg laga </w:t>
      </w:r>
      <w:proofErr w:type="spellStart"/>
      <w:r w:rsidRPr="00B419CE">
        <w:t>sjølvbeteningsløysingar</w:t>
      </w:r>
      <w:proofErr w:type="spellEnd"/>
      <w:r w:rsidRPr="00B419CE">
        <w:t xml:space="preserve"> for omregistreringsavgift og automatisert saksbehandling av fritak </w:t>
      </w:r>
      <w:proofErr w:type="spellStart"/>
      <w:r w:rsidRPr="00B419CE">
        <w:t>frå</w:t>
      </w:r>
      <w:proofErr w:type="spellEnd"/>
      <w:r w:rsidRPr="00B419CE">
        <w:t xml:space="preserve"> omregistrerings- og </w:t>
      </w:r>
      <w:proofErr w:type="spellStart"/>
      <w:r w:rsidRPr="00B419CE">
        <w:t>eingongsavgifter</w:t>
      </w:r>
      <w:proofErr w:type="spellEnd"/>
      <w:r w:rsidRPr="00B419CE">
        <w:t xml:space="preserve">. </w:t>
      </w:r>
      <w:proofErr w:type="spellStart"/>
      <w:r w:rsidRPr="00B419CE">
        <w:t>Desse</w:t>
      </w:r>
      <w:proofErr w:type="spellEnd"/>
      <w:r w:rsidRPr="00B419CE">
        <w:t xml:space="preserve"> </w:t>
      </w:r>
      <w:proofErr w:type="spellStart"/>
      <w:r w:rsidRPr="00B419CE">
        <w:t>løysingane</w:t>
      </w:r>
      <w:proofErr w:type="spellEnd"/>
      <w:r w:rsidRPr="00B419CE">
        <w:t xml:space="preserve"> har gjeve </w:t>
      </w:r>
      <w:proofErr w:type="spellStart"/>
      <w:r w:rsidRPr="00B419CE">
        <w:t>monaleg</w:t>
      </w:r>
      <w:proofErr w:type="spellEnd"/>
      <w:r w:rsidRPr="00B419CE">
        <w:t xml:space="preserve"> tidsinnsparing for næringsliv og </w:t>
      </w:r>
      <w:proofErr w:type="spellStart"/>
      <w:r w:rsidRPr="00B419CE">
        <w:t>innbyggjarar</w:t>
      </w:r>
      <w:proofErr w:type="spellEnd"/>
      <w:r w:rsidRPr="00B419CE">
        <w:t>.</w:t>
      </w:r>
    </w:p>
    <w:p w14:paraId="450FA950" w14:textId="77777777" w:rsidR="00B419CE" w:rsidRPr="00B419CE" w:rsidRDefault="00B419CE" w:rsidP="00B419CE">
      <w:pPr>
        <w:pStyle w:val="Overskrift1"/>
      </w:pPr>
      <w:r w:rsidRPr="00B419CE">
        <w:t>Oppfølging av oppmodingsvedtak</w:t>
      </w:r>
    </w:p>
    <w:p w14:paraId="04DF340A" w14:textId="77777777" w:rsidR="00B419CE" w:rsidRPr="00B419CE" w:rsidRDefault="00B419CE" w:rsidP="00B419CE">
      <w:proofErr w:type="spellStart"/>
      <w:r w:rsidRPr="00B419CE">
        <w:t>Nedanfor</w:t>
      </w:r>
      <w:proofErr w:type="spellEnd"/>
      <w:r w:rsidRPr="00B419CE">
        <w:t xml:space="preserve"> er det gjeve </w:t>
      </w:r>
      <w:proofErr w:type="gramStart"/>
      <w:r w:rsidRPr="00B419CE">
        <w:t>ei oversikt</w:t>
      </w:r>
      <w:proofErr w:type="gramEnd"/>
      <w:r w:rsidRPr="00B419CE">
        <w:t xml:space="preserve"> over oppfølging av oppmodingsvedtak under Finansdepartementet. </w:t>
      </w:r>
      <w:proofErr w:type="spellStart"/>
      <w:r w:rsidRPr="00B419CE">
        <w:t>Oversikta</w:t>
      </w:r>
      <w:proofErr w:type="spellEnd"/>
      <w:r w:rsidRPr="00B419CE">
        <w:t xml:space="preserve"> </w:t>
      </w:r>
      <w:proofErr w:type="spellStart"/>
      <w:r w:rsidRPr="00B419CE">
        <w:t>omfattar</w:t>
      </w:r>
      <w:proofErr w:type="spellEnd"/>
      <w:r w:rsidRPr="00B419CE">
        <w:t xml:space="preserve"> alle vedtak </w:t>
      </w:r>
      <w:proofErr w:type="spellStart"/>
      <w:r w:rsidRPr="00B419CE">
        <w:t>frå</w:t>
      </w:r>
      <w:proofErr w:type="spellEnd"/>
      <w:r w:rsidRPr="00B419CE">
        <w:t xml:space="preserve"> stortingssesjonen 2020–2021 og </w:t>
      </w:r>
      <w:r w:rsidRPr="00B419CE">
        <w:lastRenderedPageBreak/>
        <w:t xml:space="preserve">alle vedtak </w:t>
      </w:r>
      <w:proofErr w:type="spellStart"/>
      <w:r w:rsidRPr="00B419CE">
        <w:t>frå</w:t>
      </w:r>
      <w:proofErr w:type="spellEnd"/>
      <w:r w:rsidRPr="00B419CE">
        <w:t xml:space="preserve"> </w:t>
      </w:r>
      <w:proofErr w:type="spellStart"/>
      <w:r w:rsidRPr="00B419CE">
        <w:t>tidlegare</w:t>
      </w:r>
      <w:proofErr w:type="spellEnd"/>
      <w:r w:rsidRPr="00B419CE">
        <w:t xml:space="preserve"> </w:t>
      </w:r>
      <w:proofErr w:type="spellStart"/>
      <w:r w:rsidRPr="00B419CE">
        <w:t>sesjonar</w:t>
      </w:r>
      <w:proofErr w:type="spellEnd"/>
      <w:r w:rsidRPr="00B419CE">
        <w:t xml:space="preserve"> der rapporteringa </w:t>
      </w:r>
      <w:proofErr w:type="spellStart"/>
      <w:r w:rsidRPr="00B419CE">
        <w:t>ikkje</w:t>
      </w:r>
      <w:proofErr w:type="spellEnd"/>
      <w:r w:rsidRPr="00B419CE">
        <w:t xml:space="preserve"> vart varsla avslutta i </w:t>
      </w:r>
      <w:proofErr w:type="spellStart"/>
      <w:r w:rsidRPr="00B419CE">
        <w:t>Prop</w:t>
      </w:r>
      <w:proofErr w:type="spellEnd"/>
      <w:r w:rsidRPr="00B419CE">
        <w:t xml:space="preserve">. 1 S (2020–2021) eller som kontroll- og konstitusjonskomiteen i </w:t>
      </w:r>
      <w:proofErr w:type="spellStart"/>
      <w:r w:rsidRPr="00B419CE">
        <w:t>Innst</w:t>
      </w:r>
      <w:proofErr w:type="spellEnd"/>
      <w:r w:rsidRPr="00B419CE">
        <w:t xml:space="preserve">. 580 S (2020–2021) om </w:t>
      </w:r>
      <w:r w:rsidRPr="00B419CE">
        <w:rPr>
          <w:rStyle w:val="kursiv"/>
        </w:rPr>
        <w:t>Anmodnings- og utredningsvedtak i stortingssesjonen 2019–2020</w:t>
      </w:r>
      <w:r w:rsidRPr="00B419CE">
        <w:t xml:space="preserve"> meinte at </w:t>
      </w:r>
      <w:proofErr w:type="spellStart"/>
      <w:r w:rsidRPr="00B419CE">
        <w:t>ikkje</w:t>
      </w:r>
      <w:proofErr w:type="spellEnd"/>
      <w:r w:rsidRPr="00B419CE">
        <w:t xml:space="preserve"> var </w:t>
      </w:r>
      <w:proofErr w:type="spellStart"/>
      <w:r w:rsidRPr="00B419CE">
        <w:t>utkvitterte</w:t>
      </w:r>
      <w:proofErr w:type="spellEnd"/>
      <w:r w:rsidRPr="00B419CE">
        <w:t xml:space="preserve">. I </w:t>
      </w:r>
      <w:proofErr w:type="spellStart"/>
      <w:r w:rsidRPr="00B419CE">
        <w:t>nokre</w:t>
      </w:r>
      <w:proofErr w:type="spellEnd"/>
      <w:r w:rsidRPr="00B419CE">
        <w:t xml:space="preserve"> tilfelle er det samstundes med rapporteringa her gjeve ei </w:t>
      </w:r>
      <w:proofErr w:type="spellStart"/>
      <w:r w:rsidRPr="00B419CE">
        <w:t>meir</w:t>
      </w:r>
      <w:proofErr w:type="spellEnd"/>
      <w:r w:rsidRPr="00B419CE">
        <w:t xml:space="preserve"> </w:t>
      </w:r>
      <w:proofErr w:type="spellStart"/>
      <w:r w:rsidRPr="00B419CE">
        <w:t>omfattande</w:t>
      </w:r>
      <w:proofErr w:type="spellEnd"/>
      <w:r w:rsidRPr="00B419CE">
        <w:t xml:space="preserve"> framstilling av oppfølginga i </w:t>
      </w:r>
      <w:proofErr w:type="spellStart"/>
      <w:r w:rsidRPr="00B419CE">
        <w:t>Prop</w:t>
      </w:r>
      <w:proofErr w:type="spellEnd"/>
      <w:r w:rsidRPr="00B419CE">
        <w:t xml:space="preserve">. 1 LS (2021–2022) </w:t>
      </w:r>
      <w:r w:rsidRPr="00B419CE">
        <w:rPr>
          <w:rStyle w:val="kursiv"/>
        </w:rPr>
        <w:t>Skatter, avgifter og toll 2022</w:t>
      </w:r>
      <w:r w:rsidRPr="00B419CE">
        <w:t xml:space="preserve"> eller i Meld. St. 1 (2021–2022) </w:t>
      </w:r>
      <w:r w:rsidRPr="00B419CE">
        <w:rPr>
          <w:rStyle w:val="kursiv"/>
        </w:rPr>
        <w:t>Nasjonalbudsjettet 2022</w:t>
      </w:r>
      <w:r w:rsidRPr="00B419CE">
        <w:t xml:space="preserve">. I slike </w:t>
      </w:r>
      <w:proofErr w:type="spellStart"/>
      <w:r w:rsidRPr="00B419CE">
        <w:t>tilfelle</w:t>
      </w:r>
      <w:proofErr w:type="spellEnd"/>
      <w:r w:rsidRPr="00B419CE">
        <w:t xml:space="preserve"> er det vist til kor denne framstillinga </w:t>
      </w:r>
      <w:proofErr w:type="spellStart"/>
      <w:r w:rsidRPr="00B419CE">
        <w:t>finst</w:t>
      </w:r>
      <w:proofErr w:type="spellEnd"/>
      <w:r w:rsidRPr="00B419CE">
        <w:t xml:space="preserve"> i </w:t>
      </w:r>
      <w:proofErr w:type="spellStart"/>
      <w:r w:rsidRPr="00B419CE">
        <w:t>desse</w:t>
      </w:r>
      <w:proofErr w:type="spellEnd"/>
      <w:r w:rsidRPr="00B419CE">
        <w:t xml:space="preserve"> dokumenta.</w:t>
      </w:r>
    </w:p>
    <w:p w14:paraId="01DC0C2C" w14:textId="785FA307" w:rsidR="00B419CE" w:rsidRDefault="00B419CE" w:rsidP="00B419CE">
      <w:proofErr w:type="spellStart"/>
      <w:r w:rsidRPr="00B419CE">
        <w:t>Sjølv</w:t>
      </w:r>
      <w:proofErr w:type="spellEnd"/>
      <w:r w:rsidRPr="00B419CE">
        <w:t xml:space="preserve"> om det i tabellen </w:t>
      </w:r>
      <w:proofErr w:type="spellStart"/>
      <w:r w:rsidRPr="00B419CE">
        <w:t>nedanfor</w:t>
      </w:r>
      <w:proofErr w:type="spellEnd"/>
      <w:r w:rsidRPr="00B419CE">
        <w:t xml:space="preserve"> er oppgitt at rapporteringa vert avslutta, vil det stundom </w:t>
      </w:r>
      <w:proofErr w:type="spellStart"/>
      <w:r w:rsidRPr="00B419CE">
        <w:t>vere</w:t>
      </w:r>
      <w:proofErr w:type="spellEnd"/>
      <w:r w:rsidRPr="00B419CE">
        <w:t xml:space="preserve"> slik at oppfølging av alle sider av vedtaket </w:t>
      </w:r>
      <w:proofErr w:type="spellStart"/>
      <w:r w:rsidRPr="00B419CE">
        <w:t>ikkje</w:t>
      </w:r>
      <w:proofErr w:type="spellEnd"/>
      <w:r w:rsidRPr="00B419CE">
        <w:t xml:space="preserve"> er sluttført. Dette kan t.d. gjelde oppmoding om å vareta </w:t>
      </w:r>
      <w:proofErr w:type="spellStart"/>
      <w:r w:rsidRPr="00B419CE">
        <w:t>særlege</w:t>
      </w:r>
      <w:proofErr w:type="spellEnd"/>
      <w:r w:rsidRPr="00B419CE">
        <w:t xml:space="preserve"> omsyn i politikkutforminga på </w:t>
      </w:r>
      <w:proofErr w:type="spellStart"/>
      <w:r w:rsidRPr="00B419CE">
        <w:t>eit</w:t>
      </w:r>
      <w:proofErr w:type="spellEnd"/>
      <w:r w:rsidRPr="00B419CE">
        <w:t xml:space="preserve"> område, og der oppfølginga vil kunne gå over </w:t>
      </w:r>
      <w:proofErr w:type="spellStart"/>
      <w:r w:rsidRPr="00B419CE">
        <w:t>fleire</w:t>
      </w:r>
      <w:proofErr w:type="spellEnd"/>
      <w:r w:rsidRPr="00B419CE">
        <w:t xml:space="preserve"> år. I slike </w:t>
      </w:r>
      <w:proofErr w:type="spellStart"/>
      <w:r w:rsidRPr="00B419CE">
        <w:t>tilfelle</w:t>
      </w:r>
      <w:proofErr w:type="spellEnd"/>
      <w:r w:rsidRPr="00B419CE">
        <w:t xml:space="preserve"> vert Stortinget orientert om oppfølginga slik som </w:t>
      </w:r>
      <w:proofErr w:type="spellStart"/>
      <w:r w:rsidRPr="00B419CE">
        <w:t>elles</w:t>
      </w:r>
      <w:proofErr w:type="spellEnd"/>
      <w:r w:rsidRPr="00B419CE">
        <w:t xml:space="preserve"> gjennom omtale av det relevante politikkområdet i andre dokument til Stortinget.</w:t>
      </w:r>
    </w:p>
    <w:p w14:paraId="07FE3298" w14:textId="3DE79CC1" w:rsidR="00B419CE" w:rsidRPr="00B419CE" w:rsidRDefault="00B419CE" w:rsidP="00B419CE">
      <w:pPr>
        <w:pStyle w:val="tabell-tittel"/>
      </w:pPr>
      <w:r w:rsidRPr="00B419CE">
        <w:t>Oversikt over oppmodingsvedtak</w:t>
      </w:r>
    </w:p>
    <w:p w14:paraId="71CBB1B9" w14:textId="77777777" w:rsidR="00B419CE" w:rsidRPr="00B419CE" w:rsidRDefault="00B419CE" w:rsidP="00B419CE">
      <w:pPr>
        <w:pStyle w:val="Tabellnavn"/>
      </w:pPr>
      <w:r w:rsidRPr="00B419CE">
        <w:t>04J1xx2</w:t>
      </w:r>
    </w:p>
    <w:tbl>
      <w:tblPr>
        <w:tblStyle w:val="StandardTabell"/>
        <w:tblW w:w="9200" w:type="dxa"/>
        <w:tblLayout w:type="fixed"/>
        <w:tblLook w:val="04A0" w:firstRow="1" w:lastRow="0" w:firstColumn="1" w:lastColumn="0" w:noHBand="0" w:noVBand="1"/>
      </w:tblPr>
      <w:tblGrid>
        <w:gridCol w:w="1413"/>
        <w:gridCol w:w="1417"/>
        <w:gridCol w:w="4395"/>
        <w:gridCol w:w="1975"/>
      </w:tblGrid>
      <w:tr w:rsidR="00B419CE" w:rsidRPr="00B419CE" w14:paraId="15A16498" w14:textId="77777777" w:rsidTr="00B419CE">
        <w:trPr>
          <w:trHeight w:val="600"/>
        </w:trPr>
        <w:tc>
          <w:tcPr>
            <w:tcW w:w="1413" w:type="dxa"/>
            <w:shd w:val="clear" w:color="auto" w:fill="FFFFFF"/>
          </w:tcPr>
          <w:p w14:paraId="7F8714FA" w14:textId="77777777" w:rsidR="00B419CE" w:rsidRPr="00B419CE" w:rsidRDefault="00B419CE" w:rsidP="00B419CE">
            <w:r w:rsidRPr="00B419CE">
              <w:t>Sesjon</w:t>
            </w:r>
          </w:p>
        </w:tc>
        <w:tc>
          <w:tcPr>
            <w:tcW w:w="1417" w:type="dxa"/>
          </w:tcPr>
          <w:p w14:paraId="7C3CBE04" w14:textId="77777777" w:rsidR="00B419CE" w:rsidRPr="00B419CE" w:rsidRDefault="00B419CE" w:rsidP="00B419CE">
            <w:pPr>
              <w:jc w:val="center"/>
            </w:pPr>
            <w:r w:rsidRPr="00B419CE">
              <w:t>Vedtak nr.</w:t>
            </w:r>
          </w:p>
        </w:tc>
        <w:tc>
          <w:tcPr>
            <w:tcW w:w="4395" w:type="dxa"/>
          </w:tcPr>
          <w:p w14:paraId="4152A1C1" w14:textId="77777777" w:rsidR="00B419CE" w:rsidRPr="00B419CE" w:rsidRDefault="00B419CE" w:rsidP="00B419CE">
            <w:r w:rsidRPr="00B419CE">
              <w:t>Stikkord</w:t>
            </w:r>
          </w:p>
        </w:tc>
        <w:tc>
          <w:tcPr>
            <w:tcW w:w="1975" w:type="dxa"/>
          </w:tcPr>
          <w:p w14:paraId="1A143E29" w14:textId="77777777" w:rsidR="00B419CE" w:rsidRPr="00B419CE" w:rsidRDefault="00B419CE" w:rsidP="00B419CE">
            <w:pPr>
              <w:jc w:val="right"/>
            </w:pPr>
            <w:r w:rsidRPr="00B419CE">
              <w:t>Rapportering vert avslutta (Ja/Nei)</w:t>
            </w:r>
          </w:p>
        </w:tc>
      </w:tr>
      <w:tr w:rsidR="00B419CE" w:rsidRPr="00B419CE" w14:paraId="21CAA810" w14:textId="77777777" w:rsidTr="00B419CE">
        <w:trPr>
          <w:trHeight w:val="380"/>
        </w:trPr>
        <w:tc>
          <w:tcPr>
            <w:tcW w:w="1413" w:type="dxa"/>
          </w:tcPr>
          <w:p w14:paraId="6B9CC972" w14:textId="77777777" w:rsidR="00B419CE" w:rsidRPr="00B419CE" w:rsidRDefault="00B419CE" w:rsidP="00B419CE">
            <w:r w:rsidRPr="00B419CE">
              <w:t>2020–2021</w:t>
            </w:r>
          </w:p>
        </w:tc>
        <w:tc>
          <w:tcPr>
            <w:tcW w:w="1417" w:type="dxa"/>
          </w:tcPr>
          <w:p w14:paraId="78E91D63" w14:textId="77777777" w:rsidR="00B419CE" w:rsidRPr="00B419CE" w:rsidRDefault="00B419CE" w:rsidP="00B419CE">
            <w:pPr>
              <w:jc w:val="center"/>
            </w:pPr>
            <w:r w:rsidRPr="00B419CE">
              <w:t>23</w:t>
            </w:r>
          </w:p>
        </w:tc>
        <w:tc>
          <w:tcPr>
            <w:tcW w:w="4395" w:type="dxa"/>
          </w:tcPr>
          <w:p w14:paraId="22194C4A" w14:textId="77777777" w:rsidR="00B419CE" w:rsidRPr="00B419CE" w:rsidRDefault="00B419CE" w:rsidP="00B419CE">
            <w:r w:rsidRPr="00B419CE">
              <w:t xml:space="preserve">Statens obligasjonsfond – </w:t>
            </w:r>
            <w:proofErr w:type="spellStart"/>
            <w:r w:rsidRPr="00B419CE">
              <w:t>moglegheit</w:t>
            </w:r>
            <w:proofErr w:type="spellEnd"/>
            <w:r w:rsidRPr="00B419CE">
              <w:t xml:space="preserve"> for </w:t>
            </w:r>
            <w:proofErr w:type="spellStart"/>
            <w:r w:rsidRPr="00B419CE">
              <w:t>auka</w:t>
            </w:r>
            <w:proofErr w:type="spellEnd"/>
            <w:r w:rsidRPr="00B419CE">
              <w:t xml:space="preserve"> fleksibilitet</w:t>
            </w:r>
          </w:p>
        </w:tc>
        <w:tc>
          <w:tcPr>
            <w:tcW w:w="1975" w:type="dxa"/>
          </w:tcPr>
          <w:p w14:paraId="3F9066F5" w14:textId="77777777" w:rsidR="00B419CE" w:rsidRPr="00B419CE" w:rsidRDefault="00B419CE" w:rsidP="00B419CE">
            <w:pPr>
              <w:jc w:val="right"/>
            </w:pPr>
            <w:r w:rsidRPr="00B419CE">
              <w:t>Ja</w:t>
            </w:r>
          </w:p>
        </w:tc>
      </w:tr>
      <w:tr w:rsidR="00B419CE" w:rsidRPr="00B419CE" w14:paraId="0A89C89E" w14:textId="77777777" w:rsidTr="00B419CE">
        <w:trPr>
          <w:trHeight w:val="380"/>
        </w:trPr>
        <w:tc>
          <w:tcPr>
            <w:tcW w:w="1413" w:type="dxa"/>
          </w:tcPr>
          <w:p w14:paraId="769E263B" w14:textId="77777777" w:rsidR="00B419CE" w:rsidRPr="00B419CE" w:rsidRDefault="00B419CE" w:rsidP="00B419CE">
            <w:r w:rsidRPr="00B419CE">
              <w:t>2020–2021</w:t>
            </w:r>
          </w:p>
        </w:tc>
        <w:tc>
          <w:tcPr>
            <w:tcW w:w="1417" w:type="dxa"/>
          </w:tcPr>
          <w:p w14:paraId="2C2D9D05" w14:textId="77777777" w:rsidR="00B419CE" w:rsidRPr="00B419CE" w:rsidRDefault="00B419CE" w:rsidP="00B419CE">
            <w:pPr>
              <w:jc w:val="center"/>
            </w:pPr>
            <w:r w:rsidRPr="00B419CE">
              <w:t>104</w:t>
            </w:r>
          </w:p>
        </w:tc>
        <w:tc>
          <w:tcPr>
            <w:tcW w:w="4395" w:type="dxa"/>
          </w:tcPr>
          <w:p w14:paraId="6CED9EC2" w14:textId="77777777" w:rsidR="00B419CE" w:rsidRPr="00B419CE" w:rsidRDefault="00B419CE" w:rsidP="00B419CE">
            <w:r w:rsidRPr="00B419CE">
              <w:t xml:space="preserve">Vurdere den kommunale </w:t>
            </w:r>
            <w:proofErr w:type="spellStart"/>
            <w:r w:rsidRPr="00B419CE">
              <w:t>handlefridomen</w:t>
            </w:r>
            <w:proofErr w:type="spellEnd"/>
            <w:r w:rsidRPr="00B419CE">
              <w:t xml:space="preserve"> i formuesskatten</w:t>
            </w:r>
          </w:p>
        </w:tc>
        <w:tc>
          <w:tcPr>
            <w:tcW w:w="1975" w:type="dxa"/>
          </w:tcPr>
          <w:p w14:paraId="72F05F6D" w14:textId="77777777" w:rsidR="00B419CE" w:rsidRPr="00B419CE" w:rsidRDefault="00B419CE" w:rsidP="00B419CE">
            <w:pPr>
              <w:jc w:val="right"/>
            </w:pPr>
            <w:r w:rsidRPr="00B419CE">
              <w:t>Nei</w:t>
            </w:r>
          </w:p>
        </w:tc>
      </w:tr>
      <w:tr w:rsidR="00B419CE" w:rsidRPr="00B419CE" w14:paraId="32DE9A5E" w14:textId="77777777" w:rsidTr="00B419CE">
        <w:trPr>
          <w:trHeight w:val="380"/>
        </w:trPr>
        <w:tc>
          <w:tcPr>
            <w:tcW w:w="1413" w:type="dxa"/>
          </w:tcPr>
          <w:p w14:paraId="62E21E27" w14:textId="77777777" w:rsidR="00B419CE" w:rsidRPr="00B419CE" w:rsidRDefault="00B419CE" w:rsidP="00B419CE">
            <w:r w:rsidRPr="00B419CE">
              <w:t>2020–2021</w:t>
            </w:r>
          </w:p>
        </w:tc>
        <w:tc>
          <w:tcPr>
            <w:tcW w:w="1417" w:type="dxa"/>
          </w:tcPr>
          <w:p w14:paraId="17ABA652" w14:textId="77777777" w:rsidR="00B419CE" w:rsidRPr="00B419CE" w:rsidRDefault="00B419CE" w:rsidP="00B419CE">
            <w:pPr>
              <w:jc w:val="center"/>
            </w:pPr>
            <w:r w:rsidRPr="00B419CE">
              <w:t>146</w:t>
            </w:r>
          </w:p>
        </w:tc>
        <w:tc>
          <w:tcPr>
            <w:tcW w:w="4395" w:type="dxa"/>
          </w:tcPr>
          <w:p w14:paraId="2F185DB3" w14:textId="77777777" w:rsidR="00B419CE" w:rsidRPr="00B419CE" w:rsidRDefault="00B419CE" w:rsidP="00B419CE">
            <w:r w:rsidRPr="00B419CE">
              <w:t xml:space="preserve">Vindkraft – vurdere </w:t>
            </w:r>
            <w:proofErr w:type="spellStart"/>
            <w:r w:rsidRPr="00B419CE">
              <w:t>endringar</w:t>
            </w:r>
            <w:proofErr w:type="spellEnd"/>
            <w:r w:rsidRPr="00B419CE">
              <w:t xml:space="preserve"> i skattlegginga</w:t>
            </w:r>
          </w:p>
        </w:tc>
        <w:tc>
          <w:tcPr>
            <w:tcW w:w="1975" w:type="dxa"/>
          </w:tcPr>
          <w:p w14:paraId="54CF618F" w14:textId="77777777" w:rsidR="00B419CE" w:rsidRPr="00B419CE" w:rsidRDefault="00B419CE" w:rsidP="00B419CE">
            <w:pPr>
              <w:jc w:val="right"/>
            </w:pPr>
            <w:r w:rsidRPr="00B419CE">
              <w:t>Ja</w:t>
            </w:r>
          </w:p>
        </w:tc>
      </w:tr>
      <w:tr w:rsidR="00B419CE" w:rsidRPr="00B419CE" w14:paraId="5D388111" w14:textId="77777777" w:rsidTr="00B419CE">
        <w:trPr>
          <w:trHeight w:val="380"/>
        </w:trPr>
        <w:tc>
          <w:tcPr>
            <w:tcW w:w="1413" w:type="dxa"/>
          </w:tcPr>
          <w:p w14:paraId="20D4E5D0" w14:textId="77777777" w:rsidR="00B419CE" w:rsidRPr="00B419CE" w:rsidRDefault="00B419CE" w:rsidP="00B419CE">
            <w:r w:rsidRPr="00B419CE">
              <w:t>2020–2021</w:t>
            </w:r>
          </w:p>
        </w:tc>
        <w:tc>
          <w:tcPr>
            <w:tcW w:w="1417" w:type="dxa"/>
          </w:tcPr>
          <w:p w14:paraId="228111FD" w14:textId="77777777" w:rsidR="00B419CE" w:rsidRPr="00B419CE" w:rsidRDefault="00B419CE" w:rsidP="00B419CE">
            <w:pPr>
              <w:jc w:val="center"/>
            </w:pPr>
            <w:r w:rsidRPr="00B419CE">
              <w:t>147</w:t>
            </w:r>
          </w:p>
        </w:tc>
        <w:tc>
          <w:tcPr>
            <w:tcW w:w="4395" w:type="dxa"/>
          </w:tcPr>
          <w:p w14:paraId="4C9BDDF1" w14:textId="77777777" w:rsidR="00B419CE" w:rsidRPr="00B419CE" w:rsidRDefault="00B419CE" w:rsidP="00B419CE">
            <w:r w:rsidRPr="00B419CE">
              <w:t>Vindkraft – vurdere lokal kompensasjon</w:t>
            </w:r>
          </w:p>
        </w:tc>
        <w:tc>
          <w:tcPr>
            <w:tcW w:w="1975" w:type="dxa"/>
          </w:tcPr>
          <w:p w14:paraId="129E47E3" w14:textId="77777777" w:rsidR="00B419CE" w:rsidRPr="00B419CE" w:rsidRDefault="00B419CE" w:rsidP="00B419CE">
            <w:pPr>
              <w:jc w:val="right"/>
            </w:pPr>
            <w:r w:rsidRPr="00B419CE">
              <w:t>Ja</w:t>
            </w:r>
          </w:p>
        </w:tc>
      </w:tr>
      <w:tr w:rsidR="00B419CE" w:rsidRPr="00B419CE" w14:paraId="49A7A175" w14:textId="77777777" w:rsidTr="00B419CE">
        <w:trPr>
          <w:trHeight w:val="640"/>
        </w:trPr>
        <w:tc>
          <w:tcPr>
            <w:tcW w:w="1413" w:type="dxa"/>
          </w:tcPr>
          <w:p w14:paraId="5BBC4C74" w14:textId="77777777" w:rsidR="00B419CE" w:rsidRPr="00B419CE" w:rsidRDefault="00B419CE" w:rsidP="00B419CE">
            <w:r w:rsidRPr="00B419CE">
              <w:t>2020–2021</w:t>
            </w:r>
          </w:p>
        </w:tc>
        <w:tc>
          <w:tcPr>
            <w:tcW w:w="1417" w:type="dxa"/>
          </w:tcPr>
          <w:p w14:paraId="61CDF1D4" w14:textId="77777777" w:rsidR="00B419CE" w:rsidRPr="00B419CE" w:rsidRDefault="00B419CE" w:rsidP="00B419CE">
            <w:pPr>
              <w:jc w:val="center"/>
            </w:pPr>
            <w:r w:rsidRPr="00B419CE">
              <w:t>163</w:t>
            </w:r>
          </w:p>
        </w:tc>
        <w:tc>
          <w:tcPr>
            <w:tcW w:w="4395" w:type="dxa"/>
          </w:tcPr>
          <w:p w14:paraId="34C33D3D" w14:textId="77777777" w:rsidR="00B419CE" w:rsidRPr="00B419CE" w:rsidRDefault="00B419CE" w:rsidP="00B419CE">
            <w:r w:rsidRPr="00B419CE">
              <w:t xml:space="preserve">Vurdering av </w:t>
            </w:r>
            <w:proofErr w:type="spellStart"/>
            <w:r w:rsidRPr="00B419CE">
              <w:t>meirverdiavgiftsreglane</w:t>
            </w:r>
            <w:proofErr w:type="spellEnd"/>
            <w:r w:rsidRPr="00B419CE">
              <w:t xml:space="preserve"> ved omtvista krav i </w:t>
            </w:r>
            <w:proofErr w:type="spellStart"/>
            <w:r w:rsidRPr="00B419CE">
              <w:t>entreprisar</w:t>
            </w:r>
            <w:proofErr w:type="spellEnd"/>
          </w:p>
        </w:tc>
        <w:tc>
          <w:tcPr>
            <w:tcW w:w="1975" w:type="dxa"/>
          </w:tcPr>
          <w:p w14:paraId="4111243A" w14:textId="77777777" w:rsidR="00B419CE" w:rsidRPr="00B419CE" w:rsidRDefault="00B419CE" w:rsidP="00B419CE">
            <w:pPr>
              <w:jc w:val="right"/>
            </w:pPr>
            <w:r w:rsidRPr="00B419CE">
              <w:t>Ja</w:t>
            </w:r>
          </w:p>
        </w:tc>
      </w:tr>
      <w:tr w:rsidR="00B419CE" w:rsidRPr="00B419CE" w14:paraId="6F301187" w14:textId="77777777" w:rsidTr="00B419CE">
        <w:trPr>
          <w:trHeight w:val="380"/>
        </w:trPr>
        <w:tc>
          <w:tcPr>
            <w:tcW w:w="1413" w:type="dxa"/>
          </w:tcPr>
          <w:p w14:paraId="3EE9DDEB" w14:textId="77777777" w:rsidR="00B419CE" w:rsidRPr="00B419CE" w:rsidRDefault="00B419CE" w:rsidP="00B419CE">
            <w:r w:rsidRPr="00B419CE">
              <w:t>2020–2021</w:t>
            </w:r>
          </w:p>
        </w:tc>
        <w:tc>
          <w:tcPr>
            <w:tcW w:w="1417" w:type="dxa"/>
          </w:tcPr>
          <w:p w14:paraId="2CF36719" w14:textId="77777777" w:rsidR="00B419CE" w:rsidRPr="00B419CE" w:rsidRDefault="00B419CE" w:rsidP="00B419CE">
            <w:pPr>
              <w:jc w:val="center"/>
            </w:pPr>
            <w:r w:rsidRPr="00B419CE">
              <w:t>173</w:t>
            </w:r>
          </w:p>
        </w:tc>
        <w:tc>
          <w:tcPr>
            <w:tcW w:w="4395" w:type="dxa"/>
          </w:tcPr>
          <w:p w14:paraId="10C7050C" w14:textId="77777777" w:rsidR="00B419CE" w:rsidRPr="00B419CE" w:rsidRDefault="00B419CE" w:rsidP="00B419CE">
            <w:proofErr w:type="spellStart"/>
            <w:r w:rsidRPr="00B419CE">
              <w:t>Endringar</w:t>
            </w:r>
            <w:proofErr w:type="spellEnd"/>
            <w:r w:rsidRPr="00B419CE">
              <w:t xml:space="preserve"> i regelverket om godkjenning av </w:t>
            </w:r>
            <w:proofErr w:type="spellStart"/>
            <w:r w:rsidRPr="00B419CE">
              <w:t>campingbilar</w:t>
            </w:r>
            <w:proofErr w:type="spellEnd"/>
          </w:p>
        </w:tc>
        <w:tc>
          <w:tcPr>
            <w:tcW w:w="1975" w:type="dxa"/>
          </w:tcPr>
          <w:p w14:paraId="3E196477" w14:textId="77777777" w:rsidR="00B419CE" w:rsidRPr="00B419CE" w:rsidRDefault="00B419CE" w:rsidP="00B419CE">
            <w:pPr>
              <w:jc w:val="right"/>
            </w:pPr>
            <w:r w:rsidRPr="00B419CE">
              <w:t>Ja</w:t>
            </w:r>
          </w:p>
        </w:tc>
      </w:tr>
      <w:tr w:rsidR="00B419CE" w:rsidRPr="00B419CE" w14:paraId="4FB0C5D0" w14:textId="77777777" w:rsidTr="00B419CE">
        <w:trPr>
          <w:trHeight w:val="380"/>
        </w:trPr>
        <w:tc>
          <w:tcPr>
            <w:tcW w:w="1413" w:type="dxa"/>
          </w:tcPr>
          <w:p w14:paraId="221D6241" w14:textId="77777777" w:rsidR="00B419CE" w:rsidRPr="00B419CE" w:rsidRDefault="00B419CE" w:rsidP="00B419CE">
            <w:r w:rsidRPr="00B419CE">
              <w:t>2020–2021</w:t>
            </w:r>
          </w:p>
        </w:tc>
        <w:tc>
          <w:tcPr>
            <w:tcW w:w="1417" w:type="dxa"/>
          </w:tcPr>
          <w:p w14:paraId="5C4F14FA" w14:textId="77777777" w:rsidR="00B419CE" w:rsidRPr="00B419CE" w:rsidRDefault="00B419CE" w:rsidP="00B419CE">
            <w:pPr>
              <w:jc w:val="center"/>
            </w:pPr>
            <w:r w:rsidRPr="00B419CE">
              <w:t>176</w:t>
            </w:r>
          </w:p>
        </w:tc>
        <w:tc>
          <w:tcPr>
            <w:tcW w:w="4395" w:type="dxa"/>
          </w:tcPr>
          <w:p w14:paraId="60E4B1F4" w14:textId="77777777" w:rsidR="00B419CE" w:rsidRPr="00B419CE" w:rsidRDefault="00B419CE" w:rsidP="00B419CE">
            <w:r w:rsidRPr="00B419CE">
              <w:t>Forslag til ei ordning med differensiert tvangsmulkt</w:t>
            </w:r>
          </w:p>
        </w:tc>
        <w:tc>
          <w:tcPr>
            <w:tcW w:w="1975" w:type="dxa"/>
          </w:tcPr>
          <w:p w14:paraId="408BD680" w14:textId="77777777" w:rsidR="00B419CE" w:rsidRPr="00B419CE" w:rsidRDefault="00B419CE" w:rsidP="00B419CE">
            <w:pPr>
              <w:jc w:val="right"/>
            </w:pPr>
            <w:r w:rsidRPr="00B419CE">
              <w:t>Nei</w:t>
            </w:r>
          </w:p>
        </w:tc>
      </w:tr>
      <w:tr w:rsidR="00B419CE" w:rsidRPr="00B419CE" w14:paraId="6101A333" w14:textId="77777777" w:rsidTr="00B419CE">
        <w:trPr>
          <w:trHeight w:val="380"/>
        </w:trPr>
        <w:tc>
          <w:tcPr>
            <w:tcW w:w="1413" w:type="dxa"/>
          </w:tcPr>
          <w:p w14:paraId="4BA1AA2F" w14:textId="77777777" w:rsidR="00B419CE" w:rsidRPr="00B419CE" w:rsidRDefault="00B419CE" w:rsidP="00B419CE">
            <w:r w:rsidRPr="00B419CE">
              <w:t>2020–2021</w:t>
            </w:r>
          </w:p>
        </w:tc>
        <w:tc>
          <w:tcPr>
            <w:tcW w:w="1417" w:type="dxa"/>
          </w:tcPr>
          <w:p w14:paraId="140A9CF3" w14:textId="77777777" w:rsidR="00B419CE" w:rsidRPr="00B419CE" w:rsidRDefault="00B419CE" w:rsidP="00B419CE">
            <w:pPr>
              <w:jc w:val="center"/>
            </w:pPr>
            <w:r w:rsidRPr="00B419CE">
              <w:t>190</w:t>
            </w:r>
          </w:p>
        </w:tc>
        <w:tc>
          <w:tcPr>
            <w:tcW w:w="4395" w:type="dxa"/>
          </w:tcPr>
          <w:p w14:paraId="7633E1E1" w14:textId="77777777" w:rsidR="00B419CE" w:rsidRPr="00B419CE" w:rsidRDefault="00B419CE" w:rsidP="00B419CE">
            <w:r w:rsidRPr="00B419CE">
              <w:t xml:space="preserve">Mellombels ordning for utsatte </w:t>
            </w:r>
            <w:proofErr w:type="spellStart"/>
            <w:r w:rsidRPr="00B419CE">
              <w:t>skatteinnbetalingar</w:t>
            </w:r>
            <w:proofErr w:type="spellEnd"/>
          </w:p>
        </w:tc>
        <w:tc>
          <w:tcPr>
            <w:tcW w:w="1975" w:type="dxa"/>
          </w:tcPr>
          <w:p w14:paraId="3F6D5924" w14:textId="77777777" w:rsidR="00B419CE" w:rsidRPr="00B419CE" w:rsidRDefault="00B419CE" w:rsidP="00B419CE">
            <w:pPr>
              <w:jc w:val="right"/>
            </w:pPr>
            <w:r w:rsidRPr="00B419CE">
              <w:t>Ja</w:t>
            </w:r>
          </w:p>
        </w:tc>
      </w:tr>
      <w:tr w:rsidR="00B419CE" w:rsidRPr="00B419CE" w14:paraId="3AA9CA7A" w14:textId="77777777" w:rsidTr="00B419CE">
        <w:trPr>
          <w:trHeight w:val="380"/>
        </w:trPr>
        <w:tc>
          <w:tcPr>
            <w:tcW w:w="1413" w:type="dxa"/>
          </w:tcPr>
          <w:p w14:paraId="16DED5AA" w14:textId="77777777" w:rsidR="00B419CE" w:rsidRPr="00B419CE" w:rsidRDefault="00B419CE" w:rsidP="00B419CE">
            <w:r w:rsidRPr="00B419CE">
              <w:t>2020–2021</w:t>
            </w:r>
          </w:p>
        </w:tc>
        <w:tc>
          <w:tcPr>
            <w:tcW w:w="1417" w:type="dxa"/>
          </w:tcPr>
          <w:p w14:paraId="7DB79114" w14:textId="77777777" w:rsidR="00B419CE" w:rsidRPr="00B419CE" w:rsidRDefault="00B419CE" w:rsidP="00B419CE">
            <w:pPr>
              <w:jc w:val="center"/>
            </w:pPr>
            <w:r w:rsidRPr="00B419CE">
              <w:t>233</w:t>
            </w:r>
          </w:p>
        </w:tc>
        <w:tc>
          <w:tcPr>
            <w:tcW w:w="4395" w:type="dxa"/>
          </w:tcPr>
          <w:p w14:paraId="0645A08F" w14:textId="77777777" w:rsidR="00B419CE" w:rsidRPr="00B419CE" w:rsidRDefault="00B419CE" w:rsidP="00B419CE">
            <w:r w:rsidRPr="00B419CE">
              <w:t xml:space="preserve">Sikring av inntektsgrunnlaget for hestesporten i </w:t>
            </w:r>
            <w:proofErr w:type="spellStart"/>
            <w:r w:rsidRPr="00B419CE">
              <w:t>Noreg</w:t>
            </w:r>
            <w:proofErr w:type="spellEnd"/>
          </w:p>
        </w:tc>
        <w:tc>
          <w:tcPr>
            <w:tcW w:w="1975" w:type="dxa"/>
          </w:tcPr>
          <w:p w14:paraId="382D3DD4" w14:textId="77777777" w:rsidR="00B419CE" w:rsidRPr="00B419CE" w:rsidRDefault="00B419CE" w:rsidP="00B419CE">
            <w:pPr>
              <w:jc w:val="right"/>
            </w:pPr>
            <w:r w:rsidRPr="00B419CE">
              <w:t>Ja</w:t>
            </w:r>
          </w:p>
        </w:tc>
      </w:tr>
      <w:tr w:rsidR="00B419CE" w:rsidRPr="00B419CE" w14:paraId="3323F47A" w14:textId="77777777" w:rsidTr="00B419CE">
        <w:trPr>
          <w:trHeight w:val="380"/>
        </w:trPr>
        <w:tc>
          <w:tcPr>
            <w:tcW w:w="1413" w:type="dxa"/>
          </w:tcPr>
          <w:p w14:paraId="1EC989B5" w14:textId="77777777" w:rsidR="00B419CE" w:rsidRPr="00B419CE" w:rsidRDefault="00B419CE" w:rsidP="00B419CE">
            <w:r w:rsidRPr="00B419CE">
              <w:t>2020–2021</w:t>
            </w:r>
          </w:p>
        </w:tc>
        <w:tc>
          <w:tcPr>
            <w:tcW w:w="1417" w:type="dxa"/>
          </w:tcPr>
          <w:p w14:paraId="34B4A0FF" w14:textId="77777777" w:rsidR="00B419CE" w:rsidRPr="00B419CE" w:rsidRDefault="00B419CE" w:rsidP="00B419CE">
            <w:pPr>
              <w:jc w:val="center"/>
            </w:pPr>
            <w:r w:rsidRPr="00B419CE">
              <w:t>329</w:t>
            </w:r>
          </w:p>
        </w:tc>
        <w:tc>
          <w:tcPr>
            <w:tcW w:w="4395" w:type="dxa"/>
          </w:tcPr>
          <w:p w14:paraId="109131FA" w14:textId="77777777" w:rsidR="00B419CE" w:rsidRPr="00B419CE" w:rsidRDefault="00B419CE" w:rsidP="00B419CE">
            <w:r w:rsidRPr="00B419CE">
              <w:t>Vurdering av grensehandel</w:t>
            </w:r>
          </w:p>
        </w:tc>
        <w:tc>
          <w:tcPr>
            <w:tcW w:w="1975" w:type="dxa"/>
          </w:tcPr>
          <w:p w14:paraId="2D370768" w14:textId="77777777" w:rsidR="00B419CE" w:rsidRPr="00B419CE" w:rsidRDefault="00B419CE" w:rsidP="00B419CE">
            <w:pPr>
              <w:jc w:val="right"/>
            </w:pPr>
            <w:r w:rsidRPr="00B419CE">
              <w:t>Ja</w:t>
            </w:r>
          </w:p>
        </w:tc>
      </w:tr>
      <w:tr w:rsidR="00B419CE" w:rsidRPr="00B419CE" w14:paraId="28084FE1" w14:textId="77777777" w:rsidTr="00B419CE">
        <w:trPr>
          <w:trHeight w:val="380"/>
        </w:trPr>
        <w:tc>
          <w:tcPr>
            <w:tcW w:w="1413" w:type="dxa"/>
          </w:tcPr>
          <w:p w14:paraId="0566C20B" w14:textId="77777777" w:rsidR="00B419CE" w:rsidRPr="00B419CE" w:rsidRDefault="00B419CE" w:rsidP="00B419CE">
            <w:r w:rsidRPr="00B419CE">
              <w:t>2020–2021</w:t>
            </w:r>
          </w:p>
        </w:tc>
        <w:tc>
          <w:tcPr>
            <w:tcW w:w="1417" w:type="dxa"/>
          </w:tcPr>
          <w:p w14:paraId="522ECBAE" w14:textId="77777777" w:rsidR="00B419CE" w:rsidRPr="00B419CE" w:rsidRDefault="00B419CE" w:rsidP="00B419CE">
            <w:pPr>
              <w:jc w:val="center"/>
            </w:pPr>
            <w:r w:rsidRPr="00B419CE">
              <w:t>547</w:t>
            </w:r>
          </w:p>
        </w:tc>
        <w:tc>
          <w:tcPr>
            <w:tcW w:w="4395" w:type="dxa"/>
          </w:tcPr>
          <w:p w14:paraId="6848A814" w14:textId="77777777" w:rsidR="00B419CE" w:rsidRPr="00B419CE" w:rsidRDefault="00B419CE" w:rsidP="00B419CE">
            <w:proofErr w:type="spellStart"/>
            <w:r w:rsidRPr="00B419CE">
              <w:t>Tilskot</w:t>
            </w:r>
            <w:proofErr w:type="spellEnd"/>
            <w:r w:rsidRPr="00B419CE">
              <w:t xml:space="preserve"> ved </w:t>
            </w:r>
            <w:proofErr w:type="spellStart"/>
            <w:r w:rsidRPr="00B419CE">
              <w:t>avbroten</w:t>
            </w:r>
            <w:proofErr w:type="spellEnd"/>
            <w:r w:rsidRPr="00B419CE">
              <w:t xml:space="preserve"> permittering </w:t>
            </w:r>
          </w:p>
        </w:tc>
        <w:tc>
          <w:tcPr>
            <w:tcW w:w="1975" w:type="dxa"/>
          </w:tcPr>
          <w:p w14:paraId="4664E740" w14:textId="77777777" w:rsidR="00B419CE" w:rsidRPr="00B419CE" w:rsidRDefault="00B419CE" w:rsidP="00B419CE">
            <w:pPr>
              <w:jc w:val="right"/>
            </w:pPr>
            <w:r w:rsidRPr="00B419CE">
              <w:t>Ja</w:t>
            </w:r>
          </w:p>
        </w:tc>
      </w:tr>
      <w:tr w:rsidR="00B419CE" w:rsidRPr="00B419CE" w14:paraId="663F808C" w14:textId="77777777" w:rsidTr="00B419CE">
        <w:trPr>
          <w:trHeight w:val="380"/>
        </w:trPr>
        <w:tc>
          <w:tcPr>
            <w:tcW w:w="1413" w:type="dxa"/>
          </w:tcPr>
          <w:p w14:paraId="61ED251B" w14:textId="77777777" w:rsidR="00B419CE" w:rsidRPr="00B419CE" w:rsidRDefault="00B419CE" w:rsidP="00B419CE">
            <w:r w:rsidRPr="00B419CE">
              <w:lastRenderedPageBreak/>
              <w:t>2020–2021</w:t>
            </w:r>
          </w:p>
        </w:tc>
        <w:tc>
          <w:tcPr>
            <w:tcW w:w="1417" w:type="dxa"/>
          </w:tcPr>
          <w:p w14:paraId="61B569C1" w14:textId="77777777" w:rsidR="00B419CE" w:rsidRPr="00B419CE" w:rsidRDefault="00B419CE" w:rsidP="00B419CE">
            <w:pPr>
              <w:jc w:val="center"/>
            </w:pPr>
            <w:r w:rsidRPr="00B419CE">
              <w:t>555</w:t>
            </w:r>
          </w:p>
        </w:tc>
        <w:tc>
          <w:tcPr>
            <w:tcW w:w="4395" w:type="dxa"/>
          </w:tcPr>
          <w:p w14:paraId="07A6EF01" w14:textId="77777777" w:rsidR="00B419CE" w:rsidRPr="00B419CE" w:rsidRDefault="00B419CE" w:rsidP="00B419CE">
            <w:r w:rsidRPr="00B419CE">
              <w:t xml:space="preserve">Mellombels ordning for utsatte </w:t>
            </w:r>
            <w:proofErr w:type="spellStart"/>
            <w:r w:rsidRPr="00B419CE">
              <w:t>skatteinnbetalingar</w:t>
            </w:r>
            <w:proofErr w:type="spellEnd"/>
          </w:p>
        </w:tc>
        <w:tc>
          <w:tcPr>
            <w:tcW w:w="1975" w:type="dxa"/>
          </w:tcPr>
          <w:p w14:paraId="2A2B9D55" w14:textId="77777777" w:rsidR="00B419CE" w:rsidRPr="00B419CE" w:rsidRDefault="00B419CE" w:rsidP="00B419CE">
            <w:pPr>
              <w:jc w:val="right"/>
            </w:pPr>
            <w:r w:rsidRPr="00B419CE">
              <w:t>Ja</w:t>
            </w:r>
          </w:p>
        </w:tc>
      </w:tr>
      <w:tr w:rsidR="00B419CE" w:rsidRPr="00B419CE" w14:paraId="60713958" w14:textId="77777777" w:rsidTr="00B419CE">
        <w:trPr>
          <w:trHeight w:val="380"/>
        </w:trPr>
        <w:tc>
          <w:tcPr>
            <w:tcW w:w="1413" w:type="dxa"/>
          </w:tcPr>
          <w:p w14:paraId="2D335D51" w14:textId="77777777" w:rsidR="00B419CE" w:rsidRPr="00B419CE" w:rsidRDefault="00B419CE" w:rsidP="00B419CE">
            <w:r w:rsidRPr="00B419CE">
              <w:t>2020–2021</w:t>
            </w:r>
          </w:p>
        </w:tc>
        <w:tc>
          <w:tcPr>
            <w:tcW w:w="1417" w:type="dxa"/>
          </w:tcPr>
          <w:p w14:paraId="268FB9D4" w14:textId="77777777" w:rsidR="00B419CE" w:rsidRPr="00B419CE" w:rsidRDefault="00B419CE" w:rsidP="00B419CE">
            <w:pPr>
              <w:jc w:val="center"/>
            </w:pPr>
            <w:r w:rsidRPr="00B419CE">
              <w:t>580</w:t>
            </w:r>
          </w:p>
        </w:tc>
        <w:tc>
          <w:tcPr>
            <w:tcW w:w="4395" w:type="dxa"/>
          </w:tcPr>
          <w:p w14:paraId="72D8C5D7" w14:textId="77777777" w:rsidR="00B419CE" w:rsidRPr="00B419CE" w:rsidRDefault="00B419CE" w:rsidP="00B419CE">
            <w:r w:rsidRPr="00B419CE">
              <w:t>Vurdering av grensehandel</w:t>
            </w:r>
          </w:p>
        </w:tc>
        <w:tc>
          <w:tcPr>
            <w:tcW w:w="1975" w:type="dxa"/>
          </w:tcPr>
          <w:p w14:paraId="012AC26B" w14:textId="77777777" w:rsidR="00B419CE" w:rsidRPr="00B419CE" w:rsidRDefault="00B419CE" w:rsidP="00B419CE">
            <w:pPr>
              <w:jc w:val="right"/>
            </w:pPr>
            <w:r w:rsidRPr="00B419CE">
              <w:t>Ja</w:t>
            </w:r>
          </w:p>
        </w:tc>
      </w:tr>
      <w:tr w:rsidR="00B419CE" w:rsidRPr="00B419CE" w14:paraId="78B5D875" w14:textId="77777777" w:rsidTr="00B419CE">
        <w:trPr>
          <w:trHeight w:val="380"/>
        </w:trPr>
        <w:tc>
          <w:tcPr>
            <w:tcW w:w="1413" w:type="dxa"/>
          </w:tcPr>
          <w:p w14:paraId="72B1C0D4" w14:textId="77777777" w:rsidR="00B419CE" w:rsidRPr="00B419CE" w:rsidRDefault="00B419CE" w:rsidP="00B419CE">
            <w:r w:rsidRPr="00B419CE">
              <w:t>2020–2021</w:t>
            </w:r>
          </w:p>
        </w:tc>
        <w:tc>
          <w:tcPr>
            <w:tcW w:w="1417" w:type="dxa"/>
          </w:tcPr>
          <w:p w14:paraId="283F84D8" w14:textId="77777777" w:rsidR="00B419CE" w:rsidRPr="00B419CE" w:rsidRDefault="00B419CE" w:rsidP="00B419CE">
            <w:pPr>
              <w:jc w:val="center"/>
            </w:pPr>
            <w:r w:rsidRPr="00B419CE">
              <w:t>621</w:t>
            </w:r>
          </w:p>
        </w:tc>
        <w:tc>
          <w:tcPr>
            <w:tcW w:w="4395" w:type="dxa"/>
          </w:tcPr>
          <w:p w14:paraId="27D827D0" w14:textId="77777777" w:rsidR="00B419CE" w:rsidRPr="00B419CE" w:rsidRDefault="00B419CE" w:rsidP="00B419CE">
            <w:r w:rsidRPr="00B419CE">
              <w:t xml:space="preserve">Innføring av pensjon </w:t>
            </w:r>
            <w:proofErr w:type="spellStart"/>
            <w:r w:rsidRPr="00B419CE">
              <w:t>frå</w:t>
            </w:r>
            <w:proofErr w:type="spellEnd"/>
            <w:r w:rsidRPr="00B419CE">
              <w:t xml:space="preserve"> fyrste krone</w:t>
            </w:r>
          </w:p>
        </w:tc>
        <w:tc>
          <w:tcPr>
            <w:tcW w:w="1975" w:type="dxa"/>
          </w:tcPr>
          <w:p w14:paraId="2A7C2C22" w14:textId="77777777" w:rsidR="00B419CE" w:rsidRPr="00B419CE" w:rsidRDefault="00B419CE" w:rsidP="00B419CE">
            <w:pPr>
              <w:jc w:val="right"/>
            </w:pPr>
            <w:r w:rsidRPr="00B419CE">
              <w:t>Ja</w:t>
            </w:r>
          </w:p>
        </w:tc>
      </w:tr>
      <w:tr w:rsidR="00B419CE" w:rsidRPr="00B419CE" w14:paraId="79721363" w14:textId="77777777" w:rsidTr="00B419CE">
        <w:trPr>
          <w:trHeight w:val="640"/>
        </w:trPr>
        <w:tc>
          <w:tcPr>
            <w:tcW w:w="1413" w:type="dxa"/>
          </w:tcPr>
          <w:p w14:paraId="733E04F9" w14:textId="77777777" w:rsidR="00B419CE" w:rsidRPr="00B419CE" w:rsidRDefault="00B419CE" w:rsidP="00B419CE">
            <w:r w:rsidRPr="00B419CE">
              <w:t>2020–2021</w:t>
            </w:r>
          </w:p>
        </w:tc>
        <w:tc>
          <w:tcPr>
            <w:tcW w:w="1417" w:type="dxa"/>
          </w:tcPr>
          <w:p w14:paraId="2D51CA0E" w14:textId="77777777" w:rsidR="00B419CE" w:rsidRPr="00B419CE" w:rsidRDefault="00B419CE" w:rsidP="00B419CE">
            <w:pPr>
              <w:jc w:val="center"/>
            </w:pPr>
            <w:r w:rsidRPr="00B419CE">
              <w:t>658</w:t>
            </w:r>
          </w:p>
        </w:tc>
        <w:tc>
          <w:tcPr>
            <w:tcW w:w="4395" w:type="dxa"/>
          </w:tcPr>
          <w:p w14:paraId="35C14FD5" w14:textId="77777777" w:rsidR="00B419CE" w:rsidRPr="00B419CE" w:rsidRDefault="00B419CE" w:rsidP="00B419CE">
            <w:r w:rsidRPr="00B419CE">
              <w:t>Tiltak som kan avhjelpe situasjonen med ekstraordinært høge strømutgifter</w:t>
            </w:r>
          </w:p>
        </w:tc>
        <w:tc>
          <w:tcPr>
            <w:tcW w:w="1975" w:type="dxa"/>
          </w:tcPr>
          <w:p w14:paraId="54206290" w14:textId="77777777" w:rsidR="00B419CE" w:rsidRPr="00B419CE" w:rsidRDefault="00B419CE" w:rsidP="00B419CE">
            <w:pPr>
              <w:jc w:val="right"/>
            </w:pPr>
            <w:r w:rsidRPr="00B419CE">
              <w:t>Ja</w:t>
            </w:r>
          </w:p>
        </w:tc>
      </w:tr>
      <w:tr w:rsidR="00B419CE" w:rsidRPr="00B419CE" w14:paraId="67575913" w14:textId="77777777" w:rsidTr="00B419CE">
        <w:trPr>
          <w:trHeight w:val="380"/>
        </w:trPr>
        <w:tc>
          <w:tcPr>
            <w:tcW w:w="1413" w:type="dxa"/>
          </w:tcPr>
          <w:p w14:paraId="285EBE71" w14:textId="77777777" w:rsidR="00B419CE" w:rsidRPr="00B419CE" w:rsidRDefault="00B419CE" w:rsidP="00B419CE">
            <w:r w:rsidRPr="00B419CE">
              <w:t>2020–2021</w:t>
            </w:r>
          </w:p>
        </w:tc>
        <w:tc>
          <w:tcPr>
            <w:tcW w:w="1417" w:type="dxa"/>
          </w:tcPr>
          <w:p w14:paraId="55BCCA18" w14:textId="77777777" w:rsidR="00B419CE" w:rsidRPr="00B419CE" w:rsidRDefault="00B419CE" w:rsidP="00B419CE">
            <w:pPr>
              <w:jc w:val="center"/>
            </w:pPr>
            <w:r w:rsidRPr="00B419CE">
              <w:t>761</w:t>
            </w:r>
          </w:p>
        </w:tc>
        <w:tc>
          <w:tcPr>
            <w:tcW w:w="4395" w:type="dxa"/>
          </w:tcPr>
          <w:p w14:paraId="46A1DAC7" w14:textId="77777777" w:rsidR="00B419CE" w:rsidRPr="00B419CE" w:rsidRDefault="00B419CE" w:rsidP="00B419CE">
            <w:proofErr w:type="spellStart"/>
            <w:r w:rsidRPr="00B419CE">
              <w:t>Tilskot</w:t>
            </w:r>
            <w:proofErr w:type="spellEnd"/>
            <w:r w:rsidRPr="00B419CE">
              <w:t xml:space="preserve"> ved </w:t>
            </w:r>
            <w:proofErr w:type="spellStart"/>
            <w:r w:rsidRPr="00B419CE">
              <w:t>avbroten</w:t>
            </w:r>
            <w:proofErr w:type="spellEnd"/>
            <w:r w:rsidRPr="00B419CE">
              <w:t xml:space="preserve"> permittering </w:t>
            </w:r>
          </w:p>
        </w:tc>
        <w:tc>
          <w:tcPr>
            <w:tcW w:w="1975" w:type="dxa"/>
          </w:tcPr>
          <w:p w14:paraId="4A52D8E3" w14:textId="77777777" w:rsidR="00B419CE" w:rsidRPr="00B419CE" w:rsidRDefault="00B419CE" w:rsidP="00B419CE">
            <w:pPr>
              <w:jc w:val="right"/>
            </w:pPr>
            <w:r w:rsidRPr="00B419CE">
              <w:t>Ja</w:t>
            </w:r>
          </w:p>
        </w:tc>
      </w:tr>
      <w:tr w:rsidR="00B419CE" w:rsidRPr="00B419CE" w14:paraId="1A63CEC2" w14:textId="77777777" w:rsidTr="00B419CE">
        <w:trPr>
          <w:trHeight w:val="380"/>
        </w:trPr>
        <w:tc>
          <w:tcPr>
            <w:tcW w:w="1413" w:type="dxa"/>
          </w:tcPr>
          <w:p w14:paraId="1D011B3A" w14:textId="77777777" w:rsidR="00B419CE" w:rsidRPr="00B419CE" w:rsidRDefault="00B419CE" w:rsidP="00B419CE">
            <w:r w:rsidRPr="00B419CE">
              <w:t>2020–2021</w:t>
            </w:r>
          </w:p>
        </w:tc>
        <w:tc>
          <w:tcPr>
            <w:tcW w:w="1417" w:type="dxa"/>
          </w:tcPr>
          <w:p w14:paraId="4E7E3412" w14:textId="77777777" w:rsidR="00B419CE" w:rsidRPr="00B419CE" w:rsidRDefault="00B419CE" w:rsidP="00B419CE">
            <w:pPr>
              <w:jc w:val="center"/>
            </w:pPr>
            <w:r w:rsidRPr="00B419CE">
              <w:t>791</w:t>
            </w:r>
          </w:p>
        </w:tc>
        <w:tc>
          <w:tcPr>
            <w:tcW w:w="4395" w:type="dxa"/>
          </w:tcPr>
          <w:p w14:paraId="5AA072A0" w14:textId="77777777" w:rsidR="00B419CE" w:rsidRPr="00B419CE" w:rsidRDefault="00B419CE" w:rsidP="00B419CE">
            <w:r w:rsidRPr="00B419CE">
              <w:t>Klimaavgift på norsk kjøttproduksjon</w:t>
            </w:r>
          </w:p>
        </w:tc>
        <w:tc>
          <w:tcPr>
            <w:tcW w:w="1975" w:type="dxa"/>
          </w:tcPr>
          <w:p w14:paraId="585A4707" w14:textId="77777777" w:rsidR="00B419CE" w:rsidRPr="00B419CE" w:rsidRDefault="00B419CE" w:rsidP="00B419CE">
            <w:pPr>
              <w:jc w:val="right"/>
            </w:pPr>
            <w:r w:rsidRPr="00B419CE">
              <w:t>Ja</w:t>
            </w:r>
          </w:p>
        </w:tc>
      </w:tr>
      <w:tr w:rsidR="00B419CE" w:rsidRPr="00B419CE" w14:paraId="5490105A" w14:textId="77777777" w:rsidTr="00B419CE">
        <w:trPr>
          <w:trHeight w:val="380"/>
        </w:trPr>
        <w:tc>
          <w:tcPr>
            <w:tcW w:w="1413" w:type="dxa"/>
          </w:tcPr>
          <w:p w14:paraId="01FF9B95" w14:textId="77777777" w:rsidR="00B419CE" w:rsidRPr="00B419CE" w:rsidRDefault="00B419CE" w:rsidP="00B419CE">
            <w:r w:rsidRPr="00B419CE">
              <w:t>2020–2021</w:t>
            </w:r>
          </w:p>
        </w:tc>
        <w:tc>
          <w:tcPr>
            <w:tcW w:w="1417" w:type="dxa"/>
          </w:tcPr>
          <w:p w14:paraId="460051F6" w14:textId="77777777" w:rsidR="00B419CE" w:rsidRPr="00B419CE" w:rsidRDefault="00B419CE" w:rsidP="00B419CE">
            <w:pPr>
              <w:jc w:val="center"/>
            </w:pPr>
            <w:r w:rsidRPr="00B419CE">
              <w:t>795</w:t>
            </w:r>
          </w:p>
        </w:tc>
        <w:tc>
          <w:tcPr>
            <w:tcW w:w="4395" w:type="dxa"/>
          </w:tcPr>
          <w:p w14:paraId="15551201" w14:textId="77777777" w:rsidR="00B419CE" w:rsidRPr="00B419CE" w:rsidRDefault="00B419CE" w:rsidP="00B419CE">
            <w:r w:rsidRPr="00B419CE">
              <w:t xml:space="preserve">Avgift på avfallsforbrenning </w:t>
            </w:r>
          </w:p>
        </w:tc>
        <w:tc>
          <w:tcPr>
            <w:tcW w:w="1975" w:type="dxa"/>
          </w:tcPr>
          <w:p w14:paraId="7BA06D5A" w14:textId="77777777" w:rsidR="00B419CE" w:rsidRPr="00B419CE" w:rsidRDefault="00B419CE" w:rsidP="00B419CE">
            <w:pPr>
              <w:jc w:val="right"/>
            </w:pPr>
            <w:r w:rsidRPr="00B419CE">
              <w:t>Ja</w:t>
            </w:r>
          </w:p>
        </w:tc>
      </w:tr>
      <w:tr w:rsidR="00B419CE" w:rsidRPr="00B419CE" w14:paraId="583AA33A" w14:textId="77777777" w:rsidTr="00B419CE">
        <w:trPr>
          <w:trHeight w:val="640"/>
        </w:trPr>
        <w:tc>
          <w:tcPr>
            <w:tcW w:w="1413" w:type="dxa"/>
          </w:tcPr>
          <w:p w14:paraId="35D033DF" w14:textId="77777777" w:rsidR="00B419CE" w:rsidRPr="00B419CE" w:rsidRDefault="00B419CE" w:rsidP="00B419CE">
            <w:r w:rsidRPr="00B419CE">
              <w:t>2020–2021</w:t>
            </w:r>
          </w:p>
        </w:tc>
        <w:tc>
          <w:tcPr>
            <w:tcW w:w="1417" w:type="dxa"/>
          </w:tcPr>
          <w:p w14:paraId="0F62D06D" w14:textId="77777777" w:rsidR="00B419CE" w:rsidRPr="00B419CE" w:rsidRDefault="00B419CE" w:rsidP="00B419CE">
            <w:pPr>
              <w:jc w:val="center"/>
            </w:pPr>
            <w:r w:rsidRPr="00B419CE">
              <w:t>849</w:t>
            </w:r>
          </w:p>
        </w:tc>
        <w:tc>
          <w:tcPr>
            <w:tcW w:w="4395" w:type="dxa"/>
          </w:tcPr>
          <w:p w14:paraId="5CE293FA" w14:textId="77777777" w:rsidR="00B419CE" w:rsidRPr="00B419CE" w:rsidRDefault="00B419CE" w:rsidP="00B419CE">
            <w:r w:rsidRPr="00B419CE">
              <w:t xml:space="preserve">Endring av </w:t>
            </w:r>
            <w:proofErr w:type="spellStart"/>
            <w:r w:rsidRPr="00B419CE">
              <w:t>meirverdiavgiftsreglane</w:t>
            </w:r>
            <w:proofErr w:type="spellEnd"/>
            <w:r w:rsidRPr="00B419CE">
              <w:t xml:space="preserve"> ved omtvista krav i </w:t>
            </w:r>
            <w:proofErr w:type="spellStart"/>
            <w:r w:rsidRPr="00B419CE">
              <w:t>entreprisar</w:t>
            </w:r>
            <w:proofErr w:type="spellEnd"/>
          </w:p>
        </w:tc>
        <w:tc>
          <w:tcPr>
            <w:tcW w:w="1975" w:type="dxa"/>
          </w:tcPr>
          <w:p w14:paraId="7B53C85D" w14:textId="77777777" w:rsidR="00B419CE" w:rsidRPr="00B419CE" w:rsidRDefault="00B419CE" w:rsidP="00B419CE">
            <w:pPr>
              <w:jc w:val="right"/>
            </w:pPr>
            <w:r w:rsidRPr="00B419CE">
              <w:t>Ja</w:t>
            </w:r>
          </w:p>
        </w:tc>
      </w:tr>
      <w:tr w:rsidR="00B419CE" w:rsidRPr="00B419CE" w14:paraId="10BA8191" w14:textId="77777777" w:rsidTr="00B419CE">
        <w:trPr>
          <w:trHeight w:val="380"/>
        </w:trPr>
        <w:tc>
          <w:tcPr>
            <w:tcW w:w="1413" w:type="dxa"/>
          </w:tcPr>
          <w:p w14:paraId="5C94C342" w14:textId="77777777" w:rsidR="00B419CE" w:rsidRPr="00B419CE" w:rsidRDefault="00B419CE" w:rsidP="00B419CE">
            <w:r w:rsidRPr="00B419CE">
              <w:t>2020–2021</w:t>
            </w:r>
          </w:p>
        </w:tc>
        <w:tc>
          <w:tcPr>
            <w:tcW w:w="1417" w:type="dxa"/>
          </w:tcPr>
          <w:p w14:paraId="521396FD" w14:textId="77777777" w:rsidR="00B419CE" w:rsidRPr="00B419CE" w:rsidRDefault="00B419CE" w:rsidP="00B419CE">
            <w:pPr>
              <w:jc w:val="center"/>
            </w:pPr>
            <w:r w:rsidRPr="00B419CE">
              <w:t>1141</w:t>
            </w:r>
          </w:p>
        </w:tc>
        <w:tc>
          <w:tcPr>
            <w:tcW w:w="4395" w:type="dxa"/>
          </w:tcPr>
          <w:p w14:paraId="549443D9" w14:textId="77777777" w:rsidR="00B419CE" w:rsidRPr="00B419CE" w:rsidRDefault="00B419CE" w:rsidP="00B419CE">
            <w:r w:rsidRPr="00B419CE">
              <w:t>Skattlegging av internasjonale selskap</w:t>
            </w:r>
          </w:p>
        </w:tc>
        <w:tc>
          <w:tcPr>
            <w:tcW w:w="1975" w:type="dxa"/>
          </w:tcPr>
          <w:p w14:paraId="56FBB0CD" w14:textId="77777777" w:rsidR="00B419CE" w:rsidRPr="00B419CE" w:rsidRDefault="00B419CE" w:rsidP="00B419CE">
            <w:pPr>
              <w:jc w:val="right"/>
            </w:pPr>
            <w:r w:rsidRPr="00B419CE">
              <w:t>Ja</w:t>
            </w:r>
          </w:p>
        </w:tc>
      </w:tr>
      <w:tr w:rsidR="00B419CE" w:rsidRPr="00B419CE" w14:paraId="601ABC00" w14:textId="77777777" w:rsidTr="00B419CE">
        <w:trPr>
          <w:trHeight w:val="380"/>
        </w:trPr>
        <w:tc>
          <w:tcPr>
            <w:tcW w:w="1413" w:type="dxa"/>
          </w:tcPr>
          <w:p w14:paraId="5E094A07" w14:textId="77777777" w:rsidR="00B419CE" w:rsidRPr="00B419CE" w:rsidRDefault="00B419CE" w:rsidP="00B419CE">
            <w:r w:rsidRPr="00B419CE">
              <w:t>2020–2021</w:t>
            </w:r>
          </w:p>
        </w:tc>
        <w:tc>
          <w:tcPr>
            <w:tcW w:w="1417" w:type="dxa"/>
          </w:tcPr>
          <w:p w14:paraId="2569CAC8" w14:textId="77777777" w:rsidR="00B419CE" w:rsidRPr="00B419CE" w:rsidRDefault="00B419CE" w:rsidP="00B419CE">
            <w:pPr>
              <w:jc w:val="center"/>
            </w:pPr>
            <w:r w:rsidRPr="00B419CE">
              <w:t>1174</w:t>
            </w:r>
          </w:p>
        </w:tc>
        <w:tc>
          <w:tcPr>
            <w:tcW w:w="4395" w:type="dxa"/>
          </w:tcPr>
          <w:p w14:paraId="66952522" w14:textId="77777777" w:rsidR="00B419CE" w:rsidRPr="00B419CE" w:rsidRDefault="00B419CE" w:rsidP="00B419CE">
            <w:proofErr w:type="spellStart"/>
            <w:r w:rsidRPr="00B419CE">
              <w:t>Utval</w:t>
            </w:r>
            <w:proofErr w:type="spellEnd"/>
            <w:r w:rsidRPr="00B419CE">
              <w:t xml:space="preserve"> om </w:t>
            </w:r>
            <w:proofErr w:type="spellStart"/>
            <w:r w:rsidRPr="00B419CE">
              <w:t>kontantane</w:t>
            </w:r>
            <w:proofErr w:type="spellEnd"/>
            <w:r w:rsidRPr="00B419CE">
              <w:t xml:space="preserve"> </w:t>
            </w:r>
            <w:proofErr w:type="spellStart"/>
            <w:r w:rsidRPr="00B419CE">
              <w:t>si</w:t>
            </w:r>
            <w:proofErr w:type="spellEnd"/>
            <w:r w:rsidRPr="00B419CE">
              <w:t xml:space="preserve"> rolle i samfunnet</w:t>
            </w:r>
          </w:p>
        </w:tc>
        <w:tc>
          <w:tcPr>
            <w:tcW w:w="1975" w:type="dxa"/>
          </w:tcPr>
          <w:p w14:paraId="02BE7853" w14:textId="77777777" w:rsidR="00B419CE" w:rsidRPr="00B419CE" w:rsidRDefault="00B419CE" w:rsidP="00B419CE">
            <w:pPr>
              <w:jc w:val="right"/>
            </w:pPr>
            <w:r w:rsidRPr="00B419CE">
              <w:t>Nei</w:t>
            </w:r>
          </w:p>
        </w:tc>
      </w:tr>
      <w:tr w:rsidR="00B419CE" w:rsidRPr="00B419CE" w14:paraId="2D1DCBBB" w14:textId="77777777" w:rsidTr="00B419CE">
        <w:trPr>
          <w:trHeight w:val="380"/>
        </w:trPr>
        <w:tc>
          <w:tcPr>
            <w:tcW w:w="1413" w:type="dxa"/>
          </w:tcPr>
          <w:p w14:paraId="7CAB4083" w14:textId="77777777" w:rsidR="00B419CE" w:rsidRPr="00B419CE" w:rsidRDefault="00B419CE" w:rsidP="00B419CE">
            <w:r w:rsidRPr="00B419CE">
              <w:t>2020–2021</w:t>
            </w:r>
          </w:p>
        </w:tc>
        <w:tc>
          <w:tcPr>
            <w:tcW w:w="1417" w:type="dxa"/>
          </w:tcPr>
          <w:p w14:paraId="50D6E3BD" w14:textId="77777777" w:rsidR="00B419CE" w:rsidRPr="00B419CE" w:rsidRDefault="00B419CE" w:rsidP="00B419CE">
            <w:pPr>
              <w:jc w:val="center"/>
            </w:pPr>
            <w:r w:rsidRPr="00B419CE">
              <w:t>1176</w:t>
            </w:r>
          </w:p>
        </w:tc>
        <w:tc>
          <w:tcPr>
            <w:tcW w:w="4395" w:type="dxa"/>
          </w:tcPr>
          <w:p w14:paraId="5EEBB721" w14:textId="77777777" w:rsidR="00B419CE" w:rsidRPr="00B419CE" w:rsidRDefault="00B419CE" w:rsidP="00B419CE">
            <w:proofErr w:type="spellStart"/>
            <w:r w:rsidRPr="00B419CE">
              <w:t>Samarbeidsløysingar</w:t>
            </w:r>
            <w:proofErr w:type="spellEnd"/>
            <w:r w:rsidRPr="00B419CE">
              <w:t xml:space="preserve"> for </w:t>
            </w:r>
            <w:proofErr w:type="spellStart"/>
            <w:r w:rsidRPr="00B419CE">
              <w:t>sparebankar</w:t>
            </w:r>
            <w:proofErr w:type="spellEnd"/>
          </w:p>
        </w:tc>
        <w:tc>
          <w:tcPr>
            <w:tcW w:w="1975" w:type="dxa"/>
          </w:tcPr>
          <w:p w14:paraId="13DD554B" w14:textId="77777777" w:rsidR="00B419CE" w:rsidRPr="00B419CE" w:rsidRDefault="00B419CE" w:rsidP="00B419CE">
            <w:pPr>
              <w:jc w:val="right"/>
            </w:pPr>
            <w:r w:rsidRPr="00B419CE">
              <w:t>Nei</w:t>
            </w:r>
          </w:p>
        </w:tc>
      </w:tr>
      <w:tr w:rsidR="00B419CE" w:rsidRPr="00B419CE" w14:paraId="5B0A7AA7" w14:textId="77777777" w:rsidTr="00B419CE">
        <w:trPr>
          <w:trHeight w:val="380"/>
        </w:trPr>
        <w:tc>
          <w:tcPr>
            <w:tcW w:w="1413" w:type="dxa"/>
          </w:tcPr>
          <w:p w14:paraId="6B1D8239" w14:textId="77777777" w:rsidR="00B419CE" w:rsidRPr="00B419CE" w:rsidRDefault="00B419CE" w:rsidP="00B419CE">
            <w:r w:rsidRPr="00B419CE">
              <w:t>2020–2021</w:t>
            </w:r>
          </w:p>
        </w:tc>
        <w:tc>
          <w:tcPr>
            <w:tcW w:w="1417" w:type="dxa"/>
          </w:tcPr>
          <w:p w14:paraId="6619B4DF" w14:textId="77777777" w:rsidR="00B419CE" w:rsidRPr="00B419CE" w:rsidRDefault="00B419CE" w:rsidP="00B419CE">
            <w:pPr>
              <w:jc w:val="center"/>
            </w:pPr>
            <w:r w:rsidRPr="00B419CE">
              <w:t>1177</w:t>
            </w:r>
          </w:p>
        </w:tc>
        <w:tc>
          <w:tcPr>
            <w:tcW w:w="4395" w:type="dxa"/>
          </w:tcPr>
          <w:p w14:paraId="033CCC12" w14:textId="77777777" w:rsidR="00B419CE" w:rsidRPr="00B419CE" w:rsidRDefault="00B419CE" w:rsidP="00B419CE">
            <w:r w:rsidRPr="00B419CE">
              <w:t xml:space="preserve">Kapitalkrav for norske </w:t>
            </w:r>
            <w:proofErr w:type="spellStart"/>
            <w:r w:rsidRPr="00B419CE">
              <w:t>sparebankar</w:t>
            </w:r>
            <w:proofErr w:type="spellEnd"/>
          </w:p>
        </w:tc>
        <w:tc>
          <w:tcPr>
            <w:tcW w:w="1975" w:type="dxa"/>
          </w:tcPr>
          <w:p w14:paraId="4E6D8815" w14:textId="77777777" w:rsidR="00B419CE" w:rsidRPr="00B419CE" w:rsidRDefault="00B419CE" w:rsidP="00B419CE">
            <w:pPr>
              <w:jc w:val="right"/>
            </w:pPr>
            <w:r w:rsidRPr="00B419CE">
              <w:t>Nei</w:t>
            </w:r>
          </w:p>
        </w:tc>
      </w:tr>
      <w:tr w:rsidR="00B419CE" w:rsidRPr="00B419CE" w14:paraId="6EAF0D6D" w14:textId="77777777" w:rsidTr="00B419CE">
        <w:trPr>
          <w:trHeight w:val="640"/>
        </w:trPr>
        <w:tc>
          <w:tcPr>
            <w:tcW w:w="1413" w:type="dxa"/>
          </w:tcPr>
          <w:p w14:paraId="3C102E29" w14:textId="77777777" w:rsidR="00B419CE" w:rsidRPr="00B419CE" w:rsidRDefault="00B419CE" w:rsidP="00B419CE">
            <w:r w:rsidRPr="00B419CE">
              <w:t>2020–2021</w:t>
            </w:r>
          </w:p>
        </w:tc>
        <w:tc>
          <w:tcPr>
            <w:tcW w:w="1417" w:type="dxa"/>
          </w:tcPr>
          <w:p w14:paraId="53C7BE66" w14:textId="77777777" w:rsidR="00B419CE" w:rsidRPr="00B419CE" w:rsidRDefault="00B419CE" w:rsidP="00B419CE">
            <w:pPr>
              <w:jc w:val="center"/>
            </w:pPr>
            <w:r w:rsidRPr="00B419CE">
              <w:t>1250</w:t>
            </w:r>
          </w:p>
        </w:tc>
        <w:tc>
          <w:tcPr>
            <w:tcW w:w="4395" w:type="dxa"/>
          </w:tcPr>
          <w:p w14:paraId="30E03149" w14:textId="77777777" w:rsidR="00B419CE" w:rsidRPr="00B419CE" w:rsidRDefault="00B419CE" w:rsidP="00B419CE">
            <w:proofErr w:type="spellStart"/>
            <w:r w:rsidRPr="00B419CE">
              <w:t>Eigedomsskatt</w:t>
            </w:r>
            <w:proofErr w:type="spellEnd"/>
            <w:r w:rsidRPr="00B419CE">
              <w:t xml:space="preserve">, utgreiing og vurdering av </w:t>
            </w:r>
            <w:proofErr w:type="spellStart"/>
            <w:r w:rsidRPr="00B419CE">
              <w:t>eit</w:t>
            </w:r>
            <w:proofErr w:type="spellEnd"/>
            <w:r w:rsidRPr="00B419CE">
              <w:t xml:space="preserve"> tak for </w:t>
            </w:r>
            <w:proofErr w:type="spellStart"/>
            <w:r w:rsidRPr="00B419CE">
              <w:t>bustader</w:t>
            </w:r>
            <w:proofErr w:type="spellEnd"/>
            <w:r w:rsidRPr="00B419CE">
              <w:t xml:space="preserve"> og </w:t>
            </w:r>
            <w:proofErr w:type="spellStart"/>
            <w:r w:rsidRPr="00B419CE">
              <w:t>fritidsbustader</w:t>
            </w:r>
            <w:proofErr w:type="spellEnd"/>
          </w:p>
        </w:tc>
        <w:tc>
          <w:tcPr>
            <w:tcW w:w="1975" w:type="dxa"/>
          </w:tcPr>
          <w:p w14:paraId="23CF9C61" w14:textId="77777777" w:rsidR="00B419CE" w:rsidRPr="00B419CE" w:rsidRDefault="00B419CE" w:rsidP="00B419CE">
            <w:pPr>
              <w:jc w:val="right"/>
            </w:pPr>
            <w:r w:rsidRPr="00B419CE">
              <w:t>Nei</w:t>
            </w:r>
          </w:p>
        </w:tc>
      </w:tr>
      <w:tr w:rsidR="00B419CE" w:rsidRPr="00B419CE" w14:paraId="7F4DDA93" w14:textId="77777777" w:rsidTr="00B419CE">
        <w:trPr>
          <w:trHeight w:val="380"/>
        </w:trPr>
        <w:tc>
          <w:tcPr>
            <w:tcW w:w="1413" w:type="dxa"/>
          </w:tcPr>
          <w:p w14:paraId="4CA306C8" w14:textId="77777777" w:rsidR="00B419CE" w:rsidRPr="00B419CE" w:rsidRDefault="00B419CE" w:rsidP="00B419CE">
            <w:r w:rsidRPr="00B419CE">
              <w:t>2019–2020</w:t>
            </w:r>
          </w:p>
        </w:tc>
        <w:tc>
          <w:tcPr>
            <w:tcW w:w="1417" w:type="dxa"/>
          </w:tcPr>
          <w:p w14:paraId="25480DFC" w14:textId="77777777" w:rsidR="00B419CE" w:rsidRPr="00B419CE" w:rsidRDefault="00B419CE" w:rsidP="00B419CE">
            <w:pPr>
              <w:jc w:val="center"/>
            </w:pPr>
            <w:r w:rsidRPr="00B419CE">
              <w:t>554</w:t>
            </w:r>
          </w:p>
        </w:tc>
        <w:tc>
          <w:tcPr>
            <w:tcW w:w="4395" w:type="dxa"/>
          </w:tcPr>
          <w:p w14:paraId="584D4287" w14:textId="77777777" w:rsidR="00B419CE" w:rsidRPr="00B419CE" w:rsidRDefault="00B419CE" w:rsidP="00B419CE">
            <w:r w:rsidRPr="00B419CE">
              <w:t>Fiskal avgift på fiskeria</w:t>
            </w:r>
          </w:p>
        </w:tc>
        <w:tc>
          <w:tcPr>
            <w:tcW w:w="1975" w:type="dxa"/>
          </w:tcPr>
          <w:p w14:paraId="26FE27E9" w14:textId="77777777" w:rsidR="00B419CE" w:rsidRPr="00B419CE" w:rsidRDefault="00B419CE" w:rsidP="00B419CE">
            <w:pPr>
              <w:jc w:val="right"/>
            </w:pPr>
            <w:r w:rsidRPr="00B419CE">
              <w:t>Ja</w:t>
            </w:r>
          </w:p>
        </w:tc>
      </w:tr>
      <w:tr w:rsidR="00B419CE" w:rsidRPr="00B419CE" w14:paraId="5283201B" w14:textId="77777777" w:rsidTr="00B419CE">
        <w:trPr>
          <w:trHeight w:val="380"/>
        </w:trPr>
        <w:tc>
          <w:tcPr>
            <w:tcW w:w="1413" w:type="dxa"/>
          </w:tcPr>
          <w:p w14:paraId="68C73DCC" w14:textId="77777777" w:rsidR="00B419CE" w:rsidRPr="00B419CE" w:rsidRDefault="00B419CE" w:rsidP="00B419CE">
            <w:r w:rsidRPr="00B419CE">
              <w:t>2019–2020</w:t>
            </w:r>
          </w:p>
        </w:tc>
        <w:tc>
          <w:tcPr>
            <w:tcW w:w="1417" w:type="dxa"/>
          </w:tcPr>
          <w:p w14:paraId="3E9AB9D0" w14:textId="77777777" w:rsidR="00B419CE" w:rsidRPr="00B419CE" w:rsidRDefault="00B419CE" w:rsidP="00B419CE">
            <w:pPr>
              <w:jc w:val="center"/>
            </w:pPr>
            <w:r w:rsidRPr="00B419CE">
              <w:t>692</w:t>
            </w:r>
          </w:p>
        </w:tc>
        <w:tc>
          <w:tcPr>
            <w:tcW w:w="4395" w:type="dxa"/>
          </w:tcPr>
          <w:p w14:paraId="50D74052" w14:textId="77777777" w:rsidR="00B419CE" w:rsidRPr="00B419CE" w:rsidRDefault="00B419CE" w:rsidP="00B419CE">
            <w:r w:rsidRPr="00B419CE">
              <w:t>Konkret forslag om kontonummerportabilitet</w:t>
            </w:r>
          </w:p>
        </w:tc>
        <w:tc>
          <w:tcPr>
            <w:tcW w:w="1975" w:type="dxa"/>
          </w:tcPr>
          <w:p w14:paraId="6CCB68DF" w14:textId="77777777" w:rsidR="00B419CE" w:rsidRPr="00B419CE" w:rsidRDefault="00B419CE" w:rsidP="00B419CE">
            <w:pPr>
              <w:jc w:val="right"/>
            </w:pPr>
            <w:r w:rsidRPr="00B419CE">
              <w:t>Ja</w:t>
            </w:r>
          </w:p>
        </w:tc>
      </w:tr>
      <w:tr w:rsidR="00B419CE" w:rsidRPr="00B419CE" w14:paraId="42F6FDBA" w14:textId="77777777" w:rsidTr="00B419CE">
        <w:trPr>
          <w:trHeight w:val="380"/>
        </w:trPr>
        <w:tc>
          <w:tcPr>
            <w:tcW w:w="1413" w:type="dxa"/>
          </w:tcPr>
          <w:p w14:paraId="0B7397A2" w14:textId="77777777" w:rsidR="00B419CE" w:rsidRPr="00B419CE" w:rsidRDefault="00B419CE" w:rsidP="00B419CE">
            <w:r w:rsidRPr="00B419CE">
              <w:t>2019–2020</w:t>
            </w:r>
          </w:p>
        </w:tc>
        <w:tc>
          <w:tcPr>
            <w:tcW w:w="1417" w:type="dxa"/>
          </w:tcPr>
          <w:p w14:paraId="6C8CE3F0" w14:textId="77777777" w:rsidR="00B419CE" w:rsidRPr="00B419CE" w:rsidRDefault="00B419CE" w:rsidP="00B419CE">
            <w:pPr>
              <w:jc w:val="center"/>
            </w:pPr>
            <w:r w:rsidRPr="00B419CE">
              <w:t>693</w:t>
            </w:r>
          </w:p>
        </w:tc>
        <w:tc>
          <w:tcPr>
            <w:tcW w:w="4395" w:type="dxa"/>
          </w:tcPr>
          <w:p w14:paraId="74114FF7" w14:textId="77777777" w:rsidR="00B419CE" w:rsidRPr="00B419CE" w:rsidRDefault="00B419CE" w:rsidP="00B419CE">
            <w:r w:rsidRPr="00B419CE">
              <w:t xml:space="preserve">Vurdering av digitale </w:t>
            </w:r>
            <w:proofErr w:type="spellStart"/>
            <w:r w:rsidRPr="00B419CE">
              <w:t>sentralbankpengar</w:t>
            </w:r>
            <w:proofErr w:type="spellEnd"/>
          </w:p>
        </w:tc>
        <w:tc>
          <w:tcPr>
            <w:tcW w:w="1975" w:type="dxa"/>
          </w:tcPr>
          <w:p w14:paraId="5735B895" w14:textId="77777777" w:rsidR="00B419CE" w:rsidRPr="00B419CE" w:rsidRDefault="00B419CE" w:rsidP="00B419CE">
            <w:pPr>
              <w:jc w:val="right"/>
            </w:pPr>
            <w:r w:rsidRPr="00B419CE">
              <w:t>Ja</w:t>
            </w:r>
          </w:p>
        </w:tc>
      </w:tr>
      <w:tr w:rsidR="00B419CE" w:rsidRPr="00B419CE" w14:paraId="2F0DDBE4" w14:textId="77777777" w:rsidTr="00B419CE">
        <w:trPr>
          <w:trHeight w:val="380"/>
        </w:trPr>
        <w:tc>
          <w:tcPr>
            <w:tcW w:w="1413" w:type="dxa"/>
          </w:tcPr>
          <w:p w14:paraId="18709AFF" w14:textId="77777777" w:rsidR="00B419CE" w:rsidRPr="00B419CE" w:rsidRDefault="00B419CE" w:rsidP="00B419CE">
            <w:r w:rsidRPr="00B419CE">
              <w:t>2019–2020</w:t>
            </w:r>
          </w:p>
        </w:tc>
        <w:tc>
          <w:tcPr>
            <w:tcW w:w="1417" w:type="dxa"/>
          </w:tcPr>
          <w:p w14:paraId="32F6D49F" w14:textId="77777777" w:rsidR="00B419CE" w:rsidRPr="00B419CE" w:rsidRDefault="00B419CE" w:rsidP="00B419CE">
            <w:pPr>
              <w:jc w:val="center"/>
            </w:pPr>
            <w:r w:rsidRPr="00B419CE">
              <w:t>694</w:t>
            </w:r>
          </w:p>
        </w:tc>
        <w:tc>
          <w:tcPr>
            <w:tcW w:w="4395" w:type="dxa"/>
          </w:tcPr>
          <w:p w14:paraId="4247A324" w14:textId="77777777" w:rsidR="00B419CE" w:rsidRPr="00B419CE" w:rsidRDefault="00B419CE" w:rsidP="00B419CE">
            <w:r w:rsidRPr="00B419CE">
              <w:t>Utrede om Finansklagenemnda kan få utvida mandat</w:t>
            </w:r>
          </w:p>
        </w:tc>
        <w:tc>
          <w:tcPr>
            <w:tcW w:w="1975" w:type="dxa"/>
          </w:tcPr>
          <w:p w14:paraId="514A6B94" w14:textId="77777777" w:rsidR="00B419CE" w:rsidRPr="00B419CE" w:rsidRDefault="00B419CE" w:rsidP="00B419CE">
            <w:pPr>
              <w:jc w:val="right"/>
            </w:pPr>
            <w:r w:rsidRPr="00B419CE">
              <w:t>Ja</w:t>
            </w:r>
          </w:p>
        </w:tc>
      </w:tr>
      <w:tr w:rsidR="00B419CE" w:rsidRPr="00B419CE" w14:paraId="49CEE6E1" w14:textId="77777777" w:rsidTr="00B419CE">
        <w:trPr>
          <w:trHeight w:val="640"/>
        </w:trPr>
        <w:tc>
          <w:tcPr>
            <w:tcW w:w="1413" w:type="dxa"/>
          </w:tcPr>
          <w:p w14:paraId="41B98C79" w14:textId="77777777" w:rsidR="00B419CE" w:rsidRPr="00B419CE" w:rsidRDefault="00B419CE" w:rsidP="00B419CE">
            <w:r w:rsidRPr="00B419CE">
              <w:t>2019–2020</w:t>
            </w:r>
          </w:p>
        </w:tc>
        <w:tc>
          <w:tcPr>
            <w:tcW w:w="1417" w:type="dxa"/>
          </w:tcPr>
          <w:p w14:paraId="064EE536" w14:textId="77777777" w:rsidR="00B419CE" w:rsidRPr="00B419CE" w:rsidRDefault="00B419CE" w:rsidP="00B419CE">
            <w:pPr>
              <w:jc w:val="center"/>
            </w:pPr>
            <w:r w:rsidRPr="00B419CE">
              <w:t>707</w:t>
            </w:r>
          </w:p>
        </w:tc>
        <w:tc>
          <w:tcPr>
            <w:tcW w:w="4395" w:type="dxa"/>
          </w:tcPr>
          <w:p w14:paraId="1BBC07A2" w14:textId="77777777" w:rsidR="00B419CE" w:rsidRPr="00B419CE" w:rsidRDefault="00B419CE" w:rsidP="00B419CE">
            <w:r w:rsidRPr="00B419CE">
              <w:t xml:space="preserve">Kulturmiljømeldinga – </w:t>
            </w:r>
            <w:proofErr w:type="spellStart"/>
            <w:r w:rsidRPr="00B419CE">
              <w:t>vedlikehald</w:t>
            </w:r>
            <w:proofErr w:type="spellEnd"/>
            <w:r w:rsidRPr="00B419CE">
              <w:t xml:space="preserve"> av privateide kulturminne og kulturmiljø</w:t>
            </w:r>
          </w:p>
        </w:tc>
        <w:tc>
          <w:tcPr>
            <w:tcW w:w="1975" w:type="dxa"/>
          </w:tcPr>
          <w:p w14:paraId="177DA27A" w14:textId="77777777" w:rsidR="00B419CE" w:rsidRPr="00B419CE" w:rsidRDefault="00B419CE" w:rsidP="00B419CE">
            <w:pPr>
              <w:jc w:val="right"/>
            </w:pPr>
            <w:r w:rsidRPr="00B419CE">
              <w:t>Nei</w:t>
            </w:r>
          </w:p>
        </w:tc>
      </w:tr>
      <w:tr w:rsidR="00B419CE" w:rsidRPr="00B419CE" w14:paraId="2E954989" w14:textId="77777777" w:rsidTr="00B419CE">
        <w:trPr>
          <w:trHeight w:val="380"/>
        </w:trPr>
        <w:tc>
          <w:tcPr>
            <w:tcW w:w="1413" w:type="dxa"/>
          </w:tcPr>
          <w:p w14:paraId="217C274C" w14:textId="77777777" w:rsidR="00B419CE" w:rsidRPr="00B419CE" w:rsidRDefault="00B419CE" w:rsidP="00B419CE">
            <w:r w:rsidRPr="00B419CE">
              <w:t>2019–2020</w:t>
            </w:r>
          </w:p>
        </w:tc>
        <w:tc>
          <w:tcPr>
            <w:tcW w:w="1417" w:type="dxa"/>
          </w:tcPr>
          <w:p w14:paraId="32FC551E" w14:textId="77777777" w:rsidR="00B419CE" w:rsidRPr="00B419CE" w:rsidRDefault="00B419CE" w:rsidP="00B419CE">
            <w:pPr>
              <w:jc w:val="center"/>
            </w:pPr>
            <w:r w:rsidRPr="00B419CE">
              <w:t>784</w:t>
            </w:r>
          </w:p>
        </w:tc>
        <w:tc>
          <w:tcPr>
            <w:tcW w:w="4395" w:type="dxa"/>
          </w:tcPr>
          <w:p w14:paraId="155A36D1" w14:textId="77777777" w:rsidR="00B419CE" w:rsidRPr="00B419CE" w:rsidRDefault="00B419CE" w:rsidP="00B419CE">
            <w:proofErr w:type="spellStart"/>
            <w:r w:rsidRPr="00B419CE">
              <w:t>Reiarlagskatteordninga</w:t>
            </w:r>
            <w:proofErr w:type="spellEnd"/>
          </w:p>
        </w:tc>
        <w:tc>
          <w:tcPr>
            <w:tcW w:w="1975" w:type="dxa"/>
          </w:tcPr>
          <w:p w14:paraId="40F5BE60" w14:textId="77777777" w:rsidR="00B419CE" w:rsidRPr="00B419CE" w:rsidRDefault="00B419CE" w:rsidP="00B419CE">
            <w:pPr>
              <w:jc w:val="right"/>
            </w:pPr>
            <w:r w:rsidRPr="00B419CE">
              <w:t>Nei</w:t>
            </w:r>
          </w:p>
        </w:tc>
      </w:tr>
      <w:tr w:rsidR="00B419CE" w:rsidRPr="00B419CE" w14:paraId="2644E4E9" w14:textId="77777777" w:rsidTr="00B419CE">
        <w:trPr>
          <w:trHeight w:val="380"/>
        </w:trPr>
        <w:tc>
          <w:tcPr>
            <w:tcW w:w="1413" w:type="dxa"/>
          </w:tcPr>
          <w:p w14:paraId="3032CC63" w14:textId="77777777" w:rsidR="00B419CE" w:rsidRPr="00B419CE" w:rsidRDefault="00B419CE" w:rsidP="00B419CE">
            <w:r w:rsidRPr="00B419CE">
              <w:t>2019–2020</w:t>
            </w:r>
          </w:p>
        </w:tc>
        <w:tc>
          <w:tcPr>
            <w:tcW w:w="1417" w:type="dxa"/>
          </w:tcPr>
          <w:p w14:paraId="27D7AD9C" w14:textId="77777777" w:rsidR="00B419CE" w:rsidRPr="00B419CE" w:rsidRDefault="00B419CE" w:rsidP="00B419CE">
            <w:pPr>
              <w:jc w:val="center"/>
            </w:pPr>
            <w:r w:rsidRPr="00B419CE">
              <w:t>785</w:t>
            </w:r>
          </w:p>
        </w:tc>
        <w:tc>
          <w:tcPr>
            <w:tcW w:w="4395" w:type="dxa"/>
          </w:tcPr>
          <w:p w14:paraId="182C03A1" w14:textId="77777777" w:rsidR="00B419CE" w:rsidRPr="00B419CE" w:rsidRDefault="00B419CE" w:rsidP="00B419CE">
            <w:proofErr w:type="spellStart"/>
            <w:r w:rsidRPr="00B419CE">
              <w:t>Endringar</w:t>
            </w:r>
            <w:proofErr w:type="spellEnd"/>
            <w:r w:rsidRPr="00B419CE">
              <w:t xml:space="preserve"> i regelverket for </w:t>
            </w:r>
            <w:proofErr w:type="spellStart"/>
            <w:r w:rsidRPr="00B419CE">
              <w:t>campingbilar</w:t>
            </w:r>
            <w:proofErr w:type="spellEnd"/>
          </w:p>
        </w:tc>
        <w:tc>
          <w:tcPr>
            <w:tcW w:w="1975" w:type="dxa"/>
          </w:tcPr>
          <w:p w14:paraId="6B93F5AD" w14:textId="77777777" w:rsidR="00B419CE" w:rsidRPr="00B419CE" w:rsidRDefault="00B419CE" w:rsidP="00B419CE">
            <w:pPr>
              <w:jc w:val="right"/>
            </w:pPr>
            <w:r w:rsidRPr="00B419CE">
              <w:t>Ja</w:t>
            </w:r>
          </w:p>
        </w:tc>
      </w:tr>
      <w:tr w:rsidR="00B419CE" w:rsidRPr="00B419CE" w14:paraId="09B8D7D4" w14:textId="77777777" w:rsidTr="00B419CE">
        <w:trPr>
          <w:trHeight w:val="380"/>
        </w:trPr>
        <w:tc>
          <w:tcPr>
            <w:tcW w:w="1413" w:type="dxa"/>
          </w:tcPr>
          <w:p w14:paraId="3C0E8A3F" w14:textId="77777777" w:rsidR="00B419CE" w:rsidRPr="00B419CE" w:rsidRDefault="00B419CE" w:rsidP="00B419CE">
            <w:r w:rsidRPr="00B419CE">
              <w:t>2018–2019</w:t>
            </w:r>
          </w:p>
        </w:tc>
        <w:tc>
          <w:tcPr>
            <w:tcW w:w="1417" w:type="dxa"/>
          </w:tcPr>
          <w:p w14:paraId="14DA774B" w14:textId="77777777" w:rsidR="00B419CE" w:rsidRPr="00B419CE" w:rsidRDefault="00B419CE" w:rsidP="00B419CE">
            <w:pPr>
              <w:jc w:val="center"/>
            </w:pPr>
            <w:r w:rsidRPr="00B419CE">
              <w:t>45</w:t>
            </w:r>
          </w:p>
        </w:tc>
        <w:tc>
          <w:tcPr>
            <w:tcW w:w="4395" w:type="dxa"/>
          </w:tcPr>
          <w:p w14:paraId="1C1F3B02" w14:textId="77777777" w:rsidR="00B419CE" w:rsidRPr="00B419CE" w:rsidRDefault="00B419CE" w:rsidP="00B419CE">
            <w:r w:rsidRPr="00B419CE">
              <w:t>Solidarisk alkoholpolitikk</w:t>
            </w:r>
          </w:p>
        </w:tc>
        <w:tc>
          <w:tcPr>
            <w:tcW w:w="1975" w:type="dxa"/>
          </w:tcPr>
          <w:p w14:paraId="75278F7E" w14:textId="77777777" w:rsidR="00B419CE" w:rsidRPr="00B419CE" w:rsidRDefault="00B419CE" w:rsidP="00B419CE">
            <w:pPr>
              <w:jc w:val="right"/>
            </w:pPr>
            <w:r w:rsidRPr="00B419CE">
              <w:t>Nei</w:t>
            </w:r>
          </w:p>
        </w:tc>
      </w:tr>
      <w:tr w:rsidR="00B419CE" w:rsidRPr="00B419CE" w14:paraId="1B9B7E44" w14:textId="77777777" w:rsidTr="00B419CE">
        <w:trPr>
          <w:trHeight w:val="640"/>
        </w:trPr>
        <w:tc>
          <w:tcPr>
            <w:tcW w:w="1413" w:type="dxa"/>
          </w:tcPr>
          <w:p w14:paraId="133C87A8" w14:textId="77777777" w:rsidR="00B419CE" w:rsidRPr="00B419CE" w:rsidRDefault="00B419CE" w:rsidP="00B419CE">
            <w:r w:rsidRPr="00B419CE">
              <w:t>2018–2019</w:t>
            </w:r>
          </w:p>
        </w:tc>
        <w:tc>
          <w:tcPr>
            <w:tcW w:w="1417" w:type="dxa"/>
          </w:tcPr>
          <w:p w14:paraId="142CEEE2" w14:textId="77777777" w:rsidR="00B419CE" w:rsidRPr="00B419CE" w:rsidRDefault="00B419CE" w:rsidP="00B419CE">
            <w:pPr>
              <w:jc w:val="center"/>
            </w:pPr>
            <w:r w:rsidRPr="00B419CE">
              <w:t>404</w:t>
            </w:r>
          </w:p>
        </w:tc>
        <w:tc>
          <w:tcPr>
            <w:tcW w:w="4395" w:type="dxa"/>
          </w:tcPr>
          <w:p w14:paraId="1AD50615" w14:textId="77777777" w:rsidR="00B419CE" w:rsidRPr="00B419CE" w:rsidRDefault="00B419CE" w:rsidP="00B419CE">
            <w:r w:rsidRPr="00B419CE">
              <w:t xml:space="preserve">Presisering i forskrift av kven som skal </w:t>
            </w:r>
            <w:proofErr w:type="spellStart"/>
            <w:r w:rsidRPr="00B419CE">
              <w:t>verte</w:t>
            </w:r>
            <w:proofErr w:type="spellEnd"/>
            <w:r w:rsidRPr="00B419CE">
              <w:t xml:space="preserve"> identifisert som reelle </w:t>
            </w:r>
            <w:proofErr w:type="spellStart"/>
            <w:r w:rsidRPr="00B419CE">
              <w:t>rettshavarar</w:t>
            </w:r>
            <w:proofErr w:type="spellEnd"/>
          </w:p>
        </w:tc>
        <w:tc>
          <w:tcPr>
            <w:tcW w:w="1975" w:type="dxa"/>
          </w:tcPr>
          <w:p w14:paraId="79570D05" w14:textId="77777777" w:rsidR="00B419CE" w:rsidRPr="00B419CE" w:rsidRDefault="00B419CE" w:rsidP="00B419CE">
            <w:pPr>
              <w:jc w:val="right"/>
            </w:pPr>
            <w:r w:rsidRPr="00B419CE">
              <w:t>Ja</w:t>
            </w:r>
          </w:p>
        </w:tc>
      </w:tr>
      <w:tr w:rsidR="00B419CE" w:rsidRPr="00B419CE" w14:paraId="7227CD73" w14:textId="77777777" w:rsidTr="00B419CE">
        <w:trPr>
          <w:trHeight w:val="640"/>
        </w:trPr>
        <w:tc>
          <w:tcPr>
            <w:tcW w:w="1413" w:type="dxa"/>
          </w:tcPr>
          <w:p w14:paraId="3747BD83" w14:textId="77777777" w:rsidR="00B419CE" w:rsidRPr="00B419CE" w:rsidRDefault="00B419CE" w:rsidP="00B419CE">
            <w:r w:rsidRPr="00B419CE">
              <w:t>2018–2019</w:t>
            </w:r>
          </w:p>
        </w:tc>
        <w:tc>
          <w:tcPr>
            <w:tcW w:w="1417" w:type="dxa"/>
          </w:tcPr>
          <w:p w14:paraId="563E1704" w14:textId="77777777" w:rsidR="00B419CE" w:rsidRPr="00B419CE" w:rsidRDefault="00B419CE" w:rsidP="00B419CE">
            <w:pPr>
              <w:jc w:val="center"/>
            </w:pPr>
            <w:r w:rsidRPr="00B419CE">
              <w:t>424</w:t>
            </w:r>
          </w:p>
        </w:tc>
        <w:tc>
          <w:tcPr>
            <w:tcW w:w="4395" w:type="dxa"/>
          </w:tcPr>
          <w:p w14:paraId="2705D8C9" w14:textId="77777777" w:rsidR="00B419CE" w:rsidRPr="00B419CE" w:rsidRDefault="00B419CE" w:rsidP="00B419CE">
            <w:r w:rsidRPr="00B419CE">
              <w:t xml:space="preserve">Utgreiing av ny teknologi som kan erstatte </w:t>
            </w:r>
            <w:proofErr w:type="spellStart"/>
            <w:r w:rsidRPr="00B419CE">
              <w:t>gjeldande</w:t>
            </w:r>
            <w:proofErr w:type="spellEnd"/>
            <w:r w:rsidRPr="00B419CE">
              <w:t xml:space="preserve"> bompengeordning</w:t>
            </w:r>
          </w:p>
        </w:tc>
        <w:tc>
          <w:tcPr>
            <w:tcW w:w="1975" w:type="dxa"/>
          </w:tcPr>
          <w:p w14:paraId="265A52D0" w14:textId="77777777" w:rsidR="00B419CE" w:rsidRPr="00B419CE" w:rsidRDefault="00B419CE" w:rsidP="00B419CE">
            <w:pPr>
              <w:jc w:val="right"/>
            </w:pPr>
            <w:r w:rsidRPr="00B419CE">
              <w:t>Ja</w:t>
            </w:r>
          </w:p>
        </w:tc>
      </w:tr>
      <w:tr w:rsidR="00B419CE" w:rsidRPr="00B419CE" w14:paraId="7B6C39AE" w14:textId="77777777" w:rsidTr="00B419CE">
        <w:trPr>
          <w:trHeight w:val="380"/>
        </w:trPr>
        <w:tc>
          <w:tcPr>
            <w:tcW w:w="1413" w:type="dxa"/>
          </w:tcPr>
          <w:p w14:paraId="7C01B773" w14:textId="77777777" w:rsidR="00B419CE" w:rsidRPr="00B419CE" w:rsidRDefault="00B419CE" w:rsidP="00B419CE">
            <w:r w:rsidRPr="00B419CE">
              <w:t>2017–2018</w:t>
            </w:r>
          </w:p>
        </w:tc>
        <w:tc>
          <w:tcPr>
            <w:tcW w:w="1417" w:type="dxa"/>
          </w:tcPr>
          <w:p w14:paraId="68E7AE96" w14:textId="77777777" w:rsidR="00B419CE" w:rsidRPr="00B419CE" w:rsidRDefault="00B419CE" w:rsidP="00B419CE">
            <w:pPr>
              <w:jc w:val="center"/>
            </w:pPr>
            <w:r w:rsidRPr="00B419CE">
              <w:t>868</w:t>
            </w:r>
          </w:p>
        </w:tc>
        <w:tc>
          <w:tcPr>
            <w:tcW w:w="4395" w:type="dxa"/>
          </w:tcPr>
          <w:p w14:paraId="1B219B6B" w14:textId="77777777" w:rsidR="00B419CE" w:rsidRPr="00B419CE" w:rsidRDefault="00B419CE" w:rsidP="00B419CE">
            <w:r w:rsidRPr="00B419CE">
              <w:t xml:space="preserve">Finansskatt – omlegging der finansskatt på </w:t>
            </w:r>
            <w:proofErr w:type="spellStart"/>
            <w:r w:rsidRPr="00B419CE">
              <w:t>løn</w:t>
            </w:r>
            <w:proofErr w:type="spellEnd"/>
            <w:r w:rsidRPr="00B419CE">
              <w:t xml:space="preserve"> vert fjerna</w:t>
            </w:r>
          </w:p>
        </w:tc>
        <w:tc>
          <w:tcPr>
            <w:tcW w:w="1975" w:type="dxa"/>
          </w:tcPr>
          <w:p w14:paraId="73541310" w14:textId="77777777" w:rsidR="00B419CE" w:rsidRPr="00B419CE" w:rsidRDefault="00B419CE" w:rsidP="00B419CE">
            <w:pPr>
              <w:jc w:val="right"/>
            </w:pPr>
            <w:r w:rsidRPr="00B419CE">
              <w:t>Ja</w:t>
            </w:r>
          </w:p>
        </w:tc>
      </w:tr>
      <w:tr w:rsidR="00B419CE" w:rsidRPr="00B419CE" w14:paraId="1C3663B8" w14:textId="77777777" w:rsidTr="00B419CE">
        <w:trPr>
          <w:trHeight w:val="380"/>
        </w:trPr>
        <w:tc>
          <w:tcPr>
            <w:tcW w:w="1413" w:type="dxa"/>
          </w:tcPr>
          <w:p w14:paraId="01EDC592" w14:textId="77777777" w:rsidR="00B419CE" w:rsidRPr="00B419CE" w:rsidRDefault="00B419CE" w:rsidP="00B419CE">
            <w:r w:rsidRPr="00B419CE">
              <w:lastRenderedPageBreak/>
              <w:t>2016–2017</w:t>
            </w:r>
          </w:p>
        </w:tc>
        <w:tc>
          <w:tcPr>
            <w:tcW w:w="1417" w:type="dxa"/>
          </w:tcPr>
          <w:p w14:paraId="19C1212C" w14:textId="77777777" w:rsidR="00B419CE" w:rsidRPr="00B419CE" w:rsidRDefault="00B419CE" w:rsidP="00B419CE">
            <w:pPr>
              <w:jc w:val="center"/>
            </w:pPr>
            <w:r w:rsidRPr="00B419CE">
              <w:t>48</w:t>
            </w:r>
          </w:p>
        </w:tc>
        <w:tc>
          <w:tcPr>
            <w:tcW w:w="4395" w:type="dxa"/>
          </w:tcPr>
          <w:p w14:paraId="21225221" w14:textId="77777777" w:rsidR="00B419CE" w:rsidRPr="00B419CE" w:rsidRDefault="00B419CE" w:rsidP="00B419CE">
            <w:r w:rsidRPr="00B419CE">
              <w:t>Land-for-land rapportering</w:t>
            </w:r>
          </w:p>
        </w:tc>
        <w:tc>
          <w:tcPr>
            <w:tcW w:w="1975" w:type="dxa"/>
          </w:tcPr>
          <w:p w14:paraId="3CB58EDC" w14:textId="77777777" w:rsidR="00B419CE" w:rsidRPr="00B419CE" w:rsidRDefault="00B419CE" w:rsidP="00B419CE">
            <w:pPr>
              <w:jc w:val="right"/>
            </w:pPr>
            <w:r w:rsidRPr="00B419CE">
              <w:t>Nei</w:t>
            </w:r>
          </w:p>
        </w:tc>
      </w:tr>
      <w:tr w:rsidR="00B419CE" w:rsidRPr="00B419CE" w14:paraId="222B857A" w14:textId="77777777" w:rsidTr="00B419CE">
        <w:trPr>
          <w:trHeight w:val="640"/>
        </w:trPr>
        <w:tc>
          <w:tcPr>
            <w:tcW w:w="1413" w:type="dxa"/>
          </w:tcPr>
          <w:p w14:paraId="6D9C3C7E" w14:textId="77777777" w:rsidR="00B419CE" w:rsidRPr="00B419CE" w:rsidRDefault="00B419CE" w:rsidP="00B419CE">
            <w:r w:rsidRPr="00B419CE">
              <w:t>2016–2017</w:t>
            </w:r>
          </w:p>
        </w:tc>
        <w:tc>
          <w:tcPr>
            <w:tcW w:w="1417" w:type="dxa"/>
          </w:tcPr>
          <w:p w14:paraId="1DC9A5E3" w14:textId="77777777" w:rsidR="00B419CE" w:rsidRPr="00B419CE" w:rsidRDefault="00B419CE" w:rsidP="00B419CE">
            <w:pPr>
              <w:jc w:val="center"/>
            </w:pPr>
            <w:r w:rsidRPr="00B419CE">
              <w:t>1040</w:t>
            </w:r>
          </w:p>
        </w:tc>
        <w:tc>
          <w:tcPr>
            <w:tcW w:w="4395" w:type="dxa"/>
          </w:tcPr>
          <w:p w14:paraId="5BEDAF88" w14:textId="77777777" w:rsidR="00B419CE" w:rsidRPr="00B419CE" w:rsidRDefault="00B419CE" w:rsidP="00B419CE">
            <w:r w:rsidRPr="00B419CE">
              <w:t xml:space="preserve">Sikre behovet hos </w:t>
            </w:r>
            <w:proofErr w:type="spellStart"/>
            <w:r w:rsidRPr="00B419CE">
              <w:t>bustadkjøpare</w:t>
            </w:r>
            <w:proofErr w:type="spellEnd"/>
            <w:r w:rsidRPr="00B419CE">
              <w:t xml:space="preserve"> for </w:t>
            </w:r>
            <w:proofErr w:type="spellStart"/>
            <w:r w:rsidRPr="00B419CE">
              <w:t>meir</w:t>
            </w:r>
            <w:proofErr w:type="spellEnd"/>
            <w:r w:rsidRPr="00B419CE">
              <w:t xml:space="preserve"> tid i bustadhandelen</w:t>
            </w:r>
          </w:p>
        </w:tc>
        <w:tc>
          <w:tcPr>
            <w:tcW w:w="1975" w:type="dxa"/>
          </w:tcPr>
          <w:p w14:paraId="4873EBD7" w14:textId="77777777" w:rsidR="00B419CE" w:rsidRPr="00B419CE" w:rsidRDefault="00B419CE" w:rsidP="00B419CE">
            <w:pPr>
              <w:jc w:val="right"/>
            </w:pPr>
            <w:r w:rsidRPr="00B419CE">
              <w:t>Nei</w:t>
            </w:r>
          </w:p>
        </w:tc>
      </w:tr>
    </w:tbl>
    <w:p w14:paraId="7AAC6226" w14:textId="77777777" w:rsidR="00B419CE" w:rsidRPr="00B419CE" w:rsidRDefault="00B419CE" w:rsidP="00DF1D6A">
      <w:pPr>
        <w:pStyle w:val="Overskrift2"/>
        <w:numPr>
          <w:ilvl w:val="1"/>
          <w:numId w:val="20"/>
        </w:numPr>
      </w:pPr>
      <w:r w:rsidRPr="00B419CE">
        <w:t>Stortingssesjon 2020–2021</w:t>
      </w:r>
    </w:p>
    <w:p w14:paraId="423E3AEC" w14:textId="77777777" w:rsidR="00B419CE" w:rsidRPr="00B419CE" w:rsidRDefault="00B419CE" w:rsidP="00B419CE">
      <w:pPr>
        <w:pStyle w:val="avsnitt-tittel"/>
      </w:pPr>
      <w:r w:rsidRPr="00B419CE">
        <w:t xml:space="preserve">Statens obligasjonsfond – </w:t>
      </w:r>
      <w:proofErr w:type="spellStart"/>
      <w:r w:rsidRPr="00B419CE">
        <w:t>moglegheit</w:t>
      </w:r>
      <w:proofErr w:type="spellEnd"/>
      <w:r w:rsidRPr="00B419CE">
        <w:t xml:space="preserve"> for </w:t>
      </w:r>
      <w:proofErr w:type="spellStart"/>
      <w:r w:rsidRPr="00B419CE">
        <w:t>auka</w:t>
      </w:r>
      <w:proofErr w:type="spellEnd"/>
      <w:r w:rsidRPr="00B419CE">
        <w:t xml:space="preserve"> fleksibilitet</w:t>
      </w:r>
    </w:p>
    <w:p w14:paraId="686757F5" w14:textId="77777777" w:rsidR="00B419CE" w:rsidRPr="00B419CE" w:rsidRDefault="00B419CE" w:rsidP="00B419CE">
      <w:pPr>
        <w:pStyle w:val="avsnitt-undertittel"/>
      </w:pPr>
      <w:r w:rsidRPr="00B419CE">
        <w:t>Vedtak nr. 23, 9. oktober 2020</w:t>
      </w:r>
    </w:p>
    <w:p w14:paraId="5FA6453E" w14:textId="77777777" w:rsidR="00B419CE" w:rsidRPr="00B419CE" w:rsidRDefault="00B419CE" w:rsidP="00B419CE">
      <w:pPr>
        <w:pStyle w:val="blokksit"/>
        <w:rPr>
          <w:rStyle w:val="kursiv"/>
        </w:rPr>
      </w:pPr>
      <w:r w:rsidRPr="00B419CE">
        <w:rPr>
          <w:rStyle w:val="kursiv"/>
        </w:rPr>
        <w:t>«Stortinget ber regjeringen undersøke Statens obligasjonsfonds mulighet for større fleksibilitet når det gjelder selskaper som har fått redusert likviditet og soliditet som følge av koronautbruddet.»</w:t>
      </w:r>
    </w:p>
    <w:p w14:paraId="08BB434E"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142 S (2019–2020), jf. </w:t>
      </w:r>
      <w:proofErr w:type="spellStart"/>
      <w:r w:rsidRPr="00B419CE">
        <w:t>Innst</w:t>
      </w:r>
      <w:proofErr w:type="spellEnd"/>
      <w:r w:rsidRPr="00B419CE">
        <w:t xml:space="preserve">. 19 S (2020–2021). Oppmodingsvedtaket </w:t>
      </w:r>
      <w:proofErr w:type="spellStart"/>
      <w:r w:rsidRPr="00B419CE">
        <w:t>vart</w:t>
      </w:r>
      <w:proofErr w:type="spellEnd"/>
      <w:r w:rsidRPr="00B419CE">
        <w:t xml:space="preserve"> omtalt i Meld. St. 2 (2020–2021) </w:t>
      </w:r>
      <w:r w:rsidRPr="00B419CE">
        <w:rPr>
          <w:rStyle w:val="kursiv"/>
        </w:rPr>
        <w:t>Revidert nasjonalbudsjett 2021</w:t>
      </w:r>
      <w:r w:rsidRPr="00B419CE">
        <w:t xml:space="preserve">, kapittel 3.6 der departementet orienterte om at mandatet for Statens obligasjonsfond </w:t>
      </w:r>
      <w:proofErr w:type="spellStart"/>
      <w:r w:rsidRPr="00B419CE">
        <w:t>ikkje</w:t>
      </w:r>
      <w:proofErr w:type="spellEnd"/>
      <w:r w:rsidRPr="00B419CE">
        <w:t xml:space="preserve"> vil </w:t>
      </w:r>
      <w:proofErr w:type="spellStart"/>
      <w:r w:rsidRPr="00B419CE">
        <w:t>verte</w:t>
      </w:r>
      <w:proofErr w:type="spellEnd"/>
      <w:r w:rsidRPr="00B419CE">
        <w:t xml:space="preserve"> endra. I </w:t>
      </w:r>
      <w:proofErr w:type="spellStart"/>
      <w:r w:rsidRPr="00B419CE">
        <w:t>Innst</w:t>
      </w:r>
      <w:proofErr w:type="spellEnd"/>
      <w:r w:rsidRPr="00B419CE">
        <w:t xml:space="preserve">. 600 S (2020–2021) tok komiteen omtalen til orientering. Departementet ser det slik at oppmodingsvedtaket er </w:t>
      </w:r>
      <w:proofErr w:type="spellStart"/>
      <w:r w:rsidRPr="00B419CE">
        <w:t>følgt</w:t>
      </w:r>
      <w:proofErr w:type="spellEnd"/>
      <w:r w:rsidRPr="00B419CE">
        <w:t xml:space="preserve"> opp gjennom dette.</w:t>
      </w:r>
    </w:p>
    <w:p w14:paraId="1311AA68" w14:textId="77777777" w:rsidR="00B419CE" w:rsidRPr="00B419CE" w:rsidRDefault="00B419CE" w:rsidP="00B419CE">
      <w:pPr>
        <w:pStyle w:val="avsnitt-tittel"/>
      </w:pPr>
      <w:r w:rsidRPr="00B419CE">
        <w:t xml:space="preserve">Vurdere den kommunale </w:t>
      </w:r>
      <w:proofErr w:type="spellStart"/>
      <w:r w:rsidRPr="00B419CE">
        <w:t>handlefridomen</w:t>
      </w:r>
      <w:proofErr w:type="spellEnd"/>
      <w:r w:rsidRPr="00B419CE">
        <w:t xml:space="preserve"> i formuesskatten</w:t>
      </w:r>
    </w:p>
    <w:p w14:paraId="27C30B8F" w14:textId="77777777" w:rsidR="00B419CE" w:rsidRPr="00B419CE" w:rsidRDefault="00B419CE" w:rsidP="00B419CE">
      <w:pPr>
        <w:pStyle w:val="avsnitt-undertittel"/>
      </w:pPr>
      <w:r w:rsidRPr="00B419CE">
        <w:t>Vedtak nr. 104, 26. november 2020</w:t>
      </w:r>
    </w:p>
    <w:p w14:paraId="009F3423" w14:textId="77777777" w:rsidR="00B419CE" w:rsidRPr="00B419CE" w:rsidRDefault="00B419CE" w:rsidP="00B419CE">
      <w:pPr>
        <w:pStyle w:val="blokksit"/>
        <w:rPr>
          <w:rStyle w:val="kursiv"/>
        </w:rPr>
      </w:pPr>
      <w:r w:rsidRPr="00B419CE">
        <w:rPr>
          <w:rStyle w:val="kursiv"/>
        </w:rPr>
        <w:t>«Stortinget ber regjeringen komme tilbake til Stortinget med en vurdering av det framtidige mulighetsrommet for endring av formuesskatten, der både statens inntekter og kommunenes handlingsrom for konkurranse om skattebetingelser mellom kommuner belyses.»</w:t>
      </w:r>
    </w:p>
    <w:p w14:paraId="769FC541"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5 (2019–2020), </w:t>
      </w:r>
      <w:r w:rsidRPr="00B419CE">
        <w:rPr>
          <w:rStyle w:val="kursiv"/>
        </w:rPr>
        <w:t xml:space="preserve">Levende lokalsamfunn for fremtiden – </w:t>
      </w:r>
      <w:proofErr w:type="spellStart"/>
      <w:r w:rsidRPr="00B419CE">
        <w:rPr>
          <w:rStyle w:val="kursiv"/>
        </w:rPr>
        <w:t>Distriktsmeldingen</w:t>
      </w:r>
      <w:proofErr w:type="spellEnd"/>
      <w:r w:rsidRPr="00B419CE">
        <w:t xml:space="preserve">, jf. </w:t>
      </w:r>
      <w:proofErr w:type="spellStart"/>
      <w:r w:rsidRPr="00B419CE">
        <w:t>Innst</w:t>
      </w:r>
      <w:proofErr w:type="spellEnd"/>
      <w:r w:rsidRPr="00B419CE">
        <w:t xml:space="preserve">. 88 S (2020–2021). Oppmodingsvedtaket vert kort omtalt i </w:t>
      </w:r>
      <w:proofErr w:type="spellStart"/>
      <w:r w:rsidRPr="00B419CE">
        <w:t>Prop</w:t>
      </w:r>
      <w:proofErr w:type="spellEnd"/>
      <w:r w:rsidRPr="00B419CE">
        <w:t xml:space="preserve">. 1 LS (2021–2022), kapittel 5.8. Der kjem det fram at departementets svar på oppmodingsvedtaket vil vente til etter at Inntektssystemutvalget har </w:t>
      </w:r>
      <w:proofErr w:type="spellStart"/>
      <w:r w:rsidRPr="00B419CE">
        <w:t>kome</w:t>
      </w:r>
      <w:proofErr w:type="spellEnd"/>
      <w:r w:rsidRPr="00B419CE">
        <w:t xml:space="preserve"> med </w:t>
      </w:r>
      <w:proofErr w:type="spellStart"/>
      <w:r w:rsidRPr="00B419CE">
        <w:t>si</w:t>
      </w:r>
      <w:proofErr w:type="spellEnd"/>
      <w:r w:rsidRPr="00B419CE">
        <w:t xml:space="preserve"> innstilling i 2022.</w:t>
      </w:r>
    </w:p>
    <w:p w14:paraId="6A5F44B3" w14:textId="77777777" w:rsidR="00B419CE" w:rsidRPr="00B419CE" w:rsidRDefault="00B419CE" w:rsidP="00B419CE">
      <w:pPr>
        <w:pStyle w:val="avsnitt-tittel"/>
      </w:pPr>
      <w:r w:rsidRPr="00B419CE">
        <w:t xml:space="preserve">Vindkraft – vurdere </w:t>
      </w:r>
      <w:proofErr w:type="spellStart"/>
      <w:r w:rsidRPr="00B419CE">
        <w:t>endringar</w:t>
      </w:r>
      <w:proofErr w:type="spellEnd"/>
      <w:r w:rsidRPr="00B419CE">
        <w:t xml:space="preserve"> i skattlegginga</w:t>
      </w:r>
    </w:p>
    <w:p w14:paraId="63DB7698" w14:textId="77777777" w:rsidR="00B419CE" w:rsidRPr="00B419CE" w:rsidRDefault="00B419CE" w:rsidP="00B419CE">
      <w:pPr>
        <w:pStyle w:val="avsnitt-undertittel"/>
      </w:pPr>
      <w:r w:rsidRPr="00B419CE">
        <w:t>Vedtak nr. 146, 1. desember 2020</w:t>
      </w:r>
    </w:p>
    <w:p w14:paraId="756190D0" w14:textId="77777777" w:rsidR="00B419CE" w:rsidRPr="00B419CE" w:rsidRDefault="00B419CE" w:rsidP="00B419CE">
      <w:pPr>
        <w:pStyle w:val="blokksit"/>
        <w:rPr>
          <w:rStyle w:val="kursiv"/>
        </w:rPr>
      </w:pPr>
      <w:r w:rsidRPr="00B419CE">
        <w:rPr>
          <w:rStyle w:val="kursiv"/>
        </w:rPr>
        <w:t>«Stortinget ber regjeringen vurdere endringer i vindkraftbeskatningen, inkludert en vurdering av hvordan en hensiktsmessig innretning på og tidsplan for hvordan skattebyrden på vindkraftprodusentene kan økes.»</w:t>
      </w:r>
    </w:p>
    <w:p w14:paraId="3AFD7579"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28 (2019–2020) </w:t>
      </w:r>
      <w:r w:rsidRPr="00B419CE">
        <w:rPr>
          <w:rStyle w:val="kursiv"/>
        </w:rPr>
        <w:t>Vindkraft på land – Endringer i konsesjonsbehandlingen,</w:t>
      </w:r>
      <w:r w:rsidRPr="00B419CE">
        <w:t xml:space="preserve"> jf. </w:t>
      </w:r>
      <w:proofErr w:type="spellStart"/>
      <w:r w:rsidRPr="00B419CE">
        <w:t>Innst</w:t>
      </w:r>
      <w:proofErr w:type="spellEnd"/>
      <w:r w:rsidRPr="00B419CE">
        <w:t xml:space="preserve">. 101 S (2020–2021). Regjeringa </w:t>
      </w:r>
      <w:proofErr w:type="spellStart"/>
      <w:r w:rsidRPr="00B419CE">
        <w:t>følgde</w:t>
      </w:r>
      <w:proofErr w:type="spellEnd"/>
      <w:r w:rsidRPr="00B419CE">
        <w:t xml:space="preserve"> opp oppmodingsvedtaket gjennom </w:t>
      </w:r>
      <w:proofErr w:type="spellStart"/>
      <w:r w:rsidRPr="00B419CE">
        <w:t>ein</w:t>
      </w:r>
      <w:proofErr w:type="spellEnd"/>
      <w:r w:rsidRPr="00B419CE">
        <w:t xml:space="preserve"> omtale i Meld. St. 2 (2020–2021) </w:t>
      </w:r>
      <w:r w:rsidRPr="00B419CE">
        <w:rPr>
          <w:rStyle w:val="kursiv"/>
        </w:rPr>
        <w:t>Revidert nasjonalbudsjett 2021,</w:t>
      </w:r>
      <w:r w:rsidRPr="00B419CE">
        <w:t xml:space="preserve"> pkt. 5.3. Der varsla regjeringa at den tok sikte på å innføre ei </w:t>
      </w:r>
      <w:r w:rsidRPr="00B419CE">
        <w:lastRenderedPageBreak/>
        <w:t xml:space="preserve">moderat produksjonsavgift på vindkraftverk </w:t>
      </w:r>
      <w:proofErr w:type="spellStart"/>
      <w:r w:rsidRPr="00B419CE">
        <w:t>frå</w:t>
      </w:r>
      <w:proofErr w:type="spellEnd"/>
      <w:r w:rsidRPr="00B419CE">
        <w:t xml:space="preserve"> 2022 med </w:t>
      </w:r>
      <w:proofErr w:type="spellStart"/>
      <w:r w:rsidRPr="00B419CE">
        <w:t>atterhald</w:t>
      </w:r>
      <w:proofErr w:type="spellEnd"/>
      <w:r w:rsidRPr="00B419CE">
        <w:t xml:space="preserve"> om at avgifta er i samsvar med EØS-avtalen. Inntektene </w:t>
      </w:r>
      <w:proofErr w:type="spellStart"/>
      <w:r w:rsidRPr="00B419CE">
        <w:t>frå</w:t>
      </w:r>
      <w:proofErr w:type="spellEnd"/>
      <w:r w:rsidRPr="00B419CE">
        <w:t xml:space="preserve"> avgifta skal gå til staten, men skal </w:t>
      </w:r>
      <w:proofErr w:type="spellStart"/>
      <w:r w:rsidRPr="00B419CE">
        <w:t>fordelast</w:t>
      </w:r>
      <w:proofErr w:type="spellEnd"/>
      <w:r w:rsidRPr="00B419CE">
        <w:t xml:space="preserve"> til </w:t>
      </w:r>
      <w:proofErr w:type="spellStart"/>
      <w:r w:rsidRPr="00B419CE">
        <w:t>vertskommunane</w:t>
      </w:r>
      <w:proofErr w:type="spellEnd"/>
      <w:r w:rsidRPr="00B419CE">
        <w:t xml:space="preserve">. I </w:t>
      </w:r>
      <w:proofErr w:type="spellStart"/>
      <w:r w:rsidRPr="00B419CE">
        <w:t>Innst</w:t>
      </w:r>
      <w:proofErr w:type="spellEnd"/>
      <w:r w:rsidRPr="00B419CE">
        <w:t>. 600 S (2020–2021) tok finanskomiteen omtalen til orientering og viste òg til Stortinget si handsaming av stortingsmeldinga om oppfølging av oppmodingsvedtak våren 2022.</w:t>
      </w:r>
    </w:p>
    <w:p w14:paraId="28906AD1" w14:textId="77777777" w:rsidR="00B419CE" w:rsidRPr="00B419CE" w:rsidRDefault="00B419CE" w:rsidP="00B419CE">
      <w:r w:rsidRPr="00B419CE">
        <w:t xml:space="preserve">For å </w:t>
      </w:r>
      <w:proofErr w:type="spellStart"/>
      <w:r w:rsidRPr="00B419CE">
        <w:t>følgje</w:t>
      </w:r>
      <w:proofErr w:type="spellEnd"/>
      <w:r w:rsidRPr="00B419CE">
        <w:t xml:space="preserve"> opp det som vart varsla i Revidert nasjonalbudsjett 2021, foreslår regjeringa i statsbudsjettet for 2022 å innføre ei avgift på landbasert vindkraft med 1 øre per kWh, sjå omtale i </w:t>
      </w:r>
      <w:proofErr w:type="spellStart"/>
      <w:r w:rsidRPr="00B419CE">
        <w:t>Prop</w:t>
      </w:r>
      <w:proofErr w:type="spellEnd"/>
      <w:r w:rsidRPr="00B419CE">
        <w:t xml:space="preserve">. 1 LS (2021–2022), kapittel 7.2. Departementet ser det slik at oppmodingsvedtaket er </w:t>
      </w:r>
      <w:proofErr w:type="spellStart"/>
      <w:r w:rsidRPr="00B419CE">
        <w:t>følgt</w:t>
      </w:r>
      <w:proofErr w:type="spellEnd"/>
      <w:r w:rsidRPr="00B419CE">
        <w:t xml:space="preserve"> opp gjennom dette.</w:t>
      </w:r>
    </w:p>
    <w:p w14:paraId="475E8ED2" w14:textId="77777777" w:rsidR="00B419CE" w:rsidRPr="00B419CE" w:rsidRDefault="00B419CE" w:rsidP="00B419CE">
      <w:pPr>
        <w:pStyle w:val="avsnitt-tittel"/>
      </w:pPr>
      <w:r w:rsidRPr="00B419CE">
        <w:t>Vindkraft – vurdere lokal kompensasjon</w:t>
      </w:r>
    </w:p>
    <w:p w14:paraId="1199DF4A" w14:textId="77777777" w:rsidR="00B419CE" w:rsidRPr="00B419CE" w:rsidRDefault="00B419CE" w:rsidP="00B419CE">
      <w:pPr>
        <w:pStyle w:val="avsnitt-undertittel"/>
      </w:pPr>
      <w:r w:rsidRPr="00B419CE">
        <w:t>Vedtak nr. 147, 1. desember 2020</w:t>
      </w:r>
    </w:p>
    <w:p w14:paraId="5717DAEB" w14:textId="77777777" w:rsidR="00B419CE" w:rsidRPr="00B419CE" w:rsidRDefault="00B419CE" w:rsidP="00B419CE">
      <w:pPr>
        <w:pStyle w:val="blokksit"/>
        <w:rPr>
          <w:rStyle w:val="kursiv"/>
        </w:rPr>
      </w:pPr>
      <w:r w:rsidRPr="00B419CE">
        <w:rPr>
          <w:rStyle w:val="kursiv"/>
        </w:rPr>
        <w:t>«Stortinget ber regjeringen komme tilbake til Stortinget i forbindelse med revidert nasjonalbudsjett for 2021 med en vurdering av hvordan lokal kompensasjon og forutsigbare rammebetingelser for vindkraft kan sikres, for eksempel naturressursskatt, en produksjonsavgift eller en annen hensiktsmessig innretning for alle involverte parter.»</w:t>
      </w:r>
    </w:p>
    <w:p w14:paraId="49365CAF"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28 (2019–2020) </w:t>
      </w:r>
      <w:r w:rsidRPr="00B419CE">
        <w:rPr>
          <w:rStyle w:val="kursiv"/>
        </w:rPr>
        <w:t>Vindkraft på land – Endringer i konsesjonsbehandlingen</w:t>
      </w:r>
      <w:r w:rsidRPr="00B419CE">
        <w:t xml:space="preserve">, jf. </w:t>
      </w:r>
      <w:proofErr w:type="spellStart"/>
      <w:r w:rsidRPr="00B419CE">
        <w:t>Innst</w:t>
      </w:r>
      <w:proofErr w:type="spellEnd"/>
      <w:r w:rsidRPr="00B419CE">
        <w:t xml:space="preserve">. 101 S (2020–2021). Regjeringa </w:t>
      </w:r>
      <w:proofErr w:type="spellStart"/>
      <w:r w:rsidRPr="00B419CE">
        <w:t>følgde</w:t>
      </w:r>
      <w:proofErr w:type="spellEnd"/>
      <w:r w:rsidRPr="00B419CE">
        <w:t xml:space="preserve"> opp oppmodingsvedtaket gjennom </w:t>
      </w:r>
      <w:proofErr w:type="spellStart"/>
      <w:r w:rsidRPr="00B419CE">
        <w:t>ein</w:t>
      </w:r>
      <w:proofErr w:type="spellEnd"/>
      <w:r w:rsidRPr="00B419CE">
        <w:t xml:space="preserve"> omtale i Meld. St. 2 (2020–2021) </w:t>
      </w:r>
      <w:r w:rsidRPr="00B419CE">
        <w:rPr>
          <w:rStyle w:val="kursiv"/>
        </w:rPr>
        <w:t>Revidert nasjonalbudsjett,</w:t>
      </w:r>
      <w:r w:rsidRPr="00B419CE">
        <w:t xml:space="preserve"> pkt. 5.3. Der varsla regjeringa at den tok sikte på å innføre ei moderat produksjonsavgift på vindkraftverk </w:t>
      </w:r>
      <w:proofErr w:type="spellStart"/>
      <w:r w:rsidRPr="00B419CE">
        <w:t>frå</w:t>
      </w:r>
      <w:proofErr w:type="spellEnd"/>
      <w:r w:rsidRPr="00B419CE">
        <w:t xml:space="preserve"> 2022 med </w:t>
      </w:r>
      <w:proofErr w:type="spellStart"/>
      <w:r w:rsidRPr="00B419CE">
        <w:t>atterhald</w:t>
      </w:r>
      <w:proofErr w:type="spellEnd"/>
      <w:r w:rsidRPr="00B419CE">
        <w:t xml:space="preserve"> om at avgifta er i samsvar med EØS-avtalen. Inntektene </w:t>
      </w:r>
      <w:proofErr w:type="spellStart"/>
      <w:r w:rsidRPr="00B419CE">
        <w:t>frå</w:t>
      </w:r>
      <w:proofErr w:type="spellEnd"/>
      <w:r w:rsidRPr="00B419CE">
        <w:t xml:space="preserve"> avgifta skal gå til staten, men skal </w:t>
      </w:r>
      <w:proofErr w:type="spellStart"/>
      <w:r w:rsidRPr="00B419CE">
        <w:t>fordelast</w:t>
      </w:r>
      <w:proofErr w:type="spellEnd"/>
      <w:r w:rsidRPr="00B419CE">
        <w:t xml:space="preserve"> til </w:t>
      </w:r>
      <w:proofErr w:type="spellStart"/>
      <w:r w:rsidRPr="00B419CE">
        <w:t>vertskommunane</w:t>
      </w:r>
      <w:proofErr w:type="spellEnd"/>
      <w:r w:rsidRPr="00B419CE">
        <w:t xml:space="preserve">. I </w:t>
      </w:r>
      <w:proofErr w:type="spellStart"/>
      <w:r w:rsidRPr="00B419CE">
        <w:t>Innst</w:t>
      </w:r>
      <w:proofErr w:type="spellEnd"/>
      <w:r w:rsidRPr="00B419CE">
        <w:t>. 600 S (2020–2021) tok finanskomiteen omtalen til orientering og viste òg til Stortingets handsaming av stortingsmeldinga om oppfølging av oppmodingsvedtak våren 2022.</w:t>
      </w:r>
    </w:p>
    <w:p w14:paraId="458E9451" w14:textId="77777777" w:rsidR="00B419CE" w:rsidRPr="00B419CE" w:rsidRDefault="00B419CE" w:rsidP="00B419CE">
      <w:r w:rsidRPr="00B419CE">
        <w:t xml:space="preserve">For å </w:t>
      </w:r>
      <w:proofErr w:type="spellStart"/>
      <w:r w:rsidRPr="00B419CE">
        <w:t>følgje</w:t>
      </w:r>
      <w:proofErr w:type="spellEnd"/>
      <w:r w:rsidRPr="00B419CE">
        <w:t xml:space="preserve"> opp det som vart varsle i Revidert nasjonalbudsjett 2021, foreslår regjeringa i statsbudsjettet for 2022 å innføre ei avgift på landbasert vindkraft med 1 øre per kWh, sjå omtale i </w:t>
      </w:r>
      <w:proofErr w:type="spellStart"/>
      <w:r w:rsidRPr="00B419CE">
        <w:t>Prop</w:t>
      </w:r>
      <w:proofErr w:type="spellEnd"/>
      <w:r w:rsidRPr="00B419CE">
        <w:t xml:space="preserve">. 1 LS (2021–2022) </w:t>
      </w:r>
      <w:r w:rsidRPr="00B419CE">
        <w:rPr>
          <w:rStyle w:val="kursiv"/>
        </w:rPr>
        <w:t>Skatter, avgifter og toll 2022,</w:t>
      </w:r>
      <w:r w:rsidRPr="00B419CE">
        <w:t xml:space="preserve"> kapittel 7.2. Departementet ser det slik at oppmodingsvedtaket er </w:t>
      </w:r>
      <w:proofErr w:type="spellStart"/>
      <w:r w:rsidRPr="00B419CE">
        <w:t>følgt</w:t>
      </w:r>
      <w:proofErr w:type="spellEnd"/>
      <w:r w:rsidRPr="00B419CE">
        <w:t xml:space="preserve"> opp gjennom dette.</w:t>
      </w:r>
    </w:p>
    <w:p w14:paraId="09DCD31A" w14:textId="77777777" w:rsidR="00B419CE" w:rsidRPr="00B419CE" w:rsidRDefault="00B419CE" w:rsidP="00B419CE">
      <w:pPr>
        <w:pStyle w:val="avsnitt-tittel"/>
      </w:pPr>
      <w:r w:rsidRPr="00B419CE">
        <w:t xml:space="preserve">Vurdering av </w:t>
      </w:r>
      <w:proofErr w:type="spellStart"/>
      <w:r w:rsidRPr="00B419CE">
        <w:t>meirverdiavgiftsreglane</w:t>
      </w:r>
      <w:proofErr w:type="spellEnd"/>
      <w:r w:rsidRPr="00B419CE">
        <w:t xml:space="preserve"> ved omtvista krav i </w:t>
      </w:r>
      <w:proofErr w:type="spellStart"/>
      <w:r w:rsidRPr="00B419CE">
        <w:t>entreprisar</w:t>
      </w:r>
      <w:proofErr w:type="spellEnd"/>
    </w:p>
    <w:p w14:paraId="779B4098" w14:textId="77777777" w:rsidR="00B419CE" w:rsidRPr="00B419CE" w:rsidRDefault="00B419CE" w:rsidP="00B419CE">
      <w:pPr>
        <w:pStyle w:val="avsnitt-undertittel"/>
      </w:pPr>
      <w:r w:rsidRPr="00B419CE">
        <w:t>Vedtak nr. 163, 3. desember 2020</w:t>
      </w:r>
    </w:p>
    <w:p w14:paraId="1A09F13F" w14:textId="77777777" w:rsidR="00B419CE" w:rsidRPr="00B419CE" w:rsidRDefault="00B419CE" w:rsidP="00B419CE">
      <w:pPr>
        <w:pStyle w:val="blokksit"/>
        <w:rPr>
          <w:rStyle w:val="kursiv"/>
        </w:rPr>
      </w:pPr>
      <w:r w:rsidRPr="00B419CE">
        <w:rPr>
          <w:rStyle w:val="kursiv"/>
        </w:rPr>
        <w:t>«Stortinget ber regjeringen vurdere endringer i merverdiavgiftsregelverket for entrepriser slik at entreprenøren ikke trenger å innberette og innbetale merverdiavgift av omtvistede krav før tvisten er endelig avklart.»</w:t>
      </w:r>
    </w:p>
    <w:p w14:paraId="0A78B244"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 LS (2020–2021), jf. </w:t>
      </w:r>
      <w:proofErr w:type="spellStart"/>
      <w:r w:rsidRPr="00B419CE">
        <w:t>Innst</w:t>
      </w:r>
      <w:proofErr w:type="spellEnd"/>
      <w:r w:rsidRPr="00B419CE">
        <w:t xml:space="preserve">. 2 S (2020–2021). Vedtaket må </w:t>
      </w:r>
      <w:proofErr w:type="spellStart"/>
      <w:r w:rsidRPr="00B419CE">
        <w:t>sjåast</w:t>
      </w:r>
      <w:proofErr w:type="spellEnd"/>
      <w:r w:rsidRPr="00B419CE">
        <w:t xml:space="preserve"> i </w:t>
      </w:r>
      <w:proofErr w:type="spellStart"/>
      <w:r w:rsidRPr="00B419CE">
        <w:t>samanheng</w:t>
      </w:r>
      <w:proofErr w:type="spellEnd"/>
      <w:r w:rsidRPr="00B419CE">
        <w:t xml:space="preserve"> med oppmodingsvedtak nr. 849 (2020–2021) der Stortinget bad regjeringa om å </w:t>
      </w:r>
      <w:proofErr w:type="spellStart"/>
      <w:r w:rsidRPr="00B419CE">
        <w:t>gjere</w:t>
      </w:r>
      <w:proofErr w:type="spellEnd"/>
      <w:r w:rsidRPr="00B419CE">
        <w:t xml:space="preserve"> </w:t>
      </w:r>
      <w:proofErr w:type="spellStart"/>
      <w:r w:rsidRPr="00B419CE">
        <w:t>naudsynte</w:t>
      </w:r>
      <w:proofErr w:type="spellEnd"/>
      <w:r w:rsidRPr="00B419CE">
        <w:t xml:space="preserve"> </w:t>
      </w:r>
      <w:proofErr w:type="spellStart"/>
      <w:r w:rsidRPr="00B419CE">
        <w:t>regelendringar</w:t>
      </w:r>
      <w:proofErr w:type="spellEnd"/>
      <w:r w:rsidRPr="00B419CE">
        <w:t xml:space="preserve"> slik at entreprenøren </w:t>
      </w:r>
      <w:proofErr w:type="spellStart"/>
      <w:r w:rsidRPr="00B419CE">
        <w:t>ikkje</w:t>
      </w:r>
      <w:proofErr w:type="spellEnd"/>
      <w:r w:rsidRPr="00B419CE">
        <w:t xml:space="preserve"> treng å betale </w:t>
      </w:r>
      <w:proofErr w:type="spellStart"/>
      <w:r w:rsidRPr="00B419CE">
        <w:t>meirverdiavgift</w:t>
      </w:r>
      <w:proofErr w:type="spellEnd"/>
      <w:r w:rsidRPr="00B419CE">
        <w:t xml:space="preserve"> før det omtvista kravet er avklart, og at regjeringa skal </w:t>
      </w:r>
      <w:proofErr w:type="spellStart"/>
      <w:r w:rsidRPr="00B419CE">
        <w:t>kome</w:t>
      </w:r>
      <w:proofErr w:type="spellEnd"/>
      <w:r w:rsidRPr="00B419CE">
        <w:t xml:space="preserve"> tilbake med </w:t>
      </w:r>
      <w:proofErr w:type="spellStart"/>
      <w:r w:rsidRPr="00B419CE">
        <w:t>naudsynt</w:t>
      </w:r>
      <w:proofErr w:type="spellEnd"/>
      <w:r w:rsidRPr="00B419CE">
        <w:t xml:space="preserve"> oppfølging i statsbudsjettet for 2022.</w:t>
      </w:r>
    </w:p>
    <w:p w14:paraId="535B8CE7" w14:textId="77777777" w:rsidR="00B419CE" w:rsidRPr="00B419CE" w:rsidRDefault="00B419CE" w:rsidP="00B419CE">
      <w:r w:rsidRPr="00B419CE">
        <w:lastRenderedPageBreak/>
        <w:t xml:space="preserve">I </w:t>
      </w:r>
      <w:proofErr w:type="spellStart"/>
      <w:r w:rsidRPr="00B419CE">
        <w:t>Prop</w:t>
      </w:r>
      <w:proofErr w:type="spellEnd"/>
      <w:r w:rsidRPr="00B419CE">
        <w:t xml:space="preserve">. 1 LS (2021–2022), kapittel 22, har regjeringa opplyst om at saken reiser statsstøtterettslege </w:t>
      </w:r>
      <w:proofErr w:type="spellStart"/>
      <w:r w:rsidRPr="00B419CE">
        <w:t>problemstillingar</w:t>
      </w:r>
      <w:proofErr w:type="spellEnd"/>
      <w:r w:rsidRPr="00B419CE">
        <w:t xml:space="preserve"> som bør </w:t>
      </w:r>
      <w:proofErr w:type="spellStart"/>
      <w:r w:rsidRPr="00B419CE">
        <w:t>verte</w:t>
      </w:r>
      <w:proofErr w:type="spellEnd"/>
      <w:r w:rsidRPr="00B419CE">
        <w:t xml:space="preserve"> avklarte med </w:t>
      </w:r>
      <w:proofErr w:type="spellStart"/>
      <w:r w:rsidRPr="00B419CE">
        <w:t>EFTAs</w:t>
      </w:r>
      <w:proofErr w:type="spellEnd"/>
      <w:r w:rsidRPr="00B419CE">
        <w:t xml:space="preserve"> </w:t>
      </w:r>
      <w:proofErr w:type="spellStart"/>
      <w:r w:rsidRPr="00B419CE">
        <w:t>overvakingsorgan</w:t>
      </w:r>
      <w:proofErr w:type="spellEnd"/>
      <w:r w:rsidRPr="00B419CE">
        <w:t xml:space="preserve"> (ESA) før </w:t>
      </w:r>
      <w:proofErr w:type="spellStart"/>
      <w:r w:rsidRPr="00B419CE">
        <w:t>ein</w:t>
      </w:r>
      <w:proofErr w:type="spellEnd"/>
      <w:r w:rsidRPr="00B419CE">
        <w:t xml:space="preserve"> eventuelt </w:t>
      </w:r>
      <w:proofErr w:type="spellStart"/>
      <w:r w:rsidRPr="00B419CE">
        <w:t>vedtek</w:t>
      </w:r>
      <w:proofErr w:type="spellEnd"/>
      <w:r w:rsidRPr="00B419CE">
        <w:t xml:space="preserve"> ei regelendring. </w:t>
      </w:r>
      <w:proofErr w:type="spellStart"/>
      <w:r w:rsidRPr="00B419CE">
        <w:t>Ein</w:t>
      </w:r>
      <w:proofErr w:type="spellEnd"/>
      <w:r w:rsidRPr="00B419CE">
        <w:t xml:space="preserve"> slik prosess vil kunne ta inntil 18 </w:t>
      </w:r>
      <w:proofErr w:type="spellStart"/>
      <w:r w:rsidRPr="00B419CE">
        <w:t>månader</w:t>
      </w:r>
      <w:proofErr w:type="spellEnd"/>
      <w:r w:rsidRPr="00B419CE">
        <w:t xml:space="preserve">. Regjeringa har </w:t>
      </w:r>
      <w:proofErr w:type="spellStart"/>
      <w:r w:rsidRPr="00B419CE">
        <w:t>difor</w:t>
      </w:r>
      <w:proofErr w:type="spellEnd"/>
      <w:r w:rsidRPr="00B419CE">
        <w:t xml:space="preserve"> </w:t>
      </w:r>
      <w:proofErr w:type="spellStart"/>
      <w:r w:rsidRPr="00B419CE">
        <w:t>ikkje</w:t>
      </w:r>
      <w:proofErr w:type="spellEnd"/>
      <w:r w:rsidRPr="00B419CE">
        <w:t xml:space="preserve"> gjort </w:t>
      </w:r>
      <w:proofErr w:type="spellStart"/>
      <w:r w:rsidRPr="00B419CE">
        <w:t>eit</w:t>
      </w:r>
      <w:proofErr w:type="spellEnd"/>
      <w:r w:rsidRPr="00B419CE">
        <w:t xml:space="preserve"> framlegg i tråd med Stortingets vedtak nr. 849, 3. desember 2020. Regjeringa har likevel skissert </w:t>
      </w:r>
      <w:proofErr w:type="spellStart"/>
      <w:r w:rsidRPr="00B419CE">
        <w:t>eit</w:t>
      </w:r>
      <w:proofErr w:type="spellEnd"/>
      <w:r w:rsidRPr="00B419CE">
        <w:t xml:space="preserve"> framlegg i tråd med det Stortinget har bede om, slik at Stortinget kan vedta ei regelendring dersom det </w:t>
      </w:r>
      <w:proofErr w:type="spellStart"/>
      <w:r w:rsidRPr="00B419CE">
        <w:t>ynskjer</w:t>
      </w:r>
      <w:proofErr w:type="spellEnd"/>
      <w:r w:rsidRPr="00B419CE">
        <w:t xml:space="preserve"> det. Departementet ser det slik at oppmodingsvedtaket er </w:t>
      </w:r>
      <w:proofErr w:type="spellStart"/>
      <w:r w:rsidRPr="00B419CE">
        <w:t>følgt</w:t>
      </w:r>
      <w:proofErr w:type="spellEnd"/>
      <w:r w:rsidRPr="00B419CE">
        <w:t xml:space="preserve"> opp gjennom dette.</w:t>
      </w:r>
    </w:p>
    <w:p w14:paraId="7A396E94" w14:textId="77777777" w:rsidR="00B419CE" w:rsidRPr="00B419CE" w:rsidRDefault="00B419CE" w:rsidP="00B419CE">
      <w:pPr>
        <w:pStyle w:val="avsnitt-tittel"/>
      </w:pPr>
      <w:proofErr w:type="spellStart"/>
      <w:r w:rsidRPr="00B419CE">
        <w:t>Endringar</w:t>
      </w:r>
      <w:proofErr w:type="spellEnd"/>
      <w:r w:rsidRPr="00B419CE">
        <w:t xml:space="preserve"> i regelverket om godkjenning av </w:t>
      </w:r>
      <w:proofErr w:type="spellStart"/>
      <w:r w:rsidRPr="00B419CE">
        <w:t>campingbilar</w:t>
      </w:r>
      <w:proofErr w:type="spellEnd"/>
    </w:p>
    <w:p w14:paraId="08541CDA" w14:textId="77777777" w:rsidR="00B419CE" w:rsidRPr="00B419CE" w:rsidRDefault="00B419CE" w:rsidP="00B419CE">
      <w:pPr>
        <w:pStyle w:val="avsnitt-undertittel"/>
      </w:pPr>
      <w:r w:rsidRPr="00B419CE">
        <w:t>Vedtak nr. 173, 3. desember 2020</w:t>
      </w:r>
    </w:p>
    <w:p w14:paraId="1DE39F0E" w14:textId="77777777" w:rsidR="00B419CE" w:rsidRPr="00B419CE" w:rsidRDefault="00B419CE" w:rsidP="00B419CE">
      <w:pPr>
        <w:pStyle w:val="blokksit"/>
        <w:rPr>
          <w:rStyle w:val="kursiv"/>
        </w:rPr>
      </w:pPr>
      <w:r w:rsidRPr="00B419CE">
        <w:rPr>
          <w:rStyle w:val="kursiv"/>
        </w:rPr>
        <w:t>«Stortinget ber regjeringen gjennomgå regelverket for at campingbiler/bobiler med europeisk type-godkjenning automatisk skal godkjennes for registrering i Norge uten fremstilling for enkeltgodkjenning hos trafikkstasjon, og legge frem forslag for hvordan det kan gjøres senest i forbindelse med revidert nasjonalbudsjett i 2021.»</w:t>
      </w:r>
    </w:p>
    <w:p w14:paraId="405996FB"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 LS (2020–2021), jf. </w:t>
      </w:r>
      <w:proofErr w:type="spellStart"/>
      <w:r w:rsidRPr="00B419CE">
        <w:t>Innst</w:t>
      </w:r>
      <w:proofErr w:type="spellEnd"/>
      <w:r w:rsidRPr="00B419CE">
        <w:t xml:space="preserve">. 2 S (2020–2021). Saka er </w:t>
      </w:r>
      <w:proofErr w:type="spellStart"/>
      <w:r w:rsidRPr="00B419CE">
        <w:t>nærmare</w:t>
      </w:r>
      <w:proofErr w:type="spellEnd"/>
      <w:r w:rsidRPr="00B419CE">
        <w:t xml:space="preserve"> omtalt i </w:t>
      </w:r>
      <w:proofErr w:type="spellStart"/>
      <w:r w:rsidRPr="00B419CE">
        <w:t>Prop</w:t>
      </w:r>
      <w:proofErr w:type="spellEnd"/>
      <w:r w:rsidRPr="00B419CE">
        <w:t xml:space="preserve">. 194 LS (2020–2021), kapittel 15. Der går det fram at saka vil </w:t>
      </w:r>
      <w:proofErr w:type="spellStart"/>
      <w:r w:rsidRPr="00B419CE">
        <w:t>verte</w:t>
      </w:r>
      <w:proofErr w:type="spellEnd"/>
      <w:r w:rsidRPr="00B419CE">
        <w:t xml:space="preserve"> </w:t>
      </w:r>
      <w:proofErr w:type="spellStart"/>
      <w:r w:rsidRPr="00B419CE">
        <w:t>følgt</w:t>
      </w:r>
      <w:proofErr w:type="spellEnd"/>
      <w:r w:rsidRPr="00B419CE">
        <w:t xml:space="preserve"> opp gjennom </w:t>
      </w:r>
      <w:proofErr w:type="spellStart"/>
      <w:r w:rsidRPr="00B419CE">
        <w:t>forskriftsendringar</w:t>
      </w:r>
      <w:proofErr w:type="spellEnd"/>
      <w:r w:rsidRPr="00B419CE">
        <w:t xml:space="preserve"> </w:t>
      </w:r>
      <w:proofErr w:type="spellStart"/>
      <w:r w:rsidRPr="00B419CE">
        <w:t>seinast</w:t>
      </w:r>
      <w:proofErr w:type="spellEnd"/>
      <w:r w:rsidRPr="00B419CE">
        <w:t xml:space="preserve"> </w:t>
      </w:r>
      <w:proofErr w:type="spellStart"/>
      <w:r w:rsidRPr="00B419CE">
        <w:t>hausten</w:t>
      </w:r>
      <w:proofErr w:type="spellEnd"/>
      <w:r w:rsidRPr="00B419CE">
        <w:t xml:space="preserve"> 2021, og at regjeringa </w:t>
      </w:r>
      <w:proofErr w:type="spellStart"/>
      <w:r w:rsidRPr="00B419CE">
        <w:t>reknar</w:t>
      </w:r>
      <w:proofErr w:type="spellEnd"/>
      <w:r w:rsidRPr="00B419CE">
        <w:t xml:space="preserve"> oppmodingsvedtaket som </w:t>
      </w:r>
      <w:proofErr w:type="spellStart"/>
      <w:r w:rsidRPr="00B419CE">
        <w:t>følgt</w:t>
      </w:r>
      <w:proofErr w:type="spellEnd"/>
      <w:r w:rsidRPr="00B419CE">
        <w:t xml:space="preserve"> opp gjennom dette. I </w:t>
      </w:r>
      <w:proofErr w:type="spellStart"/>
      <w:r w:rsidRPr="00B419CE">
        <w:t>Innst</w:t>
      </w:r>
      <w:proofErr w:type="spellEnd"/>
      <w:r w:rsidRPr="00B419CE">
        <w:t>. 600 S (2020–2021) tok finanskomiteen omtalen til orientering.</w:t>
      </w:r>
    </w:p>
    <w:p w14:paraId="4801EC2E" w14:textId="77777777" w:rsidR="00B419CE" w:rsidRPr="00B419CE" w:rsidRDefault="00B419CE" w:rsidP="00B419CE">
      <w:pPr>
        <w:pStyle w:val="avsnitt-tittel"/>
      </w:pPr>
      <w:r w:rsidRPr="00B419CE">
        <w:t>Forslag til ei ordning med differensiert tvangsmulkt</w:t>
      </w:r>
    </w:p>
    <w:p w14:paraId="0CCE881E" w14:textId="77777777" w:rsidR="00B419CE" w:rsidRPr="00B419CE" w:rsidRDefault="00B419CE" w:rsidP="00B419CE">
      <w:pPr>
        <w:pStyle w:val="avsnitt-undertittel"/>
      </w:pPr>
      <w:r w:rsidRPr="00B419CE">
        <w:t>Vedtak nr. 176, 3. desember 2020</w:t>
      </w:r>
    </w:p>
    <w:p w14:paraId="6A488D7C" w14:textId="77777777" w:rsidR="00B419CE" w:rsidRPr="00B419CE" w:rsidRDefault="00B419CE" w:rsidP="00B419CE">
      <w:pPr>
        <w:pStyle w:val="blokksit"/>
        <w:rPr>
          <w:rStyle w:val="kursiv"/>
        </w:rPr>
      </w:pPr>
      <w:r w:rsidRPr="00B419CE">
        <w:rPr>
          <w:rStyle w:val="kursiv"/>
        </w:rPr>
        <w:t>«Stortinget ber regjeringen utarbeide forslag til en ordning med differensiert tvangsmulkt, og komme tilbake med en vurdering av et slikt forslag til Stortinget på en egnet måte.»</w:t>
      </w:r>
    </w:p>
    <w:p w14:paraId="7C68BCCA"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 S (2020–2021), jf. </w:t>
      </w:r>
      <w:proofErr w:type="spellStart"/>
      <w:r w:rsidRPr="00B419CE">
        <w:t>Innst</w:t>
      </w:r>
      <w:proofErr w:type="spellEnd"/>
      <w:r w:rsidRPr="00B419CE">
        <w:t>. 2 S (2020–2021).</w:t>
      </w:r>
    </w:p>
    <w:p w14:paraId="591F7D0E" w14:textId="77777777" w:rsidR="00B419CE" w:rsidRPr="00B419CE" w:rsidRDefault="00B419CE" w:rsidP="00B419CE">
      <w:r w:rsidRPr="00B419CE">
        <w:t xml:space="preserve">Finansdepartementet arbeider, i samarbeid med Skattedirektoratet, med å vurdere ulike alternativ for å </w:t>
      </w:r>
      <w:proofErr w:type="spellStart"/>
      <w:r w:rsidRPr="00B419CE">
        <w:t>følgje</w:t>
      </w:r>
      <w:proofErr w:type="spellEnd"/>
      <w:r w:rsidRPr="00B419CE">
        <w:t xml:space="preserve"> opp vedtaket. Saka er omtalt i </w:t>
      </w:r>
      <w:proofErr w:type="spellStart"/>
      <w:r w:rsidRPr="00B419CE">
        <w:t>Prop</w:t>
      </w:r>
      <w:proofErr w:type="spellEnd"/>
      <w:r w:rsidRPr="00B419CE">
        <w:t xml:space="preserve">. 1 LS (2021–2022), kapittel 25, og departementet </w:t>
      </w:r>
      <w:proofErr w:type="spellStart"/>
      <w:r w:rsidRPr="00B419CE">
        <w:t>tek</w:t>
      </w:r>
      <w:proofErr w:type="spellEnd"/>
      <w:r w:rsidRPr="00B419CE">
        <w:t xml:space="preserve"> sikte på å </w:t>
      </w:r>
      <w:proofErr w:type="spellStart"/>
      <w:r w:rsidRPr="00B419CE">
        <w:t>kome</w:t>
      </w:r>
      <w:proofErr w:type="spellEnd"/>
      <w:r w:rsidRPr="00B419CE">
        <w:t xml:space="preserve"> tilbake til Stortinget med forslag i saka i samband med revidert nasjonalbudsjett for 2022.</w:t>
      </w:r>
    </w:p>
    <w:p w14:paraId="280D5CAD" w14:textId="77777777" w:rsidR="00B419CE" w:rsidRPr="00B419CE" w:rsidRDefault="00B419CE" w:rsidP="00B419CE">
      <w:pPr>
        <w:pStyle w:val="avsnitt-tittel"/>
      </w:pPr>
      <w:r w:rsidRPr="00B419CE">
        <w:t xml:space="preserve">Mellombels ordning for utsatte </w:t>
      </w:r>
      <w:proofErr w:type="spellStart"/>
      <w:r w:rsidRPr="00B419CE">
        <w:t>skatteinnbetalingar</w:t>
      </w:r>
      <w:proofErr w:type="spellEnd"/>
    </w:p>
    <w:p w14:paraId="23A9237A" w14:textId="77777777" w:rsidR="00B419CE" w:rsidRPr="00B419CE" w:rsidRDefault="00B419CE" w:rsidP="00B419CE">
      <w:pPr>
        <w:pStyle w:val="avsnitt-undertittel"/>
      </w:pPr>
      <w:r w:rsidRPr="00B419CE">
        <w:t>Vedtak nr. 190, 3. desember 2020</w:t>
      </w:r>
    </w:p>
    <w:p w14:paraId="2AC2D5DD" w14:textId="77777777" w:rsidR="00B419CE" w:rsidRPr="00B419CE" w:rsidRDefault="00B419CE" w:rsidP="00B419CE">
      <w:pPr>
        <w:pStyle w:val="blokksit"/>
        <w:rPr>
          <w:rStyle w:val="kursiv"/>
        </w:rPr>
      </w:pPr>
      <w:r w:rsidRPr="00B419CE">
        <w:rPr>
          <w:rStyle w:val="kursiv"/>
        </w:rPr>
        <w:t>«Stortinget ber regjeringen innen utgangen av februar 2021 vurdere behovet for en ytterligere forlengning av ordningen med utsettelse av skatteinnbetalinger.»</w:t>
      </w:r>
    </w:p>
    <w:p w14:paraId="0F935143"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 S Tillegg 1 (2020–2021) og tilhørende </w:t>
      </w:r>
      <w:proofErr w:type="spellStart"/>
      <w:r w:rsidRPr="00B419CE">
        <w:t>Innst</w:t>
      </w:r>
      <w:proofErr w:type="spellEnd"/>
      <w:r w:rsidRPr="00B419CE">
        <w:t xml:space="preserve">. 2 S (2020–2021). I </w:t>
      </w:r>
      <w:proofErr w:type="spellStart"/>
      <w:r w:rsidRPr="00B419CE">
        <w:t>Prop</w:t>
      </w:r>
      <w:proofErr w:type="spellEnd"/>
      <w:r w:rsidRPr="00B419CE">
        <w:t xml:space="preserve">. 79 S (2020–2021), pkt. 2.12, vart den </w:t>
      </w:r>
      <w:proofErr w:type="spellStart"/>
      <w:r w:rsidRPr="00B419CE">
        <w:t>mellombelse</w:t>
      </w:r>
      <w:proofErr w:type="spellEnd"/>
      <w:r w:rsidRPr="00B419CE">
        <w:t xml:space="preserve"> ordninga for utsett betaling foreslått </w:t>
      </w:r>
      <w:proofErr w:type="spellStart"/>
      <w:r w:rsidRPr="00B419CE">
        <w:t>forlengd</w:t>
      </w:r>
      <w:proofErr w:type="spellEnd"/>
      <w:r w:rsidRPr="00B419CE">
        <w:t xml:space="preserve"> til 30. juni 2021. </w:t>
      </w:r>
      <w:proofErr w:type="spellStart"/>
      <w:r w:rsidRPr="00B419CE">
        <w:t>Allereie</w:t>
      </w:r>
      <w:proofErr w:type="spellEnd"/>
      <w:r w:rsidRPr="00B419CE">
        <w:t xml:space="preserve"> utsette krav vart då automatisk innvilga </w:t>
      </w:r>
      <w:proofErr w:type="spellStart"/>
      <w:r w:rsidRPr="00B419CE">
        <w:t>utsetjing</w:t>
      </w:r>
      <w:proofErr w:type="spellEnd"/>
      <w:r w:rsidRPr="00B419CE">
        <w:t xml:space="preserve"> til 30. juni 2021. </w:t>
      </w:r>
      <w:proofErr w:type="spellStart"/>
      <w:r w:rsidRPr="00B419CE">
        <w:t>Vidare</w:t>
      </w:r>
      <w:proofErr w:type="spellEnd"/>
      <w:r w:rsidRPr="00B419CE">
        <w:t xml:space="preserve"> vart det </w:t>
      </w:r>
      <w:proofErr w:type="spellStart"/>
      <w:r w:rsidRPr="00B419CE">
        <w:t>opna</w:t>
      </w:r>
      <w:proofErr w:type="spellEnd"/>
      <w:r w:rsidRPr="00B419CE">
        <w:t xml:space="preserve"> for at nye krav med forfall fram mot 30. juni 2021 kan få </w:t>
      </w:r>
      <w:proofErr w:type="spellStart"/>
      <w:r w:rsidRPr="00B419CE">
        <w:t>utsetjing</w:t>
      </w:r>
      <w:proofErr w:type="spellEnd"/>
      <w:r w:rsidRPr="00B419CE">
        <w:t xml:space="preserve">, med unntak for krav på </w:t>
      </w:r>
      <w:proofErr w:type="spellStart"/>
      <w:r w:rsidRPr="00B419CE">
        <w:t>meirverdiavgift</w:t>
      </w:r>
      <w:proofErr w:type="spellEnd"/>
      <w:r w:rsidRPr="00B419CE">
        <w:t xml:space="preserve"> </w:t>
      </w:r>
      <w:r w:rsidRPr="00B419CE">
        <w:lastRenderedPageBreak/>
        <w:t xml:space="preserve">med forfall etter 12. april 2021. Den </w:t>
      </w:r>
      <w:proofErr w:type="spellStart"/>
      <w:r w:rsidRPr="00B419CE">
        <w:t>mellombelse</w:t>
      </w:r>
      <w:proofErr w:type="spellEnd"/>
      <w:r w:rsidRPr="00B419CE">
        <w:t xml:space="preserve"> ordninga </w:t>
      </w:r>
      <w:proofErr w:type="spellStart"/>
      <w:r w:rsidRPr="00B419CE">
        <w:t>vart</w:t>
      </w:r>
      <w:proofErr w:type="spellEnd"/>
      <w:r w:rsidRPr="00B419CE">
        <w:t xml:space="preserve"> innført i juni 2020 for å dempe belastninga av likviditeten for </w:t>
      </w:r>
      <w:proofErr w:type="spellStart"/>
      <w:r w:rsidRPr="00B419CE">
        <w:t>føretak</w:t>
      </w:r>
      <w:proofErr w:type="spellEnd"/>
      <w:r w:rsidRPr="00B419CE">
        <w:t xml:space="preserve"> og </w:t>
      </w:r>
      <w:proofErr w:type="spellStart"/>
      <w:r w:rsidRPr="00B419CE">
        <w:t>næringsdrivande</w:t>
      </w:r>
      <w:proofErr w:type="spellEnd"/>
      <w:r w:rsidRPr="00B419CE">
        <w:t xml:space="preserve"> som er ramma økonomisk av koronapandemien. I </w:t>
      </w:r>
      <w:proofErr w:type="spellStart"/>
      <w:r w:rsidRPr="00B419CE">
        <w:t>Innst</w:t>
      </w:r>
      <w:proofErr w:type="spellEnd"/>
      <w:r w:rsidRPr="00B419CE">
        <w:t xml:space="preserve">. 233 S (2020–2021) tok finanskomiteen dette til orientering. Departementet ser det slik at oppmodingsvedtaket er </w:t>
      </w:r>
      <w:proofErr w:type="spellStart"/>
      <w:r w:rsidRPr="00B419CE">
        <w:t>følgt</w:t>
      </w:r>
      <w:proofErr w:type="spellEnd"/>
      <w:r w:rsidRPr="00B419CE">
        <w:t xml:space="preserve"> opp gjennom dette.</w:t>
      </w:r>
    </w:p>
    <w:p w14:paraId="21A11FE1" w14:textId="77777777" w:rsidR="00B419CE" w:rsidRPr="00B419CE" w:rsidRDefault="00B419CE" w:rsidP="00B419CE">
      <w:pPr>
        <w:pStyle w:val="avsnitt-tittel"/>
      </w:pPr>
      <w:r w:rsidRPr="00B419CE">
        <w:t>Sikring av inntektsgrunnlaget for hestesporten i </w:t>
      </w:r>
      <w:proofErr w:type="spellStart"/>
      <w:r w:rsidRPr="00B419CE">
        <w:t>Noreg</w:t>
      </w:r>
      <w:proofErr w:type="spellEnd"/>
    </w:p>
    <w:p w14:paraId="3D50B87B" w14:textId="77777777" w:rsidR="00B419CE" w:rsidRPr="00B419CE" w:rsidRDefault="00B419CE" w:rsidP="00B419CE">
      <w:pPr>
        <w:pStyle w:val="avsnitt-undertittel"/>
      </w:pPr>
      <w:r w:rsidRPr="00B419CE">
        <w:t>Vedtak nr. 233, 11. desember 2020</w:t>
      </w:r>
    </w:p>
    <w:p w14:paraId="5CC213EF" w14:textId="77777777" w:rsidR="00B419CE" w:rsidRPr="00B419CE" w:rsidRDefault="00B419CE" w:rsidP="00B419CE">
      <w:pPr>
        <w:pStyle w:val="blokksit"/>
        <w:rPr>
          <w:rStyle w:val="kursiv"/>
        </w:rPr>
      </w:pPr>
      <w:r w:rsidRPr="00B419CE">
        <w:rPr>
          <w:rStyle w:val="kursiv"/>
        </w:rPr>
        <w:t>«Stortinget ber regjeringen gjøre bortfallet av totalisatoravgift permanent.»</w:t>
      </w:r>
    </w:p>
    <w:p w14:paraId="1C839C15" w14:textId="77777777" w:rsidR="00B419CE" w:rsidRPr="00B419CE" w:rsidRDefault="00B419CE" w:rsidP="00B419CE">
      <w:r w:rsidRPr="00B419CE">
        <w:t xml:space="preserve">Vedtaket var gjort ved </w:t>
      </w:r>
      <w:proofErr w:type="spellStart"/>
      <w:r w:rsidRPr="00B419CE">
        <w:t>behandlinga</w:t>
      </w:r>
      <w:proofErr w:type="spellEnd"/>
      <w:r w:rsidRPr="00B419CE">
        <w:t xml:space="preserve"> av Dokument 8:126 S (2019–2020) </w:t>
      </w:r>
      <w:r w:rsidRPr="00B419CE">
        <w:rPr>
          <w:rStyle w:val="kursiv"/>
        </w:rPr>
        <w:t>Representantforslag om sikring av inntektsgrunnlaget for hestesporten</w:t>
      </w:r>
      <w:r w:rsidRPr="00B419CE">
        <w:t xml:space="preserve">, jf. </w:t>
      </w:r>
      <w:proofErr w:type="spellStart"/>
      <w:r w:rsidRPr="00B419CE">
        <w:t>Innst</w:t>
      </w:r>
      <w:proofErr w:type="spellEnd"/>
      <w:r w:rsidRPr="00B419CE">
        <w:t xml:space="preserve">. 86 (2020–2021). I </w:t>
      </w:r>
      <w:proofErr w:type="spellStart"/>
      <w:r w:rsidRPr="00B419CE">
        <w:t>Prop</w:t>
      </w:r>
      <w:proofErr w:type="spellEnd"/>
      <w:r w:rsidRPr="00B419CE">
        <w:t xml:space="preserve">. 1 LS (2021–2022) </w:t>
      </w:r>
      <w:proofErr w:type="spellStart"/>
      <w:r w:rsidRPr="00B419CE">
        <w:t>fremjar</w:t>
      </w:r>
      <w:proofErr w:type="spellEnd"/>
      <w:r w:rsidRPr="00B419CE">
        <w:t xml:space="preserve"> regjeringa </w:t>
      </w:r>
      <w:proofErr w:type="spellStart"/>
      <w:r w:rsidRPr="00B419CE">
        <w:t>ikkje</w:t>
      </w:r>
      <w:proofErr w:type="spellEnd"/>
      <w:r w:rsidRPr="00B419CE">
        <w:t xml:space="preserve"> forslag om å gjeninnføre totalisatoravgifta for 2022. Departementet ser det slik at oppmodingsvedtaket er </w:t>
      </w:r>
      <w:proofErr w:type="spellStart"/>
      <w:r w:rsidRPr="00B419CE">
        <w:t>følgt</w:t>
      </w:r>
      <w:proofErr w:type="spellEnd"/>
      <w:r w:rsidRPr="00B419CE">
        <w:t xml:space="preserve"> opp gjennom dette.</w:t>
      </w:r>
    </w:p>
    <w:p w14:paraId="00078675" w14:textId="77777777" w:rsidR="00B419CE" w:rsidRPr="00B419CE" w:rsidRDefault="00B419CE" w:rsidP="00B419CE">
      <w:pPr>
        <w:pStyle w:val="avsnitt-tittel"/>
      </w:pPr>
      <w:r w:rsidRPr="00B419CE">
        <w:t>Vurdering av grensehandel</w:t>
      </w:r>
    </w:p>
    <w:p w14:paraId="3BBDEC27" w14:textId="77777777" w:rsidR="00B419CE" w:rsidRPr="00B419CE" w:rsidRDefault="00B419CE" w:rsidP="00B419CE">
      <w:pPr>
        <w:pStyle w:val="avsnitt-undertittel"/>
      </w:pPr>
      <w:r w:rsidRPr="00B419CE">
        <w:t>Vedtak nr. 329, 15. desember 2020</w:t>
      </w:r>
    </w:p>
    <w:p w14:paraId="0019701C" w14:textId="77777777" w:rsidR="00B419CE" w:rsidRPr="00B419CE" w:rsidRDefault="00B419CE" w:rsidP="00B419CE">
      <w:pPr>
        <w:pStyle w:val="blokksit"/>
        <w:rPr>
          <w:rStyle w:val="kursiv"/>
        </w:rPr>
      </w:pPr>
      <w:r w:rsidRPr="00B419CE">
        <w:rPr>
          <w:rStyle w:val="kursiv"/>
        </w:rPr>
        <w:t>«Stortinget ber regjeringen senest i statsbudsjettet for 2022 legge frem en vurdering av situasjonen rundt grensehandel, og en vurdering av om et grensehandelsbarometer bør opprettes som en årlig undersøkelse.»</w:t>
      </w:r>
    </w:p>
    <w:p w14:paraId="6AEE9E69"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Dok</w:t>
      </w:r>
      <w:proofErr w:type="spellEnd"/>
      <w:r w:rsidRPr="00B419CE">
        <w:t xml:space="preserve">. 8:59 S (2019–2020) </w:t>
      </w:r>
      <w:r w:rsidRPr="00B419CE">
        <w:rPr>
          <w:rStyle w:val="kursiv"/>
        </w:rPr>
        <w:t>Representantforslag om å reversere avgiftsøkninger på alkoholfrie drikkevarer og bevare arbeidsplasser i norsk næringsmiddelindustri og varehandel</w:t>
      </w:r>
      <w:r w:rsidRPr="00B419CE">
        <w:t xml:space="preserve">, jf. </w:t>
      </w:r>
      <w:proofErr w:type="spellStart"/>
      <w:r w:rsidRPr="00B419CE">
        <w:t>Innst</w:t>
      </w:r>
      <w:proofErr w:type="spellEnd"/>
      <w:r w:rsidRPr="00B419CE">
        <w:t xml:space="preserve">. 152 S (2020–2021). Oppmodingsvedtaket vert </w:t>
      </w:r>
      <w:proofErr w:type="spellStart"/>
      <w:r w:rsidRPr="00B419CE">
        <w:t>følgt</w:t>
      </w:r>
      <w:proofErr w:type="spellEnd"/>
      <w:r w:rsidRPr="00B419CE">
        <w:t xml:space="preserve"> opp i </w:t>
      </w:r>
      <w:proofErr w:type="spellStart"/>
      <w:r w:rsidRPr="00B419CE">
        <w:t>Prop</w:t>
      </w:r>
      <w:proofErr w:type="spellEnd"/>
      <w:r w:rsidRPr="00B419CE">
        <w:t xml:space="preserve">. 1 LS (2021–2022), kapittel 23. Departementet ser det slik at oppmodingsvedtaket er </w:t>
      </w:r>
      <w:proofErr w:type="spellStart"/>
      <w:r w:rsidRPr="00B419CE">
        <w:t>følgt</w:t>
      </w:r>
      <w:proofErr w:type="spellEnd"/>
      <w:r w:rsidRPr="00B419CE">
        <w:t xml:space="preserve"> opp gjennom dette.</w:t>
      </w:r>
    </w:p>
    <w:p w14:paraId="5F4023D8" w14:textId="77777777" w:rsidR="00B419CE" w:rsidRPr="00B419CE" w:rsidRDefault="00B419CE" w:rsidP="00B419CE">
      <w:pPr>
        <w:pStyle w:val="avsnitt-tittel"/>
      </w:pPr>
      <w:proofErr w:type="spellStart"/>
      <w:r w:rsidRPr="00B419CE">
        <w:t>Tilskot</w:t>
      </w:r>
      <w:proofErr w:type="spellEnd"/>
      <w:r w:rsidRPr="00B419CE">
        <w:t xml:space="preserve"> ved </w:t>
      </w:r>
      <w:proofErr w:type="spellStart"/>
      <w:r w:rsidRPr="00B419CE">
        <w:t>avbroten</w:t>
      </w:r>
      <w:proofErr w:type="spellEnd"/>
      <w:r w:rsidRPr="00B419CE">
        <w:t xml:space="preserve"> permittering</w:t>
      </w:r>
    </w:p>
    <w:p w14:paraId="3AAC0D21" w14:textId="77777777" w:rsidR="00B419CE" w:rsidRPr="00B419CE" w:rsidRDefault="00B419CE" w:rsidP="00B419CE">
      <w:pPr>
        <w:pStyle w:val="avsnitt-undertittel"/>
      </w:pPr>
      <w:r w:rsidRPr="00B419CE">
        <w:t>Vedtak nr. 547, 19. januar 2021</w:t>
      </w:r>
    </w:p>
    <w:p w14:paraId="758087E5" w14:textId="77777777" w:rsidR="00B419CE" w:rsidRPr="00B419CE" w:rsidRDefault="00B419CE" w:rsidP="00B419CE">
      <w:pPr>
        <w:pStyle w:val="blokksit"/>
        <w:rPr>
          <w:rStyle w:val="kursiv"/>
        </w:rPr>
      </w:pPr>
      <w:r w:rsidRPr="00B419CE">
        <w:rPr>
          <w:rStyle w:val="kursiv"/>
        </w:rPr>
        <w:t>«Stortinget ber regjeringen i samarbeid med partene i arbeidslivet, senest i løpet av februar, fremme forslag om en ny modell for lønnsstøtte slik at folk kan holdes i jobb fremfor å være permittert.»</w:t>
      </w:r>
    </w:p>
    <w:p w14:paraId="5EEA6562"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eit</w:t>
      </w:r>
      <w:proofErr w:type="spellEnd"/>
      <w:r w:rsidRPr="00B419CE">
        <w:t xml:space="preserve"> forslag </w:t>
      </w:r>
      <w:proofErr w:type="spellStart"/>
      <w:r w:rsidRPr="00B419CE">
        <w:t>frå</w:t>
      </w:r>
      <w:proofErr w:type="spellEnd"/>
      <w:r w:rsidRPr="00B419CE">
        <w:t xml:space="preserve"> Jonas Gahr Støre på vegne av Arbeiderpartiet, </w:t>
      </w:r>
      <w:proofErr w:type="spellStart"/>
      <w:r w:rsidRPr="00B419CE">
        <w:t>Framstegspartiet</w:t>
      </w:r>
      <w:proofErr w:type="spellEnd"/>
      <w:r w:rsidRPr="00B419CE">
        <w:t>, Senterpartiet og Sosialistisk Venstreparti, jf. Stortingsvedtak av 19. januar 2021.</w:t>
      </w:r>
    </w:p>
    <w:p w14:paraId="614050EB" w14:textId="77777777" w:rsidR="00B419CE" w:rsidRPr="00B419CE" w:rsidRDefault="00B419CE" w:rsidP="00B419CE">
      <w:r w:rsidRPr="00B419CE">
        <w:t xml:space="preserve">I </w:t>
      </w:r>
      <w:proofErr w:type="spellStart"/>
      <w:r w:rsidRPr="00B419CE">
        <w:t>Prop</w:t>
      </w:r>
      <w:proofErr w:type="spellEnd"/>
      <w:r w:rsidRPr="00B419CE">
        <w:t xml:space="preserve">. 94 LS (2020–2021) foreslo regjeringa å innføre ei ny ordning for </w:t>
      </w:r>
      <w:proofErr w:type="spellStart"/>
      <w:r w:rsidRPr="00B419CE">
        <w:t>tilskot</w:t>
      </w:r>
      <w:proofErr w:type="spellEnd"/>
      <w:r w:rsidRPr="00B419CE">
        <w:t xml:space="preserve"> ved </w:t>
      </w:r>
      <w:proofErr w:type="spellStart"/>
      <w:r w:rsidRPr="00B419CE">
        <w:t>avbroten</w:t>
      </w:r>
      <w:proofErr w:type="spellEnd"/>
      <w:r w:rsidRPr="00B419CE">
        <w:t xml:space="preserve"> permittering for perioden 15. mars til 30. juni 2021. Ordninga er i stor utstrekning lik </w:t>
      </w:r>
      <w:proofErr w:type="spellStart"/>
      <w:r w:rsidRPr="00B419CE">
        <w:t>tidlegare</w:t>
      </w:r>
      <w:proofErr w:type="spellEnd"/>
      <w:r w:rsidRPr="00B419CE">
        <w:t xml:space="preserve"> ordning, men gjev </w:t>
      </w:r>
      <w:proofErr w:type="spellStart"/>
      <w:r w:rsidRPr="00B419CE">
        <w:t>høgare</w:t>
      </w:r>
      <w:proofErr w:type="spellEnd"/>
      <w:r w:rsidRPr="00B419CE">
        <w:t xml:space="preserve"> </w:t>
      </w:r>
      <w:proofErr w:type="spellStart"/>
      <w:r w:rsidRPr="00B419CE">
        <w:t>tilskot</w:t>
      </w:r>
      <w:proofErr w:type="spellEnd"/>
      <w:r w:rsidRPr="00B419CE">
        <w:t xml:space="preserve"> per tilsett som vert teken tilbake </w:t>
      </w:r>
      <w:proofErr w:type="spellStart"/>
      <w:r w:rsidRPr="00B419CE">
        <w:t>frå</w:t>
      </w:r>
      <w:proofErr w:type="spellEnd"/>
      <w:r w:rsidRPr="00B419CE">
        <w:t xml:space="preserve"> permittering, og er </w:t>
      </w:r>
      <w:proofErr w:type="spellStart"/>
      <w:r w:rsidRPr="00B419CE">
        <w:t>meir</w:t>
      </w:r>
      <w:proofErr w:type="spellEnd"/>
      <w:r w:rsidRPr="00B419CE">
        <w:t xml:space="preserve"> fleksibel.</w:t>
      </w:r>
    </w:p>
    <w:p w14:paraId="7B6D2BEC" w14:textId="77777777" w:rsidR="00B419CE" w:rsidRPr="00B419CE" w:rsidRDefault="00B419CE" w:rsidP="00B419CE">
      <w:r w:rsidRPr="00B419CE">
        <w:t xml:space="preserve">I </w:t>
      </w:r>
      <w:proofErr w:type="spellStart"/>
      <w:r w:rsidRPr="00B419CE">
        <w:t>Innst</w:t>
      </w:r>
      <w:proofErr w:type="spellEnd"/>
      <w:r w:rsidRPr="00B419CE">
        <w:t xml:space="preserve">. 297 L (2020–2021) slutta </w:t>
      </w:r>
      <w:proofErr w:type="spellStart"/>
      <w:r w:rsidRPr="00B419CE">
        <w:t>eit</w:t>
      </w:r>
      <w:proofErr w:type="spellEnd"/>
      <w:r w:rsidRPr="00B419CE">
        <w:t xml:space="preserve"> </w:t>
      </w:r>
      <w:proofErr w:type="spellStart"/>
      <w:r w:rsidRPr="00B419CE">
        <w:t>fleirtal</w:t>
      </w:r>
      <w:proofErr w:type="spellEnd"/>
      <w:r w:rsidRPr="00B419CE">
        <w:t xml:space="preserve"> seg til regjeringa sitt lovforslag. Departementet ser det slik at oppmodingsvedtaket er </w:t>
      </w:r>
      <w:proofErr w:type="spellStart"/>
      <w:r w:rsidRPr="00B419CE">
        <w:t>følgt</w:t>
      </w:r>
      <w:proofErr w:type="spellEnd"/>
      <w:r w:rsidRPr="00B419CE">
        <w:t xml:space="preserve"> opp gjennom dette.</w:t>
      </w:r>
    </w:p>
    <w:p w14:paraId="263AF3CC" w14:textId="77777777" w:rsidR="00B419CE" w:rsidRPr="00B419CE" w:rsidRDefault="00B419CE" w:rsidP="00B419CE">
      <w:pPr>
        <w:pStyle w:val="avsnitt-tittel"/>
      </w:pPr>
      <w:r w:rsidRPr="00B419CE">
        <w:lastRenderedPageBreak/>
        <w:t xml:space="preserve">Mellombels ordning for utsatte </w:t>
      </w:r>
      <w:proofErr w:type="spellStart"/>
      <w:r w:rsidRPr="00B419CE">
        <w:t>skatteinnbetalingar</w:t>
      </w:r>
      <w:proofErr w:type="spellEnd"/>
    </w:p>
    <w:p w14:paraId="3EA7A4B6" w14:textId="77777777" w:rsidR="00B419CE" w:rsidRPr="00B419CE" w:rsidRDefault="00B419CE" w:rsidP="00B419CE">
      <w:pPr>
        <w:pStyle w:val="avsnitt-undertittel"/>
      </w:pPr>
      <w:r w:rsidRPr="00B419CE">
        <w:t>Vedtak nr. 555, 19. januar 2021</w:t>
      </w:r>
    </w:p>
    <w:p w14:paraId="4066BE85" w14:textId="77777777" w:rsidR="00B419CE" w:rsidRPr="00B419CE" w:rsidRDefault="00B419CE" w:rsidP="00B419CE">
      <w:pPr>
        <w:pStyle w:val="blokksit"/>
        <w:rPr>
          <w:rStyle w:val="kursiv"/>
        </w:rPr>
      </w:pPr>
      <w:r w:rsidRPr="00B419CE">
        <w:rPr>
          <w:rStyle w:val="kursiv"/>
        </w:rPr>
        <w:t xml:space="preserve">«Stortinget ber regjeringen fremme forslag om å utsette krav om innbetaling av </w:t>
      </w:r>
      <w:proofErr w:type="spellStart"/>
      <w:r w:rsidRPr="00B419CE">
        <w:rPr>
          <w:rStyle w:val="kursiv"/>
        </w:rPr>
        <w:t>mva</w:t>
      </w:r>
      <w:proofErr w:type="spellEnd"/>
      <w:r w:rsidRPr="00B419CE">
        <w:rPr>
          <w:rStyle w:val="kursiv"/>
        </w:rPr>
        <w:t>, arbeidsgiveravgift og forskuddsskatt til 1. juli 2021.»</w:t>
      </w:r>
    </w:p>
    <w:p w14:paraId="40A7DD71" w14:textId="77777777" w:rsidR="00B419CE" w:rsidRPr="00B419CE" w:rsidRDefault="00B419CE" w:rsidP="00B419CE">
      <w:r w:rsidRPr="00B419CE">
        <w:t xml:space="preserve">Vedtaket </w:t>
      </w:r>
      <w:proofErr w:type="spellStart"/>
      <w:r w:rsidRPr="00B419CE">
        <w:t>vart</w:t>
      </w:r>
      <w:proofErr w:type="spellEnd"/>
      <w:r w:rsidRPr="00B419CE">
        <w:t xml:space="preserve"> gjort i </w:t>
      </w:r>
      <w:proofErr w:type="spellStart"/>
      <w:r w:rsidRPr="00B419CE">
        <w:t>tilknyting</w:t>
      </w:r>
      <w:proofErr w:type="spellEnd"/>
      <w:r w:rsidRPr="00B419CE">
        <w:t xml:space="preserve"> til den forklaringa om handteringa av koronapandemien som </w:t>
      </w:r>
      <w:proofErr w:type="spellStart"/>
      <w:r w:rsidRPr="00B419CE">
        <w:t>statsministaren</w:t>
      </w:r>
      <w:proofErr w:type="spellEnd"/>
      <w:r w:rsidRPr="00B419CE">
        <w:t xml:space="preserve"> gav 18. januar 2021. I </w:t>
      </w:r>
      <w:proofErr w:type="spellStart"/>
      <w:r w:rsidRPr="00B419CE">
        <w:t>Prop</w:t>
      </w:r>
      <w:proofErr w:type="spellEnd"/>
      <w:r w:rsidRPr="00B419CE">
        <w:t xml:space="preserve">. 79 S (2020–2021), pkt. 2.12, vart den </w:t>
      </w:r>
      <w:proofErr w:type="spellStart"/>
      <w:r w:rsidRPr="00B419CE">
        <w:t>mellombelse</w:t>
      </w:r>
      <w:proofErr w:type="spellEnd"/>
      <w:r w:rsidRPr="00B419CE">
        <w:t xml:space="preserve"> ordninga for utsett betaling foreslått </w:t>
      </w:r>
      <w:proofErr w:type="spellStart"/>
      <w:r w:rsidRPr="00B419CE">
        <w:t>forlengd</w:t>
      </w:r>
      <w:proofErr w:type="spellEnd"/>
      <w:r w:rsidRPr="00B419CE">
        <w:t xml:space="preserve"> til 30. juni 2021. </w:t>
      </w:r>
      <w:proofErr w:type="spellStart"/>
      <w:r w:rsidRPr="00B419CE">
        <w:t>Allereie</w:t>
      </w:r>
      <w:proofErr w:type="spellEnd"/>
      <w:r w:rsidRPr="00B419CE">
        <w:t xml:space="preserve"> utsette krav vart då automatisk innvilga </w:t>
      </w:r>
      <w:proofErr w:type="spellStart"/>
      <w:r w:rsidRPr="00B419CE">
        <w:t>utsetjing</w:t>
      </w:r>
      <w:proofErr w:type="spellEnd"/>
      <w:r w:rsidRPr="00B419CE">
        <w:t xml:space="preserve"> til 30. juni 2021. </w:t>
      </w:r>
      <w:proofErr w:type="spellStart"/>
      <w:r w:rsidRPr="00B419CE">
        <w:t>Vidare</w:t>
      </w:r>
      <w:proofErr w:type="spellEnd"/>
      <w:r w:rsidRPr="00B419CE">
        <w:t xml:space="preserve"> vart det </w:t>
      </w:r>
      <w:proofErr w:type="spellStart"/>
      <w:r w:rsidRPr="00B419CE">
        <w:t>opna</w:t>
      </w:r>
      <w:proofErr w:type="spellEnd"/>
      <w:r w:rsidRPr="00B419CE">
        <w:t xml:space="preserve"> for at nye krav med forfall fram mot 30. juni 2021 kan få </w:t>
      </w:r>
      <w:proofErr w:type="spellStart"/>
      <w:r w:rsidRPr="00B419CE">
        <w:t>utsetjing</w:t>
      </w:r>
      <w:proofErr w:type="spellEnd"/>
      <w:r w:rsidRPr="00B419CE">
        <w:t xml:space="preserve">, med unntak for krav på </w:t>
      </w:r>
      <w:proofErr w:type="spellStart"/>
      <w:r w:rsidRPr="00B419CE">
        <w:t>meirverdiavgift</w:t>
      </w:r>
      <w:proofErr w:type="spellEnd"/>
      <w:r w:rsidRPr="00B419CE">
        <w:t xml:space="preserve"> med forfall etter 12. april 2021. Den </w:t>
      </w:r>
      <w:proofErr w:type="spellStart"/>
      <w:r w:rsidRPr="00B419CE">
        <w:t>mellombelse</w:t>
      </w:r>
      <w:proofErr w:type="spellEnd"/>
      <w:r w:rsidRPr="00B419CE">
        <w:t xml:space="preserve"> ordninga </w:t>
      </w:r>
      <w:proofErr w:type="spellStart"/>
      <w:r w:rsidRPr="00B419CE">
        <w:t>vart</w:t>
      </w:r>
      <w:proofErr w:type="spellEnd"/>
      <w:r w:rsidRPr="00B419CE">
        <w:t xml:space="preserve"> innført i juni 2020 for å dempe belastninga av likviditeten for </w:t>
      </w:r>
      <w:proofErr w:type="spellStart"/>
      <w:r w:rsidRPr="00B419CE">
        <w:t>føretak</w:t>
      </w:r>
      <w:proofErr w:type="spellEnd"/>
      <w:r w:rsidRPr="00B419CE">
        <w:t xml:space="preserve"> og </w:t>
      </w:r>
      <w:proofErr w:type="spellStart"/>
      <w:r w:rsidRPr="00B419CE">
        <w:t>næringsdrivande</w:t>
      </w:r>
      <w:proofErr w:type="spellEnd"/>
      <w:r w:rsidRPr="00B419CE">
        <w:t xml:space="preserve"> som er ramma økonomisk av koronapandemien. I </w:t>
      </w:r>
      <w:proofErr w:type="spellStart"/>
      <w:r w:rsidRPr="00B419CE">
        <w:t>Innst</w:t>
      </w:r>
      <w:proofErr w:type="spellEnd"/>
      <w:r w:rsidRPr="00B419CE">
        <w:t xml:space="preserve">. 233 S (2020–2021) tok finanskomiteen dette til orientering. Departementet ser det slik at oppmodingsvedtaket er </w:t>
      </w:r>
      <w:proofErr w:type="spellStart"/>
      <w:r w:rsidRPr="00B419CE">
        <w:t>følgt</w:t>
      </w:r>
      <w:proofErr w:type="spellEnd"/>
      <w:r w:rsidRPr="00B419CE">
        <w:t xml:space="preserve"> opp gjennom dette.</w:t>
      </w:r>
    </w:p>
    <w:p w14:paraId="02E70BD3" w14:textId="77777777" w:rsidR="00B419CE" w:rsidRPr="00B419CE" w:rsidRDefault="00B419CE" w:rsidP="00B419CE">
      <w:pPr>
        <w:pStyle w:val="avsnitt-tittel"/>
      </w:pPr>
      <w:r w:rsidRPr="00B419CE">
        <w:t>Vurdering av grensehandel</w:t>
      </w:r>
    </w:p>
    <w:p w14:paraId="74BD53F9" w14:textId="77777777" w:rsidR="00B419CE" w:rsidRPr="00B419CE" w:rsidRDefault="00B419CE" w:rsidP="00B419CE">
      <w:pPr>
        <w:pStyle w:val="avsnitt-undertittel"/>
      </w:pPr>
      <w:r w:rsidRPr="00B419CE">
        <w:t>Vedtak nr. 580, 4. februar 2021</w:t>
      </w:r>
    </w:p>
    <w:p w14:paraId="1E4B6BC0" w14:textId="77777777" w:rsidR="00B419CE" w:rsidRPr="00B419CE" w:rsidRDefault="00B419CE" w:rsidP="00B419CE">
      <w:pPr>
        <w:pStyle w:val="blokksit"/>
        <w:rPr>
          <w:rStyle w:val="kursiv"/>
        </w:rPr>
      </w:pPr>
      <w:r w:rsidRPr="00B419CE">
        <w:rPr>
          <w:rStyle w:val="kursiv"/>
        </w:rPr>
        <w:t>«Stortinget ber regjeringen snarest mulig legge frem for Stortinget en egen sak om grensehandel hvor det drøftes og foreslås tiltak for å redusere grensehandelen og sikre konkurransekraften til norsk næringsliv.»</w:t>
      </w:r>
    </w:p>
    <w:p w14:paraId="4E716BB5"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27 (2019–2020) </w:t>
      </w:r>
      <w:proofErr w:type="spellStart"/>
      <w:r w:rsidRPr="00B419CE">
        <w:rPr>
          <w:rStyle w:val="kursiv"/>
        </w:rPr>
        <w:t>Daglegvare</w:t>
      </w:r>
      <w:proofErr w:type="spellEnd"/>
      <w:r w:rsidRPr="00B419CE">
        <w:rPr>
          <w:rStyle w:val="kursiv"/>
        </w:rPr>
        <w:t xml:space="preserve"> og konkurranse – kampen om </w:t>
      </w:r>
      <w:proofErr w:type="spellStart"/>
      <w:r w:rsidRPr="00B419CE">
        <w:rPr>
          <w:rStyle w:val="kursiv"/>
        </w:rPr>
        <w:t>kundane</w:t>
      </w:r>
      <w:proofErr w:type="spellEnd"/>
      <w:r w:rsidRPr="00B419CE">
        <w:t xml:space="preserve">, jf. </w:t>
      </w:r>
      <w:proofErr w:type="spellStart"/>
      <w:r w:rsidRPr="00B419CE">
        <w:t>Innst</w:t>
      </w:r>
      <w:proofErr w:type="spellEnd"/>
      <w:r w:rsidRPr="00B419CE">
        <w:t xml:space="preserve">. 185 S (2020–2021). Oppmodingsvedtaket vert </w:t>
      </w:r>
      <w:proofErr w:type="spellStart"/>
      <w:r w:rsidRPr="00B419CE">
        <w:t>følgt</w:t>
      </w:r>
      <w:proofErr w:type="spellEnd"/>
      <w:r w:rsidRPr="00B419CE">
        <w:t xml:space="preserve"> opp i </w:t>
      </w:r>
      <w:proofErr w:type="spellStart"/>
      <w:r w:rsidRPr="00B419CE">
        <w:t>Prop</w:t>
      </w:r>
      <w:proofErr w:type="spellEnd"/>
      <w:r w:rsidRPr="00B419CE">
        <w:t xml:space="preserve">. 1 LS (2021–2022), kapittel 23. Departementet ser det slik at oppmodingsvedtaket er </w:t>
      </w:r>
      <w:proofErr w:type="spellStart"/>
      <w:r w:rsidRPr="00B419CE">
        <w:t>følgt</w:t>
      </w:r>
      <w:proofErr w:type="spellEnd"/>
      <w:r w:rsidRPr="00B419CE">
        <w:t xml:space="preserve"> opp gjennom dette.</w:t>
      </w:r>
    </w:p>
    <w:p w14:paraId="703DD91D" w14:textId="77777777" w:rsidR="00B419CE" w:rsidRPr="00B419CE" w:rsidRDefault="00B419CE" w:rsidP="00B419CE">
      <w:pPr>
        <w:pStyle w:val="avsnitt-tittel"/>
      </w:pPr>
      <w:r w:rsidRPr="00B419CE">
        <w:t xml:space="preserve">Innføring av pensjon </w:t>
      </w:r>
      <w:proofErr w:type="spellStart"/>
      <w:r w:rsidRPr="00B419CE">
        <w:t>frå</w:t>
      </w:r>
      <w:proofErr w:type="spellEnd"/>
      <w:r w:rsidRPr="00B419CE">
        <w:t xml:space="preserve"> fyrste krone</w:t>
      </w:r>
    </w:p>
    <w:p w14:paraId="0FBF2FFD" w14:textId="77777777" w:rsidR="00B419CE" w:rsidRPr="00B419CE" w:rsidRDefault="00B419CE" w:rsidP="00B419CE">
      <w:pPr>
        <w:pStyle w:val="avsnitt-undertittel"/>
      </w:pPr>
      <w:r w:rsidRPr="00B419CE">
        <w:t>Vedtak nr. 621, 16. februar 2021</w:t>
      </w:r>
    </w:p>
    <w:p w14:paraId="34A0B987" w14:textId="77777777" w:rsidR="00B419CE" w:rsidRPr="00B419CE" w:rsidRDefault="00B419CE" w:rsidP="00B419CE">
      <w:pPr>
        <w:pStyle w:val="blokksit"/>
        <w:rPr>
          <w:rStyle w:val="kursiv"/>
        </w:rPr>
      </w:pPr>
      <w:r w:rsidRPr="00B419CE">
        <w:rPr>
          <w:rStyle w:val="kursiv"/>
        </w:rPr>
        <w:t>«Stortinget ber regjeringen fremme forslag til nødvendige lovendringer for å innføre pensjon fra første krone med sikte på innføring fra 1. januar 2023. Stortinget ber regjeringen vurdere midlertidige, kompenserende økonomiske tiltak for arbeidsgiversiden og overgangsregler som gjør at pensjon fra første krone kan innføres over noe tid, for eksempel 3 år etter virkningstidspunktet.»</w:t>
      </w:r>
    </w:p>
    <w:p w14:paraId="14FA47DD"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Dokument 8:53 S (2020–2021) </w:t>
      </w:r>
      <w:r w:rsidRPr="00B419CE">
        <w:rPr>
          <w:rStyle w:val="kursiv"/>
        </w:rPr>
        <w:t>Representantforslag om et anstendighetsløft for pensjonister,</w:t>
      </w:r>
      <w:r w:rsidRPr="00B419CE">
        <w:t xml:space="preserve"> jf. </w:t>
      </w:r>
      <w:proofErr w:type="spellStart"/>
      <w:r w:rsidRPr="00B419CE">
        <w:t>Innst</w:t>
      </w:r>
      <w:proofErr w:type="spellEnd"/>
      <w:r w:rsidRPr="00B419CE">
        <w:t>. 221 S (2020–2021).</w:t>
      </w:r>
    </w:p>
    <w:p w14:paraId="60A39843" w14:textId="77777777" w:rsidR="00B419CE" w:rsidRPr="00B419CE" w:rsidRDefault="00B419CE" w:rsidP="00B419CE">
      <w:r w:rsidRPr="00B419CE">
        <w:t xml:space="preserve">Oppmodingsvedtaket </w:t>
      </w:r>
      <w:proofErr w:type="spellStart"/>
      <w:r w:rsidRPr="00B419CE">
        <w:t>vart</w:t>
      </w:r>
      <w:proofErr w:type="spellEnd"/>
      <w:r w:rsidRPr="00B419CE">
        <w:t xml:space="preserve"> omtalt i </w:t>
      </w:r>
      <w:proofErr w:type="spellStart"/>
      <w:r w:rsidRPr="00B419CE">
        <w:t>Prop</w:t>
      </w:r>
      <w:proofErr w:type="spellEnd"/>
      <w:r w:rsidRPr="00B419CE">
        <w:t xml:space="preserve">. 223 L (2020–2021) </w:t>
      </w:r>
      <w:r w:rsidRPr="00B419CE">
        <w:rPr>
          <w:rStyle w:val="kursiv"/>
        </w:rPr>
        <w:t>Endringer i pensjonslovgivningen mv. (pensjon fra første krone og dag, garanterte pensjonsprodukter)</w:t>
      </w:r>
      <w:r w:rsidRPr="00B419CE">
        <w:t xml:space="preserve"> </w:t>
      </w:r>
      <w:proofErr w:type="spellStart"/>
      <w:r w:rsidRPr="00B419CE">
        <w:t>frå</w:t>
      </w:r>
      <w:proofErr w:type="spellEnd"/>
      <w:r w:rsidRPr="00B419CE">
        <w:t xml:space="preserve"> Finansdepartementet, med forslag om </w:t>
      </w:r>
      <w:proofErr w:type="spellStart"/>
      <w:r w:rsidRPr="00B419CE">
        <w:t>lovendringar</w:t>
      </w:r>
      <w:proofErr w:type="spellEnd"/>
      <w:r w:rsidRPr="00B419CE">
        <w:t xml:space="preserve"> om pensjon </w:t>
      </w:r>
      <w:proofErr w:type="spellStart"/>
      <w:r w:rsidRPr="00B419CE">
        <w:t>frå</w:t>
      </w:r>
      <w:proofErr w:type="spellEnd"/>
      <w:r w:rsidRPr="00B419CE">
        <w:t xml:space="preserve"> fyrste krone som kan tre i kraft 1. januar 2023. Lovforslaget er til behandling i finanskomiteen. Regjeringa </w:t>
      </w:r>
      <w:proofErr w:type="spellStart"/>
      <w:r w:rsidRPr="00B419CE">
        <w:t>tek</w:t>
      </w:r>
      <w:proofErr w:type="spellEnd"/>
      <w:r w:rsidRPr="00B419CE">
        <w:t xml:space="preserve"> sikte på å </w:t>
      </w:r>
      <w:proofErr w:type="spellStart"/>
      <w:r w:rsidRPr="00B419CE">
        <w:t>kome</w:t>
      </w:r>
      <w:proofErr w:type="spellEnd"/>
      <w:r w:rsidRPr="00B419CE">
        <w:t xml:space="preserve"> tilbake til Stortinget med ei vurdering av </w:t>
      </w:r>
      <w:proofErr w:type="spellStart"/>
      <w:r w:rsidRPr="00B419CE">
        <w:t>moglege</w:t>
      </w:r>
      <w:proofErr w:type="spellEnd"/>
      <w:r w:rsidRPr="00B419CE">
        <w:t xml:space="preserve"> </w:t>
      </w:r>
      <w:proofErr w:type="spellStart"/>
      <w:r w:rsidRPr="00B419CE">
        <w:t>mellombelse</w:t>
      </w:r>
      <w:proofErr w:type="spellEnd"/>
      <w:r w:rsidRPr="00B419CE">
        <w:t xml:space="preserve">, </w:t>
      </w:r>
      <w:proofErr w:type="spellStart"/>
      <w:r w:rsidRPr="00B419CE">
        <w:lastRenderedPageBreak/>
        <w:t>kompenserande</w:t>
      </w:r>
      <w:proofErr w:type="spellEnd"/>
      <w:r w:rsidRPr="00B419CE">
        <w:t xml:space="preserve"> tiltak og eventuelle forslag før </w:t>
      </w:r>
      <w:proofErr w:type="spellStart"/>
      <w:r w:rsidRPr="00B419CE">
        <w:t>lovreglane</w:t>
      </w:r>
      <w:proofErr w:type="spellEnd"/>
      <w:r w:rsidRPr="00B419CE">
        <w:t xml:space="preserve"> trer i kraft. Departementet ser det slik at oppmodingsvedtaket er </w:t>
      </w:r>
      <w:proofErr w:type="spellStart"/>
      <w:r w:rsidRPr="00B419CE">
        <w:t>følgt</w:t>
      </w:r>
      <w:proofErr w:type="spellEnd"/>
      <w:r w:rsidRPr="00B419CE">
        <w:t xml:space="preserve"> opp gjennom dette.</w:t>
      </w:r>
    </w:p>
    <w:p w14:paraId="7F153E45" w14:textId="77777777" w:rsidR="00B419CE" w:rsidRPr="00B419CE" w:rsidRDefault="00B419CE" w:rsidP="00B419CE">
      <w:pPr>
        <w:pStyle w:val="avsnitt-tittel"/>
      </w:pPr>
      <w:r w:rsidRPr="00B419CE">
        <w:t>Tiltak som kan avhjelpe situasjonen med ekstraordinært høge strømutgifter</w:t>
      </w:r>
    </w:p>
    <w:p w14:paraId="6D02C789" w14:textId="77777777" w:rsidR="00B419CE" w:rsidRPr="00B419CE" w:rsidRDefault="00B419CE" w:rsidP="00B419CE">
      <w:pPr>
        <w:pStyle w:val="avsnitt-undertittel"/>
      </w:pPr>
      <w:r w:rsidRPr="00B419CE">
        <w:t>Vedtak nr. 658, 23. februar 2021</w:t>
      </w:r>
    </w:p>
    <w:p w14:paraId="1EADD752" w14:textId="77777777" w:rsidR="00B419CE" w:rsidRPr="00B419CE" w:rsidRDefault="00B419CE" w:rsidP="00B419CE">
      <w:pPr>
        <w:pStyle w:val="blokksit"/>
        <w:rPr>
          <w:rStyle w:val="kursiv"/>
        </w:rPr>
      </w:pPr>
      <w:r w:rsidRPr="00B419CE">
        <w:rPr>
          <w:rStyle w:val="kursiv"/>
        </w:rPr>
        <w:t>«Stortinget ber regjeringen umiddelbart foreslå tiltak som kan avhjelpe situasjonen med ekstraordinært høye strømutgifter, og raskt komme tilbake til Stortinget på egnet måte.»</w:t>
      </w:r>
    </w:p>
    <w:p w14:paraId="0E2A24B5"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79 S (2020–2021), jf. </w:t>
      </w:r>
      <w:proofErr w:type="spellStart"/>
      <w:r w:rsidRPr="00B419CE">
        <w:t>Innst</w:t>
      </w:r>
      <w:proofErr w:type="spellEnd"/>
      <w:r w:rsidRPr="00B419CE">
        <w:t>. 233 S (2020–2021).</w:t>
      </w:r>
    </w:p>
    <w:p w14:paraId="01CEE4E9" w14:textId="77777777" w:rsidR="00B419CE" w:rsidRPr="00B419CE" w:rsidRDefault="00B419CE" w:rsidP="00B419CE">
      <w:r w:rsidRPr="00B419CE">
        <w:t xml:space="preserve">Regjeringa </w:t>
      </w:r>
      <w:proofErr w:type="spellStart"/>
      <w:r w:rsidRPr="00B419CE">
        <w:t>følgde</w:t>
      </w:r>
      <w:proofErr w:type="spellEnd"/>
      <w:r w:rsidRPr="00B419CE">
        <w:t xml:space="preserve"> opp vedtaket i Meld. St. 2 (2020–2021) </w:t>
      </w:r>
      <w:r w:rsidRPr="00B419CE">
        <w:rPr>
          <w:rStyle w:val="kursiv"/>
        </w:rPr>
        <w:t>Revidert nasjonalbudsjett 2021</w:t>
      </w:r>
      <w:r w:rsidRPr="00B419CE">
        <w:t xml:space="preserve">, pkt. 5.6. Der går det mellom anna fram at departementet etter ei samla vurdering meiner det </w:t>
      </w:r>
      <w:proofErr w:type="spellStart"/>
      <w:r w:rsidRPr="00B419CE">
        <w:t>ikkje</w:t>
      </w:r>
      <w:proofErr w:type="spellEnd"/>
      <w:r w:rsidRPr="00B419CE">
        <w:t xml:space="preserve"> er behov for </w:t>
      </w:r>
      <w:proofErr w:type="spellStart"/>
      <w:r w:rsidRPr="00B419CE">
        <w:t>ytterlegare</w:t>
      </w:r>
      <w:proofErr w:type="spellEnd"/>
      <w:r w:rsidRPr="00B419CE">
        <w:t xml:space="preserve"> tiltak for å avhjelpe situasjonen. I </w:t>
      </w:r>
      <w:proofErr w:type="spellStart"/>
      <w:r w:rsidRPr="00B419CE">
        <w:t>Innst</w:t>
      </w:r>
      <w:proofErr w:type="spellEnd"/>
      <w:r w:rsidRPr="00B419CE">
        <w:t xml:space="preserve">. 600 S (2020–2021) går det fram at finanskomiteen tek omtalen til orientering og at komiteen </w:t>
      </w:r>
      <w:proofErr w:type="gramStart"/>
      <w:r w:rsidRPr="00B419CE">
        <w:t>for øvrig</w:t>
      </w:r>
      <w:proofErr w:type="gramEnd"/>
      <w:r w:rsidRPr="00B419CE">
        <w:t xml:space="preserve"> viser til Stortingets handsaming av stortingsmeldinga om oppfølging av oppmodingsvedtak våren 2021. Departementet ser det slik at oppmodingsvedtaket er </w:t>
      </w:r>
      <w:proofErr w:type="spellStart"/>
      <w:r w:rsidRPr="00B419CE">
        <w:t>følgt</w:t>
      </w:r>
      <w:proofErr w:type="spellEnd"/>
      <w:r w:rsidRPr="00B419CE">
        <w:t xml:space="preserve"> opp gjennom dette.</w:t>
      </w:r>
    </w:p>
    <w:p w14:paraId="7930781D" w14:textId="77777777" w:rsidR="00B419CE" w:rsidRPr="00B419CE" w:rsidRDefault="00B419CE" w:rsidP="00B419CE">
      <w:r w:rsidRPr="00B419CE">
        <w:t xml:space="preserve">Etter at oppmodingsvedtaket vart </w:t>
      </w:r>
      <w:proofErr w:type="spellStart"/>
      <w:r w:rsidRPr="00B419CE">
        <w:t>følgt</w:t>
      </w:r>
      <w:proofErr w:type="spellEnd"/>
      <w:r w:rsidRPr="00B419CE">
        <w:t xml:space="preserve"> opp, har </w:t>
      </w:r>
      <w:proofErr w:type="spellStart"/>
      <w:r w:rsidRPr="00B419CE">
        <w:t>kraftprisane</w:t>
      </w:r>
      <w:proofErr w:type="spellEnd"/>
      <w:r w:rsidRPr="00B419CE">
        <w:t xml:space="preserve"> igjen </w:t>
      </w:r>
      <w:proofErr w:type="spellStart"/>
      <w:r w:rsidRPr="00B419CE">
        <w:t>auka</w:t>
      </w:r>
      <w:proofErr w:type="spellEnd"/>
      <w:r w:rsidRPr="00B419CE">
        <w:t xml:space="preserve">, og er </w:t>
      </w:r>
      <w:proofErr w:type="spellStart"/>
      <w:r w:rsidRPr="00B419CE">
        <w:t>no</w:t>
      </w:r>
      <w:proofErr w:type="spellEnd"/>
      <w:r w:rsidRPr="00B419CE">
        <w:t xml:space="preserve"> på </w:t>
      </w:r>
      <w:proofErr w:type="spellStart"/>
      <w:r w:rsidRPr="00B419CE">
        <w:t>eit</w:t>
      </w:r>
      <w:proofErr w:type="spellEnd"/>
      <w:r w:rsidRPr="00B419CE">
        <w:t xml:space="preserve"> høgt nivå. Situasjonen vert </w:t>
      </w:r>
      <w:proofErr w:type="spellStart"/>
      <w:r w:rsidRPr="00B419CE">
        <w:t>følgt</w:t>
      </w:r>
      <w:proofErr w:type="spellEnd"/>
      <w:r w:rsidRPr="00B419CE">
        <w:t xml:space="preserve"> nøye og kan </w:t>
      </w:r>
      <w:proofErr w:type="spellStart"/>
      <w:r w:rsidRPr="00B419CE">
        <w:t>gje</w:t>
      </w:r>
      <w:proofErr w:type="spellEnd"/>
      <w:r w:rsidRPr="00B419CE">
        <w:t xml:space="preserve"> grunnlag for å vurdere målretta tiltak.</w:t>
      </w:r>
    </w:p>
    <w:p w14:paraId="537CD697" w14:textId="77777777" w:rsidR="00B419CE" w:rsidRPr="00B419CE" w:rsidRDefault="00B419CE" w:rsidP="00B419CE">
      <w:pPr>
        <w:pStyle w:val="avsnitt-tittel"/>
      </w:pPr>
      <w:proofErr w:type="spellStart"/>
      <w:r w:rsidRPr="00B419CE">
        <w:t>Tilskot</w:t>
      </w:r>
      <w:proofErr w:type="spellEnd"/>
      <w:r w:rsidRPr="00B419CE">
        <w:t xml:space="preserve"> ved </w:t>
      </w:r>
      <w:proofErr w:type="spellStart"/>
      <w:r w:rsidRPr="00B419CE">
        <w:t>avbroten</w:t>
      </w:r>
      <w:proofErr w:type="spellEnd"/>
      <w:r w:rsidRPr="00B419CE">
        <w:t xml:space="preserve"> permittering</w:t>
      </w:r>
    </w:p>
    <w:p w14:paraId="7741388B" w14:textId="77777777" w:rsidR="00B419CE" w:rsidRPr="00B419CE" w:rsidRDefault="00B419CE" w:rsidP="00B419CE">
      <w:pPr>
        <w:pStyle w:val="avsnitt-undertittel"/>
      </w:pPr>
      <w:r w:rsidRPr="00B419CE">
        <w:t>Vedtak nr. 761, 11. mars 2021</w:t>
      </w:r>
    </w:p>
    <w:p w14:paraId="1C231699" w14:textId="77777777" w:rsidR="00B419CE" w:rsidRPr="00B419CE" w:rsidRDefault="00B419CE" w:rsidP="00B419CE">
      <w:pPr>
        <w:pStyle w:val="blokksit"/>
        <w:rPr>
          <w:rStyle w:val="kursiv"/>
        </w:rPr>
      </w:pPr>
      <w:r w:rsidRPr="00B419CE">
        <w:rPr>
          <w:rStyle w:val="kursiv"/>
        </w:rPr>
        <w:t>«Stortinget ber regjeringen i løpet av april gjøre en vurdering sammen med partene av hvordan smittesituasjonen og vaksineringstempoet påvirker de økonomiske utsiktene, og dermed behovet for forlengning og eventuelle andre justeringer av lønnsstøtteordningen, og komme tilbake til Stortinget med en egen sak.»</w:t>
      </w:r>
    </w:p>
    <w:p w14:paraId="0926A6DB"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94 LS (2020–2021), jf. </w:t>
      </w:r>
      <w:proofErr w:type="spellStart"/>
      <w:r w:rsidRPr="00B419CE">
        <w:t>Innst</w:t>
      </w:r>
      <w:proofErr w:type="spellEnd"/>
      <w:r w:rsidRPr="00B419CE">
        <w:t xml:space="preserve">. 297 L (2020–2021). I </w:t>
      </w:r>
      <w:proofErr w:type="spellStart"/>
      <w:r w:rsidRPr="00B419CE">
        <w:t>Prop</w:t>
      </w:r>
      <w:proofErr w:type="spellEnd"/>
      <w:r w:rsidRPr="00B419CE">
        <w:t xml:space="preserve">. 194 LS (2020–2021) foreslo regjeringa å </w:t>
      </w:r>
      <w:proofErr w:type="spellStart"/>
      <w:r w:rsidRPr="00B419CE">
        <w:t>forlengje</w:t>
      </w:r>
      <w:proofErr w:type="spellEnd"/>
      <w:r w:rsidRPr="00B419CE">
        <w:t xml:space="preserve"> </w:t>
      </w:r>
      <w:proofErr w:type="spellStart"/>
      <w:r w:rsidRPr="00B419CE">
        <w:t>tilskotsordninga</w:t>
      </w:r>
      <w:proofErr w:type="spellEnd"/>
      <w:r w:rsidRPr="00B419CE">
        <w:t xml:space="preserve"> med to </w:t>
      </w:r>
      <w:proofErr w:type="spellStart"/>
      <w:r w:rsidRPr="00B419CE">
        <w:t>månader</w:t>
      </w:r>
      <w:proofErr w:type="spellEnd"/>
      <w:r w:rsidRPr="00B419CE">
        <w:t xml:space="preserve">, det vil </w:t>
      </w:r>
      <w:proofErr w:type="spellStart"/>
      <w:r w:rsidRPr="00B419CE">
        <w:t>seie</w:t>
      </w:r>
      <w:proofErr w:type="spellEnd"/>
      <w:r w:rsidRPr="00B419CE">
        <w:t xml:space="preserve"> for juli og august 2021. </w:t>
      </w:r>
      <w:proofErr w:type="spellStart"/>
      <w:r w:rsidRPr="00B419CE">
        <w:t>Talet</w:t>
      </w:r>
      <w:proofErr w:type="spellEnd"/>
      <w:r w:rsidRPr="00B419CE">
        <w:t xml:space="preserve"> på </w:t>
      </w:r>
      <w:proofErr w:type="spellStart"/>
      <w:r w:rsidRPr="00B419CE">
        <w:t>dagar</w:t>
      </w:r>
      <w:proofErr w:type="spellEnd"/>
      <w:r w:rsidRPr="00B419CE">
        <w:t xml:space="preserve"> den enkelte tilsette kan få </w:t>
      </w:r>
      <w:proofErr w:type="spellStart"/>
      <w:r w:rsidRPr="00B419CE">
        <w:t>tilskot</w:t>
      </w:r>
      <w:proofErr w:type="spellEnd"/>
      <w:r w:rsidRPr="00B419CE">
        <w:t xml:space="preserve"> for, er uendra 108 (</w:t>
      </w:r>
      <w:proofErr w:type="spellStart"/>
      <w:r w:rsidRPr="00B419CE">
        <w:t>talet</w:t>
      </w:r>
      <w:proofErr w:type="spellEnd"/>
      <w:r w:rsidRPr="00B419CE">
        <w:t xml:space="preserve"> på </w:t>
      </w:r>
      <w:proofErr w:type="spellStart"/>
      <w:r w:rsidRPr="00B419CE">
        <w:t>dagar</w:t>
      </w:r>
      <w:proofErr w:type="spellEnd"/>
      <w:r w:rsidRPr="00B419CE">
        <w:t xml:space="preserve"> i perioden </w:t>
      </w:r>
      <w:proofErr w:type="spellStart"/>
      <w:r w:rsidRPr="00B419CE">
        <w:t>frå</w:t>
      </w:r>
      <w:proofErr w:type="spellEnd"/>
      <w:r w:rsidRPr="00B419CE">
        <w:t xml:space="preserve"> 15. mars til 30. juni). I </w:t>
      </w:r>
      <w:proofErr w:type="spellStart"/>
      <w:r w:rsidRPr="00B419CE">
        <w:t>Innst</w:t>
      </w:r>
      <w:proofErr w:type="spellEnd"/>
      <w:r w:rsidRPr="00B419CE">
        <w:t xml:space="preserve">. 600 S (2020–2021) hadde </w:t>
      </w:r>
      <w:proofErr w:type="spellStart"/>
      <w:r w:rsidRPr="00B419CE">
        <w:t>ikkje</w:t>
      </w:r>
      <w:proofErr w:type="spellEnd"/>
      <w:r w:rsidRPr="00B419CE">
        <w:t xml:space="preserve"> finanskomiteen merknader til saka. Departementet ser det slik at oppmodingsvedtaket er </w:t>
      </w:r>
      <w:proofErr w:type="spellStart"/>
      <w:r w:rsidRPr="00B419CE">
        <w:t>følgt</w:t>
      </w:r>
      <w:proofErr w:type="spellEnd"/>
      <w:r w:rsidRPr="00B419CE">
        <w:t xml:space="preserve"> opp gjennom dette.</w:t>
      </w:r>
    </w:p>
    <w:p w14:paraId="2ADBC6AC" w14:textId="77777777" w:rsidR="00B419CE" w:rsidRPr="00B419CE" w:rsidRDefault="00B419CE" w:rsidP="00B419CE">
      <w:pPr>
        <w:pStyle w:val="avsnitt-tittel"/>
      </w:pPr>
      <w:r w:rsidRPr="00B419CE">
        <w:t>Klimaavgift på norsk kjøttproduksjon</w:t>
      </w:r>
    </w:p>
    <w:p w14:paraId="4C618748" w14:textId="77777777" w:rsidR="00B419CE" w:rsidRPr="00B419CE" w:rsidRDefault="00B419CE" w:rsidP="00B419CE">
      <w:pPr>
        <w:pStyle w:val="avsnitt-undertittel"/>
      </w:pPr>
      <w:r w:rsidRPr="00B419CE">
        <w:t>Vedtak nr. 791, 13. april 2021</w:t>
      </w:r>
    </w:p>
    <w:p w14:paraId="548FA3FB" w14:textId="77777777" w:rsidR="00B419CE" w:rsidRPr="00B419CE" w:rsidRDefault="00B419CE" w:rsidP="00B419CE">
      <w:pPr>
        <w:pStyle w:val="blokksit"/>
        <w:rPr>
          <w:rStyle w:val="kursiv"/>
        </w:rPr>
      </w:pPr>
      <w:r w:rsidRPr="00B419CE">
        <w:rPr>
          <w:rStyle w:val="kursiv"/>
        </w:rPr>
        <w:t>«Stortinget ber regjeringen slå fast at økt skattelegging av norsk kjøttproduksjon ikke skal gjennomføres som en del av klimapolitikken.»</w:t>
      </w:r>
    </w:p>
    <w:p w14:paraId="2592B152"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13 (2020–2021) </w:t>
      </w:r>
      <w:r w:rsidRPr="00B419CE">
        <w:rPr>
          <w:rStyle w:val="kursiv"/>
        </w:rPr>
        <w:t>Klimaplan for 2021–2030</w:t>
      </w:r>
      <w:r w:rsidRPr="00B419CE">
        <w:t xml:space="preserve">, jf. </w:t>
      </w:r>
      <w:proofErr w:type="spellStart"/>
      <w:r w:rsidRPr="00B419CE">
        <w:t>Innst</w:t>
      </w:r>
      <w:proofErr w:type="spellEnd"/>
      <w:r w:rsidRPr="00B419CE">
        <w:t xml:space="preserve">. 325 S (2020–2021). Departementet viser til omtale av saka i </w:t>
      </w:r>
      <w:proofErr w:type="spellStart"/>
      <w:r w:rsidRPr="00B419CE">
        <w:t>Prop</w:t>
      </w:r>
      <w:proofErr w:type="spellEnd"/>
      <w:r w:rsidRPr="00B419CE">
        <w:t>. 1 LS (2021–2022), kapittel 9.9.8.</w:t>
      </w:r>
    </w:p>
    <w:p w14:paraId="07A9682A" w14:textId="77777777" w:rsidR="00B419CE" w:rsidRPr="00B419CE" w:rsidRDefault="00B419CE" w:rsidP="00B419CE">
      <w:r w:rsidRPr="00B419CE">
        <w:lastRenderedPageBreak/>
        <w:t xml:space="preserve">Det er </w:t>
      </w:r>
      <w:proofErr w:type="spellStart"/>
      <w:r w:rsidRPr="00B419CE">
        <w:t>ikkje</w:t>
      </w:r>
      <w:proofErr w:type="spellEnd"/>
      <w:r w:rsidRPr="00B419CE">
        <w:t xml:space="preserve"> aktuelt for regjeringa å foreslå ei avgift på utslepp av metan og lystgass </w:t>
      </w:r>
      <w:proofErr w:type="spellStart"/>
      <w:r w:rsidRPr="00B419CE">
        <w:t>frå</w:t>
      </w:r>
      <w:proofErr w:type="spellEnd"/>
      <w:r w:rsidRPr="00B419CE">
        <w:t xml:space="preserve"> norsk kjøttproduksjon no. Departementet ser det slik at oppmodingsvedtaket er </w:t>
      </w:r>
      <w:proofErr w:type="spellStart"/>
      <w:r w:rsidRPr="00B419CE">
        <w:t>følgt</w:t>
      </w:r>
      <w:proofErr w:type="spellEnd"/>
      <w:r w:rsidRPr="00B419CE">
        <w:t xml:space="preserve"> opp gjennom dette. </w:t>
      </w:r>
    </w:p>
    <w:p w14:paraId="090DD0C7" w14:textId="77777777" w:rsidR="00B419CE" w:rsidRPr="00B419CE" w:rsidRDefault="00B419CE" w:rsidP="00B419CE">
      <w:pPr>
        <w:pStyle w:val="avsnitt-tittel"/>
      </w:pPr>
      <w:r w:rsidRPr="00B419CE">
        <w:t>Avgift på avfallsforbrenning</w:t>
      </w:r>
    </w:p>
    <w:p w14:paraId="720F1AA3" w14:textId="77777777" w:rsidR="00B419CE" w:rsidRPr="00B419CE" w:rsidRDefault="00B419CE" w:rsidP="00B419CE">
      <w:pPr>
        <w:pStyle w:val="avsnitt-undertittel"/>
      </w:pPr>
      <w:r w:rsidRPr="00B419CE">
        <w:t>Vedtak nr. 795, 13. april 2021</w:t>
      </w:r>
    </w:p>
    <w:p w14:paraId="487DCFD5" w14:textId="77777777" w:rsidR="00B419CE" w:rsidRPr="00B419CE" w:rsidRDefault="00B419CE" w:rsidP="00B419CE">
      <w:pPr>
        <w:pStyle w:val="blokksit"/>
        <w:rPr>
          <w:rStyle w:val="kursiv"/>
        </w:rPr>
      </w:pPr>
      <w:r w:rsidRPr="00B419CE">
        <w:rPr>
          <w:rStyle w:val="kursiv"/>
        </w:rPr>
        <w:t>«Stortinget ber regjeringen om at avgiften på avfallsforbrenning må flyttes tidligere i verdikjeden for både å stimulere til mindre volum på avfall og for å håndtere avfallet i Norge.»</w:t>
      </w:r>
    </w:p>
    <w:p w14:paraId="1D9AF885"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13 (2020–2021) </w:t>
      </w:r>
      <w:r w:rsidRPr="00B419CE">
        <w:rPr>
          <w:rStyle w:val="kursiv"/>
        </w:rPr>
        <w:t>Klimaplan for 2021–2030</w:t>
      </w:r>
      <w:r w:rsidRPr="00B419CE">
        <w:t xml:space="preserve">, jf. </w:t>
      </w:r>
      <w:proofErr w:type="spellStart"/>
      <w:r w:rsidRPr="00B419CE">
        <w:t>Innst</w:t>
      </w:r>
      <w:proofErr w:type="spellEnd"/>
      <w:r w:rsidRPr="00B419CE">
        <w:t xml:space="preserve">. 325 S (2020–2021). I </w:t>
      </w:r>
      <w:proofErr w:type="spellStart"/>
      <w:r w:rsidRPr="00B419CE">
        <w:t>Prop</w:t>
      </w:r>
      <w:proofErr w:type="spellEnd"/>
      <w:r w:rsidRPr="00B419CE">
        <w:t xml:space="preserve">. 1 LS (2021–2022), kapittel 9.9.5, er oppmodingsvedtaket </w:t>
      </w:r>
      <w:proofErr w:type="spellStart"/>
      <w:r w:rsidRPr="00B419CE">
        <w:t>følgt</w:t>
      </w:r>
      <w:proofErr w:type="spellEnd"/>
      <w:r w:rsidRPr="00B419CE">
        <w:t xml:space="preserve"> opp. For å vurdere om det er </w:t>
      </w:r>
      <w:proofErr w:type="spellStart"/>
      <w:r w:rsidRPr="00B419CE">
        <w:t>avgiftsteknisk</w:t>
      </w:r>
      <w:proofErr w:type="spellEnd"/>
      <w:r w:rsidRPr="00B419CE">
        <w:t xml:space="preserve"> </w:t>
      </w:r>
      <w:proofErr w:type="spellStart"/>
      <w:r w:rsidRPr="00B419CE">
        <w:t>mogleg</w:t>
      </w:r>
      <w:proofErr w:type="spellEnd"/>
      <w:r w:rsidRPr="00B419CE">
        <w:t xml:space="preserve"> å innføre ei avgift </w:t>
      </w:r>
      <w:proofErr w:type="spellStart"/>
      <w:r w:rsidRPr="00B419CE">
        <w:t>tidlegare</w:t>
      </w:r>
      <w:proofErr w:type="spellEnd"/>
      <w:r w:rsidRPr="00B419CE">
        <w:t xml:space="preserve"> i </w:t>
      </w:r>
      <w:proofErr w:type="spellStart"/>
      <w:r w:rsidRPr="00B419CE">
        <w:t>verdikjeda</w:t>
      </w:r>
      <w:proofErr w:type="spellEnd"/>
      <w:r w:rsidRPr="00B419CE">
        <w:t xml:space="preserve">, vart Skattedirektoratet, med bistand </w:t>
      </w:r>
      <w:proofErr w:type="spellStart"/>
      <w:r w:rsidRPr="00B419CE">
        <w:t>frå</w:t>
      </w:r>
      <w:proofErr w:type="spellEnd"/>
      <w:r w:rsidRPr="00B419CE">
        <w:t xml:space="preserve"> Miljødirektoratet, bede om å gjennomføre ei utgreiing.</w:t>
      </w:r>
    </w:p>
    <w:p w14:paraId="5D3CCD7F" w14:textId="77777777" w:rsidR="00B419CE" w:rsidRPr="00B419CE" w:rsidRDefault="00B419CE" w:rsidP="00B419CE">
      <w:r w:rsidRPr="00B419CE">
        <w:t xml:space="preserve">Skattedirektoratet konkluderer med at det er </w:t>
      </w:r>
      <w:proofErr w:type="spellStart"/>
      <w:r w:rsidRPr="00B419CE">
        <w:t>berre</w:t>
      </w:r>
      <w:proofErr w:type="spellEnd"/>
      <w:r w:rsidRPr="00B419CE">
        <w:t xml:space="preserve"> ei materialavgift på drikkevareemballasje med differensierte </w:t>
      </w:r>
      <w:proofErr w:type="spellStart"/>
      <w:r w:rsidRPr="00B419CE">
        <w:t>satsar</w:t>
      </w:r>
      <w:proofErr w:type="spellEnd"/>
      <w:r w:rsidRPr="00B419CE">
        <w:t xml:space="preserve"> etter delen sekundær råvare, som er aktuelt no. Ei brei avgift på emballasje eller produkt gradert etter </w:t>
      </w:r>
      <w:proofErr w:type="spellStart"/>
      <w:r w:rsidRPr="00B419CE">
        <w:t>innhald</w:t>
      </w:r>
      <w:proofErr w:type="spellEnd"/>
      <w:r w:rsidRPr="00B419CE">
        <w:t xml:space="preserve"> av fossile </w:t>
      </w:r>
      <w:proofErr w:type="spellStart"/>
      <w:r w:rsidRPr="00B419CE">
        <w:t>materialar</w:t>
      </w:r>
      <w:proofErr w:type="spellEnd"/>
      <w:r w:rsidRPr="00B419CE">
        <w:t xml:space="preserve">, vil </w:t>
      </w:r>
      <w:proofErr w:type="spellStart"/>
      <w:r w:rsidRPr="00B419CE">
        <w:t>ikkje</w:t>
      </w:r>
      <w:proofErr w:type="spellEnd"/>
      <w:r w:rsidRPr="00B419CE">
        <w:t xml:space="preserve"> </w:t>
      </w:r>
      <w:proofErr w:type="spellStart"/>
      <w:r w:rsidRPr="00B419CE">
        <w:t>vere</w:t>
      </w:r>
      <w:proofErr w:type="spellEnd"/>
      <w:r w:rsidRPr="00B419CE">
        <w:t xml:space="preserve"> </w:t>
      </w:r>
      <w:proofErr w:type="spellStart"/>
      <w:r w:rsidRPr="00B419CE">
        <w:t>mogleg</w:t>
      </w:r>
      <w:proofErr w:type="spellEnd"/>
      <w:r w:rsidRPr="00B419CE">
        <w:t xml:space="preserve"> å gjennomføre i praksis. Innføring av ei materialavgift på drikkevareemballasje vil ha </w:t>
      </w:r>
      <w:proofErr w:type="spellStart"/>
      <w:r w:rsidRPr="00B419CE">
        <w:t>betydelege</w:t>
      </w:r>
      <w:proofErr w:type="spellEnd"/>
      <w:r w:rsidRPr="00B419CE">
        <w:t xml:space="preserve"> økonomiske og administrative </w:t>
      </w:r>
      <w:proofErr w:type="spellStart"/>
      <w:r w:rsidRPr="00B419CE">
        <w:t>konsekvensar</w:t>
      </w:r>
      <w:proofErr w:type="spellEnd"/>
      <w:r w:rsidRPr="00B419CE">
        <w:t xml:space="preserve">. Svært få plastflasker vert brent i forbrenningsanlegg i </w:t>
      </w:r>
      <w:proofErr w:type="spellStart"/>
      <w:r w:rsidRPr="00B419CE">
        <w:t>Noreg</w:t>
      </w:r>
      <w:proofErr w:type="spellEnd"/>
      <w:r w:rsidRPr="00B419CE">
        <w:t xml:space="preserve">. Ei avgift </w:t>
      </w:r>
      <w:proofErr w:type="spellStart"/>
      <w:r w:rsidRPr="00B419CE">
        <w:t>tidlegare</w:t>
      </w:r>
      <w:proofErr w:type="spellEnd"/>
      <w:r w:rsidRPr="00B419CE">
        <w:t xml:space="preserve"> i </w:t>
      </w:r>
      <w:proofErr w:type="spellStart"/>
      <w:r w:rsidRPr="00B419CE">
        <w:t>verdikjeda</w:t>
      </w:r>
      <w:proofErr w:type="spellEnd"/>
      <w:r w:rsidRPr="00B419CE">
        <w:t xml:space="preserve"> vil </w:t>
      </w:r>
      <w:proofErr w:type="spellStart"/>
      <w:r w:rsidRPr="00B419CE">
        <w:t>truleg</w:t>
      </w:r>
      <w:proofErr w:type="spellEnd"/>
      <w:r w:rsidRPr="00B419CE">
        <w:t xml:space="preserve"> ha små </w:t>
      </w:r>
      <w:proofErr w:type="spellStart"/>
      <w:r w:rsidRPr="00B419CE">
        <w:t>effektar</w:t>
      </w:r>
      <w:proofErr w:type="spellEnd"/>
      <w:r w:rsidRPr="00B419CE">
        <w:t xml:space="preserve"> på utslepp av </w:t>
      </w:r>
      <w:proofErr w:type="spellStart"/>
      <w:r w:rsidRPr="00B419CE">
        <w:t>klimagassar</w:t>
      </w:r>
      <w:proofErr w:type="spellEnd"/>
      <w:r w:rsidRPr="00B419CE">
        <w:t xml:space="preserve"> </w:t>
      </w:r>
      <w:proofErr w:type="spellStart"/>
      <w:r w:rsidRPr="00B419CE">
        <w:t>frå</w:t>
      </w:r>
      <w:proofErr w:type="spellEnd"/>
      <w:r w:rsidRPr="00B419CE">
        <w:t xml:space="preserve"> avfallsforbrenning. Ei slik avgift er dermed </w:t>
      </w:r>
      <w:proofErr w:type="spellStart"/>
      <w:r w:rsidRPr="00B419CE">
        <w:t>eit</w:t>
      </w:r>
      <w:proofErr w:type="spellEnd"/>
      <w:r w:rsidRPr="00B419CE">
        <w:t xml:space="preserve"> lite eigna alternativ til ei CO</w:t>
      </w:r>
      <w:r w:rsidRPr="00B419CE">
        <w:rPr>
          <w:rStyle w:val="skrift-senket"/>
        </w:rPr>
        <w:t>2</w:t>
      </w:r>
      <w:r w:rsidRPr="00B419CE">
        <w:t xml:space="preserve">-avgift på forbrenning av avfall. Regjeringa foreslår heller å innføre ei avgift på forbrenning av avfall. Departementet ser det slik at oppmodingsvedtaket er </w:t>
      </w:r>
      <w:proofErr w:type="spellStart"/>
      <w:r w:rsidRPr="00B419CE">
        <w:t>følgt</w:t>
      </w:r>
      <w:proofErr w:type="spellEnd"/>
      <w:r w:rsidRPr="00B419CE">
        <w:t xml:space="preserve"> opp gjennom dette.</w:t>
      </w:r>
    </w:p>
    <w:p w14:paraId="00A47069" w14:textId="77777777" w:rsidR="00B419CE" w:rsidRPr="00B419CE" w:rsidRDefault="00B419CE" w:rsidP="00B419CE">
      <w:pPr>
        <w:pStyle w:val="avsnitt-tittel"/>
      </w:pPr>
      <w:r w:rsidRPr="00B419CE">
        <w:t xml:space="preserve">Endring av </w:t>
      </w:r>
      <w:proofErr w:type="spellStart"/>
      <w:r w:rsidRPr="00B419CE">
        <w:t>meirverdiavgiftsreglane</w:t>
      </w:r>
      <w:proofErr w:type="spellEnd"/>
      <w:r w:rsidRPr="00B419CE">
        <w:t xml:space="preserve"> ved omtvista krav i </w:t>
      </w:r>
      <w:proofErr w:type="spellStart"/>
      <w:r w:rsidRPr="00B419CE">
        <w:t>entreprisar</w:t>
      </w:r>
      <w:proofErr w:type="spellEnd"/>
    </w:p>
    <w:p w14:paraId="3F791581" w14:textId="77777777" w:rsidR="00B419CE" w:rsidRPr="00B419CE" w:rsidRDefault="00B419CE" w:rsidP="00B419CE">
      <w:pPr>
        <w:pStyle w:val="avsnitt-undertittel"/>
      </w:pPr>
      <w:r w:rsidRPr="00B419CE">
        <w:t>Vedtak nr. 849, 27. april 2021</w:t>
      </w:r>
    </w:p>
    <w:p w14:paraId="233AD9E5" w14:textId="77777777" w:rsidR="00B419CE" w:rsidRPr="00B419CE" w:rsidRDefault="00B419CE" w:rsidP="00B419CE">
      <w:pPr>
        <w:pStyle w:val="blokksit"/>
        <w:rPr>
          <w:rStyle w:val="kursiv"/>
        </w:rPr>
      </w:pPr>
      <w:r w:rsidRPr="00B419CE">
        <w:rPr>
          <w:rStyle w:val="kursiv"/>
        </w:rPr>
        <w:t>«Stortinget ber regjeringen foreta nødvendige forskrifts- og/eller regelendringer slik at innberetning og betaling av merverdiavgift ved bygge- og anleggsvirksomhet suspenderes inntil omtvistede krav er avklart, og komme tilbake med nødvendig budsjettmessig oppfølging snarest og senest i forbindelse med statsbudsjettet for 2022.»</w:t>
      </w:r>
    </w:p>
    <w:p w14:paraId="23C5F7F1"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Dokument 8:116 S (2020–2021), jf. </w:t>
      </w:r>
      <w:proofErr w:type="spellStart"/>
      <w:r w:rsidRPr="00B419CE">
        <w:t>Innst</w:t>
      </w:r>
      <w:proofErr w:type="spellEnd"/>
      <w:r w:rsidRPr="00B419CE">
        <w:t xml:space="preserve">. 348 S (2020–2021). Vedtaket må </w:t>
      </w:r>
      <w:proofErr w:type="spellStart"/>
      <w:r w:rsidRPr="00B419CE">
        <w:t>sjåast</w:t>
      </w:r>
      <w:proofErr w:type="spellEnd"/>
      <w:r w:rsidRPr="00B419CE">
        <w:t xml:space="preserve"> i </w:t>
      </w:r>
      <w:proofErr w:type="spellStart"/>
      <w:r w:rsidRPr="00B419CE">
        <w:t>samanheng</w:t>
      </w:r>
      <w:proofErr w:type="spellEnd"/>
      <w:r w:rsidRPr="00B419CE">
        <w:t xml:space="preserve"> med oppmodingsvedtak nr. 163 (2020–2021) og omtalen av dette.</w:t>
      </w:r>
    </w:p>
    <w:p w14:paraId="7CC5928B" w14:textId="77777777" w:rsidR="00B419CE" w:rsidRPr="00B419CE" w:rsidRDefault="00B419CE" w:rsidP="00B419CE">
      <w:r w:rsidRPr="00B419CE">
        <w:t xml:space="preserve">I </w:t>
      </w:r>
      <w:proofErr w:type="spellStart"/>
      <w:r w:rsidRPr="00B419CE">
        <w:t>Prop</w:t>
      </w:r>
      <w:proofErr w:type="spellEnd"/>
      <w:r w:rsidRPr="00B419CE">
        <w:t xml:space="preserve">. 1 LS (2021–2022), kapittel 22, har regjeringa omtalt saka. Regjeringa har opplyst at saka reiser statsstøtterettslege </w:t>
      </w:r>
      <w:proofErr w:type="spellStart"/>
      <w:r w:rsidRPr="00B419CE">
        <w:t>problemstillingar</w:t>
      </w:r>
      <w:proofErr w:type="spellEnd"/>
      <w:r w:rsidRPr="00B419CE">
        <w:t xml:space="preserve"> som bør </w:t>
      </w:r>
      <w:proofErr w:type="spellStart"/>
      <w:r w:rsidRPr="00B419CE">
        <w:t>verte</w:t>
      </w:r>
      <w:proofErr w:type="spellEnd"/>
      <w:r w:rsidRPr="00B419CE">
        <w:t xml:space="preserve"> avklarte med </w:t>
      </w:r>
      <w:proofErr w:type="spellStart"/>
      <w:r w:rsidRPr="00B419CE">
        <w:t>EFTAs</w:t>
      </w:r>
      <w:proofErr w:type="spellEnd"/>
      <w:r w:rsidRPr="00B419CE">
        <w:t xml:space="preserve"> </w:t>
      </w:r>
      <w:proofErr w:type="spellStart"/>
      <w:r w:rsidRPr="00B419CE">
        <w:t>overvakingsorgan</w:t>
      </w:r>
      <w:proofErr w:type="spellEnd"/>
      <w:r w:rsidRPr="00B419CE">
        <w:t xml:space="preserve"> (ESA) før </w:t>
      </w:r>
      <w:proofErr w:type="spellStart"/>
      <w:r w:rsidRPr="00B419CE">
        <w:t>ein</w:t>
      </w:r>
      <w:proofErr w:type="spellEnd"/>
      <w:r w:rsidRPr="00B419CE">
        <w:t xml:space="preserve"> eventuelt </w:t>
      </w:r>
      <w:proofErr w:type="spellStart"/>
      <w:r w:rsidRPr="00B419CE">
        <w:t>vedtek</w:t>
      </w:r>
      <w:proofErr w:type="spellEnd"/>
      <w:r w:rsidRPr="00B419CE">
        <w:t xml:space="preserve"> ei regelendring, og at </w:t>
      </w:r>
      <w:proofErr w:type="spellStart"/>
      <w:r w:rsidRPr="00B419CE">
        <w:t>ein</w:t>
      </w:r>
      <w:proofErr w:type="spellEnd"/>
      <w:r w:rsidRPr="00B419CE">
        <w:t xml:space="preserve"> slik prosess vil kunne ta inntil 18 </w:t>
      </w:r>
      <w:proofErr w:type="spellStart"/>
      <w:r w:rsidRPr="00B419CE">
        <w:t>månader</w:t>
      </w:r>
      <w:proofErr w:type="spellEnd"/>
      <w:r w:rsidRPr="00B419CE">
        <w:t xml:space="preserve">. Regjeringa har </w:t>
      </w:r>
      <w:proofErr w:type="spellStart"/>
      <w:r w:rsidRPr="00B419CE">
        <w:t>difor</w:t>
      </w:r>
      <w:proofErr w:type="spellEnd"/>
      <w:r w:rsidRPr="00B419CE">
        <w:t xml:space="preserve"> </w:t>
      </w:r>
      <w:proofErr w:type="spellStart"/>
      <w:r w:rsidRPr="00B419CE">
        <w:t>ikkje</w:t>
      </w:r>
      <w:proofErr w:type="spellEnd"/>
      <w:r w:rsidRPr="00B419CE">
        <w:t xml:space="preserve"> gjort </w:t>
      </w:r>
      <w:proofErr w:type="spellStart"/>
      <w:r w:rsidRPr="00B419CE">
        <w:t>eit</w:t>
      </w:r>
      <w:proofErr w:type="spellEnd"/>
      <w:r w:rsidRPr="00B419CE">
        <w:t xml:space="preserve"> framlegg i tråd med Stortingets vedtak. Regjeringa har likevel skissert </w:t>
      </w:r>
      <w:proofErr w:type="spellStart"/>
      <w:r w:rsidRPr="00B419CE">
        <w:t>eit</w:t>
      </w:r>
      <w:proofErr w:type="spellEnd"/>
      <w:r w:rsidRPr="00B419CE">
        <w:t xml:space="preserve"> framlegg i tråd med det Stortinget </w:t>
      </w:r>
      <w:r w:rsidRPr="00B419CE">
        <w:lastRenderedPageBreak/>
        <w:t xml:space="preserve">har bede om, slik at Stortinget kan vedta ei regelendring dersom Stortinget </w:t>
      </w:r>
      <w:proofErr w:type="spellStart"/>
      <w:r w:rsidRPr="00B419CE">
        <w:t>ynskjer</w:t>
      </w:r>
      <w:proofErr w:type="spellEnd"/>
      <w:r w:rsidRPr="00B419CE">
        <w:t xml:space="preserve"> det. Departementet ser det slik at oppmodingsvedtaket er </w:t>
      </w:r>
      <w:proofErr w:type="spellStart"/>
      <w:r w:rsidRPr="00B419CE">
        <w:t>følgt</w:t>
      </w:r>
      <w:proofErr w:type="spellEnd"/>
      <w:r w:rsidRPr="00B419CE">
        <w:t xml:space="preserve"> opp gjennom dette.</w:t>
      </w:r>
    </w:p>
    <w:p w14:paraId="4293CEF7" w14:textId="77777777" w:rsidR="00B419CE" w:rsidRPr="00B419CE" w:rsidRDefault="00B419CE" w:rsidP="00B419CE">
      <w:pPr>
        <w:pStyle w:val="avsnitt-tittel"/>
      </w:pPr>
      <w:r w:rsidRPr="00B419CE">
        <w:t>Skattlegging av internasjonale selskap</w:t>
      </w:r>
    </w:p>
    <w:p w14:paraId="3B77A5EF" w14:textId="77777777" w:rsidR="00B419CE" w:rsidRPr="00B419CE" w:rsidRDefault="00B419CE" w:rsidP="00B419CE">
      <w:pPr>
        <w:pStyle w:val="avsnitt-undertittel"/>
      </w:pPr>
      <w:r w:rsidRPr="00B419CE">
        <w:t>Vedtak nr. 1141, 4. juni 2021</w:t>
      </w:r>
    </w:p>
    <w:p w14:paraId="7825913F" w14:textId="77777777" w:rsidR="00B419CE" w:rsidRPr="00B419CE" w:rsidRDefault="00B419CE" w:rsidP="00B419CE">
      <w:pPr>
        <w:pStyle w:val="blokksit"/>
        <w:rPr>
          <w:rStyle w:val="kursiv"/>
        </w:rPr>
      </w:pPr>
      <w:r w:rsidRPr="00B419CE">
        <w:rPr>
          <w:rStyle w:val="kursiv"/>
        </w:rPr>
        <w:t>«Stortinget ber regjeringen ta en aktiv rolle i internasjonalt samarbeid som sikrer regelverk for effektiv skattlegging av internasjonale teknologiselskaper og tiltak som motvirker maktkonsentrasjon, og gjennomføre nasjonale tiltak ved utilstrekkelig fremgang i dette arbeidet.»</w:t>
      </w:r>
    </w:p>
    <w:p w14:paraId="54420C68"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22 (2020–2021) </w:t>
      </w:r>
      <w:r w:rsidRPr="00B419CE">
        <w:rPr>
          <w:rStyle w:val="kursiv"/>
        </w:rPr>
        <w:t>Data som ressurs – Datadrevet økonomi og innovasjon</w:t>
      </w:r>
      <w:r w:rsidRPr="00B419CE">
        <w:t xml:space="preserve">, jf. </w:t>
      </w:r>
      <w:proofErr w:type="spellStart"/>
      <w:r w:rsidRPr="00B419CE">
        <w:t>Innst</w:t>
      </w:r>
      <w:proofErr w:type="spellEnd"/>
      <w:r w:rsidRPr="00B419CE">
        <w:t xml:space="preserve">. 568 S (2020–2021). Vedtaket gjeld blant anna det internasjonale samarbeidet om regelverk for effektiv skattlegging av internasjonale selskap. </w:t>
      </w:r>
      <w:proofErr w:type="spellStart"/>
      <w:r w:rsidRPr="00B419CE">
        <w:t>Forhandlingane</w:t>
      </w:r>
      <w:proofErr w:type="spellEnd"/>
      <w:r w:rsidRPr="00B419CE">
        <w:t xml:space="preserve"> om </w:t>
      </w:r>
      <w:proofErr w:type="spellStart"/>
      <w:r w:rsidRPr="00B419CE">
        <w:t>endringar</w:t>
      </w:r>
      <w:proofErr w:type="spellEnd"/>
      <w:r w:rsidRPr="00B419CE">
        <w:t xml:space="preserve"> i internasjonal skattlegging går føre seg i regi av OECD/G20-forumet </w:t>
      </w:r>
      <w:proofErr w:type="spellStart"/>
      <w:r w:rsidRPr="00B419CE">
        <w:rPr>
          <w:rStyle w:val="kursiv"/>
        </w:rPr>
        <w:t>Inclusive</w:t>
      </w:r>
      <w:proofErr w:type="spellEnd"/>
      <w:r w:rsidRPr="00B419CE">
        <w:rPr>
          <w:rStyle w:val="kursiv"/>
        </w:rPr>
        <w:t xml:space="preserve"> Framework </w:t>
      </w:r>
      <w:proofErr w:type="spellStart"/>
      <w:r w:rsidRPr="00B419CE">
        <w:rPr>
          <w:rStyle w:val="kursiv"/>
        </w:rPr>
        <w:t>on</w:t>
      </w:r>
      <w:proofErr w:type="spellEnd"/>
      <w:r w:rsidRPr="00B419CE">
        <w:rPr>
          <w:rStyle w:val="kursiv"/>
        </w:rPr>
        <w:t xml:space="preserve"> BEPS.</w:t>
      </w:r>
      <w:r w:rsidRPr="00B419CE">
        <w:t xml:space="preserve"> Dette er </w:t>
      </w:r>
      <w:proofErr w:type="spellStart"/>
      <w:r w:rsidRPr="00B419CE">
        <w:t>eit</w:t>
      </w:r>
      <w:proofErr w:type="spellEnd"/>
      <w:r w:rsidRPr="00B419CE">
        <w:t xml:space="preserve"> samarbeidsorgan som består av 140 land og </w:t>
      </w:r>
      <w:proofErr w:type="spellStart"/>
      <w:r w:rsidRPr="00B419CE">
        <w:t>jurisdiksjonar</w:t>
      </w:r>
      <w:proofErr w:type="spellEnd"/>
      <w:r w:rsidRPr="00B419CE">
        <w:t xml:space="preserve">. Arbeidet nådde </w:t>
      </w:r>
      <w:proofErr w:type="spellStart"/>
      <w:r w:rsidRPr="00B419CE">
        <w:t>ein</w:t>
      </w:r>
      <w:proofErr w:type="spellEnd"/>
      <w:r w:rsidRPr="00B419CE">
        <w:t xml:space="preserve"> milepæl da 130 av </w:t>
      </w:r>
      <w:proofErr w:type="spellStart"/>
      <w:r w:rsidRPr="00B419CE">
        <w:t>desse</w:t>
      </w:r>
      <w:proofErr w:type="spellEnd"/>
      <w:r w:rsidRPr="00B419CE">
        <w:t xml:space="preserve"> 1. juli 2021 kom til politisk </w:t>
      </w:r>
      <w:proofErr w:type="spellStart"/>
      <w:r w:rsidRPr="00B419CE">
        <w:t>einigheit</w:t>
      </w:r>
      <w:proofErr w:type="spellEnd"/>
      <w:r w:rsidRPr="00B419CE">
        <w:t xml:space="preserve"> om </w:t>
      </w:r>
      <w:proofErr w:type="spellStart"/>
      <w:r w:rsidRPr="00B419CE">
        <w:t>endringar</w:t>
      </w:r>
      <w:proofErr w:type="spellEnd"/>
      <w:r w:rsidRPr="00B419CE">
        <w:t xml:space="preserve"> i prinsippa for internasjonal skattlegging. Regjeringa meiner dette er </w:t>
      </w:r>
      <w:proofErr w:type="spellStart"/>
      <w:r w:rsidRPr="00B419CE">
        <w:t>eit</w:t>
      </w:r>
      <w:proofErr w:type="spellEnd"/>
      <w:r w:rsidRPr="00B419CE">
        <w:t xml:space="preserve"> viktig arbeid og vil </w:t>
      </w:r>
      <w:proofErr w:type="spellStart"/>
      <w:r w:rsidRPr="00B419CE">
        <w:t>fortsetje</w:t>
      </w:r>
      <w:proofErr w:type="spellEnd"/>
      <w:r w:rsidRPr="00B419CE">
        <w:t xml:space="preserve"> å </w:t>
      </w:r>
      <w:proofErr w:type="spellStart"/>
      <w:r w:rsidRPr="00B419CE">
        <w:t>medverke</w:t>
      </w:r>
      <w:proofErr w:type="spellEnd"/>
      <w:r w:rsidRPr="00B419CE">
        <w:t xml:space="preserve"> til å få </w:t>
      </w:r>
      <w:proofErr w:type="spellStart"/>
      <w:r w:rsidRPr="00B419CE">
        <w:t>eit</w:t>
      </w:r>
      <w:proofErr w:type="spellEnd"/>
      <w:r w:rsidRPr="00B419CE">
        <w:t xml:space="preserve"> best </w:t>
      </w:r>
      <w:proofErr w:type="spellStart"/>
      <w:r w:rsidRPr="00B419CE">
        <w:t>mogleg</w:t>
      </w:r>
      <w:proofErr w:type="spellEnd"/>
      <w:r w:rsidRPr="00B419CE">
        <w:t xml:space="preserve"> resultat. I </w:t>
      </w:r>
      <w:proofErr w:type="spellStart"/>
      <w:r w:rsidRPr="00B419CE">
        <w:t>Prop</w:t>
      </w:r>
      <w:proofErr w:type="spellEnd"/>
      <w:r w:rsidRPr="00B419CE">
        <w:t xml:space="preserve">. 1 LS (2021–2022), kapittel 17, orienterer departementet om framgangen i det internasjonale arbeidet og </w:t>
      </w:r>
      <w:proofErr w:type="spellStart"/>
      <w:r w:rsidRPr="00B419CE">
        <w:t>Noregs</w:t>
      </w:r>
      <w:proofErr w:type="spellEnd"/>
      <w:r w:rsidRPr="00B419CE">
        <w:t xml:space="preserve"> rolle i dette arbeidet. Departementet ser det slik at oppmodingsvedtaket er </w:t>
      </w:r>
      <w:proofErr w:type="spellStart"/>
      <w:r w:rsidRPr="00B419CE">
        <w:t>følgt</w:t>
      </w:r>
      <w:proofErr w:type="spellEnd"/>
      <w:r w:rsidRPr="00B419CE">
        <w:t xml:space="preserve"> opp gjennom dette.</w:t>
      </w:r>
    </w:p>
    <w:p w14:paraId="04E2C8A1" w14:textId="77777777" w:rsidR="00B419CE" w:rsidRPr="00B419CE" w:rsidRDefault="00B419CE" w:rsidP="00B419CE">
      <w:pPr>
        <w:pStyle w:val="avsnitt-tittel"/>
      </w:pPr>
      <w:proofErr w:type="spellStart"/>
      <w:r w:rsidRPr="00B419CE">
        <w:t>Utval</w:t>
      </w:r>
      <w:proofErr w:type="spellEnd"/>
      <w:r w:rsidRPr="00B419CE">
        <w:t xml:space="preserve"> om </w:t>
      </w:r>
      <w:proofErr w:type="spellStart"/>
      <w:r w:rsidRPr="00B419CE">
        <w:t>kontantane</w:t>
      </w:r>
      <w:proofErr w:type="spellEnd"/>
      <w:r w:rsidRPr="00B419CE">
        <w:t xml:space="preserve"> </w:t>
      </w:r>
      <w:proofErr w:type="spellStart"/>
      <w:r w:rsidRPr="00B419CE">
        <w:t>si</w:t>
      </w:r>
      <w:proofErr w:type="spellEnd"/>
      <w:r w:rsidRPr="00B419CE">
        <w:t xml:space="preserve"> rolle i samfunnet</w:t>
      </w:r>
    </w:p>
    <w:p w14:paraId="0B37699C" w14:textId="77777777" w:rsidR="00B419CE" w:rsidRPr="00B419CE" w:rsidRDefault="00B419CE" w:rsidP="00B419CE">
      <w:pPr>
        <w:pStyle w:val="avsnitt-undertittel"/>
      </w:pPr>
      <w:r w:rsidRPr="00B419CE">
        <w:t>Vedtak nr. 1174, 9. juni 2021</w:t>
      </w:r>
    </w:p>
    <w:p w14:paraId="67DB4416" w14:textId="77777777" w:rsidR="00B419CE" w:rsidRPr="00B419CE" w:rsidRDefault="00B419CE" w:rsidP="00B419CE">
      <w:pPr>
        <w:pStyle w:val="blokksit"/>
        <w:rPr>
          <w:rStyle w:val="kursiv"/>
        </w:rPr>
      </w:pPr>
      <w:r w:rsidRPr="00B419CE">
        <w:rPr>
          <w:rStyle w:val="kursiv"/>
        </w:rPr>
        <w:t>«Stortinget ber regjeringen nedsette et offentlig utvalg som skal vurdere kontantenes rolle i samfunnet fremover.»</w:t>
      </w:r>
    </w:p>
    <w:p w14:paraId="61CFE598"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31 (2020–2021) </w:t>
      </w:r>
      <w:r w:rsidRPr="00B419CE">
        <w:rPr>
          <w:rStyle w:val="kursiv"/>
        </w:rPr>
        <w:t>Finansmarkedsmeldingen 2020</w:t>
      </w:r>
      <w:r w:rsidRPr="00B419CE">
        <w:t xml:space="preserve">, jf. </w:t>
      </w:r>
      <w:proofErr w:type="spellStart"/>
      <w:r w:rsidRPr="00B419CE">
        <w:t>Innst</w:t>
      </w:r>
      <w:proofErr w:type="spellEnd"/>
      <w:r w:rsidRPr="00B419CE">
        <w:t xml:space="preserve">. 582 S (2020–2021). Regjeringa vil </w:t>
      </w:r>
      <w:proofErr w:type="spellStart"/>
      <w:r w:rsidRPr="00B419CE">
        <w:t>følgje</w:t>
      </w:r>
      <w:proofErr w:type="spellEnd"/>
      <w:r w:rsidRPr="00B419CE">
        <w:t xml:space="preserve"> opp vedtaket og </w:t>
      </w:r>
      <w:proofErr w:type="spellStart"/>
      <w:r w:rsidRPr="00B419CE">
        <w:t>tek</w:t>
      </w:r>
      <w:proofErr w:type="spellEnd"/>
      <w:r w:rsidRPr="00B419CE">
        <w:t xml:space="preserve"> sikte på å </w:t>
      </w:r>
      <w:proofErr w:type="spellStart"/>
      <w:r w:rsidRPr="00B419CE">
        <w:t>setje</w:t>
      </w:r>
      <w:proofErr w:type="spellEnd"/>
      <w:r w:rsidRPr="00B419CE">
        <w:t xml:space="preserve"> ned </w:t>
      </w:r>
      <w:proofErr w:type="spellStart"/>
      <w:r w:rsidRPr="00B419CE">
        <w:t>eit</w:t>
      </w:r>
      <w:proofErr w:type="spellEnd"/>
      <w:r w:rsidRPr="00B419CE">
        <w:t xml:space="preserve"> </w:t>
      </w:r>
      <w:proofErr w:type="spellStart"/>
      <w:r w:rsidRPr="00B419CE">
        <w:t>utval</w:t>
      </w:r>
      <w:proofErr w:type="spellEnd"/>
      <w:r w:rsidRPr="00B419CE">
        <w:t xml:space="preserve"> om kort tid. Regjeringa vil omtale saka i Finansmarkedsmeldingen 2022.</w:t>
      </w:r>
    </w:p>
    <w:p w14:paraId="7FA7DDBE" w14:textId="77777777" w:rsidR="00B419CE" w:rsidRPr="00B419CE" w:rsidRDefault="00B419CE" w:rsidP="00B419CE">
      <w:pPr>
        <w:pStyle w:val="avsnitt-tittel"/>
      </w:pPr>
      <w:proofErr w:type="spellStart"/>
      <w:r w:rsidRPr="00B419CE">
        <w:t>Samarbeidsløysingar</w:t>
      </w:r>
      <w:proofErr w:type="spellEnd"/>
      <w:r w:rsidRPr="00B419CE">
        <w:t xml:space="preserve"> for </w:t>
      </w:r>
      <w:proofErr w:type="spellStart"/>
      <w:r w:rsidRPr="00B419CE">
        <w:t>sparebankar</w:t>
      </w:r>
      <w:proofErr w:type="spellEnd"/>
    </w:p>
    <w:p w14:paraId="65F2C6F2" w14:textId="77777777" w:rsidR="00B419CE" w:rsidRPr="00B419CE" w:rsidRDefault="00B419CE" w:rsidP="00B419CE">
      <w:pPr>
        <w:pStyle w:val="avsnitt-undertittel"/>
      </w:pPr>
      <w:r w:rsidRPr="00B419CE">
        <w:t>Vedtak nr. 1176, 9. juni 2021</w:t>
      </w:r>
    </w:p>
    <w:p w14:paraId="2DC714BF" w14:textId="77777777" w:rsidR="00B419CE" w:rsidRPr="00B419CE" w:rsidRDefault="00B419CE" w:rsidP="00B419CE">
      <w:pPr>
        <w:pStyle w:val="blokksit"/>
        <w:rPr>
          <w:rStyle w:val="kursiv"/>
        </w:rPr>
      </w:pPr>
      <w:r w:rsidRPr="00B419CE">
        <w:rPr>
          <w:rStyle w:val="kursiv"/>
        </w:rPr>
        <w:t>«Stortinget ber regjeringen sikre sparebankene fleksibilitet til å benytte fellesløsninger i samarbeid med andre sparebanker innenfor forsvarlige rammer.»</w:t>
      </w:r>
    </w:p>
    <w:p w14:paraId="4973AD44"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Dokument 8:250 S (2020–2021), jf. </w:t>
      </w:r>
      <w:proofErr w:type="spellStart"/>
      <w:r w:rsidRPr="00B419CE">
        <w:t>Innst</w:t>
      </w:r>
      <w:proofErr w:type="spellEnd"/>
      <w:r w:rsidRPr="00B419CE">
        <w:t xml:space="preserve">. 539 S (2020–2021). Regelverket legg godt til rette for at </w:t>
      </w:r>
      <w:proofErr w:type="spellStart"/>
      <w:r w:rsidRPr="00B419CE">
        <w:t>sparebankane</w:t>
      </w:r>
      <w:proofErr w:type="spellEnd"/>
      <w:r w:rsidRPr="00B419CE">
        <w:t xml:space="preserve"> kan organisere </w:t>
      </w:r>
      <w:proofErr w:type="spellStart"/>
      <w:r w:rsidRPr="00B419CE">
        <w:t>verksemd</w:t>
      </w:r>
      <w:proofErr w:type="spellEnd"/>
      <w:r w:rsidRPr="00B419CE">
        <w:t xml:space="preserve"> i fellesskap gjennom </w:t>
      </w:r>
      <w:proofErr w:type="spellStart"/>
      <w:r w:rsidRPr="00B419CE">
        <w:t>alliansar</w:t>
      </w:r>
      <w:proofErr w:type="spellEnd"/>
      <w:r w:rsidRPr="00B419CE">
        <w:t xml:space="preserve"> og </w:t>
      </w:r>
      <w:proofErr w:type="spellStart"/>
      <w:r w:rsidRPr="00B419CE">
        <w:t>liknande</w:t>
      </w:r>
      <w:proofErr w:type="spellEnd"/>
      <w:r w:rsidRPr="00B419CE">
        <w:t xml:space="preserve"> på </w:t>
      </w:r>
      <w:proofErr w:type="spellStart"/>
      <w:r w:rsidRPr="00B419CE">
        <w:t>ein</w:t>
      </w:r>
      <w:proofErr w:type="spellEnd"/>
      <w:r w:rsidRPr="00B419CE">
        <w:t xml:space="preserve"> </w:t>
      </w:r>
      <w:proofErr w:type="spellStart"/>
      <w:r w:rsidRPr="00B419CE">
        <w:t>forsvarleg</w:t>
      </w:r>
      <w:proofErr w:type="spellEnd"/>
      <w:r w:rsidRPr="00B419CE">
        <w:t xml:space="preserve"> måte. Alliansesamarbeidet bidrar mellom anna til at </w:t>
      </w:r>
      <w:proofErr w:type="spellStart"/>
      <w:r w:rsidRPr="00B419CE">
        <w:t>dei</w:t>
      </w:r>
      <w:proofErr w:type="spellEnd"/>
      <w:r w:rsidRPr="00B419CE">
        <w:t xml:space="preserve"> små </w:t>
      </w:r>
      <w:proofErr w:type="spellStart"/>
      <w:r w:rsidRPr="00B419CE">
        <w:t>sparebankane</w:t>
      </w:r>
      <w:proofErr w:type="spellEnd"/>
      <w:r w:rsidRPr="00B419CE">
        <w:t xml:space="preserve"> kan bestå som sjølvstendige </w:t>
      </w:r>
      <w:proofErr w:type="spellStart"/>
      <w:r w:rsidRPr="00B419CE">
        <w:t>bankar</w:t>
      </w:r>
      <w:proofErr w:type="spellEnd"/>
      <w:r w:rsidRPr="00B419CE">
        <w:t xml:space="preserve"> og samstundes møte krav og behov i stadig endring, til dømes </w:t>
      </w:r>
      <w:proofErr w:type="spellStart"/>
      <w:r w:rsidRPr="00B419CE">
        <w:t>innan</w:t>
      </w:r>
      <w:proofErr w:type="spellEnd"/>
      <w:r w:rsidRPr="00B419CE">
        <w:t xml:space="preserve"> digitalisering. Mange </w:t>
      </w:r>
      <w:r w:rsidRPr="00B419CE">
        <w:lastRenderedPageBreak/>
        <w:t xml:space="preserve">små og mellomstore </w:t>
      </w:r>
      <w:proofErr w:type="spellStart"/>
      <w:r w:rsidRPr="00B419CE">
        <w:t>sparebankar</w:t>
      </w:r>
      <w:proofErr w:type="spellEnd"/>
      <w:r w:rsidRPr="00B419CE">
        <w:t xml:space="preserve"> som er til </w:t>
      </w:r>
      <w:proofErr w:type="spellStart"/>
      <w:r w:rsidRPr="00B419CE">
        <w:t>stades</w:t>
      </w:r>
      <w:proofErr w:type="spellEnd"/>
      <w:r w:rsidRPr="00B419CE">
        <w:t xml:space="preserve"> i heile landet, er </w:t>
      </w:r>
      <w:proofErr w:type="spellStart"/>
      <w:r w:rsidRPr="00B419CE">
        <w:t>eit</w:t>
      </w:r>
      <w:proofErr w:type="spellEnd"/>
      <w:r w:rsidRPr="00B419CE">
        <w:t xml:space="preserve"> </w:t>
      </w:r>
      <w:proofErr w:type="spellStart"/>
      <w:r w:rsidRPr="00B419CE">
        <w:t>framtredande</w:t>
      </w:r>
      <w:proofErr w:type="spellEnd"/>
      <w:r w:rsidRPr="00B419CE">
        <w:t xml:space="preserve"> trekk ved det norske banksystemet. Departementet </w:t>
      </w:r>
      <w:proofErr w:type="spellStart"/>
      <w:r w:rsidRPr="00B419CE">
        <w:t>tek</w:t>
      </w:r>
      <w:proofErr w:type="spellEnd"/>
      <w:r w:rsidRPr="00B419CE">
        <w:t xml:space="preserve"> sikte på å </w:t>
      </w:r>
      <w:proofErr w:type="spellStart"/>
      <w:r w:rsidRPr="00B419CE">
        <w:t>gje</w:t>
      </w:r>
      <w:proofErr w:type="spellEnd"/>
      <w:r w:rsidRPr="00B419CE">
        <w:t xml:space="preserve"> </w:t>
      </w:r>
      <w:proofErr w:type="spellStart"/>
      <w:r w:rsidRPr="00B419CE">
        <w:t>ein</w:t>
      </w:r>
      <w:proofErr w:type="spellEnd"/>
      <w:r w:rsidRPr="00B419CE">
        <w:t xml:space="preserve"> </w:t>
      </w:r>
      <w:proofErr w:type="spellStart"/>
      <w:r w:rsidRPr="00B419CE">
        <w:t>nærmare</w:t>
      </w:r>
      <w:proofErr w:type="spellEnd"/>
      <w:r w:rsidRPr="00B419CE">
        <w:t xml:space="preserve"> omtale av dette temaet i Finansmarkedsmeldingen 2022.</w:t>
      </w:r>
    </w:p>
    <w:p w14:paraId="75CAE749" w14:textId="77777777" w:rsidR="00B419CE" w:rsidRPr="00B419CE" w:rsidRDefault="00B419CE" w:rsidP="00B419CE">
      <w:pPr>
        <w:pStyle w:val="avsnitt-tittel"/>
      </w:pPr>
      <w:r w:rsidRPr="00B419CE">
        <w:t xml:space="preserve">Kapitalkrav for norske </w:t>
      </w:r>
      <w:proofErr w:type="spellStart"/>
      <w:r w:rsidRPr="00B419CE">
        <w:t>sparebankar</w:t>
      </w:r>
      <w:proofErr w:type="spellEnd"/>
    </w:p>
    <w:p w14:paraId="0417D6B5" w14:textId="77777777" w:rsidR="00B419CE" w:rsidRPr="00B419CE" w:rsidRDefault="00B419CE" w:rsidP="00B419CE">
      <w:pPr>
        <w:pStyle w:val="avsnitt-undertittel"/>
      </w:pPr>
      <w:r w:rsidRPr="00B419CE">
        <w:t>Vedtak nr. 1177, 9. juni 2021</w:t>
      </w:r>
    </w:p>
    <w:p w14:paraId="2194828C" w14:textId="77777777" w:rsidR="00B419CE" w:rsidRPr="00B419CE" w:rsidRDefault="00B419CE" w:rsidP="00B419CE">
      <w:pPr>
        <w:pStyle w:val="blokksit"/>
        <w:rPr>
          <w:rStyle w:val="kursiv"/>
        </w:rPr>
      </w:pPr>
      <w:r w:rsidRPr="00B419CE">
        <w:rPr>
          <w:rStyle w:val="kursiv"/>
        </w:rPr>
        <w:t>«Stortinget ber regjeringen aktivt bruke handlingsrommet som finnes overfor EU, for å sikre at kapitalkravene til norske sparebanker ikke blir vesentlig strengere enn kravene til konkurrentene deres.»</w:t>
      </w:r>
    </w:p>
    <w:p w14:paraId="5960EF74"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Dokument 8:250 S (2020–2021), jf. </w:t>
      </w:r>
      <w:proofErr w:type="spellStart"/>
      <w:r w:rsidRPr="00B419CE">
        <w:t>Innst</w:t>
      </w:r>
      <w:proofErr w:type="spellEnd"/>
      <w:r w:rsidRPr="00B419CE">
        <w:t xml:space="preserve">. 539 S (2020–2021). Regjeringa er opptatt av </w:t>
      </w:r>
      <w:proofErr w:type="spellStart"/>
      <w:r w:rsidRPr="00B419CE">
        <w:t>likast</w:t>
      </w:r>
      <w:proofErr w:type="spellEnd"/>
      <w:r w:rsidRPr="00B419CE">
        <w:t xml:space="preserve"> </w:t>
      </w:r>
      <w:proofErr w:type="spellStart"/>
      <w:r w:rsidRPr="00B419CE">
        <w:t>mogleg</w:t>
      </w:r>
      <w:proofErr w:type="spellEnd"/>
      <w:r w:rsidRPr="00B419CE">
        <w:t xml:space="preserve"> kapitalkrav for alle </w:t>
      </w:r>
      <w:proofErr w:type="spellStart"/>
      <w:r w:rsidRPr="00B419CE">
        <w:t>bankar</w:t>
      </w:r>
      <w:proofErr w:type="spellEnd"/>
      <w:r w:rsidRPr="00B419CE">
        <w:t xml:space="preserve"> som opererer i </w:t>
      </w:r>
      <w:proofErr w:type="spellStart"/>
      <w:r w:rsidRPr="00B419CE">
        <w:t>Noreg</w:t>
      </w:r>
      <w:proofErr w:type="spellEnd"/>
      <w:r w:rsidRPr="00B419CE">
        <w:t xml:space="preserve">, fordi det bidrar til stabilitet og jambyrdig konkurranse i </w:t>
      </w:r>
      <w:proofErr w:type="spellStart"/>
      <w:r w:rsidRPr="00B419CE">
        <w:t>bankmarknaden</w:t>
      </w:r>
      <w:proofErr w:type="spellEnd"/>
      <w:r w:rsidRPr="00B419CE">
        <w:t xml:space="preserve">. Norske </w:t>
      </w:r>
      <w:proofErr w:type="spellStart"/>
      <w:r w:rsidRPr="00B419CE">
        <w:t>myndigheiter</w:t>
      </w:r>
      <w:proofErr w:type="spellEnd"/>
      <w:r w:rsidRPr="00B419CE">
        <w:t xml:space="preserve"> har derfor nytta seg av </w:t>
      </w:r>
      <w:proofErr w:type="spellStart"/>
      <w:r w:rsidRPr="00B419CE">
        <w:t>moglegheiter</w:t>
      </w:r>
      <w:proofErr w:type="spellEnd"/>
      <w:r w:rsidRPr="00B419CE">
        <w:t xml:space="preserve"> i EØS-regelverket og gjort </w:t>
      </w:r>
      <w:proofErr w:type="spellStart"/>
      <w:r w:rsidRPr="00B419CE">
        <w:t>endringar</w:t>
      </w:r>
      <w:proofErr w:type="spellEnd"/>
      <w:r w:rsidRPr="00B419CE">
        <w:t xml:space="preserve"> i det norske kapitalkravregelverket for å </w:t>
      </w:r>
      <w:proofErr w:type="spellStart"/>
      <w:r w:rsidRPr="00B419CE">
        <w:t>leggje</w:t>
      </w:r>
      <w:proofErr w:type="spellEnd"/>
      <w:r w:rsidRPr="00B419CE">
        <w:t xml:space="preserve"> til rette for at norske krav skal gjelde òg for </w:t>
      </w:r>
      <w:proofErr w:type="spellStart"/>
      <w:r w:rsidRPr="00B419CE">
        <w:t>verksemda</w:t>
      </w:r>
      <w:proofErr w:type="spellEnd"/>
      <w:r w:rsidRPr="00B419CE">
        <w:t xml:space="preserve"> til </w:t>
      </w:r>
      <w:proofErr w:type="spellStart"/>
      <w:r w:rsidRPr="00B419CE">
        <w:t>utanlandske</w:t>
      </w:r>
      <w:proofErr w:type="spellEnd"/>
      <w:r w:rsidRPr="00B419CE">
        <w:t xml:space="preserve"> </w:t>
      </w:r>
      <w:proofErr w:type="spellStart"/>
      <w:r w:rsidRPr="00B419CE">
        <w:t>bankar</w:t>
      </w:r>
      <w:proofErr w:type="spellEnd"/>
      <w:r w:rsidRPr="00B419CE">
        <w:t xml:space="preserve"> i </w:t>
      </w:r>
      <w:proofErr w:type="spellStart"/>
      <w:r w:rsidRPr="00B419CE">
        <w:t>Noreg</w:t>
      </w:r>
      <w:proofErr w:type="spellEnd"/>
      <w:r w:rsidRPr="00B419CE">
        <w:t xml:space="preserve">. Ved gjennomføringa av EUs </w:t>
      </w:r>
      <w:proofErr w:type="spellStart"/>
      <w:r w:rsidRPr="00B419CE">
        <w:t>såkalla</w:t>
      </w:r>
      <w:proofErr w:type="spellEnd"/>
      <w:r w:rsidRPr="00B419CE">
        <w:t xml:space="preserve"> bankpakke, har regjeringa mellom anna lagt vekt på </w:t>
      </w:r>
      <w:proofErr w:type="spellStart"/>
      <w:r w:rsidRPr="00B419CE">
        <w:t>moglegheita</w:t>
      </w:r>
      <w:proofErr w:type="spellEnd"/>
      <w:r w:rsidRPr="00B419CE">
        <w:t xml:space="preserve"> for </w:t>
      </w:r>
      <w:proofErr w:type="spellStart"/>
      <w:r w:rsidRPr="00B419CE">
        <w:t>enklare</w:t>
      </w:r>
      <w:proofErr w:type="spellEnd"/>
      <w:r w:rsidRPr="00B419CE">
        <w:t xml:space="preserve"> krav for mindre og </w:t>
      </w:r>
      <w:proofErr w:type="spellStart"/>
      <w:r w:rsidRPr="00B419CE">
        <w:t>ikkje</w:t>
      </w:r>
      <w:proofErr w:type="spellEnd"/>
      <w:r w:rsidRPr="00B419CE">
        <w:t xml:space="preserve">-komplekse </w:t>
      </w:r>
      <w:proofErr w:type="spellStart"/>
      <w:r w:rsidRPr="00B419CE">
        <w:t>bankar</w:t>
      </w:r>
      <w:proofErr w:type="spellEnd"/>
      <w:r w:rsidRPr="00B419CE">
        <w:t xml:space="preserve">. Departementet </w:t>
      </w:r>
      <w:proofErr w:type="spellStart"/>
      <w:r w:rsidRPr="00B419CE">
        <w:t>tek</w:t>
      </w:r>
      <w:proofErr w:type="spellEnd"/>
      <w:r w:rsidRPr="00B419CE">
        <w:t xml:space="preserve"> sikte på å </w:t>
      </w:r>
      <w:proofErr w:type="spellStart"/>
      <w:r w:rsidRPr="00B419CE">
        <w:t>gje</w:t>
      </w:r>
      <w:proofErr w:type="spellEnd"/>
      <w:r w:rsidRPr="00B419CE">
        <w:t xml:space="preserve"> </w:t>
      </w:r>
      <w:proofErr w:type="spellStart"/>
      <w:r w:rsidRPr="00B419CE">
        <w:t>ein</w:t>
      </w:r>
      <w:proofErr w:type="spellEnd"/>
      <w:r w:rsidRPr="00B419CE">
        <w:t xml:space="preserve"> </w:t>
      </w:r>
      <w:proofErr w:type="spellStart"/>
      <w:r w:rsidRPr="00B419CE">
        <w:t>nærmare</w:t>
      </w:r>
      <w:proofErr w:type="spellEnd"/>
      <w:r w:rsidRPr="00B419CE">
        <w:t xml:space="preserve"> omtale av dette temaet i Finansmarkedsmeldingen 2022.</w:t>
      </w:r>
    </w:p>
    <w:p w14:paraId="76CF10A0" w14:textId="77777777" w:rsidR="00B419CE" w:rsidRPr="00B419CE" w:rsidRDefault="00B419CE" w:rsidP="00B419CE">
      <w:pPr>
        <w:pStyle w:val="avsnitt-tittel"/>
      </w:pPr>
      <w:proofErr w:type="spellStart"/>
      <w:r w:rsidRPr="00B419CE">
        <w:t>Eigedomsskatt</w:t>
      </w:r>
      <w:proofErr w:type="spellEnd"/>
      <w:r w:rsidRPr="00B419CE">
        <w:t xml:space="preserve">, utgreiing og vurdering av </w:t>
      </w:r>
      <w:proofErr w:type="spellStart"/>
      <w:r w:rsidRPr="00B419CE">
        <w:t>eit</w:t>
      </w:r>
      <w:proofErr w:type="spellEnd"/>
      <w:r w:rsidRPr="00B419CE">
        <w:t xml:space="preserve"> tak for </w:t>
      </w:r>
      <w:proofErr w:type="spellStart"/>
      <w:r w:rsidRPr="00B419CE">
        <w:t>bustader</w:t>
      </w:r>
      <w:proofErr w:type="spellEnd"/>
      <w:r w:rsidRPr="00B419CE">
        <w:t xml:space="preserve"> og </w:t>
      </w:r>
      <w:proofErr w:type="spellStart"/>
      <w:r w:rsidRPr="00B419CE">
        <w:t>fritidsbustader</w:t>
      </w:r>
      <w:proofErr w:type="spellEnd"/>
    </w:p>
    <w:p w14:paraId="00BDC204" w14:textId="77777777" w:rsidR="00B419CE" w:rsidRPr="00B419CE" w:rsidRDefault="00B419CE" w:rsidP="00B419CE">
      <w:pPr>
        <w:pStyle w:val="avsnitt-undertittel"/>
      </w:pPr>
      <w:r w:rsidRPr="00B419CE">
        <w:t>Vedtak nr. 1250, 16. juni 2021</w:t>
      </w:r>
    </w:p>
    <w:p w14:paraId="0AC8B88C" w14:textId="77777777" w:rsidR="00B419CE" w:rsidRPr="00B419CE" w:rsidRDefault="00B419CE" w:rsidP="00B419CE">
      <w:pPr>
        <w:pStyle w:val="blokksit"/>
        <w:rPr>
          <w:rStyle w:val="kursiv"/>
        </w:rPr>
      </w:pPr>
      <w:r w:rsidRPr="00B419CE">
        <w:rPr>
          <w:rStyle w:val="kursiv"/>
        </w:rPr>
        <w:t>«Stortinget ber regjeringen legge fram en helhetlig utredning om eiendomsskatten og herunder utrede et tak for eiendomsskatt på ordinære boliger og hytter, og komme tilbake til Stortinget på eigna måte.»</w:t>
      </w:r>
    </w:p>
    <w:p w14:paraId="515C82F7"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192 S (2020–2021) </w:t>
      </w:r>
      <w:r w:rsidRPr="00B419CE">
        <w:rPr>
          <w:rStyle w:val="kursiv"/>
        </w:rPr>
        <w:t>Kommuneproposisjonen for 2022,</w:t>
      </w:r>
      <w:r w:rsidRPr="00B419CE">
        <w:t xml:space="preserve"> jf. </w:t>
      </w:r>
      <w:proofErr w:type="spellStart"/>
      <w:r w:rsidRPr="00B419CE">
        <w:t>Innst</w:t>
      </w:r>
      <w:proofErr w:type="spellEnd"/>
      <w:r w:rsidRPr="00B419CE">
        <w:t xml:space="preserve">. 660 S (2020–2021). Regjeringa vil </w:t>
      </w:r>
      <w:proofErr w:type="spellStart"/>
      <w:r w:rsidRPr="00B419CE">
        <w:t>kome</w:t>
      </w:r>
      <w:proofErr w:type="spellEnd"/>
      <w:r w:rsidRPr="00B419CE">
        <w:t xml:space="preserve"> tilbake til Stortinget om saka på eigna måte.</w:t>
      </w:r>
    </w:p>
    <w:p w14:paraId="6519143C" w14:textId="77777777" w:rsidR="00B419CE" w:rsidRPr="00B419CE" w:rsidRDefault="00B419CE" w:rsidP="00B419CE">
      <w:pPr>
        <w:pStyle w:val="Overskrift2"/>
      </w:pPr>
      <w:r w:rsidRPr="00B419CE">
        <w:t>Stortingssesjon 2019–2020</w:t>
      </w:r>
    </w:p>
    <w:p w14:paraId="0E2A2382" w14:textId="77777777" w:rsidR="00B419CE" w:rsidRPr="00B419CE" w:rsidRDefault="00B419CE" w:rsidP="00B419CE">
      <w:pPr>
        <w:pStyle w:val="avsnitt-tittel"/>
      </w:pPr>
      <w:r w:rsidRPr="00B419CE">
        <w:t>Fiskal avgift på fiskeria</w:t>
      </w:r>
    </w:p>
    <w:p w14:paraId="01A0E050" w14:textId="77777777" w:rsidR="00B419CE" w:rsidRPr="00B419CE" w:rsidRDefault="00B419CE" w:rsidP="00B419CE">
      <w:pPr>
        <w:pStyle w:val="avsnitt-undertittel"/>
      </w:pPr>
      <w:r w:rsidRPr="00B419CE">
        <w:t>Vedtak nr. 554, 7. mai 2020</w:t>
      </w:r>
    </w:p>
    <w:p w14:paraId="13CA0560" w14:textId="77777777" w:rsidR="00B419CE" w:rsidRPr="00B419CE" w:rsidRDefault="00B419CE" w:rsidP="00B419CE">
      <w:pPr>
        <w:pStyle w:val="blokksit"/>
        <w:rPr>
          <w:rStyle w:val="kursiv"/>
        </w:rPr>
      </w:pPr>
      <w:r w:rsidRPr="00B419CE">
        <w:rPr>
          <w:rStyle w:val="kursiv"/>
        </w:rPr>
        <w:t>«Stortinget ber regjeringen komme tilbake til Stortinget (så snart som mulig, eventuelt fra 2021) med et forslag om en fiskal avgift på fiskeriene (villfisk) tilsvarende om lag 100 mill. kroner årlig. Det vurderes i den forbindelse om det kan gjøres etter modell av fiskeriforskningsavgiften. Modellen må være forenlig med Norges forpliktelser under EFTA-konvensjonen og EFTA-frihandelsavtaler.»</w:t>
      </w:r>
    </w:p>
    <w:p w14:paraId="483D0313" w14:textId="77777777" w:rsidR="00B419CE" w:rsidRPr="00B419CE" w:rsidRDefault="00B419CE" w:rsidP="00B419CE">
      <w:r w:rsidRPr="00B419CE">
        <w:lastRenderedPageBreak/>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32 (2018–2019), jf. </w:t>
      </w:r>
      <w:proofErr w:type="spellStart"/>
      <w:r w:rsidRPr="00B419CE">
        <w:t>Innst</w:t>
      </w:r>
      <w:proofErr w:type="spellEnd"/>
      <w:r w:rsidRPr="00B419CE">
        <w:t xml:space="preserve">. 243 S (2019–2020) </w:t>
      </w:r>
      <w:r w:rsidRPr="00B419CE">
        <w:rPr>
          <w:rStyle w:val="kursiv"/>
        </w:rPr>
        <w:t>Innstilling fra næringskomiteen om et kvotesystem for økt verdiskaping. En fremtidsrettet fiskerinæring.</w:t>
      </w:r>
    </w:p>
    <w:p w14:paraId="67ABD504" w14:textId="77777777" w:rsidR="00B419CE" w:rsidRPr="00B419CE" w:rsidRDefault="00B419CE" w:rsidP="00B419CE">
      <w:r w:rsidRPr="00B419CE">
        <w:t xml:space="preserve">I </w:t>
      </w:r>
      <w:proofErr w:type="spellStart"/>
      <w:r w:rsidRPr="00B419CE">
        <w:t>Prop</w:t>
      </w:r>
      <w:proofErr w:type="spellEnd"/>
      <w:r w:rsidRPr="00B419CE">
        <w:t xml:space="preserve">. 1 S (2020–2021) skreiv Finansdepartementet at oppmodingsvedtaket ville </w:t>
      </w:r>
      <w:proofErr w:type="spellStart"/>
      <w:r w:rsidRPr="00B419CE">
        <w:t>verte</w:t>
      </w:r>
      <w:proofErr w:type="spellEnd"/>
      <w:r w:rsidRPr="00B419CE">
        <w:t xml:space="preserve"> </w:t>
      </w:r>
      <w:proofErr w:type="spellStart"/>
      <w:r w:rsidRPr="00B419CE">
        <w:t>følgt</w:t>
      </w:r>
      <w:proofErr w:type="spellEnd"/>
      <w:r w:rsidRPr="00B419CE">
        <w:t xml:space="preserve"> opp i samråd med Nærings- og fiskeridepartementet og at Finansdepartementet ville </w:t>
      </w:r>
      <w:proofErr w:type="spellStart"/>
      <w:r w:rsidRPr="00B419CE">
        <w:t>kome</w:t>
      </w:r>
      <w:proofErr w:type="spellEnd"/>
      <w:r w:rsidRPr="00B419CE">
        <w:t xml:space="preserve"> tilbake til Stortinget om saka. I </w:t>
      </w:r>
      <w:proofErr w:type="spellStart"/>
      <w:r w:rsidRPr="00B419CE">
        <w:t>Innst</w:t>
      </w:r>
      <w:proofErr w:type="spellEnd"/>
      <w:r w:rsidRPr="00B419CE">
        <w:t>. 5 S (2020–2021) tok finanskomiteen omtalen til orientering.</w:t>
      </w:r>
    </w:p>
    <w:p w14:paraId="4617EC32" w14:textId="77777777" w:rsidR="00B419CE" w:rsidRPr="00B419CE" w:rsidRDefault="00B419CE" w:rsidP="00B419CE">
      <w:proofErr w:type="spellStart"/>
      <w:r w:rsidRPr="00B419CE">
        <w:t>Tilsvarande</w:t>
      </w:r>
      <w:proofErr w:type="spellEnd"/>
      <w:r w:rsidRPr="00B419CE">
        <w:t xml:space="preserve"> omtale kjem fram av Meld. St. 15 (2020–2021). I </w:t>
      </w:r>
      <w:proofErr w:type="spellStart"/>
      <w:r w:rsidRPr="00B419CE">
        <w:t>Innst</w:t>
      </w:r>
      <w:proofErr w:type="spellEnd"/>
      <w:r w:rsidRPr="00B419CE">
        <w:t xml:space="preserve">. 580 S (2020–2021) hadde </w:t>
      </w:r>
      <w:proofErr w:type="spellStart"/>
      <w:r w:rsidRPr="00B419CE">
        <w:t>ikkje</w:t>
      </w:r>
      <w:proofErr w:type="spellEnd"/>
      <w:r w:rsidRPr="00B419CE">
        <w:t xml:space="preserve"> kontroll- og konstitusjonskomiteen merknader til omtalen.</w:t>
      </w:r>
    </w:p>
    <w:p w14:paraId="1ECD09AA" w14:textId="77777777" w:rsidR="00B419CE" w:rsidRPr="00B419CE" w:rsidRDefault="00B419CE" w:rsidP="00B419CE">
      <w:r w:rsidRPr="00B419CE">
        <w:t xml:space="preserve">I </w:t>
      </w:r>
      <w:proofErr w:type="spellStart"/>
      <w:r w:rsidRPr="00B419CE">
        <w:t>Prop</w:t>
      </w:r>
      <w:proofErr w:type="spellEnd"/>
      <w:r w:rsidRPr="00B419CE">
        <w:t xml:space="preserve">. 194 LS (2020–2021) </w:t>
      </w:r>
      <w:proofErr w:type="spellStart"/>
      <w:r w:rsidRPr="00B419CE">
        <w:t>vart</w:t>
      </w:r>
      <w:proofErr w:type="spellEnd"/>
      <w:r w:rsidRPr="00B419CE">
        <w:t xml:space="preserve"> det foreslått ei avgift på </w:t>
      </w:r>
      <w:proofErr w:type="spellStart"/>
      <w:r w:rsidRPr="00B419CE">
        <w:t>viltlevande</w:t>
      </w:r>
      <w:proofErr w:type="spellEnd"/>
      <w:r w:rsidRPr="00B419CE">
        <w:t xml:space="preserve"> marine </w:t>
      </w:r>
      <w:proofErr w:type="spellStart"/>
      <w:r w:rsidRPr="00B419CE">
        <w:t>ressursar</w:t>
      </w:r>
      <w:proofErr w:type="spellEnd"/>
      <w:r w:rsidRPr="00B419CE">
        <w:t xml:space="preserve">. Forslaget vart </w:t>
      </w:r>
      <w:proofErr w:type="spellStart"/>
      <w:r w:rsidRPr="00B419CE">
        <w:t>vedteke</w:t>
      </w:r>
      <w:proofErr w:type="spellEnd"/>
      <w:r w:rsidRPr="00B419CE">
        <w:t xml:space="preserve">, jf. </w:t>
      </w:r>
      <w:proofErr w:type="spellStart"/>
      <w:r w:rsidRPr="00B419CE">
        <w:t>Innst</w:t>
      </w:r>
      <w:proofErr w:type="spellEnd"/>
      <w:r w:rsidRPr="00B419CE">
        <w:t xml:space="preserve">. 600 S (2020–2021). Departementet ser det slik at oppmodingsvedtaket er </w:t>
      </w:r>
      <w:proofErr w:type="spellStart"/>
      <w:r w:rsidRPr="00B419CE">
        <w:t>følgt</w:t>
      </w:r>
      <w:proofErr w:type="spellEnd"/>
      <w:r w:rsidRPr="00B419CE">
        <w:t xml:space="preserve"> opp gjennom dette.</w:t>
      </w:r>
    </w:p>
    <w:p w14:paraId="3AF88DE2" w14:textId="77777777" w:rsidR="00B419CE" w:rsidRPr="00B419CE" w:rsidRDefault="00B419CE" w:rsidP="00B419CE">
      <w:pPr>
        <w:pStyle w:val="avsnitt-tittel"/>
      </w:pPr>
      <w:r w:rsidRPr="00B419CE">
        <w:t>Konkret forslag om kontonummerportabilitet</w:t>
      </w:r>
    </w:p>
    <w:p w14:paraId="6C67E9BF" w14:textId="77777777" w:rsidR="00B419CE" w:rsidRPr="00B419CE" w:rsidRDefault="00B419CE" w:rsidP="00B419CE">
      <w:pPr>
        <w:pStyle w:val="avsnitt-undertittel"/>
      </w:pPr>
      <w:r w:rsidRPr="00B419CE">
        <w:t>Vedtak nr. 692, 25. juni 2020</w:t>
      </w:r>
    </w:p>
    <w:p w14:paraId="697F2BA3" w14:textId="77777777" w:rsidR="00B419CE" w:rsidRPr="00B419CE" w:rsidRDefault="00B419CE" w:rsidP="00B419CE">
      <w:pPr>
        <w:pStyle w:val="blokksit"/>
        <w:rPr>
          <w:rStyle w:val="kursiv"/>
        </w:rPr>
      </w:pPr>
      <w:r w:rsidRPr="00B419CE">
        <w:rPr>
          <w:rStyle w:val="kursiv"/>
        </w:rPr>
        <w:t xml:space="preserve">«Stortinget ber regjeringen komme tilbake til Stortinget senest våren 2021 med et konkret forslag til hvordan man kan sikre kontonummerportabilitet i Norge, samt et forslag til ordning for enkel flytting av tjenester som </w:t>
      </w:r>
      <w:proofErr w:type="spellStart"/>
      <w:r w:rsidRPr="00B419CE">
        <w:rPr>
          <w:rStyle w:val="kursiv"/>
        </w:rPr>
        <w:t>eFaktura</w:t>
      </w:r>
      <w:proofErr w:type="spellEnd"/>
      <w:r w:rsidRPr="00B419CE">
        <w:rPr>
          <w:rStyle w:val="kursiv"/>
        </w:rPr>
        <w:t xml:space="preserve"> og AvtaleGiro mellom kontoer.»</w:t>
      </w:r>
    </w:p>
    <w:p w14:paraId="4EB9F1BE"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22 (2019–2020) </w:t>
      </w:r>
      <w:r w:rsidRPr="00B419CE">
        <w:rPr>
          <w:rStyle w:val="kursiv"/>
        </w:rPr>
        <w:t>Finansmarkedsmeldingen 2020,</w:t>
      </w:r>
      <w:r w:rsidRPr="00B419CE">
        <w:t xml:space="preserve"> jf. </w:t>
      </w:r>
      <w:proofErr w:type="spellStart"/>
      <w:r w:rsidRPr="00B419CE">
        <w:t>Innst</w:t>
      </w:r>
      <w:proofErr w:type="spellEnd"/>
      <w:r w:rsidRPr="00B419CE">
        <w:t xml:space="preserve">. 353 S (2019–2020). Oppmodingsvedtaket </w:t>
      </w:r>
      <w:proofErr w:type="spellStart"/>
      <w:r w:rsidRPr="00B419CE">
        <w:t>vart</w:t>
      </w:r>
      <w:proofErr w:type="spellEnd"/>
      <w:r w:rsidRPr="00B419CE">
        <w:t xml:space="preserve"> omtalt i kapittel 3.3.3 i Meld. St. 31 (2020–2021) </w:t>
      </w:r>
      <w:r w:rsidRPr="00B419CE">
        <w:rPr>
          <w:rStyle w:val="kursiv"/>
        </w:rPr>
        <w:t>Finansmarkedsmeldingen 2021</w:t>
      </w:r>
      <w:r w:rsidRPr="00B419CE">
        <w:t xml:space="preserve">. I </w:t>
      </w:r>
      <w:proofErr w:type="spellStart"/>
      <w:r w:rsidRPr="00B419CE">
        <w:t>Innst</w:t>
      </w:r>
      <w:proofErr w:type="spellEnd"/>
      <w:r w:rsidRPr="00B419CE">
        <w:t xml:space="preserve">. 582 S (2020–2021) tok finanskomiteen omtalen til orientering. Departementet ser det slik at oppmodingsvedtaket er </w:t>
      </w:r>
      <w:proofErr w:type="spellStart"/>
      <w:r w:rsidRPr="00B419CE">
        <w:t>følgt</w:t>
      </w:r>
      <w:proofErr w:type="spellEnd"/>
      <w:r w:rsidRPr="00B419CE">
        <w:t xml:space="preserve"> opp gjennom dette.</w:t>
      </w:r>
    </w:p>
    <w:p w14:paraId="4E7BE495" w14:textId="77777777" w:rsidR="00B419CE" w:rsidRPr="00B419CE" w:rsidRDefault="00B419CE" w:rsidP="00B419CE">
      <w:pPr>
        <w:pStyle w:val="avsnitt-tittel"/>
      </w:pPr>
      <w:r w:rsidRPr="00B419CE">
        <w:t xml:space="preserve">Vurdering av digitale </w:t>
      </w:r>
      <w:proofErr w:type="spellStart"/>
      <w:r w:rsidRPr="00B419CE">
        <w:t>sentralbankpengar</w:t>
      </w:r>
      <w:proofErr w:type="spellEnd"/>
    </w:p>
    <w:p w14:paraId="01FD0AD0" w14:textId="77777777" w:rsidR="00B419CE" w:rsidRPr="00B419CE" w:rsidRDefault="00B419CE" w:rsidP="00B419CE">
      <w:pPr>
        <w:pStyle w:val="avsnitt-undertittel"/>
      </w:pPr>
      <w:r w:rsidRPr="00B419CE">
        <w:t>Vedtak nr. 693, 25. juni 2020</w:t>
      </w:r>
    </w:p>
    <w:p w14:paraId="63948981" w14:textId="77777777" w:rsidR="00B419CE" w:rsidRPr="00B419CE" w:rsidRDefault="00B419CE" w:rsidP="00B419CE">
      <w:pPr>
        <w:pStyle w:val="blokksit"/>
        <w:rPr>
          <w:rStyle w:val="kursiv"/>
        </w:rPr>
      </w:pPr>
      <w:r w:rsidRPr="00B419CE">
        <w:rPr>
          <w:rStyle w:val="kursiv"/>
        </w:rPr>
        <w:t>«Stortinget ber regjeringen i forbindelse med Finansmarkedsmeldingen 2021 legge frem en nærmere vurdering av spørsmålet om digitale sentralbankpenger.»</w:t>
      </w:r>
    </w:p>
    <w:p w14:paraId="546BFFB1"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22 (2019–2020) </w:t>
      </w:r>
      <w:r w:rsidRPr="00B419CE">
        <w:rPr>
          <w:rStyle w:val="kursiv"/>
        </w:rPr>
        <w:t>Finansmarkedsmeldingen 2020</w:t>
      </w:r>
      <w:r w:rsidRPr="00B419CE">
        <w:t xml:space="preserve">, jf. </w:t>
      </w:r>
      <w:proofErr w:type="spellStart"/>
      <w:r w:rsidRPr="00B419CE">
        <w:t>Innst</w:t>
      </w:r>
      <w:proofErr w:type="spellEnd"/>
      <w:r w:rsidRPr="00B419CE">
        <w:t xml:space="preserve">. 353 S (2019–2020). Oppmodingsvedtaket </w:t>
      </w:r>
      <w:proofErr w:type="spellStart"/>
      <w:r w:rsidRPr="00B419CE">
        <w:t>vart</w:t>
      </w:r>
      <w:proofErr w:type="spellEnd"/>
      <w:r w:rsidRPr="00B419CE">
        <w:t xml:space="preserve"> omtalt i Meld. St. 31 (2020–2021) </w:t>
      </w:r>
      <w:r w:rsidRPr="00B419CE">
        <w:rPr>
          <w:rStyle w:val="kursiv"/>
        </w:rPr>
        <w:t>Finansmarkedsmeldingen 2021</w:t>
      </w:r>
      <w:r w:rsidRPr="00B419CE">
        <w:t xml:space="preserve">, kapittel 4.4. I </w:t>
      </w:r>
      <w:proofErr w:type="spellStart"/>
      <w:r w:rsidRPr="00B419CE">
        <w:t>Innst</w:t>
      </w:r>
      <w:proofErr w:type="spellEnd"/>
      <w:r w:rsidRPr="00B419CE">
        <w:t xml:space="preserve">. 582 S (2020–2021) tok finanskomiteen omtalen til orientering. Departementet ser det slik at oppmodingsvedtaket er </w:t>
      </w:r>
      <w:proofErr w:type="spellStart"/>
      <w:r w:rsidRPr="00B419CE">
        <w:t>følgt</w:t>
      </w:r>
      <w:proofErr w:type="spellEnd"/>
      <w:r w:rsidRPr="00B419CE">
        <w:t xml:space="preserve"> opp gjennom dette.</w:t>
      </w:r>
    </w:p>
    <w:p w14:paraId="4E3D145F" w14:textId="77777777" w:rsidR="00B419CE" w:rsidRPr="00B419CE" w:rsidRDefault="00B419CE" w:rsidP="00B419CE">
      <w:pPr>
        <w:pStyle w:val="avsnitt-tittel"/>
      </w:pPr>
      <w:r w:rsidRPr="00B419CE">
        <w:t>Utrede om Finansklagenemnda kan få utvida mandat</w:t>
      </w:r>
    </w:p>
    <w:p w14:paraId="18437002" w14:textId="77777777" w:rsidR="00B419CE" w:rsidRPr="00B419CE" w:rsidRDefault="00B419CE" w:rsidP="00B419CE">
      <w:pPr>
        <w:pStyle w:val="avsnitt-undertittel"/>
      </w:pPr>
      <w:r w:rsidRPr="00B419CE">
        <w:t>Vedtak nr. 694, 25. juni 2020</w:t>
      </w:r>
    </w:p>
    <w:p w14:paraId="6E2CBAFD" w14:textId="77777777" w:rsidR="00B419CE" w:rsidRPr="00B419CE" w:rsidRDefault="00B419CE" w:rsidP="00B419CE">
      <w:pPr>
        <w:pStyle w:val="blokksit"/>
        <w:rPr>
          <w:rStyle w:val="kursiv"/>
        </w:rPr>
      </w:pPr>
      <w:r w:rsidRPr="00B419CE">
        <w:rPr>
          <w:rStyle w:val="kursiv"/>
        </w:rPr>
        <w:t>«Stortinget ber regjeringen utrede om Finansklagenemnda kan få utvidet mandat, f.eks. til også å behandle klager fra organisasjoner, næringsdrivende og bedrifter, eventuelt organisasjoner og bedrifter under en viss størrelse.»</w:t>
      </w:r>
    </w:p>
    <w:p w14:paraId="450E79F1" w14:textId="77777777" w:rsidR="00B419CE" w:rsidRPr="00B419CE" w:rsidRDefault="00B419CE" w:rsidP="00B419CE">
      <w:r w:rsidRPr="00B419CE">
        <w:lastRenderedPageBreak/>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22 (2019–2020) </w:t>
      </w:r>
      <w:proofErr w:type="spellStart"/>
      <w:r w:rsidRPr="00B419CE">
        <w:rPr>
          <w:rStyle w:val="kursiv"/>
        </w:rPr>
        <w:t>Finansmarkedmeldingen</w:t>
      </w:r>
      <w:proofErr w:type="spellEnd"/>
      <w:r w:rsidRPr="00B419CE">
        <w:rPr>
          <w:rStyle w:val="kursiv"/>
        </w:rPr>
        <w:t xml:space="preserve"> 2020</w:t>
      </w:r>
      <w:r w:rsidRPr="00B419CE">
        <w:t xml:space="preserve">, jf. </w:t>
      </w:r>
      <w:proofErr w:type="spellStart"/>
      <w:r w:rsidRPr="00B419CE">
        <w:t>Innst</w:t>
      </w:r>
      <w:proofErr w:type="spellEnd"/>
      <w:r w:rsidRPr="00B419CE">
        <w:t>. 353 S (2019–2020).</w:t>
      </w:r>
    </w:p>
    <w:p w14:paraId="5768DA1B" w14:textId="77777777" w:rsidR="00B419CE" w:rsidRPr="00B419CE" w:rsidRDefault="00B419CE" w:rsidP="00B419CE">
      <w:r w:rsidRPr="00B419CE">
        <w:t xml:space="preserve">Oppmodingsvedtaket </w:t>
      </w:r>
      <w:proofErr w:type="spellStart"/>
      <w:r w:rsidRPr="00B419CE">
        <w:t>vart</w:t>
      </w:r>
      <w:proofErr w:type="spellEnd"/>
      <w:r w:rsidRPr="00B419CE">
        <w:t xml:space="preserve"> omtalt i Meld. St. 31 (2020–2021) </w:t>
      </w:r>
      <w:r w:rsidRPr="00B419CE">
        <w:rPr>
          <w:rStyle w:val="kursiv"/>
        </w:rPr>
        <w:t>Finansmarkedsmeldingen 2021</w:t>
      </w:r>
      <w:r w:rsidRPr="00B419CE">
        <w:t xml:space="preserve">, kapittel 3.7. I </w:t>
      </w:r>
      <w:proofErr w:type="spellStart"/>
      <w:r w:rsidRPr="00B419CE">
        <w:t>Innst</w:t>
      </w:r>
      <w:proofErr w:type="spellEnd"/>
      <w:r w:rsidRPr="00B419CE">
        <w:t xml:space="preserve">. 582 S (2020–2021) tok finanskomiteen omtalen til orientering. Departementet ser det slik at oppmodingsvedtaket er </w:t>
      </w:r>
      <w:proofErr w:type="spellStart"/>
      <w:r w:rsidRPr="00B419CE">
        <w:t>følgt</w:t>
      </w:r>
      <w:proofErr w:type="spellEnd"/>
      <w:r w:rsidRPr="00B419CE">
        <w:t xml:space="preserve"> opp gjennom dette.</w:t>
      </w:r>
    </w:p>
    <w:p w14:paraId="6C84298E" w14:textId="77777777" w:rsidR="00B419CE" w:rsidRPr="00B419CE" w:rsidRDefault="00B419CE" w:rsidP="00B419CE">
      <w:pPr>
        <w:pStyle w:val="avsnitt-tittel"/>
      </w:pPr>
      <w:r w:rsidRPr="00B419CE">
        <w:t xml:space="preserve">Kulturmiljømeldinga – </w:t>
      </w:r>
      <w:proofErr w:type="spellStart"/>
      <w:r w:rsidRPr="00B419CE">
        <w:t>vedlikehald</w:t>
      </w:r>
      <w:proofErr w:type="spellEnd"/>
      <w:r w:rsidRPr="00B419CE">
        <w:t xml:space="preserve"> av privateide kulturminne og kulturmiljø</w:t>
      </w:r>
    </w:p>
    <w:p w14:paraId="253B0E12" w14:textId="77777777" w:rsidR="00B419CE" w:rsidRPr="00B419CE" w:rsidRDefault="00B419CE" w:rsidP="00B419CE">
      <w:pPr>
        <w:pStyle w:val="avsnitt-undertittel"/>
      </w:pPr>
      <w:r w:rsidRPr="00B419CE">
        <w:t>Vedtak nr. 707, 16. juni 2020</w:t>
      </w:r>
    </w:p>
    <w:p w14:paraId="65978827" w14:textId="77777777" w:rsidR="00B419CE" w:rsidRPr="00B419CE" w:rsidRDefault="00B419CE" w:rsidP="00B419CE">
      <w:pPr>
        <w:pStyle w:val="blokksit"/>
        <w:rPr>
          <w:rStyle w:val="kursiv"/>
        </w:rPr>
      </w:pPr>
      <w:r w:rsidRPr="00B419CE">
        <w:rPr>
          <w:rStyle w:val="kursiv"/>
        </w:rPr>
        <w:t xml:space="preserve">«Stortinget har drøftet kulturmiljømeldingen, herunder nye nasjonale mål for kulturmiljøpolitikken. Stortinget har vedtatt å be regjeringen i samband med bevaringsstrategiene, fremme forslag om hvordan staten kan stimulere private eiere av kulturminner og kulturmiljøer til jevnt, godt vedlikehold gjennom skatte- og </w:t>
      </w:r>
      <w:proofErr w:type="spellStart"/>
      <w:r w:rsidRPr="00B419CE">
        <w:rPr>
          <w:rStyle w:val="kursiv"/>
        </w:rPr>
        <w:t>avgiftsinsentiver</w:t>
      </w:r>
      <w:proofErr w:type="spellEnd"/>
      <w:r w:rsidRPr="00B419CE">
        <w:rPr>
          <w:rStyle w:val="kursiv"/>
        </w:rPr>
        <w:t>.»</w:t>
      </w:r>
    </w:p>
    <w:p w14:paraId="014F222E"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16 (2019–2020) – </w:t>
      </w:r>
      <w:r w:rsidRPr="00B419CE">
        <w:rPr>
          <w:rStyle w:val="kursiv"/>
        </w:rPr>
        <w:t>Nye mål i kulturmiljøpolitikken – Engasjement, bærekraft og mangfold</w:t>
      </w:r>
      <w:r w:rsidRPr="00B419CE">
        <w:t xml:space="preserve">, jf. </w:t>
      </w:r>
      <w:proofErr w:type="spellStart"/>
      <w:r w:rsidRPr="00B419CE">
        <w:t>Innst</w:t>
      </w:r>
      <w:proofErr w:type="spellEnd"/>
      <w:r w:rsidRPr="00B419CE">
        <w:t>. 379 S (2019–2020).</w:t>
      </w:r>
    </w:p>
    <w:p w14:paraId="53DEE24D" w14:textId="77777777" w:rsidR="00B419CE" w:rsidRPr="00B419CE" w:rsidRDefault="00B419CE" w:rsidP="00B419CE">
      <w:r w:rsidRPr="00B419CE">
        <w:t xml:space="preserve">Av </w:t>
      </w:r>
      <w:proofErr w:type="spellStart"/>
      <w:r w:rsidRPr="00B419CE">
        <w:t>Prop</w:t>
      </w:r>
      <w:proofErr w:type="spellEnd"/>
      <w:r w:rsidRPr="00B419CE">
        <w:t xml:space="preserve">. 1 S (2020–2021) fremgår det at oppmodingsvedtaket vil </w:t>
      </w:r>
      <w:proofErr w:type="spellStart"/>
      <w:r w:rsidRPr="00B419CE">
        <w:t>verte</w:t>
      </w:r>
      <w:proofErr w:type="spellEnd"/>
      <w:r w:rsidRPr="00B419CE">
        <w:t xml:space="preserve"> </w:t>
      </w:r>
      <w:proofErr w:type="spellStart"/>
      <w:r w:rsidRPr="00B419CE">
        <w:t>følgt</w:t>
      </w:r>
      <w:proofErr w:type="spellEnd"/>
      <w:r w:rsidRPr="00B419CE">
        <w:t xml:space="preserve"> opp i samråd med Klima- og miljødepartementet og at Finansdepartementet vil </w:t>
      </w:r>
      <w:proofErr w:type="spellStart"/>
      <w:r w:rsidRPr="00B419CE">
        <w:t>kome</w:t>
      </w:r>
      <w:proofErr w:type="spellEnd"/>
      <w:r w:rsidRPr="00B419CE">
        <w:t xml:space="preserve"> tilbake til Stortinget med saka. I </w:t>
      </w:r>
      <w:proofErr w:type="spellStart"/>
      <w:r w:rsidRPr="00B419CE">
        <w:t>Innst</w:t>
      </w:r>
      <w:proofErr w:type="spellEnd"/>
      <w:r w:rsidRPr="00B419CE">
        <w:t xml:space="preserve">. 5 S (2020–2021) tok komiteen omtalen til orientering. Departementet vil </w:t>
      </w:r>
      <w:proofErr w:type="spellStart"/>
      <w:r w:rsidRPr="00B419CE">
        <w:t>kome</w:t>
      </w:r>
      <w:proofErr w:type="spellEnd"/>
      <w:r w:rsidRPr="00B419CE">
        <w:t xml:space="preserve"> tilbake til Stortinget om saka på eigna måte.</w:t>
      </w:r>
    </w:p>
    <w:p w14:paraId="289C8888" w14:textId="77777777" w:rsidR="00B419CE" w:rsidRPr="00B419CE" w:rsidRDefault="00B419CE" w:rsidP="00B419CE">
      <w:pPr>
        <w:pStyle w:val="avsnitt-tittel"/>
      </w:pPr>
      <w:proofErr w:type="spellStart"/>
      <w:r w:rsidRPr="00B419CE">
        <w:t>Reiarlagskatteordninga</w:t>
      </w:r>
      <w:proofErr w:type="spellEnd"/>
    </w:p>
    <w:p w14:paraId="182E7F35" w14:textId="77777777" w:rsidR="00B419CE" w:rsidRPr="00B419CE" w:rsidRDefault="00B419CE" w:rsidP="00B419CE">
      <w:pPr>
        <w:pStyle w:val="avsnitt-undertittel"/>
      </w:pPr>
      <w:r w:rsidRPr="00B419CE">
        <w:t>Vedtak nr. 784, 19. juni 2020</w:t>
      </w:r>
    </w:p>
    <w:p w14:paraId="4AD2D7C4" w14:textId="77777777" w:rsidR="00B419CE" w:rsidRPr="00B419CE" w:rsidRDefault="00B419CE" w:rsidP="00B419CE">
      <w:pPr>
        <w:pStyle w:val="blokksit"/>
        <w:rPr>
          <w:rStyle w:val="kursiv"/>
        </w:rPr>
      </w:pPr>
      <w:r w:rsidRPr="00B419CE">
        <w:rPr>
          <w:rStyle w:val="kursiv"/>
        </w:rPr>
        <w:t>«Stortinget ber regjeringen utrede og vurdere endringer i rederiskatteordningen slik at selskaper innenfor ordningen i tillegg til virksomhet som kvalifiserer for rederibeskatning kan drive virksomhet som ikke er støtteberettiget, og som skal beskattes ordinært. Status for saken skal omtales i forbindelse med statsbudsjettet for 2021.»</w:t>
      </w:r>
    </w:p>
    <w:p w14:paraId="15AC46EF"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Meld. St. 2 (2019–2020), jf. </w:t>
      </w:r>
      <w:proofErr w:type="spellStart"/>
      <w:r w:rsidRPr="00B419CE">
        <w:t>Innst</w:t>
      </w:r>
      <w:proofErr w:type="spellEnd"/>
      <w:r w:rsidRPr="00B419CE">
        <w:t xml:space="preserve">. 360 S (2019–2020). Finansdepartementet arbeider med oppfølging av oppmodingsvedtaket. Departementet har utarbeidd </w:t>
      </w:r>
      <w:proofErr w:type="spellStart"/>
      <w:r w:rsidRPr="00B419CE">
        <w:t>eit</w:t>
      </w:r>
      <w:proofErr w:type="spellEnd"/>
      <w:r w:rsidRPr="00B419CE">
        <w:t xml:space="preserve"> forslag om å innføre </w:t>
      </w:r>
      <w:proofErr w:type="spellStart"/>
      <w:r w:rsidRPr="00B419CE">
        <w:t>åtgang</w:t>
      </w:r>
      <w:proofErr w:type="spellEnd"/>
      <w:r w:rsidRPr="00B419CE">
        <w:t xml:space="preserve"> for selskap </w:t>
      </w:r>
      <w:proofErr w:type="spellStart"/>
      <w:r w:rsidRPr="00B419CE">
        <w:t>innanfor</w:t>
      </w:r>
      <w:proofErr w:type="spellEnd"/>
      <w:r w:rsidRPr="00B419CE">
        <w:t xml:space="preserve"> </w:t>
      </w:r>
      <w:proofErr w:type="spellStart"/>
      <w:r w:rsidRPr="00B419CE">
        <w:t>reiarlagsskatteordninga</w:t>
      </w:r>
      <w:proofErr w:type="spellEnd"/>
      <w:r w:rsidRPr="00B419CE">
        <w:t xml:space="preserve"> til òg å drive visse typer virksomhet relatert til skipsfart som i dag </w:t>
      </w:r>
      <w:proofErr w:type="spellStart"/>
      <w:r w:rsidRPr="00B419CE">
        <w:t>ikkje</w:t>
      </w:r>
      <w:proofErr w:type="spellEnd"/>
      <w:r w:rsidRPr="00B419CE">
        <w:t xml:space="preserve"> er akseptert </w:t>
      </w:r>
      <w:proofErr w:type="spellStart"/>
      <w:r w:rsidRPr="00B419CE">
        <w:t>innanfor</w:t>
      </w:r>
      <w:proofErr w:type="spellEnd"/>
      <w:r w:rsidRPr="00B419CE">
        <w:t xml:space="preserve"> ordninga. Forslaget </w:t>
      </w:r>
      <w:proofErr w:type="spellStart"/>
      <w:r w:rsidRPr="00B419CE">
        <w:t>vart</w:t>
      </w:r>
      <w:proofErr w:type="spellEnd"/>
      <w:r w:rsidRPr="00B419CE">
        <w:t xml:space="preserve"> sendt på </w:t>
      </w:r>
      <w:proofErr w:type="spellStart"/>
      <w:r w:rsidRPr="00B419CE">
        <w:t>høyring</w:t>
      </w:r>
      <w:proofErr w:type="spellEnd"/>
      <w:r w:rsidRPr="00B419CE">
        <w:t xml:space="preserve"> 24. september 2021, med </w:t>
      </w:r>
      <w:proofErr w:type="spellStart"/>
      <w:r w:rsidRPr="00B419CE">
        <w:t>høyringsfrist</w:t>
      </w:r>
      <w:proofErr w:type="spellEnd"/>
      <w:r w:rsidRPr="00B419CE">
        <w:t xml:space="preserve"> 7. januar 2022. Saka er </w:t>
      </w:r>
      <w:proofErr w:type="spellStart"/>
      <w:r w:rsidRPr="00B419CE">
        <w:t>nærare</w:t>
      </w:r>
      <w:proofErr w:type="spellEnd"/>
      <w:r w:rsidRPr="00B419CE">
        <w:t xml:space="preserve"> omtalt i </w:t>
      </w:r>
      <w:proofErr w:type="spellStart"/>
      <w:r w:rsidRPr="00B419CE">
        <w:t>Prop</w:t>
      </w:r>
      <w:proofErr w:type="spellEnd"/>
      <w:r w:rsidRPr="00B419CE">
        <w:t>. 1 LS (2021–2022), kapittel 18.</w:t>
      </w:r>
    </w:p>
    <w:p w14:paraId="0D29F24E" w14:textId="77777777" w:rsidR="00B419CE" w:rsidRPr="00B419CE" w:rsidRDefault="00B419CE" w:rsidP="00B419CE">
      <w:pPr>
        <w:pStyle w:val="avsnitt-tittel"/>
      </w:pPr>
      <w:proofErr w:type="spellStart"/>
      <w:r w:rsidRPr="00B419CE">
        <w:t>Endringar</w:t>
      </w:r>
      <w:proofErr w:type="spellEnd"/>
      <w:r w:rsidRPr="00B419CE">
        <w:t xml:space="preserve"> i regelverket for </w:t>
      </w:r>
      <w:proofErr w:type="spellStart"/>
      <w:r w:rsidRPr="00B419CE">
        <w:t>campingbilar</w:t>
      </w:r>
      <w:proofErr w:type="spellEnd"/>
    </w:p>
    <w:p w14:paraId="1D4145A6" w14:textId="77777777" w:rsidR="00B419CE" w:rsidRPr="00B419CE" w:rsidRDefault="00B419CE" w:rsidP="00B419CE">
      <w:pPr>
        <w:pStyle w:val="avsnitt-undertittel"/>
      </w:pPr>
      <w:r w:rsidRPr="00B419CE">
        <w:t>Vedtak nr. 785, 19. juni 2020</w:t>
      </w:r>
    </w:p>
    <w:p w14:paraId="6C19A454" w14:textId="77777777" w:rsidR="00B419CE" w:rsidRPr="00B419CE" w:rsidRDefault="00B419CE" w:rsidP="00B419CE">
      <w:pPr>
        <w:pStyle w:val="blokksit"/>
        <w:rPr>
          <w:rStyle w:val="kursiv"/>
        </w:rPr>
      </w:pPr>
      <w:r w:rsidRPr="00B419CE">
        <w:rPr>
          <w:rStyle w:val="kursiv"/>
        </w:rPr>
        <w:t>«Stortinget ber regjeringen legge frem endringer i regelverk for campingbiler som åpner for at antall sitteplasser kan overstige antall liggeplasser. De øvrige kriteriene justeres ved behov. Stortinget ber regjeringen komme tilbake med forslag til endringer snarest mulig og senest i forbindelse med revidert nasjonalbudsjett for 2021.»</w:t>
      </w:r>
    </w:p>
    <w:p w14:paraId="2EC21F1B" w14:textId="77777777" w:rsidR="00B419CE" w:rsidRPr="00B419CE" w:rsidRDefault="00B419CE" w:rsidP="00B419CE">
      <w:r w:rsidRPr="00B419CE">
        <w:lastRenderedPageBreak/>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107 LS (2019–2020) </w:t>
      </w:r>
      <w:proofErr w:type="spellStart"/>
      <w:r w:rsidRPr="00B419CE">
        <w:rPr>
          <w:rStyle w:val="kursiv"/>
        </w:rPr>
        <w:t>Endringar</w:t>
      </w:r>
      <w:proofErr w:type="spellEnd"/>
      <w:r w:rsidRPr="00B419CE">
        <w:rPr>
          <w:rStyle w:val="kursiv"/>
        </w:rPr>
        <w:t xml:space="preserve"> i skatte-, avgifts- og </w:t>
      </w:r>
      <w:proofErr w:type="spellStart"/>
      <w:r w:rsidRPr="00B419CE">
        <w:rPr>
          <w:rStyle w:val="kursiv"/>
        </w:rPr>
        <w:t>tollovgivinga</w:t>
      </w:r>
      <w:proofErr w:type="spellEnd"/>
      <w:r w:rsidRPr="00B419CE">
        <w:t xml:space="preserve">, jf. </w:t>
      </w:r>
      <w:proofErr w:type="spellStart"/>
      <w:r w:rsidRPr="00B419CE">
        <w:t>Innst</w:t>
      </w:r>
      <w:proofErr w:type="spellEnd"/>
      <w:r w:rsidRPr="00B419CE">
        <w:t>. 360 S (2019–2020).</w:t>
      </w:r>
    </w:p>
    <w:p w14:paraId="68301A8F" w14:textId="77777777" w:rsidR="00B419CE" w:rsidRPr="00B419CE" w:rsidRDefault="00B419CE" w:rsidP="00B419CE">
      <w:r w:rsidRPr="00B419CE">
        <w:t xml:space="preserve">Saka </w:t>
      </w:r>
      <w:proofErr w:type="spellStart"/>
      <w:r w:rsidRPr="00B419CE">
        <w:t>vart</w:t>
      </w:r>
      <w:proofErr w:type="spellEnd"/>
      <w:r w:rsidRPr="00B419CE">
        <w:t xml:space="preserve"> omtalt i Meld. St. 15 (2020–2021), der det går fram at Finansdepartementet vil </w:t>
      </w:r>
      <w:proofErr w:type="spellStart"/>
      <w:r w:rsidRPr="00B419CE">
        <w:t>kome</w:t>
      </w:r>
      <w:proofErr w:type="spellEnd"/>
      <w:r w:rsidRPr="00B419CE">
        <w:t xml:space="preserve"> tilbake til Stortinget om saka. Kontroll- og konstitusjonskomiteen utalte i </w:t>
      </w:r>
      <w:proofErr w:type="spellStart"/>
      <w:r w:rsidRPr="00B419CE">
        <w:t>Innst</w:t>
      </w:r>
      <w:proofErr w:type="spellEnd"/>
      <w:r w:rsidRPr="00B419CE">
        <w:t xml:space="preserve">. 580 S (2020–2021) at den vil vente med å kvittere ut oppmodingsvedtaket. Saka vart så omtalt i </w:t>
      </w:r>
      <w:proofErr w:type="spellStart"/>
      <w:r w:rsidRPr="00B419CE">
        <w:t>Prop</w:t>
      </w:r>
      <w:proofErr w:type="spellEnd"/>
      <w:r w:rsidRPr="00B419CE">
        <w:t xml:space="preserve">. 194 LS (2020–2021), kapittel 15. Der går det fram at saka vil </w:t>
      </w:r>
      <w:proofErr w:type="spellStart"/>
      <w:r w:rsidRPr="00B419CE">
        <w:t>verte</w:t>
      </w:r>
      <w:proofErr w:type="spellEnd"/>
      <w:r w:rsidRPr="00B419CE">
        <w:t xml:space="preserve"> </w:t>
      </w:r>
      <w:proofErr w:type="spellStart"/>
      <w:r w:rsidRPr="00B419CE">
        <w:t>følgt</w:t>
      </w:r>
      <w:proofErr w:type="spellEnd"/>
      <w:r w:rsidRPr="00B419CE">
        <w:t xml:space="preserve"> opp gjennom </w:t>
      </w:r>
      <w:proofErr w:type="spellStart"/>
      <w:r w:rsidRPr="00B419CE">
        <w:t>forskriftsendringar</w:t>
      </w:r>
      <w:proofErr w:type="spellEnd"/>
      <w:r w:rsidRPr="00B419CE">
        <w:t xml:space="preserve"> </w:t>
      </w:r>
      <w:proofErr w:type="spellStart"/>
      <w:r w:rsidRPr="00B419CE">
        <w:t>seinast</w:t>
      </w:r>
      <w:proofErr w:type="spellEnd"/>
      <w:r w:rsidRPr="00B419CE">
        <w:t xml:space="preserve"> </w:t>
      </w:r>
      <w:proofErr w:type="spellStart"/>
      <w:r w:rsidRPr="00B419CE">
        <w:t>hausten</w:t>
      </w:r>
      <w:proofErr w:type="spellEnd"/>
      <w:r w:rsidRPr="00B419CE">
        <w:t xml:space="preserve"> 2021, og at regjeringa </w:t>
      </w:r>
      <w:proofErr w:type="spellStart"/>
      <w:r w:rsidRPr="00B419CE">
        <w:t>reknar</w:t>
      </w:r>
      <w:proofErr w:type="spellEnd"/>
      <w:r w:rsidRPr="00B419CE">
        <w:t xml:space="preserve"> oppmodingsvedtaket som </w:t>
      </w:r>
      <w:proofErr w:type="spellStart"/>
      <w:r w:rsidRPr="00B419CE">
        <w:t>følgt</w:t>
      </w:r>
      <w:proofErr w:type="spellEnd"/>
      <w:r w:rsidRPr="00B419CE">
        <w:t xml:space="preserve"> opp gjennom dette. I </w:t>
      </w:r>
      <w:proofErr w:type="spellStart"/>
      <w:r w:rsidRPr="00B419CE">
        <w:t>Innst</w:t>
      </w:r>
      <w:proofErr w:type="spellEnd"/>
      <w:r w:rsidRPr="00B419CE">
        <w:t>. 600 S (2020–2021) tok finanskomiteen omtalen til orientering.</w:t>
      </w:r>
    </w:p>
    <w:p w14:paraId="1877D24B" w14:textId="77777777" w:rsidR="00B419CE" w:rsidRPr="00B419CE" w:rsidRDefault="00B419CE" w:rsidP="00B419CE">
      <w:pPr>
        <w:pStyle w:val="Overskrift2"/>
      </w:pPr>
      <w:r w:rsidRPr="00B419CE">
        <w:t>Stortingssesjon 2018–2019</w:t>
      </w:r>
    </w:p>
    <w:p w14:paraId="47CB41C4" w14:textId="77777777" w:rsidR="00B419CE" w:rsidRPr="00B419CE" w:rsidRDefault="00B419CE" w:rsidP="00B419CE">
      <w:pPr>
        <w:pStyle w:val="avsnitt-tittel"/>
      </w:pPr>
      <w:r w:rsidRPr="00B419CE">
        <w:t>Solidarisk alkoholpolitikk</w:t>
      </w:r>
    </w:p>
    <w:p w14:paraId="5BA6D0B9" w14:textId="77777777" w:rsidR="00B419CE" w:rsidRPr="00B419CE" w:rsidRDefault="00B419CE" w:rsidP="00B419CE">
      <w:pPr>
        <w:pStyle w:val="avsnitt-undertittel"/>
      </w:pPr>
      <w:r w:rsidRPr="00B419CE">
        <w:t>Vedtak nr. 45, 20. november 2018</w:t>
      </w:r>
    </w:p>
    <w:p w14:paraId="29A21EDA" w14:textId="77777777" w:rsidR="00B419CE" w:rsidRPr="00B419CE" w:rsidRDefault="00B419CE" w:rsidP="00B419CE">
      <w:pPr>
        <w:pStyle w:val="blokksit"/>
        <w:rPr>
          <w:rStyle w:val="kursiv"/>
        </w:rPr>
      </w:pPr>
      <w:r w:rsidRPr="00B419CE">
        <w:rPr>
          <w:rStyle w:val="kursiv"/>
        </w:rPr>
        <w:t>«Stortinget ber regjeringen vurdere en reversering av den siste endringen av taxfree-kvoten ut ifra en evaluering av hvordan kvoten påvirker Vinmonopolets salg og stilling som et av de viktigste alkoholpolitiske instrumentene.»</w:t>
      </w:r>
    </w:p>
    <w:p w14:paraId="4B865C46"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Dokument 8:141 S (2017–2018) </w:t>
      </w:r>
      <w:r w:rsidRPr="00B419CE">
        <w:rPr>
          <w:rStyle w:val="kursiv"/>
        </w:rPr>
        <w:t>Representantforslag om en offensiv og solidarisk alkoholpolitikk</w:t>
      </w:r>
      <w:r w:rsidRPr="00B419CE">
        <w:t xml:space="preserve">, jf. </w:t>
      </w:r>
      <w:proofErr w:type="spellStart"/>
      <w:r w:rsidRPr="00B419CE">
        <w:t>Innst</w:t>
      </w:r>
      <w:proofErr w:type="spellEnd"/>
      <w:r w:rsidRPr="00B419CE">
        <w:t>. 38 S (2018–2019).</w:t>
      </w:r>
    </w:p>
    <w:p w14:paraId="7C8EC36A" w14:textId="77777777" w:rsidR="00B419CE" w:rsidRPr="00B419CE" w:rsidRDefault="00B419CE" w:rsidP="00B419CE">
      <w:r w:rsidRPr="00B419CE">
        <w:t xml:space="preserve">Av </w:t>
      </w:r>
      <w:proofErr w:type="spellStart"/>
      <w:r w:rsidRPr="00B419CE">
        <w:t>Prop</w:t>
      </w:r>
      <w:proofErr w:type="spellEnd"/>
      <w:r w:rsidRPr="00B419CE">
        <w:t xml:space="preserve">. 1 S (2020–2021) </w:t>
      </w:r>
      <w:proofErr w:type="spellStart"/>
      <w:r w:rsidRPr="00B419CE">
        <w:t>frå</w:t>
      </w:r>
      <w:proofErr w:type="spellEnd"/>
      <w:r w:rsidRPr="00B419CE">
        <w:t xml:space="preserve"> Finansdepartementet går </w:t>
      </w:r>
      <w:proofErr w:type="spellStart"/>
      <w:r w:rsidRPr="00B419CE">
        <w:t>følgjande</w:t>
      </w:r>
      <w:proofErr w:type="spellEnd"/>
      <w:r w:rsidRPr="00B419CE">
        <w:t xml:space="preserve"> fram om departementet si oppfølging:</w:t>
      </w:r>
    </w:p>
    <w:p w14:paraId="0BEBBF7C" w14:textId="77777777" w:rsidR="00B419CE" w:rsidRPr="00B419CE" w:rsidRDefault="00B419CE" w:rsidP="00B419CE">
      <w:pPr>
        <w:pStyle w:val="blokksit"/>
      </w:pPr>
      <w:r w:rsidRPr="00B419CE">
        <w:t xml:space="preserve">«Finansdepartementet omtaler vedtaket i </w:t>
      </w:r>
      <w:proofErr w:type="spellStart"/>
      <w:r w:rsidRPr="00B419CE">
        <w:t>Prop</w:t>
      </w:r>
      <w:proofErr w:type="spellEnd"/>
      <w:r w:rsidRPr="00B419CE">
        <w:t xml:space="preserve">. 1 LS (2020–2021). </w:t>
      </w:r>
      <w:proofErr w:type="spellStart"/>
      <w:r w:rsidRPr="00B419CE">
        <w:t>Ifølgje</w:t>
      </w:r>
      <w:proofErr w:type="spellEnd"/>
      <w:r w:rsidRPr="00B419CE">
        <w:t xml:space="preserve"> </w:t>
      </w:r>
      <w:proofErr w:type="spellStart"/>
      <w:r w:rsidRPr="00B419CE">
        <w:t>Granavolden</w:t>
      </w:r>
      <w:proofErr w:type="spellEnd"/>
      <w:r w:rsidRPr="00B419CE">
        <w:t>-plattforma vil regjeringa «</w:t>
      </w:r>
      <w:r w:rsidRPr="00B419CE">
        <w:rPr>
          <w:rStyle w:val="kursiv"/>
        </w:rPr>
        <w:t xml:space="preserve">videreføre </w:t>
      </w:r>
      <w:proofErr w:type="spellStart"/>
      <w:r w:rsidRPr="00B419CE">
        <w:rPr>
          <w:rStyle w:val="kursiv"/>
        </w:rPr>
        <w:t>tax</w:t>
      </w:r>
      <w:proofErr w:type="spellEnd"/>
      <w:r w:rsidRPr="00B419CE">
        <w:rPr>
          <w:rStyle w:val="kursiv"/>
        </w:rPr>
        <w:t xml:space="preserve"> </w:t>
      </w:r>
      <w:proofErr w:type="spellStart"/>
      <w:r w:rsidRPr="00B419CE">
        <w:rPr>
          <w:rStyle w:val="kursiv"/>
        </w:rPr>
        <w:t>free</w:t>
      </w:r>
      <w:proofErr w:type="spellEnd"/>
      <w:r w:rsidRPr="00B419CE">
        <w:rPr>
          <w:rStyle w:val="kursiv"/>
        </w:rPr>
        <w:t>-endringen som ble gjennomført i 2014 der tobakkskvoten kan byttes inn i alkohol</w:t>
      </w:r>
      <w:r w:rsidRPr="00B419CE">
        <w:t xml:space="preserve">». Regjeringa vil etter dette </w:t>
      </w:r>
      <w:proofErr w:type="spellStart"/>
      <w:r w:rsidRPr="00B419CE">
        <w:t>ikkje</w:t>
      </w:r>
      <w:proofErr w:type="spellEnd"/>
      <w:r w:rsidRPr="00B419CE">
        <w:t xml:space="preserve"> foreslå </w:t>
      </w:r>
      <w:proofErr w:type="spellStart"/>
      <w:r w:rsidRPr="00B419CE">
        <w:t>nokon</w:t>
      </w:r>
      <w:proofErr w:type="spellEnd"/>
      <w:r w:rsidRPr="00B419CE">
        <w:t xml:space="preserve"> </w:t>
      </w:r>
      <w:proofErr w:type="spellStart"/>
      <w:r w:rsidRPr="00B419CE">
        <w:t>endringar</w:t>
      </w:r>
      <w:proofErr w:type="spellEnd"/>
      <w:r w:rsidRPr="00B419CE">
        <w:t xml:space="preserve"> i </w:t>
      </w:r>
      <w:proofErr w:type="spellStart"/>
      <w:r w:rsidRPr="00B419CE">
        <w:t>tax</w:t>
      </w:r>
      <w:proofErr w:type="spellEnd"/>
      <w:r w:rsidRPr="00B419CE">
        <w:t xml:space="preserve"> </w:t>
      </w:r>
      <w:proofErr w:type="spellStart"/>
      <w:r w:rsidRPr="00B419CE">
        <w:t>free</w:t>
      </w:r>
      <w:proofErr w:type="spellEnd"/>
      <w:r w:rsidRPr="00B419CE">
        <w:t>-kvotene nå.</w:t>
      </w:r>
    </w:p>
    <w:p w14:paraId="6E1DA2D4" w14:textId="77777777" w:rsidR="00B419CE" w:rsidRPr="00B419CE" w:rsidRDefault="00B419CE" w:rsidP="00B419CE">
      <w:pPr>
        <w:pStyle w:val="blokksit"/>
      </w:pPr>
      <w:r w:rsidRPr="00B419CE">
        <w:t xml:space="preserve">Departementet ser det slik at oppmodingsvedtaket er </w:t>
      </w:r>
      <w:proofErr w:type="spellStart"/>
      <w:r w:rsidRPr="00B419CE">
        <w:t>følgt</w:t>
      </w:r>
      <w:proofErr w:type="spellEnd"/>
      <w:r w:rsidRPr="00B419CE">
        <w:t xml:space="preserve"> opp gjennom dette.»</w:t>
      </w:r>
    </w:p>
    <w:p w14:paraId="01FC945C" w14:textId="77777777" w:rsidR="00B419CE" w:rsidRPr="00B419CE" w:rsidRDefault="00B419CE" w:rsidP="00B419CE">
      <w:r w:rsidRPr="00B419CE">
        <w:t xml:space="preserve">I </w:t>
      </w:r>
      <w:proofErr w:type="spellStart"/>
      <w:r w:rsidRPr="00B419CE">
        <w:t>Innst</w:t>
      </w:r>
      <w:proofErr w:type="spellEnd"/>
      <w:r w:rsidRPr="00B419CE">
        <w:t>. 3 S (2020–2021) tok finanskomiteen omtalen til orientering.</w:t>
      </w:r>
    </w:p>
    <w:p w14:paraId="51D42BEB" w14:textId="77777777" w:rsidR="00B419CE" w:rsidRPr="00B419CE" w:rsidRDefault="00B419CE" w:rsidP="00B419CE">
      <w:r w:rsidRPr="00B419CE">
        <w:t xml:space="preserve">I </w:t>
      </w:r>
      <w:proofErr w:type="spellStart"/>
      <w:r w:rsidRPr="00B419CE">
        <w:t>Innst</w:t>
      </w:r>
      <w:proofErr w:type="spellEnd"/>
      <w:r w:rsidRPr="00B419CE">
        <w:t xml:space="preserve">. 580 S (2020–2021) synte </w:t>
      </w:r>
      <w:proofErr w:type="spellStart"/>
      <w:r w:rsidRPr="00B419CE">
        <w:t>fleirtalet</w:t>
      </w:r>
      <w:proofErr w:type="spellEnd"/>
      <w:r w:rsidRPr="00B419CE">
        <w:t xml:space="preserve"> i kontroll- og konstitusjonskomiteen – </w:t>
      </w:r>
      <w:proofErr w:type="spellStart"/>
      <w:r w:rsidRPr="00B419CE">
        <w:t>medlemane</w:t>
      </w:r>
      <w:proofErr w:type="spellEnd"/>
      <w:r w:rsidRPr="00B419CE">
        <w:t xml:space="preserve"> </w:t>
      </w:r>
      <w:proofErr w:type="spellStart"/>
      <w:r w:rsidRPr="00B419CE">
        <w:t>frå</w:t>
      </w:r>
      <w:proofErr w:type="spellEnd"/>
      <w:r w:rsidRPr="00B419CE">
        <w:t xml:space="preserve"> </w:t>
      </w:r>
      <w:proofErr w:type="spellStart"/>
      <w:r w:rsidRPr="00B419CE">
        <w:t>Arbeidarpartiet</w:t>
      </w:r>
      <w:proofErr w:type="spellEnd"/>
      <w:r w:rsidRPr="00B419CE">
        <w:t xml:space="preserve">, Senterpartiet og Sosialistisk Venstreparti – til oppmodingsvedtakets ordlyd. </w:t>
      </w:r>
      <w:proofErr w:type="spellStart"/>
      <w:r w:rsidRPr="00B419CE">
        <w:t>Fleirtalet</w:t>
      </w:r>
      <w:proofErr w:type="spellEnd"/>
      <w:r w:rsidRPr="00B419CE">
        <w:t xml:space="preserve"> i komiteen kunne </w:t>
      </w:r>
      <w:proofErr w:type="spellStart"/>
      <w:r w:rsidRPr="00B419CE">
        <w:t>ikkje</w:t>
      </w:r>
      <w:proofErr w:type="spellEnd"/>
      <w:r w:rsidRPr="00B419CE">
        <w:t xml:space="preserve"> sjå at </w:t>
      </w:r>
      <w:proofErr w:type="spellStart"/>
      <w:r w:rsidRPr="00B419CE">
        <w:t>omtala</w:t>
      </w:r>
      <w:proofErr w:type="spellEnd"/>
      <w:r w:rsidRPr="00B419CE">
        <w:t xml:space="preserve"> i </w:t>
      </w:r>
      <w:proofErr w:type="spellStart"/>
      <w:r w:rsidRPr="00B419CE">
        <w:t>Prop</w:t>
      </w:r>
      <w:proofErr w:type="spellEnd"/>
      <w:r w:rsidRPr="00B419CE">
        <w:t xml:space="preserve">. 1 LS (2020–2021) kan </w:t>
      </w:r>
      <w:proofErr w:type="spellStart"/>
      <w:r w:rsidRPr="00B419CE">
        <w:t>sjåast</w:t>
      </w:r>
      <w:proofErr w:type="spellEnd"/>
      <w:r w:rsidRPr="00B419CE">
        <w:t xml:space="preserve"> som ei evaluering og </w:t>
      </w:r>
      <w:proofErr w:type="spellStart"/>
      <w:r w:rsidRPr="00B419CE">
        <w:t>opprettheldt</w:t>
      </w:r>
      <w:proofErr w:type="spellEnd"/>
      <w:r w:rsidRPr="00B419CE">
        <w:t xml:space="preserve"> vedtaket. </w:t>
      </w:r>
      <w:proofErr w:type="spellStart"/>
      <w:r w:rsidRPr="00B419CE">
        <w:t>Mindretalet</w:t>
      </w:r>
      <w:proofErr w:type="spellEnd"/>
      <w:r w:rsidRPr="00B419CE">
        <w:t xml:space="preserve"> uttalte i innstillinga at det vurderte oppmodingsvedtaket som </w:t>
      </w:r>
      <w:proofErr w:type="spellStart"/>
      <w:r w:rsidRPr="00B419CE">
        <w:t>utkvittert</w:t>
      </w:r>
      <w:proofErr w:type="spellEnd"/>
      <w:r w:rsidRPr="00B419CE">
        <w:t xml:space="preserve"> i </w:t>
      </w:r>
      <w:proofErr w:type="spellStart"/>
      <w:r w:rsidRPr="00B419CE">
        <w:t>Prop</w:t>
      </w:r>
      <w:proofErr w:type="spellEnd"/>
      <w:r w:rsidRPr="00B419CE">
        <w:t xml:space="preserve">. 1 LS (2020–2021). Ved </w:t>
      </w:r>
      <w:proofErr w:type="spellStart"/>
      <w:r w:rsidRPr="00B419CE">
        <w:t>behandlinga</w:t>
      </w:r>
      <w:proofErr w:type="spellEnd"/>
      <w:r w:rsidRPr="00B419CE">
        <w:t xml:space="preserve"> i Stortinget vart komiteen </w:t>
      </w:r>
      <w:proofErr w:type="spellStart"/>
      <w:r w:rsidRPr="00B419CE">
        <w:t>si</w:t>
      </w:r>
      <w:proofErr w:type="spellEnd"/>
      <w:r w:rsidRPr="00B419CE">
        <w:t xml:space="preserve"> innstilling </w:t>
      </w:r>
      <w:proofErr w:type="spellStart"/>
      <w:r w:rsidRPr="00B419CE">
        <w:t>einstemmig</w:t>
      </w:r>
      <w:proofErr w:type="spellEnd"/>
      <w:r w:rsidRPr="00B419CE">
        <w:t xml:space="preserve"> </w:t>
      </w:r>
      <w:proofErr w:type="spellStart"/>
      <w:r w:rsidRPr="00B419CE">
        <w:t>vedteke</w:t>
      </w:r>
      <w:proofErr w:type="spellEnd"/>
      <w:r w:rsidRPr="00B419CE">
        <w:t>.</w:t>
      </w:r>
    </w:p>
    <w:p w14:paraId="53A5AD70" w14:textId="77777777" w:rsidR="00B419CE" w:rsidRPr="00B419CE" w:rsidRDefault="00B419CE" w:rsidP="00B419CE">
      <w:r w:rsidRPr="00B419CE">
        <w:t xml:space="preserve">I </w:t>
      </w:r>
      <w:proofErr w:type="spellStart"/>
      <w:r w:rsidRPr="00B419CE">
        <w:t>Prop</w:t>
      </w:r>
      <w:proofErr w:type="spellEnd"/>
      <w:r w:rsidRPr="00B419CE">
        <w:t xml:space="preserve">. 1 LS (2021–2022), kapittel 23, vert det vist til at det førebels </w:t>
      </w:r>
      <w:proofErr w:type="spellStart"/>
      <w:r w:rsidRPr="00B419CE">
        <w:t>ikkje</w:t>
      </w:r>
      <w:proofErr w:type="spellEnd"/>
      <w:r w:rsidRPr="00B419CE">
        <w:t xml:space="preserve"> er gjennomført </w:t>
      </w:r>
      <w:proofErr w:type="spellStart"/>
      <w:r w:rsidRPr="00B419CE">
        <w:t>nokon</w:t>
      </w:r>
      <w:proofErr w:type="spellEnd"/>
      <w:r w:rsidRPr="00B419CE">
        <w:t xml:space="preserve"> evaluering av korleis endringa i </w:t>
      </w:r>
      <w:proofErr w:type="spellStart"/>
      <w:r w:rsidRPr="00B419CE">
        <w:t>tax</w:t>
      </w:r>
      <w:proofErr w:type="spellEnd"/>
      <w:r w:rsidRPr="00B419CE">
        <w:t xml:space="preserve"> </w:t>
      </w:r>
      <w:proofErr w:type="spellStart"/>
      <w:r w:rsidRPr="00B419CE">
        <w:t>free-kvota</w:t>
      </w:r>
      <w:proofErr w:type="spellEnd"/>
      <w:r w:rsidRPr="00B419CE">
        <w:t xml:space="preserve"> har </w:t>
      </w:r>
      <w:proofErr w:type="spellStart"/>
      <w:r w:rsidRPr="00B419CE">
        <w:t>påverka</w:t>
      </w:r>
      <w:proofErr w:type="spellEnd"/>
      <w:r w:rsidRPr="00B419CE">
        <w:t xml:space="preserve"> Vinmonopolets sal eller stillinga til Vinmonopolet som </w:t>
      </w:r>
      <w:proofErr w:type="spellStart"/>
      <w:r w:rsidRPr="00B419CE">
        <w:t>eit</w:t>
      </w:r>
      <w:proofErr w:type="spellEnd"/>
      <w:r w:rsidRPr="00B419CE">
        <w:t xml:space="preserve"> av </w:t>
      </w:r>
      <w:proofErr w:type="spellStart"/>
      <w:r w:rsidRPr="00B419CE">
        <w:t>dei</w:t>
      </w:r>
      <w:proofErr w:type="spellEnd"/>
      <w:r w:rsidRPr="00B419CE">
        <w:t xml:space="preserve"> </w:t>
      </w:r>
      <w:proofErr w:type="spellStart"/>
      <w:r w:rsidRPr="00B419CE">
        <w:t>viktigaste</w:t>
      </w:r>
      <w:proofErr w:type="spellEnd"/>
      <w:r w:rsidRPr="00B419CE">
        <w:t xml:space="preserve"> alkoholpolitiske instrumenta, men at regjeringa vil vurdere ei slik evaluering </w:t>
      </w:r>
      <w:proofErr w:type="spellStart"/>
      <w:r w:rsidRPr="00B419CE">
        <w:t>nærare</w:t>
      </w:r>
      <w:proofErr w:type="spellEnd"/>
      <w:r w:rsidRPr="00B419CE">
        <w:t xml:space="preserve">. </w:t>
      </w:r>
      <w:proofErr w:type="spellStart"/>
      <w:r w:rsidRPr="00B419CE">
        <w:t>Ifølgje</w:t>
      </w:r>
      <w:proofErr w:type="spellEnd"/>
      <w:r w:rsidRPr="00B419CE">
        <w:t xml:space="preserve"> </w:t>
      </w:r>
      <w:proofErr w:type="spellStart"/>
      <w:r w:rsidRPr="00B419CE">
        <w:t>Granavolden</w:t>
      </w:r>
      <w:proofErr w:type="spellEnd"/>
      <w:r w:rsidRPr="00B419CE">
        <w:t xml:space="preserve">-plattforma vil regjeringa «videreføre </w:t>
      </w:r>
      <w:proofErr w:type="spellStart"/>
      <w:r w:rsidRPr="00B419CE">
        <w:t>tax</w:t>
      </w:r>
      <w:proofErr w:type="spellEnd"/>
      <w:r w:rsidRPr="00B419CE">
        <w:t xml:space="preserve"> </w:t>
      </w:r>
      <w:proofErr w:type="spellStart"/>
      <w:r w:rsidRPr="00B419CE">
        <w:t>free</w:t>
      </w:r>
      <w:proofErr w:type="spellEnd"/>
      <w:r w:rsidRPr="00B419CE">
        <w:t xml:space="preserve">-endringen som ble gjennomført i 2014 der tobakkskvoten </w:t>
      </w:r>
      <w:r w:rsidRPr="00B419CE">
        <w:lastRenderedPageBreak/>
        <w:t xml:space="preserve">kan byttes inn i alkohol». Regjeringa vil </w:t>
      </w:r>
      <w:proofErr w:type="spellStart"/>
      <w:r w:rsidRPr="00B419CE">
        <w:t>difor</w:t>
      </w:r>
      <w:proofErr w:type="spellEnd"/>
      <w:r w:rsidRPr="00B419CE">
        <w:t xml:space="preserve"> </w:t>
      </w:r>
      <w:proofErr w:type="spellStart"/>
      <w:r w:rsidRPr="00B419CE">
        <w:t>ikkje</w:t>
      </w:r>
      <w:proofErr w:type="spellEnd"/>
      <w:r w:rsidRPr="00B419CE">
        <w:t xml:space="preserve"> foreslå </w:t>
      </w:r>
      <w:proofErr w:type="spellStart"/>
      <w:r w:rsidRPr="00B419CE">
        <w:t>nokon</w:t>
      </w:r>
      <w:proofErr w:type="spellEnd"/>
      <w:r w:rsidRPr="00B419CE">
        <w:t xml:space="preserve"> </w:t>
      </w:r>
      <w:proofErr w:type="spellStart"/>
      <w:r w:rsidRPr="00B419CE">
        <w:t>endringar</w:t>
      </w:r>
      <w:proofErr w:type="spellEnd"/>
      <w:r w:rsidRPr="00B419CE">
        <w:t xml:space="preserve"> i </w:t>
      </w:r>
      <w:proofErr w:type="spellStart"/>
      <w:r w:rsidRPr="00B419CE">
        <w:t>tax</w:t>
      </w:r>
      <w:proofErr w:type="spellEnd"/>
      <w:r w:rsidRPr="00B419CE">
        <w:t xml:space="preserve"> </w:t>
      </w:r>
      <w:proofErr w:type="spellStart"/>
      <w:r w:rsidRPr="00B419CE">
        <w:t>free</w:t>
      </w:r>
      <w:proofErr w:type="spellEnd"/>
      <w:r w:rsidRPr="00B419CE">
        <w:t xml:space="preserve">-kvotene no. Finansdepartementet vil </w:t>
      </w:r>
      <w:proofErr w:type="spellStart"/>
      <w:r w:rsidRPr="00B419CE">
        <w:t>kome</w:t>
      </w:r>
      <w:proofErr w:type="spellEnd"/>
      <w:r w:rsidRPr="00B419CE">
        <w:t xml:space="preserve"> tilbake til Stortinget om saka. </w:t>
      </w:r>
    </w:p>
    <w:p w14:paraId="15FB9514" w14:textId="77777777" w:rsidR="00B419CE" w:rsidRPr="00B419CE" w:rsidRDefault="00B419CE" w:rsidP="00B419CE">
      <w:pPr>
        <w:pStyle w:val="avsnitt-tittel"/>
      </w:pPr>
      <w:r w:rsidRPr="00B419CE">
        <w:t xml:space="preserve">Presisering i forskrift av kven som skal </w:t>
      </w:r>
      <w:proofErr w:type="spellStart"/>
      <w:r w:rsidRPr="00B419CE">
        <w:t>verte</w:t>
      </w:r>
      <w:proofErr w:type="spellEnd"/>
      <w:r w:rsidRPr="00B419CE">
        <w:t xml:space="preserve"> identifisert som reelle </w:t>
      </w:r>
      <w:proofErr w:type="spellStart"/>
      <w:r w:rsidRPr="00B419CE">
        <w:t>rettshavarar</w:t>
      </w:r>
      <w:proofErr w:type="spellEnd"/>
    </w:p>
    <w:p w14:paraId="6F92EF9D" w14:textId="77777777" w:rsidR="00B419CE" w:rsidRPr="00B419CE" w:rsidRDefault="00B419CE" w:rsidP="00B419CE">
      <w:pPr>
        <w:pStyle w:val="avsnitt-undertittel"/>
      </w:pPr>
      <w:r w:rsidRPr="00B419CE">
        <w:t>Vedtak nr. 404, 7. februar 2019</w:t>
      </w:r>
    </w:p>
    <w:p w14:paraId="72FF4195" w14:textId="77777777" w:rsidR="00B419CE" w:rsidRPr="00B419CE" w:rsidRDefault="00B419CE" w:rsidP="00B419CE">
      <w:pPr>
        <w:pStyle w:val="blokksit"/>
        <w:rPr>
          <w:rStyle w:val="kursiv"/>
        </w:rPr>
      </w:pPr>
      <w:r w:rsidRPr="00B419CE">
        <w:rPr>
          <w:rStyle w:val="kursiv"/>
        </w:rPr>
        <w:t>«Stortinget har vedtatt regjeringens forslag til ny lov om register over reelle rettighetshavere og bedt regjeringen presisere i forskrift hvem som skal identifiseres som reelle rettighetshavere.»</w:t>
      </w:r>
    </w:p>
    <w:p w14:paraId="4583F288"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109 L (2017–2018), jf. </w:t>
      </w:r>
      <w:proofErr w:type="spellStart"/>
      <w:r w:rsidRPr="00B419CE">
        <w:t>Innst</w:t>
      </w:r>
      <w:proofErr w:type="spellEnd"/>
      <w:r w:rsidRPr="00B419CE">
        <w:t xml:space="preserve">. 143 L (2018–2019) </w:t>
      </w:r>
      <w:r w:rsidRPr="00B419CE">
        <w:rPr>
          <w:rStyle w:val="kursiv"/>
        </w:rPr>
        <w:t>Innstilling fra finanskomiteen om Lov om register over reelle rettighetshavere</w:t>
      </w:r>
      <w:r w:rsidRPr="00B419CE">
        <w:t>.</w:t>
      </w:r>
    </w:p>
    <w:p w14:paraId="71FC198E" w14:textId="77777777" w:rsidR="00B419CE" w:rsidRPr="00B419CE" w:rsidRDefault="00B419CE" w:rsidP="00B419CE">
      <w:r w:rsidRPr="00B419CE">
        <w:t xml:space="preserve">I Meld. St. 15 (2020–2021) opplyste Finansdepartementet at forslag til forskrift til lov om register over reelle </w:t>
      </w:r>
      <w:proofErr w:type="spellStart"/>
      <w:r w:rsidRPr="00B419CE">
        <w:t>rettshavarar</w:t>
      </w:r>
      <w:proofErr w:type="spellEnd"/>
      <w:r w:rsidRPr="00B419CE">
        <w:t xml:space="preserve"> var sendt på </w:t>
      </w:r>
      <w:proofErr w:type="spellStart"/>
      <w:r w:rsidRPr="00B419CE">
        <w:t>høyring</w:t>
      </w:r>
      <w:proofErr w:type="spellEnd"/>
      <w:r w:rsidRPr="00B419CE">
        <w:t xml:space="preserve">, og at det i forslaget var foreslått detaljerte </w:t>
      </w:r>
      <w:proofErr w:type="spellStart"/>
      <w:r w:rsidRPr="00B419CE">
        <w:t>reglar</w:t>
      </w:r>
      <w:proofErr w:type="spellEnd"/>
      <w:r w:rsidRPr="00B419CE">
        <w:t xml:space="preserve"> om identifiseringa av reelle </w:t>
      </w:r>
      <w:proofErr w:type="spellStart"/>
      <w:r w:rsidRPr="00B419CE">
        <w:t>rettshavarar</w:t>
      </w:r>
      <w:proofErr w:type="spellEnd"/>
      <w:r w:rsidRPr="00B419CE">
        <w:t xml:space="preserve">. I </w:t>
      </w:r>
      <w:proofErr w:type="spellStart"/>
      <w:r w:rsidRPr="00B419CE">
        <w:t>Innst</w:t>
      </w:r>
      <w:proofErr w:type="spellEnd"/>
      <w:r w:rsidRPr="00B419CE">
        <w:t xml:space="preserve">. 580 S (2020–2021) opplyste kontroll- og konstitusjonskomiteen at den </w:t>
      </w:r>
      <w:proofErr w:type="spellStart"/>
      <w:r w:rsidRPr="00B419CE">
        <w:t>ventar</w:t>
      </w:r>
      <w:proofErr w:type="spellEnd"/>
      <w:r w:rsidRPr="00B419CE">
        <w:t xml:space="preserve"> med å kvittere ut vedtaket.</w:t>
      </w:r>
    </w:p>
    <w:p w14:paraId="6F6D47BB" w14:textId="77777777" w:rsidR="00B419CE" w:rsidRPr="00B419CE" w:rsidRDefault="00B419CE" w:rsidP="00B419CE">
      <w:r w:rsidRPr="00B419CE">
        <w:t xml:space="preserve">Forskrift til lov om register over reelle </w:t>
      </w:r>
      <w:proofErr w:type="spellStart"/>
      <w:r w:rsidRPr="00B419CE">
        <w:t>rettshavarar</w:t>
      </w:r>
      <w:proofErr w:type="spellEnd"/>
      <w:r w:rsidRPr="00B419CE">
        <w:t xml:space="preserve"> </w:t>
      </w:r>
      <w:proofErr w:type="spellStart"/>
      <w:r w:rsidRPr="00B419CE">
        <w:t>vart</w:t>
      </w:r>
      <w:proofErr w:type="spellEnd"/>
      <w:r w:rsidRPr="00B419CE">
        <w:t xml:space="preserve"> fastsatt 21. juni 2021. Forskrifta </w:t>
      </w:r>
      <w:proofErr w:type="spellStart"/>
      <w:r w:rsidRPr="00B419CE">
        <w:t>inneheld</w:t>
      </w:r>
      <w:proofErr w:type="spellEnd"/>
      <w:r w:rsidRPr="00B419CE">
        <w:t xml:space="preserve"> detaljerte </w:t>
      </w:r>
      <w:proofErr w:type="spellStart"/>
      <w:r w:rsidRPr="00B419CE">
        <w:t>reglar</w:t>
      </w:r>
      <w:proofErr w:type="spellEnd"/>
      <w:r w:rsidRPr="00B419CE">
        <w:t xml:space="preserve"> om identifiseringa av reelle </w:t>
      </w:r>
      <w:proofErr w:type="spellStart"/>
      <w:r w:rsidRPr="00B419CE">
        <w:t>rettshavarar</w:t>
      </w:r>
      <w:proofErr w:type="spellEnd"/>
      <w:r w:rsidRPr="00B419CE">
        <w:t>.</w:t>
      </w:r>
    </w:p>
    <w:p w14:paraId="4E65C78B" w14:textId="77777777" w:rsidR="00B419CE" w:rsidRPr="00B419CE" w:rsidRDefault="00B419CE" w:rsidP="00B419CE">
      <w:r w:rsidRPr="00B419CE">
        <w:t xml:space="preserve">Departementet ser det slik at oppmodingsvedtaket er </w:t>
      </w:r>
      <w:proofErr w:type="spellStart"/>
      <w:r w:rsidRPr="00B419CE">
        <w:t>følgt</w:t>
      </w:r>
      <w:proofErr w:type="spellEnd"/>
      <w:r w:rsidRPr="00B419CE">
        <w:t xml:space="preserve"> opp gjennom dette.</w:t>
      </w:r>
    </w:p>
    <w:p w14:paraId="31A50E04" w14:textId="77777777" w:rsidR="00B419CE" w:rsidRPr="00B419CE" w:rsidRDefault="00B419CE" w:rsidP="00B419CE">
      <w:pPr>
        <w:pStyle w:val="avsnitt-tittel"/>
      </w:pPr>
      <w:r w:rsidRPr="00B419CE">
        <w:t xml:space="preserve">Utgreiing av ny teknologi som kan erstatte </w:t>
      </w:r>
      <w:proofErr w:type="spellStart"/>
      <w:r w:rsidRPr="00B419CE">
        <w:t>gjeldande</w:t>
      </w:r>
      <w:proofErr w:type="spellEnd"/>
      <w:r w:rsidRPr="00B419CE">
        <w:t xml:space="preserve"> bompengeordning</w:t>
      </w:r>
    </w:p>
    <w:p w14:paraId="24178639" w14:textId="77777777" w:rsidR="00B419CE" w:rsidRPr="00B419CE" w:rsidRDefault="00B419CE" w:rsidP="00B419CE">
      <w:pPr>
        <w:pStyle w:val="avsnitt-undertittel"/>
      </w:pPr>
      <w:r w:rsidRPr="00B419CE">
        <w:t>Vedtak nr. 424, 5. mars 2019</w:t>
      </w:r>
    </w:p>
    <w:p w14:paraId="3584F939" w14:textId="77777777" w:rsidR="00B419CE" w:rsidRPr="00B419CE" w:rsidRDefault="00B419CE" w:rsidP="00B419CE">
      <w:pPr>
        <w:pStyle w:val="blokksit"/>
        <w:rPr>
          <w:rStyle w:val="kursiv"/>
        </w:rPr>
      </w:pPr>
      <w:r w:rsidRPr="00B419CE">
        <w:rPr>
          <w:rStyle w:val="kursiv"/>
        </w:rPr>
        <w:t>«Stortinget ber regjeringen inkludere utredning av ny teknologi som kan erstatte dagens bompengeordning, som en del av gjennomgangen av dagens avgiftssystem for bil.»</w:t>
      </w:r>
    </w:p>
    <w:p w14:paraId="4959C23E"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Dokument 8:26 S (2018–2019) </w:t>
      </w:r>
      <w:r w:rsidRPr="00B419CE">
        <w:rPr>
          <w:rStyle w:val="kursiv"/>
        </w:rPr>
        <w:t xml:space="preserve">Representantforslag fra stortingsrepresentantene Hans Fredrik </w:t>
      </w:r>
      <w:proofErr w:type="spellStart"/>
      <w:r w:rsidRPr="00B419CE">
        <w:rPr>
          <w:rStyle w:val="kursiv"/>
        </w:rPr>
        <w:t>Grøvan</w:t>
      </w:r>
      <w:proofErr w:type="spellEnd"/>
      <w:r w:rsidRPr="00B419CE">
        <w:rPr>
          <w:rStyle w:val="kursiv"/>
        </w:rPr>
        <w:t>, Tore Storehaug, Olaug V. Bollestad og Kjell Ingolf Ropstad om å fjerne dagens ordning med bompengeinnkreving</w:t>
      </w:r>
      <w:r w:rsidRPr="00B419CE">
        <w:t xml:space="preserve"> og Dokument 8:35 S (2018–2019) </w:t>
      </w:r>
      <w:r w:rsidRPr="00B419CE">
        <w:rPr>
          <w:rStyle w:val="kursiv"/>
        </w:rPr>
        <w:t xml:space="preserve">Representantforslag fra stortingsrepresentantene Sverre </w:t>
      </w:r>
      <w:proofErr w:type="spellStart"/>
      <w:r w:rsidRPr="00B419CE">
        <w:rPr>
          <w:rStyle w:val="kursiv"/>
        </w:rPr>
        <w:t>Myrli</w:t>
      </w:r>
      <w:proofErr w:type="spellEnd"/>
      <w:r w:rsidRPr="00B419CE">
        <w:rPr>
          <w:rStyle w:val="kursiv"/>
        </w:rPr>
        <w:t xml:space="preserve">, </w:t>
      </w:r>
      <w:proofErr w:type="spellStart"/>
      <w:r w:rsidRPr="00B419CE">
        <w:rPr>
          <w:rStyle w:val="kursiv"/>
        </w:rPr>
        <w:t>Ingalill</w:t>
      </w:r>
      <w:proofErr w:type="spellEnd"/>
      <w:r w:rsidRPr="00B419CE">
        <w:rPr>
          <w:rStyle w:val="kursiv"/>
        </w:rPr>
        <w:t xml:space="preserve"> Olsen, Øystein Langholm Hansen og Kirsti </w:t>
      </w:r>
      <w:proofErr w:type="spellStart"/>
      <w:r w:rsidRPr="00B419CE">
        <w:rPr>
          <w:rStyle w:val="kursiv"/>
        </w:rPr>
        <w:t>Leirtrø</w:t>
      </w:r>
      <w:proofErr w:type="spellEnd"/>
      <w:r w:rsidRPr="00B419CE">
        <w:rPr>
          <w:rStyle w:val="kursiv"/>
        </w:rPr>
        <w:t xml:space="preserve"> om å utrede vegprising til erstatning for dagens bompenger og andre driftsrelaterte bilavgifter</w:t>
      </w:r>
      <w:r w:rsidRPr="00B419CE">
        <w:t xml:space="preserve">, jf. </w:t>
      </w:r>
      <w:proofErr w:type="spellStart"/>
      <w:r w:rsidRPr="00B419CE">
        <w:t>Innst</w:t>
      </w:r>
      <w:proofErr w:type="spellEnd"/>
      <w:r w:rsidRPr="00B419CE">
        <w:t>. 175 S (2018–2019).</w:t>
      </w:r>
    </w:p>
    <w:p w14:paraId="137DA9C1" w14:textId="77777777" w:rsidR="00B419CE" w:rsidRPr="00B419CE" w:rsidRDefault="00B419CE" w:rsidP="00B419CE">
      <w:r w:rsidRPr="00B419CE">
        <w:t xml:space="preserve">Oppmodingsvedtaket </w:t>
      </w:r>
      <w:proofErr w:type="spellStart"/>
      <w:r w:rsidRPr="00B419CE">
        <w:t>vart</w:t>
      </w:r>
      <w:proofErr w:type="spellEnd"/>
      <w:r w:rsidRPr="00B419CE">
        <w:t xml:space="preserve"> kort omtalt i </w:t>
      </w:r>
      <w:proofErr w:type="spellStart"/>
      <w:r w:rsidRPr="00B419CE">
        <w:t>Prop</w:t>
      </w:r>
      <w:proofErr w:type="spellEnd"/>
      <w:r w:rsidRPr="00B419CE">
        <w:t xml:space="preserve">. 1 S (2020–2021) </w:t>
      </w:r>
      <w:proofErr w:type="spellStart"/>
      <w:r w:rsidRPr="00B419CE">
        <w:t>frå</w:t>
      </w:r>
      <w:proofErr w:type="spellEnd"/>
      <w:r w:rsidRPr="00B419CE">
        <w:t xml:space="preserve"> Finansdepartementet. I </w:t>
      </w:r>
      <w:proofErr w:type="spellStart"/>
      <w:r w:rsidRPr="00B419CE">
        <w:t>Innst</w:t>
      </w:r>
      <w:proofErr w:type="spellEnd"/>
      <w:r w:rsidRPr="00B419CE">
        <w:t xml:space="preserve">. 5 S (2020–2021) tok finanskomiteen omtalen til orientering. I Meld. St. 15 (2020–2021) redegjorde departementet for omtalen over. I </w:t>
      </w:r>
      <w:proofErr w:type="spellStart"/>
      <w:r w:rsidRPr="00B419CE">
        <w:t>Innst</w:t>
      </w:r>
      <w:proofErr w:type="spellEnd"/>
      <w:r w:rsidRPr="00B419CE">
        <w:t xml:space="preserve">. 580 S (2020–2021) opplyste kontroll- og konstitusjonskomiteen at den </w:t>
      </w:r>
      <w:proofErr w:type="spellStart"/>
      <w:r w:rsidRPr="00B419CE">
        <w:t>ventar</w:t>
      </w:r>
      <w:proofErr w:type="spellEnd"/>
      <w:r w:rsidRPr="00B419CE">
        <w:t xml:space="preserve"> med å kvittere ut vedtaket.</w:t>
      </w:r>
    </w:p>
    <w:p w14:paraId="56E613CC" w14:textId="77777777" w:rsidR="00B419CE" w:rsidRPr="00B419CE" w:rsidRDefault="00B419CE" w:rsidP="00B419CE">
      <w:r w:rsidRPr="00B419CE">
        <w:t xml:space="preserve">I </w:t>
      </w:r>
      <w:proofErr w:type="spellStart"/>
      <w:r w:rsidRPr="00B419CE">
        <w:t>Prop</w:t>
      </w:r>
      <w:proofErr w:type="spellEnd"/>
      <w:r w:rsidRPr="00B419CE">
        <w:t xml:space="preserve">. 1 LS (2021–2022), kapittel 9.5.7, </w:t>
      </w:r>
      <w:proofErr w:type="spellStart"/>
      <w:r w:rsidRPr="00B419CE">
        <w:t>varslar</w:t>
      </w:r>
      <w:proofErr w:type="spellEnd"/>
      <w:r w:rsidRPr="00B419CE">
        <w:t xml:space="preserve"> regjeringa at Finansdepartementet og Samferdselsdepartementet har gjeve Skattedirektoratet og Statens vegvesen i oppdrag å gjennomføre </w:t>
      </w:r>
      <w:proofErr w:type="spellStart"/>
      <w:r w:rsidRPr="00B419CE">
        <w:t>eit</w:t>
      </w:r>
      <w:proofErr w:type="spellEnd"/>
      <w:r w:rsidRPr="00B419CE">
        <w:t xml:space="preserve"> forprosjekt som skal avklare tekniske, organisatoriske, </w:t>
      </w:r>
      <w:proofErr w:type="spellStart"/>
      <w:r w:rsidRPr="00B419CE">
        <w:t>rettslege</w:t>
      </w:r>
      <w:proofErr w:type="spellEnd"/>
      <w:r w:rsidRPr="00B419CE">
        <w:t xml:space="preserve"> og økonomiske </w:t>
      </w:r>
      <w:proofErr w:type="spellStart"/>
      <w:r w:rsidRPr="00B419CE">
        <w:t>føresetnader</w:t>
      </w:r>
      <w:proofErr w:type="spellEnd"/>
      <w:r w:rsidRPr="00B419CE">
        <w:t xml:space="preserve"> og skissere </w:t>
      </w:r>
      <w:proofErr w:type="spellStart"/>
      <w:r w:rsidRPr="00B419CE">
        <w:t>moglege</w:t>
      </w:r>
      <w:proofErr w:type="spellEnd"/>
      <w:r w:rsidRPr="00B419CE">
        <w:t xml:space="preserve"> </w:t>
      </w:r>
      <w:proofErr w:type="spellStart"/>
      <w:r w:rsidRPr="00B419CE">
        <w:t>løysingar</w:t>
      </w:r>
      <w:proofErr w:type="spellEnd"/>
      <w:r w:rsidRPr="00B419CE">
        <w:t xml:space="preserve"> for </w:t>
      </w:r>
      <w:proofErr w:type="spellStart"/>
      <w:r w:rsidRPr="00B419CE">
        <w:t>eit</w:t>
      </w:r>
      <w:proofErr w:type="spellEnd"/>
      <w:r w:rsidRPr="00B419CE">
        <w:t xml:space="preserve"> system som kan brukast til å </w:t>
      </w:r>
      <w:proofErr w:type="spellStart"/>
      <w:r w:rsidRPr="00B419CE">
        <w:t>fastsetje</w:t>
      </w:r>
      <w:proofErr w:type="spellEnd"/>
      <w:r w:rsidRPr="00B419CE">
        <w:t xml:space="preserve"> og </w:t>
      </w:r>
      <w:proofErr w:type="spellStart"/>
      <w:r w:rsidRPr="00B419CE">
        <w:t>innkrevje</w:t>
      </w:r>
      <w:proofErr w:type="spellEnd"/>
      <w:r w:rsidRPr="00B419CE">
        <w:t xml:space="preserve"> både </w:t>
      </w:r>
      <w:proofErr w:type="spellStart"/>
      <w:r w:rsidRPr="00B419CE">
        <w:t>ein</w:t>
      </w:r>
      <w:proofErr w:type="spellEnd"/>
      <w:r w:rsidRPr="00B419CE">
        <w:t xml:space="preserve"> posisjonsbasert </w:t>
      </w:r>
      <w:proofErr w:type="spellStart"/>
      <w:r w:rsidRPr="00B419CE">
        <w:t>vegbruksavgift</w:t>
      </w:r>
      <w:proofErr w:type="spellEnd"/>
      <w:r w:rsidRPr="00B419CE">
        <w:t xml:space="preserve"> og </w:t>
      </w:r>
      <w:proofErr w:type="spellStart"/>
      <w:r w:rsidRPr="00B419CE">
        <w:t>bompengar</w:t>
      </w:r>
      <w:proofErr w:type="spellEnd"/>
      <w:r w:rsidRPr="00B419CE">
        <w:t xml:space="preserve">. </w:t>
      </w:r>
      <w:proofErr w:type="spellStart"/>
      <w:r w:rsidRPr="00B419CE">
        <w:t>Etatane</w:t>
      </w:r>
      <w:proofErr w:type="spellEnd"/>
      <w:r w:rsidRPr="00B419CE">
        <w:t xml:space="preserve"> </w:t>
      </w:r>
      <w:r w:rsidRPr="00B419CE">
        <w:lastRenderedPageBreak/>
        <w:t xml:space="preserve">har fått </w:t>
      </w:r>
      <w:proofErr w:type="spellStart"/>
      <w:r w:rsidRPr="00B419CE">
        <w:t>ein</w:t>
      </w:r>
      <w:proofErr w:type="spellEnd"/>
      <w:r w:rsidRPr="00B419CE">
        <w:t xml:space="preserve"> frist på 18 </w:t>
      </w:r>
      <w:proofErr w:type="spellStart"/>
      <w:r w:rsidRPr="00B419CE">
        <w:t>månader</w:t>
      </w:r>
      <w:proofErr w:type="spellEnd"/>
      <w:r w:rsidRPr="00B419CE">
        <w:t xml:space="preserve"> til å levere forprosjektet. Departementet ser det slik at oppmodingsvedtaket er </w:t>
      </w:r>
      <w:proofErr w:type="spellStart"/>
      <w:r w:rsidRPr="00B419CE">
        <w:t>følgt</w:t>
      </w:r>
      <w:proofErr w:type="spellEnd"/>
      <w:r w:rsidRPr="00B419CE">
        <w:t xml:space="preserve"> opp gjennom dette.</w:t>
      </w:r>
    </w:p>
    <w:p w14:paraId="53926C46" w14:textId="77777777" w:rsidR="00B419CE" w:rsidRPr="00B419CE" w:rsidRDefault="00B419CE" w:rsidP="00B419CE">
      <w:pPr>
        <w:pStyle w:val="Overskrift2"/>
      </w:pPr>
      <w:r w:rsidRPr="00B419CE">
        <w:t>Stortingssesjon 2017–2018</w:t>
      </w:r>
    </w:p>
    <w:p w14:paraId="33509A3D" w14:textId="77777777" w:rsidR="00B419CE" w:rsidRPr="00B419CE" w:rsidRDefault="00B419CE" w:rsidP="00B419CE">
      <w:pPr>
        <w:pStyle w:val="avsnitt-tittel"/>
      </w:pPr>
      <w:r w:rsidRPr="00B419CE">
        <w:t xml:space="preserve">Finansskatt – omlegging der finansskatt på </w:t>
      </w:r>
      <w:proofErr w:type="spellStart"/>
      <w:r w:rsidRPr="00B419CE">
        <w:t>løn</w:t>
      </w:r>
      <w:proofErr w:type="spellEnd"/>
      <w:r w:rsidRPr="00B419CE">
        <w:t xml:space="preserve"> vert fjerna</w:t>
      </w:r>
    </w:p>
    <w:p w14:paraId="3639E3B6" w14:textId="77777777" w:rsidR="00B419CE" w:rsidRPr="00B419CE" w:rsidRDefault="00B419CE" w:rsidP="00B419CE">
      <w:pPr>
        <w:pStyle w:val="avsnitt-undertittel"/>
      </w:pPr>
      <w:r w:rsidRPr="00B419CE">
        <w:t>Vedtak nr. 868, 11. juni 2018</w:t>
      </w:r>
    </w:p>
    <w:p w14:paraId="65E196E1" w14:textId="77777777" w:rsidR="00B419CE" w:rsidRPr="00B419CE" w:rsidRDefault="00B419CE" w:rsidP="00B419CE">
      <w:pPr>
        <w:pStyle w:val="blokksit"/>
        <w:rPr>
          <w:rStyle w:val="kursiv"/>
        </w:rPr>
      </w:pPr>
      <w:r w:rsidRPr="00B419CE">
        <w:rPr>
          <w:rStyle w:val="kursiv"/>
        </w:rPr>
        <w:t xml:space="preserve">«Stortinget ber regjeringa komme attende til Stortinget på eigna måte, </w:t>
      </w:r>
      <w:proofErr w:type="spellStart"/>
      <w:r w:rsidRPr="00B419CE">
        <w:rPr>
          <w:rStyle w:val="kursiv"/>
        </w:rPr>
        <w:t>seinast</w:t>
      </w:r>
      <w:proofErr w:type="spellEnd"/>
      <w:r w:rsidRPr="00B419CE">
        <w:rPr>
          <w:rStyle w:val="kursiv"/>
        </w:rPr>
        <w:t xml:space="preserve"> i samband med statsbudsjettet for 2020, med framlegg om ei provenynøytral omlegging av finansskatten og der </w:t>
      </w:r>
      <w:proofErr w:type="spellStart"/>
      <w:r w:rsidRPr="00B419CE">
        <w:rPr>
          <w:rStyle w:val="kursiv"/>
        </w:rPr>
        <w:t>forhøgd</w:t>
      </w:r>
      <w:proofErr w:type="spellEnd"/>
      <w:r w:rsidRPr="00B419CE">
        <w:rPr>
          <w:rStyle w:val="kursiv"/>
        </w:rPr>
        <w:t xml:space="preserve"> </w:t>
      </w:r>
      <w:proofErr w:type="spellStart"/>
      <w:r w:rsidRPr="00B419CE">
        <w:rPr>
          <w:rStyle w:val="kursiv"/>
        </w:rPr>
        <w:t>arbeidsgivaravgift</w:t>
      </w:r>
      <w:proofErr w:type="spellEnd"/>
      <w:r w:rsidRPr="00B419CE">
        <w:rPr>
          <w:rStyle w:val="kursiv"/>
        </w:rPr>
        <w:t xml:space="preserve"> vert fjerna.»</w:t>
      </w:r>
    </w:p>
    <w:p w14:paraId="1A6626CF"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Dok</w:t>
      </w:r>
      <w:proofErr w:type="spellEnd"/>
      <w:r w:rsidRPr="00B419CE">
        <w:t xml:space="preserve">. 8:190 S (2017–2018) </w:t>
      </w:r>
      <w:r w:rsidRPr="00B419CE">
        <w:rPr>
          <w:rStyle w:val="kursiv"/>
        </w:rPr>
        <w:t xml:space="preserve">Representantforslag </w:t>
      </w:r>
      <w:proofErr w:type="spellStart"/>
      <w:r w:rsidRPr="00B419CE">
        <w:rPr>
          <w:rStyle w:val="kursiv"/>
        </w:rPr>
        <w:t>frå</w:t>
      </w:r>
      <w:proofErr w:type="spellEnd"/>
      <w:r w:rsidRPr="00B419CE">
        <w:rPr>
          <w:rStyle w:val="kursiv"/>
        </w:rPr>
        <w:t xml:space="preserve"> </w:t>
      </w:r>
      <w:proofErr w:type="spellStart"/>
      <w:r w:rsidRPr="00B419CE">
        <w:rPr>
          <w:rStyle w:val="kursiv"/>
        </w:rPr>
        <w:t>stortingsrepresentantane</w:t>
      </w:r>
      <w:proofErr w:type="spellEnd"/>
      <w:r w:rsidRPr="00B419CE">
        <w:rPr>
          <w:rStyle w:val="kursiv"/>
        </w:rPr>
        <w:t xml:space="preserve"> Ingrid </w:t>
      </w:r>
      <w:proofErr w:type="spellStart"/>
      <w:r w:rsidRPr="00B419CE">
        <w:rPr>
          <w:rStyle w:val="kursiv"/>
        </w:rPr>
        <w:t>Heggø</w:t>
      </w:r>
      <w:proofErr w:type="spellEnd"/>
      <w:r w:rsidRPr="00B419CE">
        <w:rPr>
          <w:rStyle w:val="kursiv"/>
        </w:rPr>
        <w:t xml:space="preserve">, Sigbjørn Gjelsvik, Kari Elisabeth </w:t>
      </w:r>
      <w:proofErr w:type="spellStart"/>
      <w:r w:rsidRPr="00B419CE">
        <w:rPr>
          <w:rStyle w:val="kursiv"/>
        </w:rPr>
        <w:t>Kaski</w:t>
      </w:r>
      <w:proofErr w:type="spellEnd"/>
      <w:r w:rsidRPr="00B419CE">
        <w:rPr>
          <w:rStyle w:val="kursiv"/>
        </w:rPr>
        <w:t xml:space="preserve"> og Kjell Ingolf Ropstad om provenynøytral omlegging av finansskatten der </w:t>
      </w:r>
      <w:proofErr w:type="spellStart"/>
      <w:r w:rsidRPr="00B419CE">
        <w:rPr>
          <w:rStyle w:val="kursiv"/>
        </w:rPr>
        <w:t>forhøgd</w:t>
      </w:r>
      <w:proofErr w:type="spellEnd"/>
      <w:r w:rsidRPr="00B419CE">
        <w:rPr>
          <w:rStyle w:val="kursiv"/>
        </w:rPr>
        <w:t xml:space="preserve"> </w:t>
      </w:r>
      <w:proofErr w:type="spellStart"/>
      <w:r w:rsidRPr="00B419CE">
        <w:rPr>
          <w:rStyle w:val="kursiv"/>
        </w:rPr>
        <w:t>arbeidsgivaravgift</w:t>
      </w:r>
      <w:proofErr w:type="spellEnd"/>
      <w:r w:rsidRPr="00B419CE">
        <w:rPr>
          <w:rStyle w:val="kursiv"/>
        </w:rPr>
        <w:t xml:space="preserve"> vert fjerna</w:t>
      </w:r>
      <w:r w:rsidRPr="00B419CE">
        <w:t xml:space="preserve">, jf. </w:t>
      </w:r>
      <w:proofErr w:type="spellStart"/>
      <w:r w:rsidRPr="00B419CE">
        <w:t>Innst</w:t>
      </w:r>
      <w:proofErr w:type="spellEnd"/>
      <w:r w:rsidRPr="00B419CE">
        <w:t>. 365 (2017–2018).</w:t>
      </w:r>
    </w:p>
    <w:p w14:paraId="5BEB8A58" w14:textId="77777777" w:rsidR="00B419CE" w:rsidRPr="00B419CE" w:rsidRDefault="00B419CE" w:rsidP="00B419CE">
      <w:r w:rsidRPr="00B419CE">
        <w:t xml:space="preserve">Av </w:t>
      </w:r>
      <w:proofErr w:type="spellStart"/>
      <w:r w:rsidRPr="00B419CE">
        <w:t>Prop</w:t>
      </w:r>
      <w:proofErr w:type="spellEnd"/>
      <w:r w:rsidRPr="00B419CE">
        <w:t xml:space="preserve">. 1 S (2019–2020) </w:t>
      </w:r>
      <w:proofErr w:type="spellStart"/>
      <w:r w:rsidRPr="00B419CE">
        <w:t>frå</w:t>
      </w:r>
      <w:proofErr w:type="spellEnd"/>
      <w:r w:rsidRPr="00B419CE">
        <w:t xml:space="preserve"> Finansdepartementet går </w:t>
      </w:r>
      <w:proofErr w:type="spellStart"/>
      <w:r w:rsidRPr="00B419CE">
        <w:t>følgjande</w:t>
      </w:r>
      <w:proofErr w:type="spellEnd"/>
      <w:r w:rsidRPr="00B419CE">
        <w:t xml:space="preserve"> fram om departementet si oppfølging:</w:t>
      </w:r>
    </w:p>
    <w:p w14:paraId="7627462E" w14:textId="77777777" w:rsidR="00B419CE" w:rsidRPr="00B419CE" w:rsidRDefault="00B419CE" w:rsidP="00B419CE">
      <w:pPr>
        <w:pStyle w:val="blokksit"/>
      </w:pPr>
      <w:r w:rsidRPr="00B419CE">
        <w:t>«</w:t>
      </w:r>
      <w:proofErr w:type="spellStart"/>
      <w:r w:rsidRPr="00B419CE">
        <w:t>Ein</w:t>
      </w:r>
      <w:proofErr w:type="spellEnd"/>
      <w:r w:rsidRPr="00B419CE">
        <w:t xml:space="preserve"> modell for </w:t>
      </w:r>
      <w:proofErr w:type="spellStart"/>
      <w:r w:rsidRPr="00B419CE">
        <w:t>ein</w:t>
      </w:r>
      <w:proofErr w:type="spellEnd"/>
      <w:r w:rsidRPr="00B419CE">
        <w:t xml:space="preserve"> endra finansskatt er presentert i </w:t>
      </w:r>
      <w:proofErr w:type="spellStart"/>
      <w:r w:rsidRPr="00B419CE">
        <w:t>Prop</w:t>
      </w:r>
      <w:proofErr w:type="spellEnd"/>
      <w:r w:rsidRPr="00B419CE">
        <w:t xml:space="preserve">. 1 LS (2019–2020), kap. 22. Denne modellen kan </w:t>
      </w:r>
      <w:proofErr w:type="spellStart"/>
      <w:r w:rsidRPr="00B419CE">
        <w:t>gje</w:t>
      </w:r>
      <w:proofErr w:type="spellEnd"/>
      <w:r w:rsidRPr="00B419CE">
        <w:t xml:space="preserve"> same proveny som </w:t>
      </w:r>
      <w:proofErr w:type="spellStart"/>
      <w:r w:rsidRPr="00B419CE">
        <w:t>gjeldande</w:t>
      </w:r>
      <w:proofErr w:type="spellEnd"/>
      <w:r w:rsidRPr="00B419CE">
        <w:t xml:space="preserve"> finansskatt. Det vil derimot </w:t>
      </w:r>
      <w:proofErr w:type="spellStart"/>
      <w:r w:rsidRPr="00B419CE">
        <w:t>ikkje</w:t>
      </w:r>
      <w:proofErr w:type="spellEnd"/>
      <w:r w:rsidRPr="00B419CE">
        <w:t xml:space="preserve"> </w:t>
      </w:r>
      <w:proofErr w:type="spellStart"/>
      <w:r w:rsidRPr="00B419CE">
        <w:t>verte</w:t>
      </w:r>
      <w:proofErr w:type="spellEnd"/>
      <w:r w:rsidRPr="00B419CE">
        <w:t xml:space="preserve"> </w:t>
      </w:r>
      <w:proofErr w:type="spellStart"/>
      <w:r w:rsidRPr="00B419CE">
        <w:t>fremja</w:t>
      </w:r>
      <w:proofErr w:type="spellEnd"/>
      <w:r w:rsidRPr="00B419CE">
        <w:t xml:space="preserve"> </w:t>
      </w:r>
      <w:proofErr w:type="spellStart"/>
      <w:r w:rsidRPr="00B419CE">
        <w:t>eit</w:t>
      </w:r>
      <w:proofErr w:type="spellEnd"/>
      <w:r w:rsidRPr="00B419CE">
        <w:t xml:space="preserve"> slikt forslag med verknad for 2020. Omlegginga bør utstå til blant anna prosessen overfor ESA, knytt til like konkurransevilkår for </w:t>
      </w:r>
      <w:proofErr w:type="spellStart"/>
      <w:r w:rsidRPr="00B419CE">
        <w:t>offentlege</w:t>
      </w:r>
      <w:proofErr w:type="spellEnd"/>
      <w:r w:rsidRPr="00B419CE">
        <w:t xml:space="preserve"> og private </w:t>
      </w:r>
      <w:proofErr w:type="spellStart"/>
      <w:r w:rsidRPr="00B419CE">
        <w:t>verksemder</w:t>
      </w:r>
      <w:proofErr w:type="spellEnd"/>
      <w:r w:rsidRPr="00B419CE">
        <w:t>, er avklart.»</w:t>
      </w:r>
    </w:p>
    <w:p w14:paraId="5BBC4859" w14:textId="77777777" w:rsidR="00B419CE" w:rsidRPr="00B419CE" w:rsidRDefault="00B419CE" w:rsidP="00B419CE">
      <w:r w:rsidRPr="00B419CE">
        <w:t xml:space="preserve">I </w:t>
      </w:r>
      <w:proofErr w:type="spellStart"/>
      <w:r w:rsidRPr="00B419CE">
        <w:t>Innst</w:t>
      </w:r>
      <w:proofErr w:type="spellEnd"/>
      <w:r w:rsidRPr="00B419CE">
        <w:t xml:space="preserve">. 5 S (2019–2020), pkt. 2.2.2, og </w:t>
      </w:r>
      <w:proofErr w:type="spellStart"/>
      <w:r w:rsidRPr="00B419CE">
        <w:t>Innst</w:t>
      </w:r>
      <w:proofErr w:type="spellEnd"/>
      <w:r w:rsidRPr="00B419CE">
        <w:t xml:space="preserve">. 3 S (2019–2020), pkt. 17.6, tok </w:t>
      </w:r>
      <w:proofErr w:type="spellStart"/>
      <w:r w:rsidRPr="00B419CE">
        <w:t>fleirtalet</w:t>
      </w:r>
      <w:proofErr w:type="spellEnd"/>
      <w:r w:rsidRPr="00B419CE">
        <w:t xml:space="preserve"> i finanskomiteen omtalen til orientering.</w:t>
      </w:r>
    </w:p>
    <w:p w14:paraId="61305F10" w14:textId="77777777" w:rsidR="00B419CE" w:rsidRPr="00B419CE" w:rsidRDefault="00B419CE" w:rsidP="00B419CE">
      <w:r w:rsidRPr="00B419CE">
        <w:t xml:space="preserve">Departementet </w:t>
      </w:r>
      <w:proofErr w:type="spellStart"/>
      <w:r w:rsidRPr="00B419CE">
        <w:t>tek</w:t>
      </w:r>
      <w:proofErr w:type="spellEnd"/>
      <w:r w:rsidRPr="00B419CE">
        <w:t xml:space="preserve"> til etterretning at </w:t>
      </w:r>
      <w:proofErr w:type="spellStart"/>
      <w:r w:rsidRPr="00B419CE">
        <w:t>fleirtalet</w:t>
      </w:r>
      <w:proofErr w:type="spellEnd"/>
      <w:r w:rsidRPr="00B419CE">
        <w:t xml:space="preserve"> i kontroll- og konstitusjonskomiteen – </w:t>
      </w:r>
      <w:proofErr w:type="spellStart"/>
      <w:r w:rsidRPr="00B419CE">
        <w:t>medlemane</w:t>
      </w:r>
      <w:proofErr w:type="spellEnd"/>
      <w:r w:rsidRPr="00B419CE">
        <w:t xml:space="preserve"> </w:t>
      </w:r>
      <w:proofErr w:type="spellStart"/>
      <w:r w:rsidRPr="00B419CE">
        <w:t>frå</w:t>
      </w:r>
      <w:proofErr w:type="spellEnd"/>
      <w:r w:rsidRPr="00B419CE">
        <w:t xml:space="preserve"> </w:t>
      </w:r>
      <w:proofErr w:type="spellStart"/>
      <w:r w:rsidRPr="00B419CE">
        <w:t>Arbeidarpartiet</w:t>
      </w:r>
      <w:proofErr w:type="spellEnd"/>
      <w:r w:rsidRPr="00B419CE">
        <w:t xml:space="preserve">, Senterpartiet og Sosialistisk Venstreparti – </w:t>
      </w:r>
      <w:proofErr w:type="spellStart"/>
      <w:r w:rsidRPr="00B419CE">
        <w:t>ikkje</w:t>
      </w:r>
      <w:proofErr w:type="spellEnd"/>
      <w:r w:rsidRPr="00B419CE">
        <w:t xml:space="preserve"> ser vedtaket som </w:t>
      </w:r>
      <w:proofErr w:type="spellStart"/>
      <w:r w:rsidRPr="00B419CE">
        <w:t>utkvittert</w:t>
      </w:r>
      <w:proofErr w:type="spellEnd"/>
      <w:r w:rsidRPr="00B419CE">
        <w:t xml:space="preserve">, jf. </w:t>
      </w:r>
      <w:proofErr w:type="spellStart"/>
      <w:r w:rsidRPr="00B419CE">
        <w:t>Innst</w:t>
      </w:r>
      <w:proofErr w:type="spellEnd"/>
      <w:r w:rsidRPr="00B419CE">
        <w:t xml:space="preserve">. 580 S (2020–2021). </w:t>
      </w:r>
      <w:proofErr w:type="spellStart"/>
      <w:r w:rsidRPr="00B419CE">
        <w:t>Komitémindretalet</w:t>
      </w:r>
      <w:proofErr w:type="spellEnd"/>
      <w:r w:rsidRPr="00B419CE">
        <w:t xml:space="preserve"> slutta seg til regjeringa si behandling og vurderte vedtaket som </w:t>
      </w:r>
      <w:proofErr w:type="spellStart"/>
      <w:r w:rsidRPr="00B419CE">
        <w:t>utkvittert</w:t>
      </w:r>
      <w:proofErr w:type="spellEnd"/>
      <w:r w:rsidRPr="00B419CE">
        <w:t>.</w:t>
      </w:r>
    </w:p>
    <w:p w14:paraId="17BBD5C3" w14:textId="77777777" w:rsidR="00B419CE" w:rsidRPr="00B419CE" w:rsidRDefault="00B419CE" w:rsidP="00B419CE">
      <w:r w:rsidRPr="00B419CE">
        <w:t xml:space="preserve">Departementet viser til framstillinga i </w:t>
      </w:r>
      <w:proofErr w:type="spellStart"/>
      <w:r w:rsidRPr="00B419CE">
        <w:t>Prop</w:t>
      </w:r>
      <w:proofErr w:type="spellEnd"/>
      <w:r w:rsidRPr="00B419CE">
        <w:t xml:space="preserve">. 1 S (2019–2020), som finanskomiteen tok til orientering, og </w:t>
      </w:r>
      <w:proofErr w:type="spellStart"/>
      <w:r w:rsidRPr="00B419CE">
        <w:t>legg</w:t>
      </w:r>
      <w:proofErr w:type="spellEnd"/>
      <w:r w:rsidRPr="00B419CE">
        <w:t xml:space="preserve"> til grunn at oppmodingsvedtaket er </w:t>
      </w:r>
      <w:proofErr w:type="spellStart"/>
      <w:r w:rsidRPr="00B419CE">
        <w:t>følgt</w:t>
      </w:r>
      <w:proofErr w:type="spellEnd"/>
      <w:r w:rsidRPr="00B419CE">
        <w:t xml:space="preserve"> opp gjennom dette.</w:t>
      </w:r>
    </w:p>
    <w:p w14:paraId="1C04515D" w14:textId="77777777" w:rsidR="00B419CE" w:rsidRPr="00B419CE" w:rsidRDefault="00B419CE" w:rsidP="00B419CE">
      <w:pPr>
        <w:pStyle w:val="Overskrift2"/>
      </w:pPr>
      <w:r w:rsidRPr="00B419CE">
        <w:t>Stortingssesjon 2016–2017</w:t>
      </w:r>
    </w:p>
    <w:p w14:paraId="6CB2271D" w14:textId="77777777" w:rsidR="00B419CE" w:rsidRPr="00B419CE" w:rsidRDefault="00B419CE" w:rsidP="00B419CE">
      <w:pPr>
        <w:pStyle w:val="avsnitt-tittel"/>
      </w:pPr>
      <w:r w:rsidRPr="00B419CE">
        <w:t>Land-for-land rapportering</w:t>
      </w:r>
    </w:p>
    <w:p w14:paraId="09936492" w14:textId="77777777" w:rsidR="00B419CE" w:rsidRPr="00B419CE" w:rsidRDefault="00B419CE" w:rsidP="00B419CE">
      <w:pPr>
        <w:pStyle w:val="avsnitt-undertittel"/>
      </w:pPr>
      <w:r w:rsidRPr="00B419CE">
        <w:t>Vedtak nr. 48, 15. november 2016</w:t>
      </w:r>
    </w:p>
    <w:p w14:paraId="7685F134" w14:textId="77777777" w:rsidR="00B419CE" w:rsidRPr="00B419CE" w:rsidRDefault="00B419CE" w:rsidP="00B419CE">
      <w:pPr>
        <w:pStyle w:val="blokksit"/>
        <w:rPr>
          <w:rStyle w:val="kursiv"/>
        </w:rPr>
      </w:pPr>
      <w:r w:rsidRPr="00B419CE">
        <w:rPr>
          <w:rStyle w:val="kursiv"/>
        </w:rP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14:paraId="0B8352A0" w14:textId="77777777" w:rsidR="00B419CE" w:rsidRPr="00B419CE" w:rsidRDefault="00B419CE" w:rsidP="00B419CE">
      <w:r w:rsidRPr="00B419CE">
        <w:lastRenderedPageBreak/>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w:t>
      </w:r>
      <w:proofErr w:type="spellStart"/>
      <w:r w:rsidRPr="00B419CE">
        <w:t>Prop</w:t>
      </w:r>
      <w:proofErr w:type="spellEnd"/>
      <w:r w:rsidRPr="00B419CE">
        <w:t xml:space="preserve">. 120 L (2015–2016) </w:t>
      </w:r>
      <w:r w:rsidRPr="00B419CE">
        <w:rPr>
          <w:rStyle w:val="kursiv"/>
        </w:rPr>
        <w:t>Endringer i ligningsloven (land-for-land-rapportering til skattemyndighetene)</w:t>
      </w:r>
      <w:r w:rsidRPr="00B419CE">
        <w:t xml:space="preserve"> og </w:t>
      </w:r>
      <w:proofErr w:type="spellStart"/>
      <w:r w:rsidRPr="00B419CE">
        <w:t>tilhøyrande</w:t>
      </w:r>
      <w:proofErr w:type="spellEnd"/>
      <w:r w:rsidRPr="00B419CE">
        <w:t xml:space="preserve"> </w:t>
      </w:r>
      <w:proofErr w:type="spellStart"/>
      <w:r w:rsidRPr="00B419CE">
        <w:t>Innst</w:t>
      </w:r>
      <w:proofErr w:type="spellEnd"/>
      <w:r w:rsidRPr="00B419CE">
        <w:t xml:space="preserve">. 42 L (2016–2017). I Meld. St. 15 (2020–2021) opplyste Finansdepartementet at det tok sikte på å utarbeide forslag til </w:t>
      </w:r>
      <w:proofErr w:type="spellStart"/>
      <w:r w:rsidRPr="00B419CE">
        <w:t>lovendringar</w:t>
      </w:r>
      <w:proofErr w:type="spellEnd"/>
      <w:r w:rsidRPr="00B419CE">
        <w:t xml:space="preserve"> som vil </w:t>
      </w:r>
      <w:proofErr w:type="spellStart"/>
      <w:r w:rsidRPr="00B419CE">
        <w:t>verte</w:t>
      </w:r>
      <w:proofErr w:type="spellEnd"/>
      <w:r w:rsidRPr="00B419CE">
        <w:t xml:space="preserve"> sendt på </w:t>
      </w:r>
      <w:proofErr w:type="spellStart"/>
      <w:r w:rsidRPr="00B419CE">
        <w:t>høyring</w:t>
      </w:r>
      <w:proofErr w:type="spellEnd"/>
      <w:r w:rsidRPr="00B419CE">
        <w:t xml:space="preserve">. I </w:t>
      </w:r>
      <w:proofErr w:type="spellStart"/>
      <w:r w:rsidRPr="00B419CE">
        <w:t>Innst</w:t>
      </w:r>
      <w:proofErr w:type="spellEnd"/>
      <w:r w:rsidRPr="00B419CE">
        <w:t xml:space="preserve">. 580 S (2020–2021) opplyste kontroll- og konstitusjonskomiteen at den </w:t>
      </w:r>
      <w:proofErr w:type="spellStart"/>
      <w:r w:rsidRPr="00B419CE">
        <w:t>føreset</w:t>
      </w:r>
      <w:proofErr w:type="spellEnd"/>
      <w:r w:rsidRPr="00B419CE">
        <w:t xml:space="preserve"> at arbeidet med å gjennomføre Stortingets vedtak gis </w:t>
      </w:r>
      <w:proofErr w:type="spellStart"/>
      <w:r w:rsidRPr="00B419CE">
        <w:t>høg</w:t>
      </w:r>
      <w:proofErr w:type="spellEnd"/>
      <w:r w:rsidRPr="00B419CE">
        <w:t xml:space="preserve"> prioritet og </w:t>
      </w:r>
      <w:proofErr w:type="spellStart"/>
      <w:r w:rsidRPr="00B419CE">
        <w:t>opprettheld</w:t>
      </w:r>
      <w:proofErr w:type="spellEnd"/>
      <w:r w:rsidRPr="00B419CE">
        <w:t xml:space="preserve"> vedtaket i påvente av dette.</w:t>
      </w:r>
    </w:p>
    <w:p w14:paraId="48058BFB" w14:textId="77777777" w:rsidR="00B419CE" w:rsidRPr="00B419CE" w:rsidRDefault="00B419CE" w:rsidP="00B419CE">
      <w:proofErr w:type="spellStart"/>
      <w:r w:rsidRPr="00B419CE">
        <w:t>Reglar</w:t>
      </w:r>
      <w:proofErr w:type="spellEnd"/>
      <w:r w:rsidRPr="00B419CE">
        <w:t xml:space="preserve"> om </w:t>
      </w:r>
      <w:proofErr w:type="spellStart"/>
      <w:r w:rsidRPr="00B419CE">
        <w:t>offentleggjering</w:t>
      </w:r>
      <w:proofErr w:type="spellEnd"/>
      <w:r w:rsidRPr="00B419CE">
        <w:t xml:space="preserve">/rapportering av informasjon </w:t>
      </w:r>
      <w:proofErr w:type="spellStart"/>
      <w:r w:rsidRPr="00B419CE">
        <w:t>frå</w:t>
      </w:r>
      <w:proofErr w:type="spellEnd"/>
      <w:r w:rsidRPr="00B419CE">
        <w:t xml:space="preserve"> store, multinasjonale selskap fungerer best når </w:t>
      </w:r>
      <w:proofErr w:type="spellStart"/>
      <w:r w:rsidRPr="00B419CE">
        <w:t>dei</w:t>
      </w:r>
      <w:proofErr w:type="spellEnd"/>
      <w:r w:rsidRPr="00B419CE">
        <w:t xml:space="preserve"> er </w:t>
      </w:r>
      <w:proofErr w:type="spellStart"/>
      <w:r w:rsidRPr="00B419CE">
        <w:t>samkøyrde</w:t>
      </w:r>
      <w:proofErr w:type="spellEnd"/>
      <w:r w:rsidRPr="00B419CE">
        <w:t xml:space="preserve"> på tvers av landegrensene. Like </w:t>
      </w:r>
      <w:proofErr w:type="spellStart"/>
      <w:r w:rsidRPr="00B419CE">
        <w:t>reglar</w:t>
      </w:r>
      <w:proofErr w:type="spellEnd"/>
      <w:r w:rsidRPr="00B419CE">
        <w:t xml:space="preserve"> </w:t>
      </w:r>
      <w:proofErr w:type="spellStart"/>
      <w:r w:rsidRPr="00B419CE">
        <w:t>bidreg</w:t>
      </w:r>
      <w:proofErr w:type="spellEnd"/>
      <w:r w:rsidRPr="00B419CE">
        <w:t xml:space="preserve"> til god informasjon, like konkurransevilkår og </w:t>
      </w:r>
      <w:proofErr w:type="spellStart"/>
      <w:r w:rsidRPr="00B419CE">
        <w:t>fråvær</w:t>
      </w:r>
      <w:proofErr w:type="spellEnd"/>
      <w:r w:rsidRPr="00B419CE">
        <w:t xml:space="preserve"> av regelverksarbitrasje. På europeisk nivå har det lenge </w:t>
      </w:r>
      <w:proofErr w:type="spellStart"/>
      <w:r w:rsidRPr="00B419CE">
        <w:t>vore</w:t>
      </w:r>
      <w:proofErr w:type="spellEnd"/>
      <w:r w:rsidRPr="00B419CE">
        <w:t xml:space="preserve"> diskutert om </w:t>
      </w:r>
      <w:proofErr w:type="spellStart"/>
      <w:r w:rsidRPr="00B419CE">
        <w:t>ein</w:t>
      </w:r>
      <w:proofErr w:type="spellEnd"/>
      <w:r w:rsidRPr="00B419CE">
        <w:t xml:space="preserve"> bør innføre krav om </w:t>
      </w:r>
      <w:proofErr w:type="spellStart"/>
      <w:r w:rsidRPr="00B419CE">
        <w:t>offentleggjering</w:t>
      </w:r>
      <w:proofErr w:type="spellEnd"/>
      <w:r w:rsidRPr="00B419CE">
        <w:t xml:space="preserve"> av visse skatterelaterte </w:t>
      </w:r>
      <w:proofErr w:type="spellStart"/>
      <w:r w:rsidRPr="00B419CE">
        <w:t>opplysingar</w:t>
      </w:r>
      <w:proofErr w:type="spellEnd"/>
      <w:r w:rsidRPr="00B419CE">
        <w:t xml:space="preserve"> for store </w:t>
      </w:r>
      <w:proofErr w:type="spellStart"/>
      <w:r w:rsidRPr="00B419CE">
        <w:t>fleirnasjonale</w:t>
      </w:r>
      <w:proofErr w:type="spellEnd"/>
      <w:r w:rsidRPr="00B419CE">
        <w:t xml:space="preserve"> </w:t>
      </w:r>
      <w:proofErr w:type="spellStart"/>
      <w:r w:rsidRPr="00B419CE">
        <w:t>føretak</w:t>
      </w:r>
      <w:proofErr w:type="spellEnd"/>
      <w:r w:rsidRPr="00B419CE">
        <w:t xml:space="preserve"> som driv </w:t>
      </w:r>
      <w:proofErr w:type="spellStart"/>
      <w:r w:rsidRPr="00B419CE">
        <w:t>verksemd</w:t>
      </w:r>
      <w:proofErr w:type="spellEnd"/>
      <w:r w:rsidRPr="00B419CE">
        <w:t xml:space="preserve"> i EU. Prosessen har stått stille i lengre tid, men sommeren 2021 </w:t>
      </w:r>
      <w:proofErr w:type="spellStart"/>
      <w:r w:rsidRPr="00B419CE">
        <w:t>vart</w:t>
      </w:r>
      <w:proofErr w:type="spellEnd"/>
      <w:r w:rsidRPr="00B419CE">
        <w:t xml:space="preserve"> det oppnådd politisk semje om regelverket om </w:t>
      </w:r>
      <w:proofErr w:type="spellStart"/>
      <w:r w:rsidRPr="00B419CE">
        <w:t>offentleggjering</w:t>
      </w:r>
      <w:proofErr w:type="spellEnd"/>
      <w:r w:rsidRPr="00B419CE">
        <w:t xml:space="preserve"> av visse skatterelaterte </w:t>
      </w:r>
      <w:proofErr w:type="spellStart"/>
      <w:r w:rsidRPr="00B419CE">
        <w:t>opplysingar</w:t>
      </w:r>
      <w:proofErr w:type="spellEnd"/>
      <w:r w:rsidRPr="00B419CE">
        <w:t xml:space="preserve">. </w:t>
      </w:r>
      <w:proofErr w:type="spellStart"/>
      <w:r w:rsidRPr="00B419CE">
        <w:t>Sidan</w:t>
      </w:r>
      <w:proofErr w:type="spellEnd"/>
      <w:r w:rsidRPr="00B419CE">
        <w:t xml:space="preserve"> det vil </w:t>
      </w:r>
      <w:proofErr w:type="spellStart"/>
      <w:r w:rsidRPr="00B419CE">
        <w:t>kome</w:t>
      </w:r>
      <w:proofErr w:type="spellEnd"/>
      <w:r w:rsidRPr="00B419CE">
        <w:t xml:space="preserve"> EØS-relevante EU-</w:t>
      </w:r>
      <w:proofErr w:type="spellStart"/>
      <w:r w:rsidRPr="00B419CE">
        <w:t>reglar</w:t>
      </w:r>
      <w:proofErr w:type="spellEnd"/>
      <w:r w:rsidRPr="00B419CE">
        <w:t xml:space="preserve"> på sentrale </w:t>
      </w:r>
      <w:proofErr w:type="spellStart"/>
      <w:r w:rsidRPr="00B419CE">
        <w:t>delar</w:t>
      </w:r>
      <w:proofErr w:type="spellEnd"/>
      <w:r w:rsidRPr="00B419CE">
        <w:t xml:space="preserve"> av området som oppmodingsvedtaket </w:t>
      </w:r>
      <w:proofErr w:type="spellStart"/>
      <w:r w:rsidRPr="00B419CE">
        <w:t>dekkjer</w:t>
      </w:r>
      <w:proofErr w:type="spellEnd"/>
      <w:r w:rsidRPr="00B419CE">
        <w:t xml:space="preserve">, vil oppmodingsvedtaket </w:t>
      </w:r>
      <w:proofErr w:type="spellStart"/>
      <w:r w:rsidRPr="00B419CE">
        <w:t>verte</w:t>
      </w:r>
      <w:proofErr w:type="spellEnd"/>
      <w:r w:rsidRPr="00B419CE">
        <w:t xml:space="preserve"> </w:t>
      </w:r>
      <w:proofErr w:type="spellStart"/>
      <w:r w:rsidRPr="00B419CE">
        <w:t>følgt</w:t>
      </w:r>
      <w:proofErr w:type="spellEnd"/>
      <w:r w:rsidRPr="00B419CE">
        <w:t xml:space="preserve"> opp i samband med gjennomføring av </w:t>
      </w:r>
      <w:proofErr w:type="spellStart"/>
      <w:r w:rsidRPr="00B419CE">
        <w:t>Noregs</w:t>
      </w:r>
      <w:proofErr w:type="spellEnd"/>
      <w:r w:rsidRPr="00B419CE">
        <w:t xml:space="preserve"> ventede EØS-</w:t>
      </w:r>
      <w:proofErr w:type="spellStart"/>
      <w:r w:rsidRPr="00B419CE">
        <w:t>rettslege</w:t>
      </w:r>
      <w:proofErr w:type="spellEnd"/>
      <w:r w:rsidRPr="00B419CE">
        <w:t xml:space="preserve"> skyldnader. Det vil samstundes </w:t>
      </w:r>
      <w:proofErr w:type="spellStart"/>
      <w:r w:rsidRPr="00B419CE">
        <w:t>vere</w:t>
      </w:r>
      <w:proofErr w:type="spellEnd"/>
      <w:r w:rsidRPr="00B419CE">
        <w:t xml:space="preserve"> behov for ei </w:t>
      </w:r>
      <w:proofErr w:type="spellStart"/>
      <w:r w:rsidRPr="00B419CE">
        <w:t>særskild</w:t>
      </w:r>
      <w:proofErr w:type="spellEnd"/>
      <w:r w:rsidRPr="00B419CE">
        <w:t xml:space="preserve"> vurdering av det nasjonale handlingsrommet ved </w:t>
      </w:r>
      <w:proofErr w:type="spellStart"/>
      <w:r w:rsidRPr="00B419CE">
        <w:t>sidan</w:t>
      </w:r>
      <w:proofErr w:type="spellEnd"/>
      <w:r w:rsidRPr="00B419CE">
        <w:t xml:space="preserve"> av slike </w:t>
      </w:r>
      <w:proofErr w:type="spellStart"/>
      <w:r w:rsidRPr="00B419CE">
        <w:t>reglar</w:t>
      </w:r>
      <w:proofErr w:type="spellEnd"/>
      <w:r w:rsidRPr="00B419CE">
        <w:t xml:space="preserve">. Finansdepartementet </w:t>
      </w:r>
      <w:proofErr w:type="spellStart"/>
      <w:r w:rsidRPr="00B419CE">
        <w:t>tek</w:t>
      </w:r>
      <w:proofErr w:type="spellEnd"/>
      <w:r w:rsidRPr="00B419CE">
        <w:t xml:space="preserve"> sikte på å utarbeide og høyre forslag til </w:t>
      </w:r>
      <w:proofErr w:type="spellStart"/>
      <w:r w:rsidRPr="00B419CE">
        <w:t>lovendringar</w:t>
      </w:r>
      <w:proofErr w:type="spellEnd"/>
      <w:r w:rsidRPr="00B419CE">
        <w:t xml:space="preserve"> basert på nye EU-</w:t>
      </w:r>
      <w:proofErr w:type="spellStart"/>
      <w:r w:rsidRPr="00B419CE">
        <w:t>reglar</w:t>
      </w:r>
      <w:proofErr w:type="spellEnd"/>
      <w:r w:rsidRPr="00B419CE">
        <w:t>.</w:t>
      </w:r>
    </w:p>
    <w:p w14:paraId="17D7FD71" w14:textId="77777777" w:rsidR="00B419CE" w:rsidRPr="00B419CE" w:rsidRDefault="00B419CE" w:rsidP="00B419CE">
      <w:pPr>
        <w:pStyle w:val="avsnitt-tittel"/>
      </w:pPr>
      <w:r w:rsidRPr="00B419CE">
        <w:t xml:space="preserve">Sikre behovet hos </w:t>
      </w:r>
      <w:proofErr w:type="spellStart"/>
      <w:r w:rsidRPr="00B419CE">
        <w:t>bustadkjøpare</w:t>
      </w:r>
      <w:proofErr w:type="spellEnd"/>
      <w:r w:rsidRPr="00B419CE">
        <w:t xml:space="preserve"> for </w:t>
      </w:r>
      <w:proofErr w:type="spellStart"/>
      <w:r w:rsidRPr="00B419CE">
        <w:t>meir</w:t>
      </w:r>
      <w:proofErr w:type="spellEnd"/>
      <w:r w:rsidRPr="00B419CE">
        <w:t xml:space="preserve"> tid i bustadhandelen</w:t>
      </w:r>
    </w:p>
    <w:p w14:paraId="5422A90C" w14:textId="77777777" w:rsidR="00B419CE" w:rsidRPr="00B419CE" w:rsidRDefault="00B419CE" w:rsidP="00B419CE">
      <w:pPr>
        <w:pStyle w:val="avsnitt-undertittel"/>
      </w:pPr>
      <w:r w:rsidRPr="00B419CE">
        <w:t>Vedtak nr. 1040, 20. juni 2017</w:t>
      </w:r>
    </w:p>
    <w:p w14:paraId="50BC18C2" w14:textId="77777777" w:rsidR="00B419CE" w:rsidRPr="00B419CE" w:rsidRDefault="00B419CE" w:rsidP="00B419CE">
      <w:pPr>
        <w:pStyle w:val="blokksit"/>
        <w:rPr>
          <w:rStyle w:val="kursiv"/>
        </w:rPr>
      </w:pPr>
      <w:r w:rsidRPr="00B419CE">
        <w:rPr>
          <w:rStyle w:val="kursiv"/>
        </w:rPr>
        <w:t>«Stortinget ber regjeringen sikre boligkjøpernes behov for mer tid i bolighandelen gjennom forskriftene til eiendomsmeglingsloven eller ved å fremme forslag for Stortinget om endringer i avhendingsloven»</w:t>
      </w:r>
    </w:p>
    <w:p w14:paraId="5B0EBDCA" w14:textId="77777777" w:rsidR="00B419CE" w:rsidRPr="00B419CE" w:rsidRDefault="00B419CE" w:rsidP="00B419CE">
      <w:r w:rsidRPr="00B419CE">
        <w:t xml:space="preserve">Vedtaket </w:t>
      </w:r>
      <w:proofErr w:type="spellStart"/>
      <w:r w:rsidRPr="00B419CE">
        <w:t>vart</w:t>
      </w:r>
      <w:proofErr w:type="spellEnd"/>
      <w:r w:rsidRPr="00B419CE">
        <w:t xml:space="preserve"> gjort ved </w:t>
      </w:r>
      <w:proofErr w:type="spellStart"/>
      <w:r w:rsidRPr="00B419CE">
        <w:t>behandlinga</w:t>
      </w:r>
      <w:proofErr w:type="spellEnd"/>
      <w:r w:rsidRPr="00B419CE">
        <w:t xml:space="preserve"> av Dokument 8:123 S (2016–2017) </w:t>
      </w:r>
      <w:r w:rsidRPr="00B419CE">
        <w:rPr>
          <w:rStyle w:val="kursiv"/>
        </w:rPr>
        <w:t xml:space="preserve">Representantforslag fra stortingsrepresentantene Hans Olav Syversen, Line Henriette Hjemdal, Hans Fredrik </w:t>
      </w:r>
      <w:proofErr w:type="spellStart"/>
      <w:r w:rsidRPr="00B419CE">
        <w:rPr>
          <w:rStyle w:val="kursiv"/>
        </w:rPr>
        <w:t>Grøvan</w:t>
      </w:r>
      <w:proofErr w:type="spellEnd"/>
      <w:r w:rsidRPr="00B419CE">
        <w:rPr>
          <w:rStyle w:val="kursiv"/>
        </w:rPr>
        <w:t xml:space="preserve">, Kjell Ingolf Ropstad og Geir Sigbjørn </w:t>
      </w:r>
      <w:proofErr w:type="spellStart"/>
      <w:r w:rsidRPr="00B419CE">
        <w:rPr>
          <w:rStyle w:val="kursiv"/>
        </w:rPr>
        <w:t>Toskedal</w:t>
      </w:r>
      <w:proofErr w:type="spellEnd"/>
      <w:r w:rsidRPr="00B419CE">
        <w:rPr>
          <w:rStyle w:val="kursiv"/>
        </w:rPr>
        <w:t xml:space="preserve"> om tiltak for å styrke forbrukernes rettigheter i handel med bolig</w:t>
      </w:r>
      <w:r w:rsidRPr="00B419CE">
        <w:t xml:space="preserve">, jf. </w:t>
      </w:r>
      <w:proofErr w:type="spellStart"/>
      <w:r w:rsidRPr="00B419CE">
        <w:t>Innst</w:t>
      </w:r>
      <w:proofErr w:type="spellEnd"/>
      <w:r w:rsidRPr="00B419CE">
        <w:t>. 477 S (2016–2017).</w:t>
      </w:r>
    </w:p>
    <w:p w14:paraId="5F93DD20" w14:textId="77777777" w:rsidR="00B419CE" w:rsidRPr="00B419CE" w:rsidRDefault="00B419CE" w:rsidP="00B419CE">
      <w:r w:rsidRPr="00B419CE">
        <w:t xml:space="preserve">I </w:t>
      </w:r>
      <w:proofErr w:type="spellStart"/>
      <w:r w:rsidRPr="00B419CE">
        <w:t>Prop</w:t>
      </w:r>
      <w:proofErr w:type="spellEnd"/>
      <w:r w:rsidRPr="00B419CE">
        <w:t xml:space="preserve">. 1 S (2019–2020) opplyste Finansdepartementet at det tok sikte på å </w:t>
      </w:r>
      <w:proofErr w:type="spellStart"/>
      <w:r w:rsidRPr="00B419CE">
        <w:t>setje</w:t>
      </w:r>
      <w:proofErr w:type="spellEnd"/>
      <w:r w:rsidRPr="00B419CE">
        <w:t xml:space="preserve"> ned </w:t>
      </w:r>
      <w:proofErr w:type="spellStart"/>
      <w:r w:rsidRPr="00B419CE">
        <w:t>eit</w:t>
      </w:r>
      <w:proofErr w:type="spellEnd"/>
      <w:r w:rsidRPr="00B419CE">
        <w:t xml:space="preserve"> </w:t>
      </w:r>
      <w:proofErr w:type="spellStart"/>
      <w:r w:rsidRPr="00B419CE">
        <w:t>lovutval</w:t>
      </w:r>
      <w:proofErr w:type="spellEnd"/>
      <w:r w:rsidRPr="00B419CE">
        <w:t xml:space="preserve"> </w:t>
      </w:r>
      <w:proofErr w:type="spellStart"/>
      <w:r w:rsidRPr="00B419CE">
        <w:t>hausten</w:t>
      </w:r>
      <w:proofErr w:type="spellEnd"/>
      <w:r w:rsidRPr="00B419CE">
        <w:t xml:space="preserve"> 2019 for å revidere </w:t>
      </w:r>
      <w:proofErr w:type="spellStart"/>
      <w:r w:rsidRPr="00B419CE">
        <w:t>eigedomsmeklingslova</w:t>
      </w:r>
      <w:proofErr w:type="spellEnd"/>
      <w:r w:rsidRPr="00B419CE">
        <w:t xml:space="preserve">. </w:t>
      </w:r>
      <w:proofErr w:type="spellStart"/>
      <w:r w:rsidRPr="00B419CE">
        <w:t>Utvalet</w:t>
      </w:r>
      <w:proofErr w:type="spellEnd"/>
      <w:r w:rsidRPr="00B419CE">
        <w:t xml:space="preserve"> vart sett ned 11. oktober 2019, jf. Meld. St. 12 (2019–2020). I Meld. St. 15 (2020–2021) </w:t>
      </w:r>
      <w:proofErr w:type="spellStart"/>
      <w:r w:rsidRPr="00B419CE">
        <w:t>vart</w:t>
      </w:r>
      <w:proofErr w:type="spellEnd"/>
      <w:r w:rsidRPr="00B419CE">
        <w:t xml:space="preserve"> det vist til omtalen i </w:t>
      </w:r>
      <w:proofErr w:type="spellStart"/>
      <w:r w:rsidRPr="00B419CE">
        <w:t>Prop</w:t>
      </w:r>
      <w:proofErr w:type="spellEnd"/>
      <w:r w:rsidRPr="00B419CE">
        <w:t xml:space="preserve">. 1 S (2020–2021), der departementet opplyste at utvalget hadde frist 5. januar 2021 med å levere </w:t>
      </w:r>
      <w:proofErr w:type="spellStart"/>
      <w:r w:rsidRPr="00B419CE">
        <w:t>si</w:t>
      </w:r>
      <w:proofErr w:type="spellEnd"/>
      <w:r w:rsidRPr="00B419CE">
        <w:t xml:space="preserve"> innstilling. Departementet </w:t>
      </w:r>
      <w:proofErr w:type="spellStart"/>
      <w:r w:rsidRPr="00B419CE">
        <w:t>tek</w:t>
      </w:r>
      <w:proofErr w:type="spellEnd"/>
      <w:r w:rsidRPr="00B419CE">
        <w:t xml:space="preserve"> til etterretning at kontroll- og konstitusjonskomiteen </w:t>
      </w:r>
      <w:proofErr w:type="spellStart"/>
      <w:r w:rsidRPr="00B419CE">
        <w:t>ikkje</w:t>
      </w:r>
      <w:proofErr w:type="spellEnd"/>
      <w:r w:rsidRPr="00B419CE">
        <w:t xml:space="preserve"> anså vedtaket som </w:t>
      </w:r>
      <w:proofErr w:type="spellStart"/>
      <w:r w:rsidRPr="00B419CE">
        <w:t>utkvittert</w:t>
      </w:r>
      <w:proofErr w:type="spellEnd"/>
      <w:r w:rsidRPr="00B419CE">
        <w:t xml:space="preserve">, jf. </w:t>
      </w:r>
      <w:proofErr w:type="spellStart"/>
      <w:r w:rsidRPr="00B419CE">
        <w:t>Innst</w:t>
      </w:r>
      <w:proofErr w:type="spellEnd"/>
      <w:r w:rsidRPr="00B419CE">
        <w:t>. 580 S (2020–2021).</w:t>
      </w:r>
    </w:p>
    <w:p w14:paraId="4697004C" w14:textId="77777777" w:rsidR="00B419CE" w:rsidRPr="00B419CE" w:rsidRDefault="00B419CE" w:rsidP="00B419CE">
      <w:proofErr w:type="spellStart"/>
      <w:r w:rsidRPr="00B419CE">
        <w:t>Utvalet</w:t>
      </w:r>
      <w:proofErr w:type="spellEnd"/>
      <w:r w:rsidRPr="00B419CE">
        <w:t xml:space="preserve"> overleverte si utgreiing, NOU 2021: 7 </w:t>
      </w:r>
      <w:r w:rsidRPr="00B419CE">
        <w:rPr>
          <w:rStyle w:val="kursiv"/>
        </w:rPr>
        <w:t>Trygg og enkel eiendomsmegling — Evaluering av eiendomsmeglingsloven og forslag til en fremtidsrettet regulering</w:t>
      </w:r>
      <w:r w:rsidRPr="00B419CE">
        <w:t xml:space="preserve">, 4. juni 2021. Utgreiinga </w:t>
      </w:r>
      <w:proofErr w:type="spellStart"/>
      <w:r w:rsidRPr="00B419CE">
        <w:t>inneheld</w:t>
      </w:r>
      <w:proofErr w:type="spellEnd"/>
      <w:r w:rsidRPr="00B419CE">
        <w:t xml:space="preserve"> mellom anna forslag til </w:t>
      </w:r>
      <w:proofErr w:type="spellStart"/>
      <w:r w:rsidRPr="00B419CE">
        <w:t>endringar</w:t>
      </w:r>
      <w:proofErr w:type="spellEnd"/>
      <w:r w:rsidRPr="00B419CE">
        <w:t xml:space="preserve"> som skal sikre </w:t>
      </w:r>
      <w:proofErr w:type="spellStart"/>
      <w:r w:rsidRPr="00B419CE">
        <w:t>forbrukarar</w:t>
      </w:r>
      <w:proofErr w:type="spellEnd"/>
      <w:r w:rsidRPr="00B419CE">
        <w:t xml:space="preserve"> </w:t>
      </w:r>
      <w:proofErr w:type="spellStart"/>
      <w:r w:rsidRPr="00B419CE">
        <w:t>meir</w:t>
      </w:r>
      <w:proofErr w:type="spellEnd"/>
      <w:r w:rsidRPr="00B419CE">
        <w:t xml:space="preserve"> tid i bustadhandelen. Utgreiinga har </w:t>
      </w:r>
      <w:proofErr w:type="spellStart"/>
      <w:r w:rsidRPr="00B419CE">
        <w:t>vore</w:t>
      </w:r>
      <w:proofErr w:type="spellEnd"/>
      <w:r w:rsidRPr="00B419CE">
        <w:t xml:space="preserve"> på </w:t>
      </w:r>
      <w:proofErr w:type="spellStart"/>
      <w:r w:rsidRPr="00B419CE">
        <w:t>høyring</w:t>
      </w:r>
      <w:proofErr w:type="spellEnd"/>
      <w:r w:rsidRPr="00B419CE">
        <w:t xml:space="preserve"> til oktober 2021. Departementet </w:t>
      </w:r>
      <w:r w:rsidRPr="00B419CE">
        <w:lastRenderedPageBreak/>
        <w:t xml:space="preserve">vil vurdere forslaga i </w:t>
      </w:r>
      <w:proofErr w:type="spellStart"/>
      <w:r w:rsidRPr="00B419CE">
        <w:t>ljos</w:t>
      </w:r>
      <w:proofErr w:type="spellEnd"/>
      <w:r w:rsidRPr="00B419CE">
        <w:t xml:space="preserve"> av </w:t>
      </w:r>
      <w:proofErr w:type="spellStart"/>
      <w:r w:rsidRPr="00B419CE">
        <w:t>dei</w:t>
      </w:r>
      <w:proofErr w:type="spellEnd"/>
      <w:r w:rsidRPr="00B419CE">
        <w:t xml:space="preserve"> innkomne </w:t>
      </w:r>
      <w:proofErr w:type="spellStart"/>
      <w:r w:rsidRPr="00B419CE">
        <w:t>høyringsfråsegnene</w:t>
      </w:r>
      <w:proofErr w:type="spellEnd"/>
      <w:r w:rsidRPr="00B419CE">
        <w:t xml:space="preserve"> når det arbeider </w:t>
      </w:r>
      <w:proofErr w:type="spellStart"/>
      <w:r w:rsidRPr="00B419CE">
        <w:t>vidare</w:t>
      </w:r>
      <w:proofErr w:type="spellEnd"/>
      <w:r w:rsidRPr="00B419CE">
        <w:t xml:space="preserve"> med å </w:t>
      </w:r>
      <w:proofErr w:type="spellStart"/>
      <w:r w:rsidRPr="00B419CE">
        <w:t>følgje</w:t>
      </w:r>
      <w:proofErr w:type="spellEnd"/>
      <w:r w:rsidRPr="00B419CE">
        <w:t xml:space="preserve"> opp oppmodingsvedtaket.</w:t>
      </w:r>
    </w:p>
    <w:p w14:paraId="29F33E20" w14:textId="77777777" w:rsidR="00B419CE" w:rsidRPr="00B419CE" w:rsidRDefault="00B419CE" w:rsidP="00B419CE">
      <w:pPr>
        <w:pStyle w:val="Overskrift1"/>
      </w:pPr>
      <w:proofErr w:type="spellStart"/>
      <w:r w:rsidRPr="00B419CE">
        <w:t>Oversiktstabellar</w:t>
      </w:r>
      <w:proofErr w:type="spellEnd"/>
      <w:r w:rsidRPr="00B419CE">
        <w:t xml:space="preserve"> for budsjettet</w:t>
      </w:r>
    </w:p>
    <w:p w14:paraId="73A31548" w14:textId="77777777" w:rsidR="00B419CE" w:rsidRPr="00B419CE" w:rsidRDefault="00B419CE" w:rsidP="00B419CE">
      <w:pPr>
        <w:pStyle w:val="Undertittel"/>
      </w:pPr>
      <w:r w:rsidRPr="00B419CE">
        <w:t>Utgifter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41E90BBE" w14:textId="77777777" w:rsidTr="00B419CE">
        <w:trPr>
          <w:trHeight w:val="640"/>
          <w:hidden/>
        </w:trPr>
        <w:tc>
          <w:tcPr>
            <w:tcW w:w="1020" w:type="dxa"/>
            <w:shd w:val="clear" w:color="auto" w:fill="FFFFFF"/>
          </w:tcPr>
          <w:p w14:paraId="52746C2F" w14:textId="77777777" w:rsidR="00B419CE" w:rsidRPr="00B419CE" w:rsidRDefault="00B419CE" w:rsidP="00B419CE">
            <w:pPr>
              <w:pStyle w:val="Tabellnavn"/>
            </w:pPr>
            <w:r w:rsidRPr="00B419CE">
              <w:t>UIPOKL</w:t>
            </w:r>
          </w:p>
        </w:tc>
        <w:tc>
          <w:tcPr>
            <w:tcW w:w="4080" w:type="dxa"/>
          </w:tcPr>
          <w:p w14:paraId="576718D2" w14:textId="77777777" w:rsidR="00B419CE" w:rsidRPr="00B419CE" w:rsidRDefault="00B419CE" w:rsidP="00B419CE"/>
        </w:tc>
        <w:tc>
          <w:tcPr>
            <w:tcW w:w="1020" w:type="dxa"/>
          </w:tcPr>
          <w:p w14:paraId="293010A6" w14:textId="77777777" w:rsidR="00B419CE" w:rsidRPr="00B419CE" w:rsidRDefault="00B419CE" w:rsidP="00B419CE">
            <w:pPr>
              <w:jc w:val="right"/>
            </w:pPr>
          </w:p>
        </w:tc>
        <w:tc>
          <w:tcPr>
            <w:tcW w:w="1020" w:type="dxa"/>
          </w:tcPr>
          <w:p w14:paraId="33FB7A69" w14:textId="77777777" w:rsidR="00B419CE" w:rsidRPr="00B419CE" w:rsidRDefault="00B419CE" w:rsidP="00B419CE">
            <w:pPr>
              <w:jc w:val="right"/>
            </w:pPr>
          </w:p>
        </w:tc>
        <w:tc>
          <w:tcPr>
            <w:tcW w:w="1020" w:type="dxa"/>
          </w:tcPr>
          <w:p w14:paraId="5193DA45" w14:textId="77777777" w:rsidR="00B419CE" w:rsidRPr="00B419CE" w:rsidRDefault="00B419CE" w:rsidP="00B419CE">
            <w:pPr>
              <w:jc w:val="right"/>
            </w:pPr>
          </w:p>
        </w:tc>
        <w:tc>
          <w:tcPr>
            <w:tcW w:w="1020" w:type="dxa"/>
          </w:tcPr>
          <w:p w14:paraId="302977E3" w14:textId="77777777" w:rsidR="00B419CE" w:rsidRPr="00B419CE" w:rsidRDefault="00B419CE" w:rsidP="00B419CE">
            <w:pPr>
              <w:jc w:val="right"/>
            </w:pPr>
            <w:r w:rsidRPr="00B419CE">
              <w:t>(i 1 000 kr)</w:t>
            </w:r>
          </w:p>
        </w:tc>
      </w:tr>
      <w:tr w:rsidR="00B419CE" w:rsidRPr="00B419CE" w14:paraId="43C90FB9" w14:textId="77777777" w:rsidTr="00B419CE">
        <w:trPr>
          <w:trHeight w:val="600"/>
        </w:trPr>
        <w:tc>
          <w:tcPr>
            <w:tcW w:w="1020" w:type="dxa"/>
          </w:tcPr>
          <w:p w14:paraId="24744E6B" w14:textId="77777777" w:rsidR="00B419CE" w:rsidRPr="00B419CE" w:rsidRDefault="00B419CE" w:rsidP="00B419CE">
            <w:r w:rsidRPr="00B419CE">
              <w:t>Kap.</w:t>
            </w:r>
          </w:p>
        </w:tc>
        <w:tc>
          <w:tcPr>
            <w:tcW w:w="4080" w:type="dxa"/>
          </w:tcPr>
          <w:p w14:paraId="1CF122E9" w14:textId="77777777" w:rsidR="00B419CE" w:rsidRPr="00B419CE" w:rsidRDefault="00B419CE" w:rsidP="00B419CE">
            <w:proofErr w:type="spellStart"/>
            <w:r w:rsidRPr="00B419CE">
              <w:t>Nemning</w:t>
            </w:r>
            <w:proofErr w:type="spellEnd"/>
          </w:p>
        </w:tc>
        <w:tc>
          <w:tcPr>
            <w:tcW w:w="1020" w:type="dxa"/>
          </w:tcPr>
          <w:p w14:paraId="69D4F56C"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29D81397" w14:textId="77777777" w:rsidR="00B419CE" w:rsidRPr="00B419CE" w:rsidRDefault="00B419CE" w:rsidP="00B419CE">
            <w:pPr>
              <w:jc w:val="right"/>
            </w:pPr>
            <w:r w:rsidRPr="00B419CE">
              <w:t>Saldert</w:t>
            </w:r>
            <w:r w:rsidRPr="00B419CE">
              <w:br/>
              <w:t xml:space="preserve"> budsjett 2021</w:t>
            </w:r>
          </w:p>
        </w:tc>
        <w:tc>
          <w:tcPr>
            <w:tcW w:w="1020" w:type="dxa"/>
          </w:tcPr>
          <w:p w14:paraId="61745C26" w14:textId="77777777" w:rsidR="00B419CE" w:rsidRPr="00B419CE" w:rsidRDefault="00B419CE" w:rsidP="00B419CE">
            <w:pPr>
              <w:jc w:val="right"/>
            </w:pPr>
            <w:r w:rsidRPr="00B419CE">
              <w:t>Forslag</w:t>
            </w:r>
            <w:r w:rsidRPr="00B419CE">
              <w:br/>
              <w:t xml:space="preserve"> 2022</w:t>
            </w:r>
          </w:p>
        </w:tc>
        <w:tc>
          <w:tcPr>
            <w:tcW w:w="1020" w:type="dxa"/>
          </w:tcPr>
          <w:p w14:paraId="480004E8" w14:textId="77777777" w:rsidR="00B419CE" w:rsidRPr="00B419CE" w:rsidRDefault="00B419CE" w:rsidP="00B419CE">
            <w:pPr>
              <w:jc w:val="right"/>
            </w:pPr>
            <w:r w:rsidRPr="00B419CE">
              <w:t>Endring</w:t>
            </w:r>
            <w:r w:rsidRPr="00B419CE">
              <w:br/>
              <w:t xml:space="preserve"> i pst.</w:t>
            </w:r>
          </w:p>
        </w:tc>
      </w:tr>
      <w:tr w:rsidR="00B419CE" w:rsidRPr="00B419CE" w14:paraId="1A909D7D" w14:textId="77777777" w:rsidTr="00B419CE">
        <w:trPr>
          <w:trHeight w:val="380"/>
        </w:trPr>
        <w:tc>
          <w:tcPr>
            <w:tcW w:w="1020" w:type="dxa"/>
          </w:tcPr>
          <w:p w14:paraId="136D0513" w14:textId="77777777" w:rsidR="00B419CE" w:rsidRPr="00B419CE" w:rsidRDefault="00B419CE" w:rsidP="00B419CE"/>
        </w:tc>
        <w:tc>
          <w:tcPr>
            <w:tcW w:w="4080" w:type="dxa"/>
          </w:tcPr>
          <w:p w14:paraId="58686DB6" w14:textId="77777777" w:rsidR="00B419CE" w:rsidRPr="00B419CE" w:rsidRDefault="00B419CE" w:rsidP="00B419CE">
            <w:r w:rsidRPr="00B419CE">
              <w:rPr>
                <w:rStyle w:val="halvfet"/>
              </w:rPr>
              <w:t>Regjeringa</w:t>
            </w:r>
          </w:p>
        </w:tc>
        <w:tc>
          <w:tcPr>
            <w:tcW w:w="1020" w:type="dxa"/>
          </w:tcPr>
          <w:p w14:paraId="3945C7B8" w14:textId="77777777" w:rsidR="00B419CE" w:rsidRPr="00B419CE" w:rsidRDefault="00B419CE" w:rsidP="00B419CE">
            <w:pPr>
              <w:jc w:val="right"/>
            </w:pPr>
          </w:p>
        </w:tc>
        <w:tc>
          <w:tcPr>
            <w:tcW w:w="1020" w:type="dxa"/>
          </w:tcPr>
          <w:p w14:paraId="450BA733" w14:textId="77777777" w:rsidR="00B419CE" w:rsidRPr="00B419CE" w:rsidRDefault="00B419CE" w:rsidP="00B419CE">
            <w:pPr>
              <w:jc w:val="right"/>
            </w:pPr>
          </w:p>
        </w:tc>
        <w:tc>
          <w:tcPr>
            <w:tcW w:w="1020" w:type="dxa"/>
          </w:tcPr>
          <w:p w14:paraId="6B1A22B2" w14:textId="77777777" w:rsidR="00B419CE" w:rsidRPr="00B419CE" w:rsidRDefault="00B419CE" w:rsidP="00B419CE">
            <w:pPr>
              <w:jc w:val="right"/>
            </w:pPr>
          </w:p>
        </w:tc>
        <w:tc>
          <w:tcPr>
            <w:tcW w:w="1020" w:type="dxa"/>
          </w:tcPr>
          <w:p w14:paraId="64B1F854" w14:textId="77777777" w:rsidR="00B419CE" w:rsidRPr="00B419CE" w:rsidRDefault="00B419CE" w:rsidP="00B419CE">
            <w:pPr>
              <w:jc w:val="right"/>
            </w:pPr>
          </w:p>
        </w:tc>
      </w:tr>
      <w:tr w:rsidR="00B419CE" w:rsidRPr="00B419CE" w14:paraId="11A3EE30" w14:textId="77777777" w:rsidTr="00B419CE">
        <w:trPr>
          <w:trHeight w:val="380"/>
        </w:trPr>
        <w:tc>
          <w:tcPr>
            <w:tcW w:w="1020" w:type="dxa"/>
          </w:tcPr>
          <w:p w14:paraId="38F67843" w14:textId="77777777" w:rsidR="00B419CE" w:rsidRPr="00B419CE" w:rsidRDefault="00B419CE" w:rsidP="00B419CE">
            <w:r w:rsidRPr="00B419CE">
              <w:t>20</w:t>
            </w:r>
          </w:p>
        </w:tc>
        <w:tc>
          <w:tcPr>
            <w:tcW w:w="4080" w:type="dxa"/>
          </w:tcPr>
          <w:p w14:paraId="6270707D" w14:textId="77777777" w:rsidR="00B419CE" w:rsidRPr="00B419CE" w:rsidRDefault="00B419CE" w:rsidP="00B419CE">
            <w:r w:rsidRPr="00B419CE">
              <w:t>Statsministerens kontor</w:t>
            </w:r>
          </w:p>
        </w:tc>
        <w:tc>
          <w:tcPr>
            <w:tcW w:w="1020" w:type="dxa"/>
          </w:tcPr>
          <w:p w14:paraId="0E985690" w14:textId="77777777" w:rsidR="00B419CE" w:rsidRPr="00B419CE" w:rsidRDefault="00B419CE" w:rsidP="00B419CE">
            <w:pPr>
              <w:jc w:val="right"/>
            </w:pPr>
            <w:r w:rsidRPr="00B419CE">
              <w:t>132 807</w:t>
            </w:r>
          </w:p>
        </w:tc>
        <w:tc>
          <w:tcPr>
            <w:tcW w:w="1020" w:type="dxa"/>
          </w:tcPr>
          <w:p w14:paraId="053D7C0D" w14:textId="77777777" w:rsidR="00B419CE" w:rsidRPr="00B419CE" w:rsidRDefault="00B419CE" w:rsidP="00B419CE">
            <w:pPr>
              <w:jc w:val="right"/>
            </w:pPr>
            <w:r w:rsidRPr="00B419CE">
              <w:t>103 315</w:t>
            </w:r>
          </w:p>
        </w:tc>
        <w:tc>
          <w:tcPr>
            <w:tcW w:w="1020" w:type="dxa"/>
          </w:tcPr>
          <w:p w14:paraId="22CCB8DE" w14:textId="77777777" w:rsidR="00B419CE" w:rsidRPr="00B419CE" w:rsidRDefault="00B419CE" w:rsidP="00B419CE">
            <w:pPr>
              <w:jc w:val="right"/>
            </w:pPr>
            <w:r w:rsidRPr="00B419CE">
              <w:t>100 181</w:t>
            </w:r>
          </w:p>
        </w:tc>
        <w:tc>
          <w:tcPr>
            <w:tcW w:w="1020" w:type="dxa"/>
          </w:tcPr>
          <w:p w14:paraId="22DCF4B1" w14:textId="77777777" w:rsidR="00B419CE" w:rsidRPr="00B419CE" w:rsidRDefault="00B419CE" w:rsidP="00B419CE">
            <w:pPr>
              <w:jc w:val="right"/>
            </w:pPr>
            <w:r w:rsidRPr="00B419CE">
              <w:t>-3,0</w:t>
            </w:r>
          </w:p>
        </w:tc>
      </w:tr>
      <w:tr w:rsidR="00B419CE" w:rsidRPr="00B419CE" w14:paraId="56BAB5E3" w14:textId="77777777" w:rsidTr="00B419CE">
        <w:trPr>
          <w:trHeight w:val="380"/>
        </w:trPr>
        <w:tc>
          <w:tcPr>
            <w:tcW w:w="1020" w:type="dxa"/>
          </w:tcPr>
          <w:p w14:paraId="58F570A4" w14:textId="77777777" w:rsidR="00B419CE" w:rsidRPr="00B419CE" w:rsidRDefault="00B419CE" w:rsidP="00B419CE">
            <w:r w:rsidRPr="00B419CE">
              <w:t>21</w:t>
            </w:r>
          </w:p>
        </w:tc>
        <w:tc>
          <w:tcPr>
            <w:tcW w:w="4080" w:type="dxa"/>
          </w:tcPr>
          <w:p w14:paraId="5AEF2F2D" w14:textId="77777777" w:rsidR="00B419CE" w:rsidRPr="00B419CE" w:rsidRDefault="00B419CE" w:rsidP="00B419CE">
            <w:r w:rsidRPr="00B419CE">
              <w:t>Statsrådet</w:t>
            </w:r>
          </w:p>
        </w:tc>
        <w:tc>
          <w:tcPr>
            <w:tcW w:w="1020" w:type="dxa"/>
          </w:tcPr>
          <w:p w14:paraId="24F1A4E5" w14:textId="77777777" w:rsidR="00B419CE" w:rsidRPr="00B419CE" w:rsidRDefault="00B419CE" w:rsidP="00B419CE">
            <w:pPr>
              <w:jc w:val="right"/>
            </w:pPr>
            <w:r w:rsidRPr="00B419CE">
              <w:t>190 046</w:t>
            </w:r>
          </w:p>
        </w:tc>
        <w:tc>
          <w:tcPr>
            <w:tcW w:w="1020" w:type="dxa"/>
          </w:tcPr>
          <w:p w14:paraId="654FACF9" w14:textId="77777777" w:rsidR="00B419CE" w:rsidRPr="00B419CE" w:rsidRDefault="00B419CE" w:rsidP="00B419CE">
            <w:pPr>
              <w:jc w:val="right"/>
            </w:pPr>
            <w:r w:rsidRPr="00B419CE">
              <w:t>177 242</w:t>
            </w:r>
          </w:p>
        </w:tc>
        <w:tc>
          <w:tcPr>
            <w:tcW w:w="1020" w:type="dxa"/>
          </w:tcPr>
          <w:p w14:paraId="3CABA6BF" w14:textId="77777777" w:rsidR="00B419CE" w:rsidRPr="00B419CE" w:rsidRDefault="00B419CE" w:rsidP="00B419CE">
            <w:pPr>
              <w:jc w:val="right"/>
            </w:pPr>
            <w:r w:rsidRPr="00B419CE">
              <w:t>175 969</w:t>
            </w:r>
          </w:p>
        </w:tc>
        <w:tc>
          <w:tcPr>
            <w:tcW w:w="1020" w:type="dxa"/>
          </w:tcPr>
          <w:p w14:paraId="2028C282" w14:textId="77777777" w:rsidR="00B419CE" w:rsidRPr="00B419CE" w:rsidRDefault="00B419CE" w:rsidP="00B419CE">
            <w:pPr>
              <w:jc w:val="right"/>
            </w:pPr>
            <w:r w:rsidRPr="00B419CE">
              <w:t>-0,7</w:t>
            </w:r>
          </w:p>
        </w:tc>
      </w:tr>
      <w:tr w:rsidR="00B419CE" w:rsidRPr="00B419CE" w14:paraId="5A1672A3" w14:textId="77777777" w:rsidTr="00B419CE">
        <w:trPr>
          <w:trHeight w:val="380"/>
        </w:trPr>
        <w:tc>
          <w:tcPr>
            <w:tcW w:w="1020" w:type="dxa"/>
          </w:tcPr>
          <w:p w14:paraId="53E0BC4D" w14:textId="77777777" w:rsidR="00B419CE" w:rsidRPr="00B419CE" w:rsidRDefault="00B419CE" w:rsidP="00B419CE">
            <w:r w:rsidRPr="00B419CE">
              <w:t>24</w:t>
            </w:r>
          </w:p>
        </w:tc>
        <w:tc>
          <w:tcPr>
            <w:tcW w:w="4080" w:type="dxa"/>
          </w:tcPr>
          <w:p w14:paraId="6FA4B2F5" w14:textId="77777777" w:rsidR="00B419CE" w:rsidRPr="00B419CE" w:rsidRDefault="00B419CE" w:rsidP="00B419CE">
            <w:r w:rsidRPr="00B419CE">
              <w:t>Regjeringsadvokaten</w:t>
            </w:r>
          </w:p>
        </w:tc>
        <w:tc>
          <w:tcPr>
            <w:tcW w:w="1020" w:type="dxa"/>
          </w:tcPr>
          <w:p w14:paraId="1C724ACE" w14:textId="77777777" w:rsidR="00B419CE" w:rsidRPr="00B419CE" w:rsidRDefault="00B419CE" w:rsidP="00B419CE">
            <w:pPr>
              <w:jc w:val="right"/>
            </w:pPr>
            <w:r w:rsidRPr="00B419CE">
              <w:t>119 469</w:t>
            </w:r>
          </w:p>
        </w:tc>
        <w:tc>
          <w:tcPr>
            <w:tcW w:w="1020" w:type="dxa"/>
          </w:tcPr>
          <w:p w14:paraId="67AC8698" w14:textId="77777777" w:rsidR="00B419CE" w:rsidRPr="00B419CE" w:rsidRDefault="00B419CE" w:rsidP="00B419CE">
            <w:pPr>
              <w:jc w:val="right"/>
            </w:pPr>
            <w:r w:rsidRPr="00B419CE">
              <w:t>123 141</w:t>
            </w:r>
          </w:p>
        </w:tc>
        <w:tc>
          <w:tcPr>
            <w:tcW w:w="1020" w:type="dxa"/>
          </w:tcPr>
          <w:p w14:paraId="60B4532D" w14:textId="77777777" w:rsidR="00B419CE" w:rsidRPr="00B419CE" w:rsidRDefault="00B419CE" w:rsidP="00B419CE">
            <w:pPr>
              <w:jc w:val="right"/>
            </w:pPr>
            <w:r w:rsidRPr="00B419CE">
              <w:t>125 815</w:t>
            </w:r>
          </w:p>
        </w:tc>
        <w:tc>
          <w:tcPr>
            <w:tcW w:w="1020" w:type="dxa"/>
          </w:tcPr>
          <w:p w14:paraId="00E7DD03" w14:textId="77777777" w:rsidR="00B419CE" w:rsidRPr="00B419CE" w:rsidRDefault="00B419CE" w:rsidP="00B419CE">
            <w:pPr>
              <w:jc w:val="right"/>
            </w:pPr>
            <w:r w:rsidRPr="00B419CE">
              <w:t>2,2</w:t>
            </w:r>
          </w:p>
        </w:tc>
      </w:tr>
      <w:tr w:rsidR="00B419CE" w:rsidRPr="00B419CE" w14:paraId="7655C1E8" w14:textId="77777777" w:rsidTr="00B419CE">
        <w:trPr>
          <w:trHeight w:val="380"/>
        </w:trPr>
        <w:tc>
          <w:tcPr>
            <w:tcW w:w="1020" w:type="dxa"/>
          </w:tcPr>
          <w:p w14:paraId="2A38BA0C" w14:textId="77777777" w:rsidR="00B419CE" w:rsidRPr="00B419CE" w:rsidRDefault="00B419CE" w:rsidP="00B419CE"/>
        </w:tc>
        <w:tc>
          <w:tcPr>
            <w:tcW w:w="4080" w:type="dxa"/>
          </w:tcPr>
          <w:p w14:paraId="5D4633B4" w14:textId="77777777" w:rsidR="00B419CE" w:rsidRPr="00B419CE" w:rsidRDefault="00B419CE" w:rsidP="00B419CE">
            <w:r w:rsidRPr="00B419CE">
              <w:rPr>
                <w:rStyle w:val="kursiv"/>
              </w:rPr>
              <w:t>Sum kategori 00.30</w:t>
            </w:r>
          </w:p>
        </w:tc>
        <w:tc>
          <w:tcPr>
            <w:tcW w:w="1020" w:type="dxa"/>
          </w:tcPr>
          <w:p w14:paraId="693A55F5" w14:textId="77777777" w:rsidR="00B419CE" w:rsidRPr="00B419CE" w:rsidRDefault="00B419CE" w:rsidP="00B419CE">
            <w:pPr>
              <w:jc w:val="right"/>
            </w:pPr>
            <w:r w:rsidRPr="00B419CE">
              <w:rPr>
                <w:rStyle w:val="kursiv"/>
              </w:rPr>
              <w:t>442 322</w:t>
            </w:r>
          </w:p>
        </w:tc>
        <w:tc>
          <w:tcPr>
            <w:tcW w:w="1020" w:type="dxa"/>
          </w:tcPr>
          <w:p w14:paraId="7E008279" w14:textId="77777777" w:rsidR="00B419CE" w:rsidRPr="00B419CE" w:rsidRDefault="00B419CE" w:rsidP="00B419CE">
            <w:pPr>
              <w:jc w:val="right"/>
            </w:pPr>
            <w:r w:rsidRPr="00B419CE">
              <w:rPr>
                <w:rStyle w:val="kursiv"/>
              </w:rPr>
              <w:t>403 698</w:t>
            </w:r>
          </w:p>
        </w:tc>
        <w:tc>
          <w:tcPr>
            <w:tcW w:w="1020" w:type="dxa"/>
          </w:tcPr>
          <w:p w14:paraId="749A606D" w14:textId="77777777" w:rsidR="00B419CE" w:rsidRPr="00B419CE" w:rsidRDefault="00B419CE" w:rsidP="00B419CE">
            <w:pPr>
              <w:jc w:val="right"/>
            </w:pPr>
            <w:r w:rsidRPr="00B419CE">
              <w:rPr>
                <w:rStyle w:val="kursiv"/>
              </w:rPr>
              <w:t>401 965</w:t>
            </w:r>
          </w:p>
        </w:tc>
        <w:tc>
          <w:tcPr>
            <w:tcW w:w="1020" w:type="dxa"/>
          </w:tcPr>
          <w:p w14:paraId="61723B31" w14:textId="77777777" w:rsidR="00B419CE" w:rsidRPr="00B419CE" w:rsidRDefault="00B419CE" w:rsidP="00B419CE">
            <w:pPr>
              <w:jc w:val="right"/>
            </w:pPr>
            <w:r w:rsidRPr="00B419CE">
              <w:rPr>
                <w:rStyle w:val="kursiv"/>
              </w:rPr>
              <w:t>-0,4</w:t>
            </w:r>
          </w:p>
        </w:tc>
      </w:tr>
      <w:tr w:rsidR="00B419CE" w:rsidRPr="00B419CE" w14:paraId="51856687" w14:textId="77777777" w:rsidTr="00B419CE">
        <w:trPr>
          <w:trHeight w:val="380"/>
        </w:trPr>
        <w:tc>
          <w:tcPr>
            <w:tcW w:w="1020" w:type="dxa"/>
          </w:tcPr>
          <w:p w14:paraId="52FCCBD4" w14:textId="77777777" w:rsidR="00B419CE" w:rsidRPr="00B419CE" w:rsidRDefault="00B419CE" w:rsidP="00B419CE"/>
        </w:tc>
        <w:tc>
          <w:tcPr>
            <w:tcW w:w="4080" w:type="dxa"/>
          </w:tcPr>
          <w:p w14:paraId="4724693E" w14:textId="77777777" w:rsidR="00B419CE" w:rsidRPr="00B419CE" w:rsidRDefault="00B419CE" w:rsidP="00B419CE">
            <w:r w:rsidRPr="00B419CE">
              <w:rPr>
                <w:rStyle w:val="halvfet"/>
              </w:rPr>
              <w:t>Stortinget og tilknytte organ</w:t>
            </w:r>
          </w:p>
        </w:tc>
        <w:tc>
          <w:tcPr>
            <w:tcW w:w="1020" w:type="dxa"/>
          </w:tcPr>
          <w:p w14:paraId="5AE65892" w14:textId="77777777" w:rsidR="00B419CE" w:rsidRPr="00B419CE" w:rsidRDefault="00B419CE" w:rsidP="00B419CE">
            <w:pPr>
              <w:jc w:val="right"/>
            </w:pPr>
          </w:p>
        </w:tc>
        <w:tc>
          <w:tcPr>
            <w:tcW w:w="1020" w:type="dxa"/>
          </w:tcPr>
          <w:p w14:paraId="51E0CC34" w14:textId="77777777" w:rsidR="00B419CE" w:rsidRPr="00B419CE" w:rsidRDefault="00B419CE" w:rsidP="00B419CE">
            <w:pPr>
              <w:jc w:val="right"/>
            </w:pPr>
          </w:p>
        </w:tc>
        <w:tc>
          <w:tcPr>
            <w:tcW w:w="1020" w:type="dxa"/>
          </w:tcPr>
          <w:p w14:paraId="3806C7B3" w14:textId="77777777" w:rsidR="00B419CE" w:rsidRPr="00B419CE" w:rsidRDefault="00B419CE" w:rsidP="00B419CE">
            <w:pPr>
              <w:jc w:val="right"/>
            </w:pPr>
          </w:p>
        </w:tc>
        <w:tc>
          <w:tcPr>
            <w:tcW w:w="1020" w:type="dxa"/>
          </w:tcPr>
          <w:p w14:paraId="7727EB93" w14:textId="77777777" w:rsidR="00B419CE" w:rsidRPr="00B419CE" w:rsidRDefault="00B419CE" w:rsidP="00B419CE">
            <w:pPr>
              <w:jc w:val="right"/>
            </w:pPr>
          </w:p>
        </w:tc>
      </w:tr>
      <w:tr w:rsidR="00B419CE" w:rsidRPr="00B419CE" w14:paraId="037190B7" w14:textId="77777777" w:rsidTr="00B419CE">
        <w:trPr>
          <w:trHeight w:val="380"/>
        </w:trPr>
        <w:tc>
          <w:tcPr>
            <w:tcW w:w="1020" w:type="dxa"/>
          </w:tcPr>
          <w:p w14:paraId="05BB3A43" w14:textId="77777777" w:rsidR="00B419CE" w:rsidRPr="00B419CE" w:rsidRDefault="00B419CE" w:rsidP="00B419CE">
            <w:r w:rsidRPr="00B419CE">
              <w:t>41</w:t>
            </w:r>
          </w:p>
        </w:tc>
        <w:tc>
          <w:tcPr>
            <w:tcW w:w="4080" w:type="dxa"/>
          </w:tcPr>
          <w:p w14:paraId="7AB6E16C" w14:textId="77777777" w:rsidR="00B419CE" w:rsidRPr="00B419CE" w:rsidRDefault="00B419CE" w:rsidP="00B419CE">
            <w:r w:rsidRPr="00B419CE">
              <w:t>Stortinget</w:t>
            </w:r>
          </w:p>
        </w:tc>
        <w:tc>
          <w:tcPr>
            <w:tcW w:w="1020" w:type="dxa"/>
          </w:tcPr>
          <w:p w14:paraId="54F2D835" w14:textId="77777777" w:rsidR="00B419CE" w:rsidRPr="00B419CE" w:rsidRDefault="00B419CE" w:rsidP="00B419CE">
            <w:pPr>
              <w:jc w:val="right"/>
            </w:pPr>
            <w:r w:rsidRPr="00B419CE">
              <w:t>1 263 026</w:t>
            </w:r>
          </w:p>
        </w:tc>
        <w:tc>
          <w:tcPr>
            <w:tcW w:w="1020" w:type="dxa"/>
          </w:tcPr>
          <w:p w14:paraId="035D395B" w14:textId="77777777" w:rsidR="00B419CE" w:rsidRPr="00B419CE" w:rsidRDefault="00B419CE" w:rsidP="00B419CE">
            <w:pPr>
              <w:jc w:val="right"/>
            </w:pPr>
            <w:r w:rsidRPr="00B419CE">
              <w:t>1 368 800</w:t>
            </w:r>
          </w:p>
        </w:tc>
        <w:tc>
          <w:tcPr>
            <w:tcW w:w="1020" w:type="dxa"/>
          </w:tcPr>
          <w:p w14:paraId="2A6E1234" w14:textId="77777777" w:rsidR="00B419CE" w:rsidRPr="00B419CE" w:rsidRDefault="00B419CE" w:rsidP="00B419CE">
            <w:pPr>
              <w:jc w:val="right"/>
            </w:pPr>
            <w:r w:rsidRPr="00B419CE">
              <w:t>1 416 285</w:t>
            </w:r>
          </w:p>
        </w:tc>
        <w:tc>
          <w:tcPr>
            <w:tcW w:w="1020" w:type="dxa"/>
          </w:tcPr>
          <w:p w14:paraId="5BBD2CEE" w14:textId="77777777" w:rsidR="00B419CE" w:rsidRPr="00B419CE" w:rsidRDefault="00B419CE" w:rsidP="00B419CE">
            <w:pPr>
              <w:jc w:val="right"/>
            </w:pPr>
            <w:r w:rsidRPr="00B419CE">
              <w:t>3,5</w:t>
            </w:r>
          </w:p>
        </w:tc>
      </w:tr>
      <w:tr w:rsidR="00B419CE" w:rsidRPr="00B419CE" w14:paraId="5AC064E1" w14:textId="77777777" w:rsidTr="00B419CE">
        <w:trPr>
          <w:trHeight w:val="640"/>
        </w:trPr>
        <w:tc>
          <w:tcPr>
            <w:tcW w:w="1020" w:type="dxa"/>
          </w:tcPr>
          <w:p w14:paraId="36C95F53" w14:textId="77777777" w:rsidR="00B419CE" w:rsidRPr="00B419CE" w:rsidRDefault="00B419CE" w:rsidP="00B419CE">
            <w:r w:rsidRPr="00B419CE">
              <w:t>42</w:t>
            </w:r>
          </w:p>
        </w:tc>
        <w:tc>
          <w:tcPr>
            <w:tcW w:w="4080" w:type="dxa"/>
          </w:tcPr>
          <w:p w14:paraId="665AB862" w14:textId="77777777" w:rsidR="00B419CE" w:rsidRPr="00B419CE" w:rsidRDefault="00B419CE" w:rsidP="00B419CE">
            <w:r w:rsidRPr="00B419CE">
              <w:t xml:space="preserve">Stortingets </w:t>
            </w:r>
            <w:proofErr w:type="spellStart"/>
            <w:r w:rsidRPr="00B419CE">
              <w:t>ombodsnemnd</w:t>
            </w:r>
            <w:proofErr w:type="spellEnd"/>
            <w:r w:rsidRPr="00B419CE">
              <w:t xml:space="preserve"> for </w:t>
            </w:r>
            <w:r w:rsidRPr="00B419CE">
              <w:br/>
              <w:t>Forsvaret</w:t>
            </w:r>
          </w:p>
        </w:tc>
        <w:tc>
          <w:tcPr>
            <w:tcW w:w="1020" w:type="dxa"/>
          </w:tcPr>
          <w:p w14:paraId="41608183" w14:textId="77777777" w:rsidR="00B419CE" w:rsidRPr="00B419CE" w:rsidRDefault="00B419CE" w:rsidP="00B419CE">
            <w:pPr>
              <w:jc w:val="right"/>
            </w:pPr>
            <w:r w:rsidRPr="00B419CE">
              <w:t>7 128</w:t>
            </w:r>
          </w:p>
        </w:tc>
        <w:tc>
          <w:tcPr>
            <w:tcW w:w="1020" w:type="dxa"/>
          </w:tcPr>
          <w:p w14:paraId="2E55465F" w14:textId="77777777" w:rsidR="00B419CE" w:rsidRPr="00B419CE" w:rsidRDefault="00B419CE" w:rsidP="00B419CE">
            <w:pPr>
              <w:jc w:val="right"/>
            </w:pPr>
            <w:r w:rsidRPr="00B419CE">
              <w:t>7 600</w:t>
            </w:r>
          </w:p>
        </w:tc>
        <w:tc>
          <w:tcPr>
            <w:tcW w:w="1020" w:type="dxa"/>
          </w:tcPr>
          <w:p w14:paraId="187984CE" w14:textId="77777777" w:rsidR="00B419CE" w:rsidRPr="00B419CE" w:rsidRDefault="00B419CE" w:rsidP="00B419CE">
            <w:pPr>
              <w:jc w:val="right"/>
            </w:pPr>
            <w:r w:rsidRPr="00B419CE">
              <w:t>7 766</w:t>
            </w:r>
          </w:p>
        </w:tc>
        <w:tc>
          <w:tcPr>
            <w:tcW w:w="1020" w:type="dxa"/>
          </w:tcPr>
          <w:p w14:paraId="08E88198" w14:textId="77777777" w:rsidR="00B419CE" w:rsidRPr="00B419CE" w:rsidRDefault="00B419CE" w:rsidP="00B419CE">
            <w:pPr>
              <w:jc w:val="right"/>
            </w:pPr>
            <w:r w:rsidRPr="00B419CE">
              <w:t>2,2</w:t>
            </w:r>
          </w:p>
        </w:tc>
      </w:tr>
      <w:tr w:rsidR="00B419CE" w:rsidRPr="00B419CE" w14:paraId="1C8E2F7A" w14:textId="77777777" w:rsidTr="00B419CE">
        <w:trPr>
          <w:trHeight w:val="640"/>
        </w:trPr>
        <w:tc>
          <w:tcPr>
            <w:tcW w:w="1020" w:type="dxa"/>
          </w:tcPr>
          <w:p w14:paraId="21EB0294" w14:textId="77777777" w:rsidR="00B419CE" w:rsidRPr="00B419CE" w:rsidRDefault="00B419CE" w:rsidP="00B419CE">
            <w:r w:rsidRPr="00B419CE">
              <w:t>43</w:t>
            </w:r>
          </w:p>
        </w:tc>
        <w:tc>
          <w:tcPr>
            <w:tcW w:w="4080" w:type="dxa"/>
          </w:tcPr>
          <w:p w14:paraId="4FCE9E63" w14:textId="77777777" w:rsidR="00B419CE" w:rsidRPr="00B419CE" w:rsidRDefault="00B419CE" w:rsidP="00B419CE">
            <w:r w:rsidRPr="00B419CE">
              <w:t xml:space="preserve">Stortingets </w:t>
            </w:r>
            <w:proofErr w:type="spellStart"/>
            <w:r w:rsidRPr="00B419CE">
              <w:t>ombod</w:t>
            </w:r>
            <w:proofErr w:type="spellEnd"/>
            <w:r w:rsidRPr="00B419CE">
              <w:t xml:space="preserve"> for kontroll med forvaltninga</w:t>
            </w:r>
          </w:p>
        </w:tc>
        <w:tc>
          <w:tcPr>
            <w:tcW w:w="1020" w:type="dxa"/>
          </w:tcPr>
          <w:p w14:paraId="449F25C3" w14:textId="77777777" w:rsidR="00B419CE" w:rsidRPr="00B419CE" w:rsidRDefault="00B419CE" w:rsidP="00B419CE">
            <w:pPr>
              <w:jc w:val="right"/>
            </w:pPr>
            <w:r w:rsidRPr="00B419CE">
              <w:t>88 936</w:t>
            </w:r>
          </w:p>
        </w:tc>
        <w:tc>
          <w:tcPr>
            <w:tcW w:w="1020" w:type="dxa"/>
          </w:tcPr>
          <w:p w14:paraId="287895F7" w14:textId="77777777" w:rsidR="00B419CE" w:rsidRPr="00B419CE" w:rsidRDefault="00B419CE" w:rsidP="00B419CE">
            <w:pPr>
              <w:jc w:val="right"/>
            </w:pPr>
            <w:r w:rsidRPr="00B419CE">
              <w:t>92 511</w:t>
            </w:r>
          </w:p>
        </w:tc>
        <w:tc>
          <w:tcPr>
            <w:tcW w:w="1020" w:type="dxa"/>
          </w:tcPr>
          <w:p w14:paraId="351DDC54" w14:textId="77777777" w:rsidR="00B419CE" w:rsidRPr="00B419CE" w:rsidRDefault="00B419CE" w:rsidP="00B419CE">
            <w:pPr>
              <w:jc w:val="right"/>
            </w:pPr>
            <w:r w:rsidRPr="00B419CE">
              <w:t>94 287</w:t>
            </w:r>
          </w:p>
        </w:tc>
        <w:tc>
          <w:tcPr>
            <w:tcW w:w="1020" w:type="dxa"/>
          </w:tcPr>
          <w:p w14:paraId="559A53D0" w14:textId="77777777" w:rsidR="00B419CE" w:rsidRPr="00B419CE" w:rsidRDefault="00B419CE" w:rsidP="00B419CE">
            <w:pPr>
              <w:jc w:val="right"/>
            </w:pPr>
            <w:r w:rsidRPr="00B419CE">
              <w:t>1,9</w:t>
            </w:r>
          </w:p>
        </w:tc>
      </w:tr>
      <w:tr w:rsidR="00B419CE" w:rsidRPr="00B419CE" w14:paraId="49504CB4" w14:textId="77777777" w:rsidTr="00B419CE">
        <w:trPr>
          <w:trHeight w:val="880"/>
        </w:trPr>
        <w:tc>
          <w:tcPr>
            <w:tcW w:w="1020" w:type="dxa"/>
          </w:tcPr>
          <w:p w14:paraId="15C017CA" w14:textId="77777777" w:rsidR="00B419CE" w:rsidRPr="00B419CE" w:rsidRDefault="00B419CE" w:rsidP="00B419CE">
            <w:r w:rsidRPr="00B419CE">
              <w:t>44</w:t>
            </w:r>
          </w:p>
        </w:tc>
        <w:tc>
          <w:tcPr>
            <w:tcW w:w="4080" w:type="dxa"/>
          </w:tcPr>
          <w:p w14:paraId="055D6A44" w14:textId="77777777" w:rsidR="00B419CE" w:rsidRPr="00B419CE" w:rsidRDefault="00B419CE" w:rsidP="00B419CE">
            <w:r w:rsidRPr="00B419CE">
              <w:t xml:space="preserve">Stortingets </w:t>
            </w:r>
            <w:proofErr w:type="spellStart"/>
            <w:r w:rsidRPr="00B419CE">
              <w:t>kontrollutval</w:t>
            </w:r>
            <w:proofErr w:type="spellEnd"/>
            <w:r w:rsidRPr="00B419CE">
              <w:t xml:space="preserve"> for </w:t>
            </w:r>
            <w:r w:rsidRPr="00B419CE">
              <w:br/>
              <w:t xml:space="preserve">etterretnings-, </w:t>
            </w:r>
            <w:proofErr w:type="spellStart"/>
            <w:r w:rsidRPr="00B419CE">
              <w:t>overvakings</w:t>
            </w:r>
            <w:proofErr w:type="spellEnd"/>
            <w:r w:rsidRPr="00B419CE">
              <w:t xml:space="preserve">- </w:t>
            </w:r>
            <w:r w:rsidRPr="00B419CE">
              <w:br/>
              <w:t xml:space="preserve">og </w:t>
            </w:r>
            <w:proofErr w:type="spellStart"/>
            <w:r w:rsidRPr="00B419CE">
              <w:t>tryggingsteneste</w:t>
            </w:r>
            <w:proofErr w:type="spellEnd"/>
          </w:p>
        </w:tc>
        <w:tc>
          <w:tcPr>
            <w:tcW w:w="1020" w:type="dxa"/>
          </w:tcPr>
          <w:p w14:paraId="6BC269EC" w14:textId="77777777" w:rsidR="00B419CE" w:rsidRPr="00B419CE" w:rsidRDefault="00B419CE" w:rsidP="00B419CE">
            <w:pPr>
              <w:jc w:val="right"/>
            </w:pPr>
            <w:r w:rsidRPr="00B419CE">
              <w:t>25 174</w:t>
            </w:r>
          </w:p>
        </w:tc>
        <w:tc>
          <w:tcPr>
            <w:tcW w:w="1020" w:type="dxa"/>
          </w:tcPr>
          <w:p w14:paraId="1C667DEB" w14:textId="77777777" w:rsidR="00B419CE" w:rsidRPr="00B419CE" w:rsidRDefault="00B419CE" w:rsidP="00B419CE">
            <w:pPr>
              <w:jc w:val="right"/>
            </w:pPr>
            <w:r w:rsidRPr="00B419CE">
              <w:t>34 600</w:t>
            </w:r>
          </w:p>
        </w:tc>
        <w:tc>
          <w:tcPr>
            <w:tcW w:w="1020" w:type="dxa"/>
          </w:tcPr>
          <w:p w14:paraId="22F96B87" w14:textId="77777777" w:rsidR="00B419CE" w:rsidRPr="00B419CE" w:rsidRDefault="00B419CE" w:rsidP="00B419CE">
            <w:pPr>
              <w:jc w:val="right"/>
            </w:pPr>
            <w:r w:rsidRPr="00B419CE">
              <w:t>35 105</w:t>
            </w:r>
          </w:p>
        </w:tc>
        <w:tc>
          <w:tcPr>
            <w:tcW w:w="1020" w:type="dxa"/>
          </w:tcPr>
          <w:p w14:paraId="559ED4A3" w14:textId="77777777" w:rsidR="00B419CE" w:rsidRPr="00B419CE" w:rsidRDefault="00B419CE" w:rsidP="00B419CE">
            <w:pPr>
              <w:jc w:val="right"/>
            </w:pPr>
            <w:r w:rsidRPr="00B419CE">
              <w:t>1,5</w:t>
            </w:r>
          </w:p>
        </w:tc>
      </w:tr>
      <w:tr w:rsidR="00B419CE" w:rsidRPr="00B419CE" w14:paraId="63A12457" w14:textId="77777777" w:rsidTr="00B419CE">
        <w:trPr>
          <w:trHeight w:val="640"/>
        </w:trPr>
        <w:tc>
          <w:tcPr>
            <w:tcW w:w="1020" w:type="dxa"/>
          </w:tcPr>
          <w:p w14:paraId="289B66EA" w14:textId="77777777" w:rsidR="00B419CE" w:rsidRPr="00B419CE" w:rsidRDefault="00B419CE" w:rsidP="00B419CE">
            <w:r w:rsidRPr="00B419CE">
              <w:t>45</w:t>
            </w:r>
          </w:p>
        </w:tc>
        <w:tc>
          <w:tcPr>
            <w:tcW w:w="4080" w:type="dxa"/>
          </w:tcPr>
          <w:p w14:paraId="6CC7EA75" w14:textId="77777777" w:rsidR="00B419CE" w:rsidRPr="00B419CE" w:rsidRDefault="00B419CE" w:rsidP="00B419CE">
            <w:proofErr w:type="spellStart"/>
            <w:r w:rsidRPr="00B419CE">
              <w:t>Noregs</w:t>
            </w:r>
            <w:proofErr w:type="spellEnd"/>
            <w:r w:rsidRPr="00B419CE">
              <w:t xml:space="preserve"> institusjon for </w:t>
            </w:r>
            <w:proofErr w:type="spellStart"/>
            <w:r w:rsidRPr="00B419CE">
              <w:t>menneskerettar</w:t>
            </w:r>
            <w:proofErr w:type="spellEnd"/>
          </w:p>
        </w:tc>
        <w:tc>
          <w:tcPr>
            <w:tcW w:w="1020" w:type="dxa"/>
          </w:tcPr>
          <w:p w14:paraId="4C7A8756" w14:textId="77777777" w:rsidR="00B419CE" w:rsidRPr="00B419CE" w:rsidRDefault="00B419CE" w:rsidP="00B419CE">
            <w:pPr>
              <w:jc w:val="right"/>
            </w:pPr>
            <w:r w:rsidRPr="00B419CE">
              <w:t>26 665</w:t>
            </w:r>
          </w:p>
        </w:tc>
        <w:tc>
          <w:tcPr>
            <w:tcW w:w="1020" w:type="dxa"/>
          </w:tcPr>
          <w:p w14:paraId="13A6B966" w14:textId="77777777" w:rsidR="00B419CE" w:rsidRPr="00B419CE" w:rsidRDefault="00B419CE" w:rsidP="00B419CE">
            <w:pPr>
              <w:jc w:val="right"/>
            </w:pPr>
            <w:r w:rsidRPr="00B419CE">
              <w:t>26 100</w:t>
            </w:r>
          </w:p>
        </w:tc>
        <w:tc>
          <w:tcPr>
            <w:tcW w:w="1020" w:type="dxa"/>
          </w:tcPr>
          <w:p w14:paraId="7E2338A5" w14:textId="77777777" w:rsidR="00B419CE" w:rsidRPr="00B419CE" w:rsidRDefault="00B419CE" w:rsidP="00B419CE">
            <w:pPr>
              <w:jc w:val="right"/>
            </w:pPr>
            <w:r w:rsidRPr="00B419CE">
              <w:t>26 040</w:t>
            </w:r>
          </w:p>
        </w:tc>
        <w:tc>
          <w:tcPr>
            <w:tcW w:w="1020" w:type="dxa"/>
          </w:tcPr>
          <w:p w14:paraId="284113CB" w14:textId="77777777" w:rsidR="00B419CE" w:rsidRPr="00B419CE" w:rsidRDefault="00B419CE" w:rsidP="00B419CE">
            <w:pPr>
              <w:jc w:val="right"/>
            </w:pPr>
            <w:r w:rsidRPr="00B419CE">
              <w:t>-0,2</w:t>
            </w:r>
          </w:p>
        </w:tc>
      </w:tr>
      <w:tr w:rsidR="00B419CE" w:rsidRPr="00B419CE" w14:paraId="532ED22B" w14:textId="77777777" w:rsidTr="00B419CE">
        <w:trPr>
          <w:trHeight w:val="380"/>
        </w:trPr>
        <w:tc>
          <w:tcPr>
            <w:tcW w:w="1020" w:type="dxa"/>
          </w:tcPr>
          <w:p w14:paraId="37FC1664" w14:textId="77777777" w:rsidR="00B419CE" w:rsidRPr="00B419CE" w:rsidRDefault="00B419CE" w:rsidP="00B419CE">
            <w:r w:rsidRPr="00B419CE">
              <w:t>51</w:t>
            </w:r>
          </w:p>
        </w:tc>
        <w:tc>
          <w:tcPr>
            <w:tcW w:w="4080" w:type="dxa"/>
          </w:tcPr>
          <w:p w14:paraId="5CF3CCAC" w14:textId="77777777" w:rsidR="00B419CE" w:rsidRPr="00B419CE" w:rsidRDefault="00B419CE" w:rsidP="00B419CE">
            <w:r w:rsidRPr="00B419CE">
              <w:t>Riksrevisjonen</w:t>
            </w:r>
          </w:p>
        </w:tc>
        <w:tc>
          <w:tcPr>
            <w:tcW w:w="1020" w:type="dxa"/>
          </w:tcPr>
          <w:p w14:paraId="0FFFD43B" w14:textId="77777777" w:rsidR="00B419CE" w:rsidRPr="00B419CE" w:rsidRDefault="00B419CE" w:rsidP="00B419CE">
            <w:pPr>
              <w:jc w:val="right"/>
            </w:pPr>
            <w:r w:rsidRPr="00B419CE">
              <w:t>555 930</w:t>
            </w:r>
          </w:p>
        </w:tc>
        <w:tc>
          <w:tcPr>
            <w:tcW w:w="1020" w:type="dxa"/>
          </w:tcPr>
          <w:p w14:paraId="647D8491" w14:textId="77777777" w:rsidR="00B419CE" w:rsidRPr="00B419CE" w:rsidRDefault="00B419CE" w:rsidP="00B419CE">
            <w:pPr>
              <w:jc w:val="right"/>
            </w:pPr>
            <w:r w:rsidRPr="00B419CE">
              <w:t>580 391</w:t>
            </w:r>
          </w:p>
        </w:tc>
        <w:tc>
          <w:tcPr>
            <w:tcW w:w="1020" w:type="dxa"/>
          </w:tcPr>
          <w:p w14:paraId="3E53A42A" w14:textId="77777777" w:rsidR="00B419CE" w:rsidRPr="00B419CE" w:rsidRDefault="00B419CE" w:rsidP="00B419CE">
            <w:pPr>
              <w:jc w:val="right"/>
            </w:pPr>
            <w:r w:rsidRPr="00B419CE">
              <w:t>592 577</w:t>
            </w:r>
          </w:p>
        </w:tc>
        <w:tc>
          <w:tcPr>
            <w:tcW w:w="1020" w:type="dxa"/>
          </w:tcPr>
          <w:p w14:paraId="29CDB1E8" w14:textId="77777777" w:rsidR="00B419CE" w:rsidRPr="00B419CE" w:rsidRDefault="00B419CE" w:rsidP="00B419CE">
            <w:pPr>
              <w:jc w:val="right"/>
            </w:pPr>
            <w:r w:rsidRPr="00B419CE">
              <w:t>2,1</w:t>
            </w:r>
          </w:p>
        </w:tc>
      </w:tr>
      <w:tr w:rsidR="00B419CE" w:rsidRPr="00B419CE" w14:paraId="0A74188F" w14:textId="77777777" w:rsidTr="00B419CE">
        <w:trPr>
          <w:trHeight w:val="380"/>
        </w:trPr>
        <w:tc>
          <w:tcPr>
            <w:tcW w:w="1020" w:type="dxa"/>
          </w:tcPr>
          <w:p w14:paraId="4641A100" w14:textId="77777777" w:rsidR="00B419CE" w:rsidRPr="00B419CE" w:rsidRDefault="00B419CE" w:rsidP="00B419CE"/>
        </w:tc>
        <w:tc>
          <w:tcPr>
            <w:tcW w:w="4080" w:type="dxa"/>
          </w:tcPr>
          <w:p w14:paraId="5ECA4D9F" w14:textId="77777777" w:rsidR="00B419CE" w:rsidRPr="00B419CE" w:rsidRDefault="00B419CE" w:rsidP="00B419CE">
            <w:r w:rsidRPr="00B419CE">
              <w:rPr>
                <w:rStyle w:val="kursiv"/>
              </w:rPr>
              <w:t>Sum kategori 00.40</w:t>
            </w:r>
          </w:p>
        </w:tc>
        <w:tc>
          <w:tcPr>
            <w:tcW w:w="1020" w:type="dxa"/>
          </w:tcPr>
          <w:p w14:paraId="1210B7B0" w14:textId="77777777" w:rsidR="00B419CE" w:rsidRPr="00B419CE" w:rsidRDefault="00B419CE" w:rsidP="00B419CE">
            <w:pPr>
              <w:jc w:val="right"/>
            </w:pPr>
            <w:r w:rsidRPr="00B419CE">
              <w:rPr>
                <w:rStyle w:val="kursiv"/>
              </w:rPr>
              <w:t>1 966 859</w:t>
            </w:r>
          </w:p>
        </w:tc>
        <w:tc>
          <w:tcPr>
            <w:tcW w:w="1020" w:type="dxa"/>
          </w:tcPr>
          <w:p w14:paraId="26639622" w14:textId="77777777" w:rsidR="00B419CE" w:rsidRPr="00B419CE" w:rsidRDefault="00B419CE" w:rsidP="00B419CE">
            <w:pPr>
              <w:jc w:val="right"/>
            </w:pPr>
            <w:r w:rsidRPr="00B419CE">
              <w:rPr>
                <w:rStyle w:val="kursiv"/>
              </w:rPr>
              <w:t>2 110 002</w:t>
            </w:r>
          </w:p>
        </w:tc>
        <w:tc>
          <w:tcPr>
            <w:tcW w:w="1020" w:type="dxa"/>
          </w:tcPr>
          <w:p w14:paraId="55835CDC" w14:textId="77777777" w:rsidR="00B419CE" w:rsidRPr="00B419CE" w:rsidRDefault="00B419CE" w:rsidP="00B419CE">
            <w:pPr>
              <w:jc w:val="right"/>
            </w:pPr>
            <w:r w:rsidRPr="00B419CE">
              <w:rPr>
                <w:rStyle w:val="kursiv"/>
              </w:rPr>
              <w:t>2 172 060</w:t>
            </w:r>
          </w:p>
        </w:tc>
        <w:tc>
          <w:tcPr>
            <w:tcW w:w="1020" w:type="dxa"/>
          </w:tcPr>
          <w:p w14:paraId="2B8E3AD7" w14:textId="77777777" w:rsidR="00B419CE" w:rsidRPr="00B419CE" w:rsidRDefault="00B419CE" w:rsidP="00B419CE">
            <w:pPr>
              <w:jc w:val="right"/>
            </w:pPr>
            <w:r w:rsidRPr="00B419CE">
              <w:rPr>
                <w:rStyle w:val="kursiv"/>
              </w:rPr>
              <w:t>2,9</w:t>
            </w:r>
          </w:p>
        </w:tc>
      </w:tr>
      <w:tr w:rsidR="00B419CE" w:rsidRPr="00B419CE" w14:paraId="364021F2" w14:textId="77777777" w:rsidTr="00B419CE">
        <w:trPr>
          <w:trHeight w:val="380"/>
        </w:trPr>
        <w:tc>
          <w:tcPr>
            <w:tcW w:w="1020" w:type="dxa"/>
          </w:tcPr>
          <w:p w14:paraId="22DEE03F" w14:textId="77777777" w:rsidR="00B419CE" w:rsidRPr="00B419CE" w:rsidRDefault="00B419CE" w:rsidP="00B419CE"/>
        </w:tc>
        <w:tc>
          <w:tcPr>
            <w:tcW w:w="4080" w:type="dxa"/>
          </w:tcPr>
          <w:p w14:paraId="5B4D9080" w14:textId="77777777" w:rsidR="00B419CE" w:rsidRPr="00B419CE" w:rsidRDefault="00B419CE" w:rsidP="00B419CE">
            <w:r w:rsidRPr="00B419CE">
              <w:rPr>
                <w:rStyle w:val="kursiv"/>
              </w:rPr>
              <w:t>Sum programområde 00</w:t>
            </w:r>
          </w:p>
        </w:tc>
        <w:tc>
          <w:tcPr>
            <w:tcW w:w="1020" w:type="dxa"/>
          </w:tcPr>
          <w:p w14:paraId="49AD6082" w14:textId="77777777" w:rsidR="00B419CE" w:rsidRPr="00B419CE" w:rsidRDefault="00B419CE" w:rsidP="00B419CE">
            <w:pPr>
              <w:jc w:val="right"/>
            </w:pPr>
            <w:r w:rsidRPr="00B419CE">
              <w:rPr>
                <w:rStyle w:val="kursiv"/>
              </w:rPr>
              <w:t>2 409 181</w:t>
            </w:r>
          </w:p>
        </w:tc>
        <w:tc>
          <w:tcPr>
            <w:tcW w:w="1020" w:type="dxa"/>
          </w:tcPr>
          <w:p w14:paraId="1B5C252F" w14:textId="77777777" w:rsidR="00B419CE" w:rsidRPr="00B419CE" w:rsidRDefault="00B419CE" w:rsidP="00B419CE">
            <w:pPr>
              <w:jc w:val="right"/>
            </w:pPr>
            <w:r w:rsidRPr="00B419CE">
              <w:rPr>
                <w:rStyle w:val="kursiv"/>
              </w:rPr>
              <w:t>2 513 700</w:t>
            </w:r>
          </w:p>
        </w:tc>
        <w:tc>
          <w:tcPr>
            <w:tcW w:w="1020" w:type="dxa"/>
          </w:tcPr>
          <w:p w14:paraId="390B3A44" w14:textId="77777777" w:rsidR="00B419CE" w:rsidRPr="00B419CE" w:rsidRDefault="00B419CE" w:rsidP="00B419CE">
            <w:pPr>
              <w:jc w:val="right"/>
            </w:pPr>
            <w:r w:rsidRPr="00B419CE">
              <w:rPr>
                <w:rStyle w:val="kursiv"/>
              </w:rPr>
              <w:t>2 574 025</w:t>
            </w:r>
          </w:p>
        </w:tc>
        <w:tc>
          <w:tcPr>
            <w:tcW w:w="1020" w:type="dxa"/>
          </w:tcPr>
          <w:p w14:paraId="7EC71366" w14:textId="77777777" w:rsidR="00B419CE" w:rsidRPr="00B419CE" w:rsidRDefault="00B419CE" w:rsidP="00B419CE">
            <w:pPr>
              <w:jc w:val="right"/>
            </w:pPr>
            <w:r w:rsidRPr="00B419CE">
              <w:rPr>
                <w:rStyle w:val="kursiv"/>
              </w:rPr>
              <w:t>2,4</w:t>
            </w:r>
          </w:p>
        </w:tc>
      </w:tr>
      <w:tr w:rsidR="00B419CE" w:rsidRPr="00B419CE" w14:paraId="4E667C82" w14:textId="77777777" w:rsidTr="00B419CE">
        <w:trPr>
          <w:trHeight w:val="380"/>
        </w:trPr>
        <w:tc>
          <w:tcPr>
            <w:tcW w:w="1020" w:type="dxa"/>
          </w:tcPr>
          <w:p w14:paraId="55631E59" w14:textId="77777777" w:rsidR="00B419CE" w:rsidRPr="00B419CE" w:rsidRDefault="00B419CE" w:rsidP="00B419CE"/>
        </w:tc>
        <w:tc>
          <w:tcPr>
            <w:tcW w:w="4080" w:type="dxa"/>
          </w:tcPr>
          <w:p w14:paraId="56902994" w14:textId="77777777" w:rsidR="00B419CE" w:rsidRPr="00B419CE" w:rsidRDefault="00B419CE" w:rsidP="00B419CE">
            <w:r w:rsidRPr="00B419CE">
              <w:rPr>
                <w:rStyle w:val="halvfet"/>
              </w:rPr>
              <w:t>Finansadministrasjon</w:t>
            </w:r>
          </w:p>
        </w:tc>
        <w:tc>
          <w:tcPr>
            <w:tcW w:w="1020" w:type="dxa"/>
          </w:tcPr>
          <w:p w14:paraId="7397E628" w14:textId="77777777" w:rsidR="00B419CE" w:rsidRPr="00B419CE" w:rsidRDefault="00B419CE" w:rsidP="00B419CE">
            <w:pPr>
              <w:jc w:val="right"/>
            </w:pPr>
          </w:p>
        </w:tc>
        <w:tc>
          <w:tcPr>
            <w:tcW w:w="1020" w:type="dxa"/>
          </w:tcPr>
          <w:p w14:paraId="2565931B" w14:textId="77777777" w:rsidR="00B419CE" w:rsidRPr="00B419CE" w:rsidRDefault="00B419CE" w:rsidP="00B419CE">
            <w:pPr>
              <w:jc w:val="right"/>
            </w:pPr>
          </w:p>
        </w:tc>
        <w:tc>
          <w:tcPr>
            <w:tcW w:w="1020" w:type="dxa"/>
          </w:tcPr>
          <w:p w14:paraId="44C92EFA" w14:textId="77777777" w:rsidR="00B419CE" w:rsidRPr="00B419CE" w:rsidRDefault="00B419CE" w:rsidP="00B419CE">
            <w:pPr>
              <w:jc w:val="right"/>
            </w:pPr>
          </w:p>
        </w:tc>
        <w:tc>
          <w:tcPr>
            <w:tcW w:w="1020" w:type="dxa"/>
          </w:tcPr>
          <w:p w14:paraId="751C0130" w14:textId="77777777" w:rsidR="00B419CE" w:rsidRPr="00B419CE" w:rsidRDefault="00B419CE" w:rsidP="00B419CE">
            <w:pPr>
              <w:jc w:val="right"/>
            </w:pPr>
          </w:p>
        </w:tc>
      </w:tr>
      <w:tr w:rsidR="00B419CE" w:rsidRPr="00B419CE" w14:paraId="0DEE15E7" w14:textId="77777777" w:rsidTr="00B419CE">
        <w:trPr>
          <w:trHeight w:val="380"/>
        </w:trPr>
        <w:tc>
          <w:tcPr>
            <w:tcW w:w="1020" w:type="dxa"/>
          </w:tcPr>
          <w:p w14:paraId="4CC35A9F" w14:textId="77777777" w:rsidR="00B419CE" w:rsidRPr="00B419CE" w:rsidRDefault="00B419CE" w:rsidP="00B419CE">
            <w:r w:rsidRPr="00B419CE">
              <w:t>1600</w:t>
            </w:r>
          </w:p>
        </w:tc>
        <w:tc>
          <w:tcPr>
            <w:tcW w:w="4080" w:type="dxa"/>
          </w:tcPr>
          <w:p w14:paraId="7D7865F7" w14:textId="77777777" w:rsidR="00B419CE" w:rsidRPr="00B419CE" w:rsidRDefault="00B419CE" w:rsidP="00B419CE">
            <w:r w:rsidRPr="00B419CE">
              <w:t>Finansdepartementet</w:t>
            </w:r>
          </w:p>
        </w:tc>
        <w:tc>
          <w:tcPr>
            <w:tcW w:w="1020" w:type="dxa"/>
          </w:tcPr>
          <w:p w14:paraId="0EECBDA1" w14:textId="77777777" w:rsidR="00B419CE" w:rsidRPr="00B419CE" w:rsidRDefault="00B419CE" w:rsidP="00B419CE">
            <w:pPr>
              <w:jc w:val="right"/>
            </w:pPr>
            <w:r w:rsidRPr="00B419CE">
              <w:t>50 493 324</w:t>
            </w:r>
          </w:p>
        </w:tc>
        <w:tc>
          <w:tcPr>
            <w:tcW w:w="1020" w:type="dxa"/>
          </w:tcPr>
          <w:p w14:paraId="2B337792" w14:textId="77777777" w:rsidR="00B419CE" w:rsidRPr="00B419CE" w:rsidRDefault="00B419CE" w:rsidP="00B419CE">
            <w:pPr>
              <w:jc w:val="right"/>
            </w:pPr>
            <w:r w:rsidRPr="00B419CE">
              <w:t>542 981</w:t>
            </w:r>
          </w:p>
        </w:tc>
        <w:tc>
          <w:tcPr>
            <w:tcW w:w="1020" w:type="dxa"/>
          </w:tcPr>
          <w:p w14:paraId="707EEAB6" w14:textId="77777777" w:rsidR="00B419CE" w:rsidRPr="00B419CE" w:rsidRDefault="00B419CE" w:rsidP="00B419CE">
            <w:pPr>
              <w:jc w:val="right"/>
            </w:pPr>
            <w:r w:rsidRPr="00B419CE">
              <w:t>531 921</w:t>
            </w:r>
          </w:p>
        </w:tc>
        <w:tc>
          <w:tcPr>
            <w:tcW w:w="1020" w:type="dxa"/>
          </w:tcPr>
          <w:p w14:paraId="4FFF3DAE" w14:textId="77777777" w:rsidR="00B419CE" w:rsidRPr="00B419CE" w:rsidRDefault="00B419CE" w:rsidP="00B419CE">
            <w:pPr>
              <w:jc w:val="right"/>
            </w:pPr>
            <w:r w:rsidRPr="00B419CE">
              <w:t>-2,0</w:t>
            </w:r>
          </w:p>
        </w:tc>
      </w:tr>
      <w:tr w:rsidR="00B419CE" w:rsidRPr="00B419CE" w14:paraId="712AD3DF" w14:textId="77777777" w:rsidTr="00B419CE">
        <w:trPr>
          <w:trHeight w:val="380"/>
        </w:trPr>
        <w:tc>
          <w:tcPr>
            <w:tcW w:w="1020" w:type="dxa"/>
          </w:tcPr>
          <w:p w14:paraId="01CB02A8" w14:textId="77777777" w:rsidR="00B419CE" w:rsidRPr="00B419CE" w:rsidRDefault="00B419CE" w:rsidP="00B419CE">
            <w:r w:rsidRPr="00B419CE">
              <w:t>1602</w:t>
            </w:r>
          </w:p>
        </w:tc>
        <w:tc>
          <w:tcPr>
            <w:tcW w:w="4080" w:type="dxa"/>
          </w:tcPr>
          <w:p w14:paraId="6431A24C" w14:textId="77777777" w:rsidR="00B419CE" w:rsidRPr="00B419CE" w:rsidRDefault="00B419CE" w:rsidP="00B419CE">
            <w:r w:rsidRPr="00B419CE">
              <w:t>Finanstilsynet</w:t>
            </w:r>
          </w:p>
        </w:tc>
        <w:tc>
          <w:tcPr>
            <w:tcW w:w="1020" w:type="dxa"/>
          </w:tcPr>
          <w:p w14:paraId="5F2C3173" w14:textId="77777777" w:rsidR="00B419CE" w:rsidRPr="00B419CE" w:rsidRDefault="00B419CE" w:rsidP="00B419CE">
            <w:pPr>
              <w:jc w:val="right"/>
            </w:pPr>
            <w:r w:rsidRPr="00B419CE">
              <w:t>452 580</w:t>
            </w:r>
          </w:p>
        </w:tc>
        <w:tc>
          <w:tcPr>
            <w:tcW w:w="1020" w:type="dxa"/>
          </w:tcPr>
          <w:p w14:paraId="3D71F294" w14:textId="77777777" w:rsidR="00B419CE" w:rsidRPr="00B419CE" w:rsidRDefault="00B419CE" w:rsidP="00B419CE">
            <w:pPr>
              <w:jc w:val="right"/>
            </w:pPr>
            <w:r w:rsidRPr="00B419CE">
              <w:t>445 178</w:t>
            </w:r>
          </w:p>
        </w:tc>
        <w:tc>
          <w:tcPr>
            <w:tcW w:w="1020" w:type="dxa"/>
          </w:tcPr>
          <w:p w14:paraId="5773DD86" w14:textId="77777777" w:rsidR="00B419CE" w:rsidRPr="00B419CE" w:rsidRDefault="00B419CE" w:rsidP="00B419CE">
            <w:pPr>
              <w:jc w:val="right"/>
            </w:pPr>
            <w:r w:rsidRPr="00B419CE">
              <w:t>475 860</w:t>
            </w:r>
          </w:p>
        </w:tc>
        <w:tc>
          <w:tcPr>
            <w:tcW w:w="1020" w:type="dxa"/>
          </w:tcPr>
          <w:p w14:paraId="13063BA5" w14:textId="77777777" w:rsidR="00B419CE" w:rsidRPr="00B419CE" w:rsidRDefault="00B419CE" w:rsidP="00B419CE">
            <w:pPr>
              <w:jc w:val="right"/>
            </w:pPr>
            <w:r w:rsidRPr="00B419CE">
              <w:t>6,9</w:t>
            </w:r>
          </w:p>
        </w:tc>
      </w:tr>
      <w:tr w:rsidR="00B419CE" w:rsidRPr="00B419CE" w14:paraId="47FE45F3" w14:textId="77777777" w:rsidTr="00B419CE">
        <w:trPr>
          <w:trHeight w:val="640"/>
        </w:trPr>
        <w:tc>
          <w:tcPr>
            <w:tcW w:w="1020" w:type="dxa"/>
          </w:tcPr>
          <w:p w14:paraId="130F154A" w14:textId="77777777" w:rsidR="00B419CE" w:rsidRPr="00B419CE" w:rsidRDefault="00B419CE" w:rsidP="00B419CE">
            <w:r w:rsidRPr="00B419CE">
              <w:t>1605</w:t>
            </w:r>
          </w:p>
        </w:tc>
        <w:tc>
          <w:tcPr>
            <w:tcW w:w="4080" w:type="dxa"/>
          </w:tcPr>
          <w:p w14:paraId="44B0745A" w14:textId="77777777" w:rsidR="00B419CE" w:rsidRPr="00B419CE" w:rsidRDefault="00B419CE" w:rsidP="00B419CE">
            <w:r w:rsidRPr="00B419CE">
              <w:t xml:space="preserve">Direktoratet for forvaltning </w:t>
            </w:r>
            <w:r w:rsidRPr="00B419CE">
              <w:br/>
              <w:t>og økonomistyring</w:t>
            </w:r>
          </w:p>
        </w:tc>
        <w:tc>
          <w:tcPr>
            <w:tcW w:w="1020" w:type="dxa"/>
          </w:tcPr>
          <w:p w14:paraId="406C6A93" w14:textId="77777777" w:rsidR="00B419CE" w:rsidRPr="00B419CE" w:rsidRDefault="00B419CE" w:rsidP="00B419CE">
            <w:pPr>
              <w:jc w:val="right"/>
            </w:pPr>
            <w:r w:rsidRPr="00B419CE">
              <w:t>806 685</w:t>
            </w:r>
          </w:p>
        </w:tc>
        <w:tc>
          <w:tcPr>
            <w:tcW w:w="1020" w:type="dxa"/>
          </w:tcPr>
          <w:p w14:paraId="1A4166FE" w14:textId="77777777" w:rsidR="00B419CE" w:rsidRPr="00B419CE" w:rsidRDefault="00B419CE" w:rsidP="00B419CE">
            <w:pPr>
              <w:jc w:val="right"/>
            </w:pPr>
            <w:r w:rsidRPr="00B419CE">
              <w:t>866 800</w:t>
            </w:r>
          </w:p>
        </w:tc>
        <w:tc>
          <w:tcPr>
            <w:tcW w:w="1020" w:type="dxa"/>
          </w:tcPr>
          <w:p w14:paraId="5A18CCBA" w14:textId="77777777" w:rsidR="00B419CE" w:rsidRPr="00B419CE" w:rsidRDefault="00B419CE" w:rsidP="00B419CE">
            <w:pPr>
              <w:jc w:val="right"/>
            </w:pPr>
            <w:r w:rsidRPr="00B419CE">
              <w:t>932 857</w:t>
            </w:r>
          </w:p>
        </w:tc>
        <w:tc>
          <w:tcPr>
            <w:tcW w:w="1020" w:type="dxa"/>
          </w:tcPr>
          <w:p w14:paraId="0472ED17" w14:textId="77777777" w:rsidR="00B419CE" w:rsidRPr="00B419CE" w:rsidRDefault="00B419CE" w:rsidP="00B419CE">
            <w:pPr>
              <w:jc w:val="right"/>
            </w:pPr>
            <w:r w:rsidRPr="00B419CE">
              <w:t>7,6</w:t>
            </w:r>
          </w:p>
        </w:tc>
      </w:tr>
      <w:tr w:rsidR="00B419CE" w:rsidRPr="00B419CE" w14:paraId="1C9F1DC1" w14:textId="77777777" w:rsidTr="00B419CE">
        <w:trPr>
          <w:trHeight w:val="380"/>
        </w:trPr>
        <w:tc>
          <w:tcPr>
            <w:tcW w:w="1020" w:type="dxa"/>
          </w:tcPr>
          <w:p w14:paraId="00CE56C5" w14:textId="77777777" w:rsidR="00B419CE" w:rsidRPr="00B419CE" w:rsidRDefault="00B419CE" w:rsidP="00B419CE"/>
        </w:tc>
        <w:tc>
          <w:tcPr>
            <w:tcW w:w="4080" w:type="dxa"/>
          </w:tcPr>
          <w:p w14:paraId="06E36EBB" w14:textId="77777777" w:rsidR="00B419CE" w:rsidRPr="00B419CE" w:rsidRDefault="00B419CE" w:rsidP="00B419CE">
            <w:r w:rsidRPr="00B419CE">
              <w:rPr>
                <w:rStyle w:val="kursiv"/>
              </w:rPr>
              <w:t>Sum kategori 23.10</w:t>
            </w:r>
          </w:p>
        </w:tc>
        <w:tc>
          <w:tcPr>
            <w:tcW w:w="1020" w:type="dxa"/>
          </w:tcPr>
          <w:p w14:paraId="5E1BA106" w14:textId="77777777" w:rsidR="00B419CE" w:rsidRPr="00B419CE" w:rsidRDefault="00B419CE" w:rsidP="00B419CE">
            <w:pPr>
              <w:jc w:val="right"/>
            </w:pPr>
            <w:r w:rsidRPr="00B419CE">
              <w:rPr>
                <w:rStyle w:val="kursiv"/>
              </w:rPr>
              <w:t>51 752 589</w:t>
            </w:r>
          </w:p>
        </w:tc>
        <w:tc>
          <w:tcPr>
            <w:tcW w:w="1020" w:type="dxa"/>
          </w:tcPr>
          <w:p w14:paraId="64FD4526" w14:textId="77777777" w:rsidR="00B419CE" w:rsidRPr="00B419CE" w:rsidRDefault="00B419CE" w:rsidP="00B419CE">
            <w:pPr>
              <w:jc w:val="right"/>
            </w:pPr>
            <w:r w:rsidRPr="00B419CE">
              <w:rPr>
                <w:rStyle w:val="kursiv"/>
              </w:rPr>
              <w:t>1 854 959</w:t>
            </w:r>
          </w:p>
        </w:tc>
        <w:tc>
          <w:tcPr>
            <w:tcW w:w="1020" w:type="dxa"/>
          </w:tcPr>
          <w:p w14:paraId="63529C6B" w14:textId="77777777" w:rsidR="00B419CE" w:rsidRPr="00B419CE" w:rsidRDefault="00B419CE" w:rsidP="00B419CE">
            <w:pPr>
              <w:jc w:val="right"/>
            </w:pPr>
            <w:r w:rsidRPr="00B419CE">
              <w:rPr>
                <w:rStyle w:val="kursiv"/>
              </w:rPr>
              <w:t>1 940 638</w:t>
            </w:r>
          </w:p>
        </w:tc>
        <w:tc>
          <w:tcPr>
            <w:tcW w:w="1020" w:type="dxa"/>
          </w:tcPr>
          <w:p w14:paraId="73479800" w14:textId="77777777" w:rsidR="00B419CE" w:rsidRPr="00B419CE" w:rsidRDefault="00B419CE" w:rsidP="00B419CE">
            <w:pPr>
              <w:jc w:val="right"/>
            </w:pPr>
            <w:r w:rsidRPr="00B419CE">
              <w:rPr>
                <w:rStyle w:val="kursiv"/>
              </w:rPr>
              <w:t>4,6</w:t>
            </w:r>
          </w:p>
        </w:tc>
      </w:tr>
      <w:tr w:rsidR="00B419CE" w:rsidRPr="00B419CE" w14:paraId="38E6C3FF" w14:textId="77777777" w:rsidTr="00B419CE">
        <w:trPr>
          <w:trHeight w:val="640"/>
        </w:trPr>
        <w:tc>
          <w:tcPr>
            <w:tcW w:w="1020" w:type="dxa"/>
          </w:tcPr>
          <w:p w14:paraId="1F45425E" w14:textId="77777777" w:rsidR="00B419CE" w:rsidRPr="00B419CE" w:rsidRDefault="00B419CE" w:rsidP="00B419CE"/>
        </w:tc>
        <w:tc>
          <w:tcPr>
            <w:tcW w:w="4080" w:type="dxa"/>
          </w:tcPr>
          <w:p w14:paraId="3F0FCE0A" w14:textId="77777777" w:rsidR="00B419CE" w:rsidRPr="00B419CE" w:rsidRDefault="00B419CE" w:rsidP="00B419CE">
            <w:r w:rsidRPr="00B419CE">
              <w:rPr>
                <w:rStyle w:val="halvfet"/>
              </w:rPr>
              <w:t xml:space="preserve">Skatte-, avgifts- og </w:t>
            </w:r>
            <w:r w:rsidRPr="00B419CE">
              <w:rPr>
                <w:rStyle w:val="halvfet"/>
              </w:rPr>
              <w:br/>
              <w:t>tolladministrasjon</w:t>
            </w:r>
          </w:p>
        </w:tc>
        <w:tc>
          <w:tcPr>
            <w:tcW w:w="1020" w:type="dxa"/>
          </w:tcPr>
          <w:p w14:paraId="5C6030D2" w14:textId="77777777" w:rsidR="00B419CE" w:rsidRPr="00B419CE" w:rsidRDefault="00B419CE" w:rsidP="00B419CE">
            <w:pPr>
              <w:jc w:val="right"/>
            </w:pPr>
          </w:p>
        </w:tc>
        <w:tc>
          <w:tcPr>
            <w:tcW w:w="1020" w:type="dxa"/>
          </w:tcPr>
          <w:p w14:paraId="713DC44C" w14:textId="77777777" w:rsidR="00B419CE" w:rsidRPr="00B419CE" w:rsidRDefault="00B419CE" w:rsidP="00B419CE">
            <w:pPr>
              <w:jc w:val="right"/>
            </w:pPr>
          </w:p>
        </w:tc>
        <w:tc>
          <w:tcPr>
            <w:tcW w:w="1020" w:type="dxa"/>
          </w:tcPr>
          <w:p w14:paraId="69A099E8" w14:textId="77777777" w:rsidR="00B419CE" w:rsidRPr="00B419CE" w:rsidRDefault="00B419CE" w:rsidP="00B419CE">
            <w:pPr>
              <w:jc w:val="right"/>
            </w:pPr>
          </w:p>
        </w:tc>
        <w:tc>
          <w:tcPr>
            <w:tcW w:w="1020" w:type="dxa"/>
          </w:tcPr>
          <w:p w14:paraId="513D54B0" w14:textId="77777777" w:rsidR="00B419CE" w:rsidRPr="00B419CE" w:rsidRDefault="00B419CE" w:rsidP="00B419CE">
            <w:pPr>
              <w:jc w:val="right"/>
            </w:pPr>
          </w:p>
        </w:tc>
      </w:tr>
      <w:tr w:rsidR="00B419CE" w:rsidRPr="00B419CE" w14:paraId="52033859" w14:textId="77777777" w:rsidTr="00B419CE">
        <w:trPr>
          <w:trHeight w:val="380"/>
        </w:trPr>
        <w:tc>
          <w:tcPr>
            <w:tcW w:w="1020" w:type="dxa"/>
          </w:tcPr>
          <w:p w14:paraId="07F9E23C" w14:textId="77777777" w:rsidR="00B419CE" w:rsidRPr="00B419CE" w:rsidRDefault="00B419CE" w:rsidP="00B419CE">
            <w:r w:rsidRPr="00B419CE">
              <w:t>1610</w:t>
            </w:r>
          </w:p>
        </w:tc>
        <w:tc>
          <w:tcPr>
            <w:tcW w:w="4080" w:type="dxa"/>
          </w:tcPr>
          <w:p w14:paraId="1868CE0C" w14:textId="77777777" w:rsidR="00B419CE" w:rsidRPr="00B419CE" w:rsidRDefault="00B419CE" w:rsidP="00B419CE">
            <w:r w:rsidRPr="00B419CE">
              <w:t>Tolletaten</w:t>
            </w:r>
          </w:p>
        </w:tc>
        <w:tc>
          <w:tcPr>
            <w:tcW w:w="1020" w:type="dxa"/>
          </w:tcPr>
          <w:p w14:paraId="07B56952" w14:textId="77777777" w:rsidR="00B419CE" w:rsidRPr="00B419CE" w:rsidRDefault="00B419CE" w:rsidP="00B419CE">
            <w:pPr>
              <w:jc w:val="right"/>
            </w:pPr>
            <w:r w:rsidRPr="00B419CE">
              <w:t>1 723 892</w:t>
            </w:r>
          </w:p>
        </w:tc>
        <w:tc>
          <w:tcPr>
            <w:tcW w:w="1020" w:type="dxa"/>
          </w:tcPr>
          <w:p w14:paraId="559622CA" w14:textId="77777777" w:rsidR="00B419CE" w:rsidRPr="00B419CE" w:rsidRDefault="00B419CE" w:rsidP="00B419CE">
            <w:pPr>
              <w:jc w:val="right"/>
            </w:pPr>
            <w:r w:rsidRPr="00B419CE">
              <w:t>1 729 475</w:t>
            </w:r>
          </w:p>
        </w:tc>
        <w:tc>
          <w:tcPr>
            <w:tcW w:w="1020" w:type="dxa"/>
          </w:tcPr>
          <w:p w14:paraId="7BC17B77" w14:textId="77777777" w:rsidR="00B419CE" w:rsidRPr="00B419CE" w:rsidRDefault="00B419CE" w:rsidP="00B419CE">
            <w:pPr>
              <w:jc w:val="right"/>
            </w:pPr>
            <w:r w:rsidRPr="00B419CE">
              <w:t>1 794 107</w:t>
            </w:r>
          </w:p>
        </w:tc>
        <w:tc>
          <w:tcPr>
            <w:tcW w:w="1020" w:type="dxa"/>
          </w:tcPr>
          <w:p w14:paraId="48AA8D80" w14:textId="77777777" w:rsidR="00B419CE" w:rsidRPr="00B419CE" w:rsidRDefault="00B419CE" w:rsidP="00B419CE">
            <w:pPr>
              <w:jc w:val="right"/>
            </w:pPr>
            <w:r w:rsidRPr="00B419CE">
              <w:t>3,7</w:t>
            </w:r>
          </w:p>
        </w:tc>
      </w:tr>
      <w:tr w:rsidR="00B419CE" w:rsidRPr="00B419CE" w14:paraId="008553C6" w14:textId="77777777" w:rsidTr="00B419CE">
        <w:trPr>
          <w:trHeight w:val="380"/>
        </w:trPr>
        <w:tc>
          <w:tcPr>
            <w:tcW w:w="1020" w:type="dxa"/>
          </w:tcPr>
          <w:p w14:paraId="609587CB" w14:textId="77777777" w:rsidR="00B419CE" w:rsidRPr="00B419CE" w:rsidRDefault="00B419CE" w:rsidP="00B419CE">
            <w:r w:rsidRPr="00B419CE">
              <w:t>1618</w:t>
            </w:r>
          </w:p>
        </w:tc>
        <w:tc>
          <w:tcPr>
            <w:tcW w:w="4080" w:type="dxa"/>
          </w:tcPr>
          <w:p w14:paraId="6387724D" w14:textId="77777777" w:rsidR="00B419CE" w:rsidRPr="00B419CE" w:rsidRDefault="00B419CE" w:rsidP="00B419CE">
            <w:r w:rsidRPr="00B419CE">
              <w:t>Skatteetaten</w:t>
            </w:r>
          </w:p>
        </w:tc>
        <w:tc>
          <w:tcPr>
            <w:tcW w:w="1020" w:type="dxa"/>
          </w:tcPr>
          <w:p w14:paraId="5E38E1F7" w14:textId="77777777" w:rsidR="00B419CE" w:rsidRPr="00B419CE" w:rsidRDefault="00B419CE" w:rsidP="00B419CE">
            <w:pPr>
              <w:jc w:val="right"/>
            </w:pPr>
            <w:r w:rsidRPr="00B419CE">
              <w:t>7 214 827</w:t>
            </w:r>
          </w:p>
        </w:tc>
        <w:tc>
          <w:tcPr>
            <w:tcW w:w="1020" w:type="dxa"/>
          </w:tcPr>
          <w:p w14:paraId="4741B372" w14:textId="77777777" w:rsidR="00B419CE" w:rsidRPr="00B419CE" w:rsidRDefault="00B419CE" w:rsidP="00B419CE">
            <w:pPr>
              <w:jc w:val="right"/>
            </w:pPr>
            <w:r w:rsidRPr="00B419CE">
              <w:t>7 784 328</w:t>
            </w:r>
          </w:p>
        </w:tc>
        <w:tc>
          <w:tcPr>
            <w:tcW w:w="1020" w:type="dxa"/>
          </w:tcPr>
          <w:p w14:paraId="3E8DF9C6" w14:textId="77777777" w:rsidR="00B419CE" w:rsidRPr="00B419CE" w:rsidRDefault="00B419CE" w:rsidP="00B419CE">
            <w:pPr>
              <w:jc w:val="right"/>
            </w:pPr>
            <w:r w:rsidRPr="00B419CE">
              <w:t>8 231 132</w:t>
            </w:r>
          </w:p>
        </w:tc>
        <w:tc>
          <w:tcPr>
            <w:tcW w:w="1020" w:type="dxa"/>
          </w:tcPr>
          <w:p w14:paraId="67B40734" w14:textId="77777777" w:rsidR="00B419CE" w:rsidRPr="00B419CE" w:rsidRDefault="00B419CE" w:rsidP="00B419CE">
            <w:pPr>
              <w:jc w:val="right"/>
            </w:pPr>
            <w:r w:rsidRPr="00B419CE">
              <w:t>5,7</w:t>
            </w:r>
          </w:p>
        </w:tc>
      </w:tr>
      <w:tr w:rsidR="00B419CE" w:rsidRPr="00B419CE" w14:paraId="510127B4" w14:textId="77777777" w:rsidTr="00B419CE">
        <w:trPr>
          <w:trHeight w:val="380"/>
        </w:trPr>
        <w:tc>
          <w:tcPr>
            <w:tcW w:w="1020" w:type="dxa"/>
          </w:tcPr>
          <w:p w14:paraId="15EB8C67" w14:textId="77777777" w:rsidR="00B419CE" w:rsidRPr="00B419CE" w:rsidRDefault="00B419CE" w:rsidP="00B419CE">
            <w:r w:rsidRPr="00B419CE">
              <w:t>1619</w:t>
            </w:r>
          </w:p>
        </w:tc>
        <w:tc>
          <w:tcPr>
            <w:tcW w:w="4080" w:type="dxa"/>
          </w:tcPr>
          <w:p w14:paraId="08760B1D" w14:textId="77777777" w:rsidR="00B419CE" w:rsidRPr="00B419CE" w:rsidRDefault="00B419CE" w:rsidP="00B419CE">
            <w:r w:rsidRPr="00B419CE">
              <w:t>Skatteklagenemnda</w:t>
            </w:r>
          </w:p>
        </w:tc>
        <w:tc>
          <w:tcPr>
            <w:tcW w:w="1020" w:type="dxa"/>
          </w:tcPr>
          <w:p w14:paraId="3394FF49" w14:textId="77777777" w:rsidR="00B419CE" w:rsidRPr="00B419CE" w:rsidRDefault="00B419CE" w:rsidP="00B419CE">
            <w:pPr>
              <w:jc w:val="right"/>
            </w:pPr>
            <w:r w:rsidRPr="00B419CE">
              <w:t>66 943</w:t>
            </w:r>
          </w:p>
        </w:tc>
        <w:tc>
          <w:tcPr>
            <w:tcW w:w="1020" w:type="dxa"/>
          </w:tcPr>
          <w:p w14:paraId="76126800" w14:textId="77777777" w:rsidR="00B419CE" w:rsidRPr="00B419CE" w:rsidRDefault="00B419CE" w:rsidP="00B419CE">
            <w:pPr>
              <w:jc w:val="right"/>
            </w:pPr>
            <w:r w:rsidRPr="00B419CE">
              <w:t>71 213</w:t>
            </w:r>
          </w:p>
        </w:tc>
        <w:tc>
          <w:tcPr>
            <w:tcW w:w="1020" w:type="dxa"/>
          </w:tcPr>
          <w:p w14:paraId="3B2CAD57" w14:textId="77777777" w:rsidR="00B419CE" w:rsidRPr="00B419CE" w:rsidRDefault="00B419CE" w:rsidP="00B419CE">
            <w:pPr>
              <w:jc w:val="right"/>
            </w:pPr>
            <w:r w:rsidRPr="00B419CE">
              <w:t>72 090</w:t>
            </w:r>
          </w:p>
        </w:tc>
        <w:tc>
          <w:tcPr>
            <w:tcW w:w="1020" w:type="dxa"/>
          </w:tcPr>
          <w:p w14:paraId="3C02C30A" w14:textId="77777777" w:rsidR="00B419CE" w:rsidRPr="00B419CE" w:rsidRDefault="00B419CE" w:rsidP="00B419CE">
            <w:pPr>
              <w:jc w:val="right"/>
            </w:pPr>
            <w:r w:rsidRPr="00B419CE">
              <w:t>1,2</w:t>
            </w:r>
          </w:p>
        </w:tc>
      </w:tr>
      <w:tr w:rsidR="00B419CE" w:rsidRPr="00B419CE" w14:paraId="1DE7306D" w14:textId="77777777" w:rsidTr="00B419CE">
        <w:trPr>
          <w:trHeight w:val="380"/>
        </w:trPr>
        <w:tc>
          <w:tcPr>
            <w:tcW w:w="1020" w:type="dxa"/>
          </w:tcPr>
          <w:p w14:paraId="345D12C3" w14:textId="77777777" w:rsidR="00B419CE" w:rsidRPr="00B419CE" w:rsidRDefault="00B419CE" w:rsidP="00B419CE"/>
        </w:tc>
        <w:tc>
          <w:tcPr>
            <w:tcW w:w="4080" w:type="dxa"/>
          </w:tcPr>
          <w:p w14:paraId="71A58BAB" w14:textId="77777777" w:rsidR="00B419CE" w:rsidRPr="00B419CE" w:rsidRDefault="00B419CE" w:rsidP="00B419CE">
            <w:r w:rsidRPr="00B419CE">
              <w:rPr>
                <w:rStyle w:val="kursiv"/>
              </w:rPr>
              <w:t>Sum kategori 23.20</w:t>
            </w:r>
          </w:p>
        </w:tc>
        <w:tc>
          <w:tcPr>
            <w:tcW w:w="1020" w:type="dxa"/>
          </w:tcPr>
          <w:p w14:paraId="76EC0E3D" w14:textId="77777777" w:rsidR="00B419CE" w:rsidRPr="00B419CE" w:rsidRDefault="00B419CE" w:rsidP="00B419CE">
            <w:pPr>
              <w:jc w:val="right"/>
            </w:pPr>
            <w:r w:rsidRPr="00B419CE">
              <w:rPr>
                <w:rStyle w:val="kursiv"/>
              </w:rPr>
              <w:t>9 005 662</w:t>
            </w:r>
          </w:p>
        </w:tc>
        <w:tc>
          <w:tcPr>
            <w:tcW w:w="1020" w:type="dxa"/>
          </w:tcPr>
          <w:p w14:paraId="58EB2262" w14:textId="77777777" w:rsidR="00B419CE" w:rsidRPr="00B419CE" w:rsidRDefault="00B419CE" w:rsidP="00B419CE">
            <w:pPr>
              <w:jc w:val="right"/>
            </w:pPr>
            <w:r w:rsidRPr="00B419CE">
              <w:rPr>
                <w:rStyle w:val="kursiv"/>
              </w:rPr>
              <w:t>9 585 016</w:t>
            </w:r>
          </w:p>
        </w:tc>
        <w:tc>
          <w:tcPr>
            <w:tcW w:w="1020" w:type="dxa"/>
          </w:tcPr>
          <w:p w14:paraId="4F92FCEA" w14:textId="77777777" w:rsidR="00B419CE" w:rsidRPr="00B419CE" w:rsidRDefault="00B419CE" w:rsidP="00B419CE">
            <w:pPr>
              <w:jc w:val="right"/>
            </w:pPr>
            <w:r w:rsidRPr="00B419CE">
              <w:rPr>
                <w:rStyle w:val="kursiv"/>
              </w:rPr>
              <w:t>10 097 329</w:t>
            </w:r>
          </w:p>
        </w:tc>
        <w:tc>
          <w:tcPr>
            <w:tcW w:w="1020" w:type="dxa"/>
          </w:tcPr>
          <w:p w14:paraId="54FD8BC0" w14:textId="77777777" w:rsidR="00B419CE" w:rsidRPr="00B419CE" w:rsidRDefault="00B419CE" w:rsidP="00B419CE">
            <w:pPr>
              <w:jc w:val="right"/>
            </w:pPr>
            <w:r w:rsidRPr="00B419CE">
              <w:rPr>
                <w:rStyle w:val="kursiv"/>
              </w:rPr>
              <w:t>5,3</w:t>
            </w:r>
          </w:p>
        </w:tc>
      </w:tr>
      <w:tr w:rsidR="00B419CE" w:rsidRPr="00B419CE" w14:paraId="63690C7D" w14:textId="77777777" w:rsidTr="00B419CE">
        <w:trPr>
          <w:trHeight w:val="380"/>
        </w:trPr>
        <w:tc>
          <w:tcPr>
            <w:tcW w:w="1020" w:type="dxa"/>
          </w:tcPr>
          <w:p w14:paraId="493979BF" w14:textId="77777777" w:rsidR="00B419CE" w:rsidRPr="00B419CE" w:rsidRDefault="00B419CE" w:rsidP="00B419CE"/>
        </w:tc>
        <w:tc>
          <w:tcPr>
            <w:tcW w:w="4080" w:type="dxa"/>
          </w:tcPr>
          <w:p w14:paraId="3D007E69" w14:textId="77777777" w:rsidR="00B419CE" w:rsidRPr="00B419CE" w:rsidRDefault="00B419CE" w:rsidP="00B419CE">
            <w:r w:rsidRPr="00B419CE">
              <w:rPr>
                <w:rStyle w:val="halvfet"/>
              </w:rPr>
              <w:t>Offisiell statistikk</w:t>
            </w:r>
          </w:p>
        </w:tc>
        <w:tc>
          <w:tcPr>
            <w:tcW w:w="1020" w:type="dxa"/>
          </w:tcPr>
          <w:p w14:paraId="56FE5CCF" w14:textId="77777777" w:rsidR="00B419CE" w:rsidRPr="00B419CE" w:rsidRDefault="00B419CE" w:rsidP="00B419CE">
            <w:pPr>
              <w:jc w:val="right"/>
            </w:pPr>
          </w:p>
        </w:tc>
        <w:tc>
          <w:tcPr>
            <w:tcW w:w="1020" w:type="dxa"/>
          </w:tcPr>
          <w:p w14:paraId="773B42CB" w14:textId="77777777" w:rsidR="00B419CE" w:rsidRPr="00B419CE" w:rsidRDefault="00B419CE" w:rsidP="00B419CE">
            <w:pPr>
              <w:jc w:val="right"/>
            </w:pPr>
          </w:p>
        </w:tc>
        <w:tc>
          <w:tcPr>
            <w:tcW w:w="1020" w:type="dxa"/>
          </w:tcPr>
          <w:p w14:paraId="377E5E88" w14:textId="77777777" w:rsidR="00B419CE" w:rsidRPr="00B419CE" w:rsidRDefault="00B419CE" w:rsidP="00B419CE">
            <w:pPr>
              <w:jc w:val="right"/>
            </w:pPr>
          </w:p>
        </w:tc>
        <w:tc>
          <w:tcPr>
            <w:tcW w:w="1020" w:type="dxa"/>
          </w:tcPr>
          <w:p w14:paraId="05FD59C2" w14:textId="77777777" w:rsidR="00B419CE" w:rsidRPr="00B419CE" w:rsidRDefault="00B419CE" w:rsidP="00B419CE">
            <w:pPr>
              <w:jc w:val="right"/>
            </w:pPr>
          </w:p>
        </w:tc>
      </w:tr>
      <w:tr w:rsidR="00B419CE" w:rsidRPr="00B419CE" w14:paraId="680F5143" w14:textId="77777777" w:rsidTr="00B419CE">
        <w:trPr>
          <w:trHeight w:val="380"/>
        </w:trPr>
        <w:tc>
          <w:tcPr>
            <w:tcW w:w="1020" w:type="dxa"/>
          </w:tcPr>
          <w:p w14:paraId="50110D46" w14:textId="77777777" w:rsidR="00B419CE" w:rsidRPr="00B419CE" w:rsidRDefault="00B419CE" w:rsidP="00B419CE">
            <w:r w:rsidRPr="00B419CE">
              <w:t>1620</w:t>
            </w:r>
          </w:p>
        </w:tc>
        <w:tc>
          <w:tcPr>
            <w:tcW w:w="4080" w:type="dxa"/>
          </w:tcPr>
          <w:p w14:paraId="3937058E" w14:textId="77777777" w:rsidR="00B419CE" w:rsidRPr="00B419CE" w:rsidRDefault="00B419CE" w:rsidP="00B419CE">
            <w:r w:rsidRPr="00B419CE">
              <w:t>Statistisk sentralbyrå</w:t>
            </w:r>
          </w:p>
        </w:tc>
        <w:tc>
          <w:tcPr>
            <w:tcW w:w="1020" w:type="dxa"/>
          </w:tcPr>
          <w:p w14:paraId="0EDCEB3C" w14:textId="77777777" w:rsidR="00B419CE" w:rsidRPr="00B419CE" w:rsidRDefault="00B419CE" w:rsidP="00B419CE">
            <w:pPr>
              <w:jc w:val="right"/>
            </w:pPr>
            <w:r w:rsidRPr="00B419CE">
              <w:t>888 516</w:t>
            </w:r>
          </w:p>
        </w:tc>
        <w:tc>
          <w:tcPr>
            <w:tcW w:w="1020" w:type="dxa"/>
          </w:tcPr>
          <w:p w14:paraId="4C391DAF" w14:textId="77777777" w:rsidR="00B419CE" w:rsidRPr="00B419CE" w:rsidRDefault="00B419CE" w:rsidP="00B419CE">
            <w:pPr>
              <w:jc w:val="right"/>
            </w:pPr>
            <w:r w:rsidRPr="00B419CE">
              <w:t>874 860</w:t>
            </w:r>
          </w:p>
        </w:tc>
        <w:tc>
          <w:tcPr>
            <w:tcW w:w="1020" w:type="dxa"/>
          </w:tcPr>
          <w:p w14:paraId="4634A7F4" w14:textId="77777777" w:rsidR="00B419CE" w:rsidRPr="00B419CE" w:rsidRDefault="00B419CE" w:rsidP="00B419CE">
            <w:pPr>
              <w:jc w:val="right"/>
            </w:pPr>
            <w:r w:rsidRPr="00B419CE">
              <w:t>897 347</w:t>
            </w:r>
          </w:p>
        </w:tc>
        <w:tc>
          <w:tcPr>
            <w:tcW w:w="1020" w:type="dxa"/>
          </w:tcPr>
          <w:p w14:paraId="6D1C0C43" w14:textId="77777777" w:rsidR="00B419CE" w:rsidRPr="00B419CE" w:rsidRDefault="00B419CE" w:rsidP="00B419CE">
            <w:pPr>
              <w:jc w:val="right"/>
            </w:pPr>
            <w:r w:rsidRPr="00B419CE">
              <w:t>2,6</w:t>
            </w:r>
          </w:p>
        </w:tc>
      </w:tr>
      <w:tr w:rsidR="00B419CE" w:rsidRPr="00B419CE" w14:paraId="620965CD" w14:textId="77777777" w:rsidTr="00B419CE">
        <w:trPr>
          <w:trHeight w:val="380"/>
        </w:trPr>
        <w:tc>
          <w:tcPr>
            <w:tcW w:w="1020" w:type="dxa"/>
          </w:tcPr>
          <w:p w14:paraId="2EAD58F9" w14:textId="77777777" w:rsidR="00B419CE" w:rsidRPr="00B419CE" w:rsidRDefault="00B419CE" w:rsidP="00B419CE"/>
        </w:tc>
        <w:tc>
          <w:tcPr>
            <w:tcW w:w="4080" w:type="dxa"/>
          </w:tcPr>
          <w:p w14:paraId="4B3B15EF" w14:textId="77777777" w:rsidR="00B419CE" w:rsidRPr="00B419CE" w:rsidRDefault="00B419CE" w:rsidP="00B419CE">
            <w:r w:rsidRPr="00B419CE">
              <w:rPr>
                <w:rStyle w:val="kursiv"/>
              </w:rPr>
              <w:t>Sum kategori 23.30</w:t>
            </w:r>
          </w:p>
        </w:tc>
        <w:tc>
          <w:tcPr>
            <w:tcW w:w="1020" w:type="dxa"/>
          </w:tcPr>
          <w:p w14:paraId="34C5449F" w14:textId="77777777" w:rsidR="00B419CE" w:rsidRPr="00B419CE" w:rsidRDefault="00B419CE" w:rsidP="00B419CE">
            <w:pPr>
              <w:jc w:val="right"/>
            </w:pPr>
            <w:r w:rsidRPr="00B419CE">
              <w:rPr>
                <w:rStyle w:val="kursiv"/>
              </w:rPr>
              <w:t>888 516</w:t>
            </w:r>
          </w:p>
        </w:tc>
        <w:tc>
          <w:tcPr>
            <w:tcW w:w="1020" w:type="dxa"/>
          </w:tcPr>
          <w:p w14:paraId="0EE65697" w14:textId="77777777" w:rsidR="00B419CE" w:rsidRPr="00B419CE" w:rsidRDefault="00B419CE" w:rsidP="00B419CE">
            <w:pPr>
              <w:jc w:val="right"/>
            </w:pPr>
            <w:r w:rsidRPr="00B419CE">
              <w:rPr>
                <w:rStyle w:val="kursiv"/>
              </w:rPr>
              <w:t>874 860</w:t>
            </w:r>
          </w:p>
        </w:tc>
        <w:tc>
          <w:tcPr>
            <w:tcW w:w="1020" w:type="dxa"/>
          </w:tcPr>
          <w:p w14:paraId="359495A1" w14:textId="77777777" w:rsidR="00B419CE" w:rsidRPr="00B419CE" w:rsidRDefault="00B419CE" w:rsidP="00B419CE">
            <w:pPr>
              <w:jc w:val="right"/>
            </w:pPr>
            <w:r w:rsidRPr="00B419CE">
              <w:rPr>
                <w:rStyle w:val="kursiv"/>
              </w:rPr>
              <w:t>897 347</w:t>
            </w:r>
          </w:p>
        </w:tc>
        <w:tc>
          <w:tcPr>
            <w:tcW w:w="1020" w:type="dxa"/>
          </w:tcPr>
          <w:p w14:paraId="203D12DD" w14:textId="77777777" w:rsidR="00B419CE" w:rsidRPr="00B419CE" w:rsidRDefault="00B419CE" w:rsidP="00B419CE">
            <w:pPr>
              <w:jc w:val="right"/>
            </w:pPr>
            <w:r w:rsidRPr="00B419CE">
              <w:rPr>
                <w:rStyle w:val="kursiv"/>
              </w:rPr>
              <w:t>2,6</w:t>
            </w:r>
          </w:p>
        </w:tc>
      </w:tr>
      <w:tr w:rsidR="00B419CE" w:rsidRPr="00B419CE" w14:paraId="2EBA6519" w14:textId="77777777" w:rsidTr="00B419CE">
        <w:trPr>
          <w:trHeight w:val="380"/>
        </w:trPr>
        <w:tc>
          <w:tcPr>
            <w:tcW w:w="1020" w:type="dxa"/>
          </w:tcPr>
          <w:p w14:paraId="1D93482F" w14:textId="77777777" w:rsidR="00B419CE" w:rsidRPr="00B419CE" w:rsidRDefault="00B419CE" w:rsidP="00B419CE"/>
        </w:tc>
        <w:tc>
          <w:tcPr>
            <w:tcW w:w="4080" w:type="dxa"/>
          </w:tcPr>
          <w:p w14:paraId="3644FD54" w14:textId="77777777" w:rsidR="00B419CE" w:rsidRPr="00B419CE" w:rsidRDefault="00B419CE" w:rsidP="00B419CE">
            <w:r w:rsidRPr="00B419CE">
              <w:rPr>
                <w:rStyle w:val="halvfet"/>
              </w:rPr>
              <w:t xml:space="preserve">Andre </w:t>
            </w:r>
            <w:proofErr w:type="spellStart"/>
            <w:r w:rsidRPr="00B419CE">
              <w:rPr>
                <w:rStyle w:val="halvfet"/>
              </w:rPr>
              <w:t>føremål</w:t>
            </w:r>
            <w:proofErr w:type="spellEnd"/>
          </w:p>
        </w:tc>
        <w:tc>
          <w:tcPr>
            <w:tcW w:w="1020" w:type="dxa"/>
          </w:tcPr>
          <w:p w14:paraId="0FB75995" w14:textId="77777777" w:rsidR="00B419CE" w:rsidRPr="00B419CE" w:rsidRDefault="00B419CE" w:rsidP="00B419CE">
            <w:pPr>
              <w:jc w:val="right"/>
            </w:pPr>
          </w:p>
        </w:tc>
        <w:tc>
          <w:tcPr>
            <w:tcW w:w="1020" w:type="dxa"/>
          </w:tcPr>
          <w:p w14:paraId="07F46959" w14:textId="77777777" w:rsidR="00B419CE" w:rsidRPr="00B419CE" w:rsidRDefault="00B419CE" w:rsidP="00B419CE">
            <w:pPr>
              <w:jc w:val="right"/>
            </w:pPr>
          </w:p>
        </w:tc>
        <w:tc>
          <w:tcPr>
            <w:tcW w:w="1020" w:type="dxa"/>
          </w:tcPr>
          <w:p w14:paraId="467A21FF" w14:textId="77777777" w:rsidR="00B419CE" w:rsidRPr="00B419CE" w:rsidRDefault="00B419CE" w:rsidP="00B419CE">
            <w:pPr>
              <w:jc w:val="right"/>
            </w:pPr>
          </w:p>
        </w:tc>
        <w:tc>
          <w:tcPr>
            <w:tcW w:w="1020" w:type="dxa"/>
          </w:tcPr>
          <w:p w14:paraId="567702FC" w14:textId="77777777" w:rsidR="00B419CE" w:rsidRPr="00B419CE" w:rsidRDefault="00B419CE" w:rsidP="00B419CE">
            <w:pPr>
              <w:jc w:val="right"/>
            </w:pPr>
          </w:p>
        </w:tc>
      </w:tr>
      <w:tr w:rsidR="00B419CE" w:rsidRPr="00B419CE" w14:paraId="64E58274" w14:textId="77777777" w:rsidTr="00B419CE">
        <w:trPr>
          <w:trHeight w:val="380"/>
        </w:trPr>
        <w:tc>
          <w:tcPr>
            <w:tcW w:w="1020" w:type="dxa"/>
          </w:tcPr>
          <w:p w14:paraId="3FC54AF8" w14:textId="77777777" w:rsidR="00B419CE" w:rsidRPr="00B419CE" w:rsidRDefault="00B419CE" w:rsidP="00B419CE">
            <w:r w:rsidRPr="00B419CE">
              <w:t>1632</w:t>
            </w:r>
          </w:p>
        </w:tc>
        <w:tc>
          <w:tcPr>
            <w:tcW w:w="4080" w:type="dxa"/>
          </w:tcPr>
          <w:p w14:paraId="0ED9F299" w14:textId="77777777" w:rsidR="00B419CE" w:rsidRPr="00B419CE" w:rsidRDefault="00B419CE" w:rsidP="00B419CE">
            <w:r w:rsidRPr="00B419CE">
              <w:t xml:space="preserve">Kompensasjon for </w:t>
            </w:r>
            <w:proofErr w:type="spellStart"/>
            <w:r w:rsidRPr="00B419CE">
              <w:t>meirverdiavgift</w:t>
            </w:r>
            <w:proofErr w:type="spellEnd"/>
          </w:p>
        </w:tc>
        <w:tc>
          <w:tcPr>
            <w:tcW w:w="1020" w:type="dxa"/>
          </w:tcPr>
          <w:p w14:paraId="5A3C9DA4" w14:textId="77777777" w:rsidR="00B419CE" w:rsidRPr="00B419CE" w:rsidRDefault="00B419CE" w:rsidP="00B419CE">
            <w:pPr>
              <w:jc w:val="right"/>
            </w:pPr>
            <w:r w:rsidRPr="00B419CE">
              <w:t>29 155 976</w:t>
            </w:r>
          </w:p>
        </w:tc>
        <w:tc>
          <w:tcPr>
            <w:tcW w:w="1020" w:type="dxa"/>
          </w:tcPr>
          <w:p w14:paraId="6278700C" w14:textId="77777777" w:rsidR="00B419CE" w:rsidRPr="00B419CE" w:rsidRDefault="00B419CE" w:rsidP="00B419CE">
            <w:pPr>
              <w:jc w:val="right"/>
            </w:pPr>
            <w:r w:rsidRPr="00B419CE">
              <w:t>31 200 000</w:t>
            </w:r>
          </w:p>
        </w:tc>
        <w:tc>
          <w:tcPr>
            <w:tcW w:w="1020" w:type="dxa"/>
          </w:tcPr>
          <w:p w14:paraId="416F6389" w14:textId="77777777" w:rsidR="00B419CE" w:rsidRPr="00B419CE" w:rsidRDefault="00B419CE" w:rsidP="00B419CE">
            <w:pPr>
              <w:jc w:val="right"/>
            </w:pPr>
            <w:r w:rsidRPr="00B419CE">
              <w:t>31 180 000</w:t>
            </w:r>
          </w:p>
        </w:tc>
        <w:tc>
          <w:tcPr>
            <w:tcW w:w="1020" w:type="dxa"/>
          </w:tcPr>
          <w:p w14:paraId="694A5D2D" w14:textId="77777777" w:rsidR="00B419CE" w:rsidRPr="00B419CE" w:rsidRDefault="00B419CE" w:rsidP="00B419CE">
            <w:pPr>
              <w:jc w:val="right"/>
            </w:pPr>
            <w:r w:rsidRPr="00B419CE">
              <w:t>-0,1</w:t>
            </w:r>
          </w:p>
        </w:tc>
      </w:tr>
      <w:tr w:rsidR="00B419CE" w:rsidRPr="00B419CE" w14:paraId="60EEE033" w14:textId="77777777" w:rsidTr="00B419CE">
        <w:trPr>
          <w:trHeight w:val="640"/>
        </w:trPr>
        <w:tc>
          <w:tcPr>
            <w:tcW w:w="1020" w:type="dxa"/>
          </w:tcPr>
          <w:p w14:paraId="53CA86B0" w14:textId="77777777" w:rsidR="00B419CE" w:rsidRPr="00B419CE" w:rsidRDefault="00B419CE" w:rsidP="00B419CE">
            <w:r w:rsidRPr="00B419CE">
              <w:t>1633</w:t>
            </w:r>
          </w:p>
        </w:tc>
        <w:tc>
          <w:tcPr>
            <w:tcW w:w="4080" w:type="dxa"/>
          </w:tcPr>
          <w:p w14:paraId="1B9DF305" w14:textId="77777777" w:rsidR="00B419CE" w:rsidRPr="00B419CE" w:rsidRDefault="00B419CE" w:rsidP="00B419CE">
            <w:r w:rsidRPr="00B419CE">
              <w:t xml:space="preserve">Nettoordning, </w:t>
            </w:r>
            <w:proofErr w:type="spellStart"/>
            <w:r w:rsidRPr="00B419CE">
              <w:t>statleg</w:t>
            </w:r>
            <w:proofErr w:type="spellEnd"/>
            <w:r w:rsidRPr="00B419CE">
              <w:t xml:space="preserve"> betalt </w:t>
            </w:r>
            <w:r w:rsidRPr="00B419CE">
              <w:br/>
            </w:r>
            <w:proofErr w:type="spellStart"/>
            <w:r w:rsidRPr="00B419CE">
              <w:t>meirverdiavgift</w:t>
            </w:r>
            <w:proofErr w:type="spellEnd"/>
          </w:p>
        </w:tc>
        <w:tc>
          <w:tcPr>
            <w:tcW w:w="1020" w:type="dxa"/>
          </w:tcPr>
          <w:p w14:paraId="1580BB92" w14:textId="77777777" w:rsidR="00B419CE" w:rsidRPr="00B419CE" w:rsidRDefault="00B419CE" w:rsidP="00B419CE">
            <w:pPr>
              <w:jc w:val="right"/>
            </w:pPr>
            <w:r w:rsidRPr="00B419CE">
              <w:t>8 131 831</w:t>
            </w:r>
          </w:p>
        </w:tc>
        <w:tc>
          <w:tcPr>
            <w:tcW w:w="1020" w:type="dxa"/>
          </w:tcPr>
          <w:p w14:paraId="06A87EB9" w14:textId="77777777" w:rsidR="00B419CE" w:rsidRPr="00B419CE" w:rsidRDefault="00B419CE" w:rsidP="00B419CE">
            <w:pPr>
              <w:jc w:val="right"/>
            </w:pPr>
            <w:r w:rsidRPr="00B419CE">
              <w:t>8 392 600</w:t>
            </w:r>
          </w:p>
        </w:tc>
        <w:tc>
          <w:tcPr>
            <w:tcW w:w="1020" w:type="dxa"/>
          </w:tcPr>
          <w:p w14:paraId="091238E8" w14:textId="77777777" w:rsidR="00B419CE" w:rsidRPr="00B419CE" w:rsidRDefault="00B419CE" w:rsidP="00B419CE">
            <w:pPr>
              <w:jc w:val="right"/>
            </w:pPr>
            <w:r w:rsidRPr="00B419CE">
              <w:t>9 100 000</w:t>
            </w:r>
          </w:p>
        </w:tc>
        <w:tc>
          <w:tcPr>
            <w:tcW w:w="1020" w:type="dxa"/>
          </w:tcPr>
          <w:p w14:paraId="1B1DCA84" w14:textId="77777777" w:rsidR="00B419CE" w:rsidRPr="00B419CE" w:rsidRDefault="00B419CE" w:rsidP="00B419CE">
            <w:pPr>
              <w:jc w:val="right"/>
            </w:pPr>
            <w:r w:rsidRPr="00B419CE">
              <w:t>8,4</w:t>
            </w:r>
          </w:p>
        </w:tc>
      </w:tr>
      <w:tr w:rsidR="00B419CE" w:rsidRPr="00B419CE" w14:paraId="32214796" w14:textId="77777777" w:rsidTr="00B419CE">
        <w:trPr>
          <w:trHeight w:val="640"/>
        </w:trPr>
        <w:tc>
          <w:tcPr>
            <w:tcW w:w="1020" w:type="dxa"/>
          </w:tcPr>
          <w:p w14:paraId="471BF1D9" w14:textId="77777777" w:rsidR="00B419CE" w:rsidRPr="00B419CE" w:rsidRDefault="00B419CE" w:rsidP="00B419CE">
            <w:r w:rsidRPr="00B419CE">
              <w:t>1634</w:t>
            </w:r>
          </w:p>
        </w:tc>
        <w:tc>
          <w:tcPr>
            <w:tcW w:w="4080" w:type="dxa"/>
          </w:tcPr>
          <w:p w14:paraId="1619EC33" w14:textId="77777777" w:rsidR="00B419CE" w:rsidRPr="00B419CE" w:rsidRDefault="00B419CE" w:rsidP="00B419CE">
            <w:r w:rsidRPr="00B419CE">
              <w:t xml:space="preserve">Kompensasjon for inntektssvikt som </w:t>
            </w:r>
            <w:proofErr w:type="spellStart"/>
            <w:r w:rsidRPr="00B419CE">
              <w:t>følgje</w:t>
            </w:r>
            <w:proofErr w:type="spellEnd"/>
            <w:r w:rsidRPr="00B419CE">
              <w:t xml:space="preserve"> av </w:t>
            </w:r>
            <w:proofErr w:type="spellStart"/>
            <w:r w:rsidRPr="00B419CE">
              <w:t>koronaviruset</w:t>
            </w:r>
            <w:proofErr w:type="spellEnd"/>
          </w:p>
        </w:tc>
        <w:tc>
          <w:tcPr>
            <w:tcW w:w="1020" w:type="dxa"/>
          </w:tcPr>
          <w:p w14:paraId="7B87163F" w14:textId="77777777" w:rsidR="00B419CE" w:rsidRPr="00B419CE" w:rsidRDefault="00B419CE" w:rsidP="00B419CE">
            <w:pPr>
              <w:jc w:val="right"/>
            </w:pPr>
            <w:r w:rsidRPr="00B419CE">
              <w:t>7 570 350</w:t>
            </w:r>
          </w:p>
        </w:tc>
        <w:tc>
          <w:tcPr>
            <w:tcW w:w="1020" w:type="dxa"/>
          </w:tcPr>
          <w:p w14:paraId="086D7829" w14:textId="77777777" w:rsidR="00B419CE" w:rsidRPr="00B419CE" w:rsidRDefault="00B419CE" w:rsidP="00B419CE">
            <w:pPr>
              <w:jc w:val="right"/>
            </w:pPr>
            <w:r w:rsidRPr="00B419CE">
              <w:t>430 000</w:t>
            </w:r>
          </w:p>
        </w:tc>
        <w:tc>
          <w:tcPr>
            <w:tcW w:w="1020" w:type="dxa"/>
          </w:tcPr>
          <w:p w14:paraId="6AA76760" w14:textId="77777777" w:rsidR="00B419CE" w:rsidRPr="00B419CE" w:rsidRDefault="00B419CE" w:rsidP="00B419CE">
            <w:pPr>
              <w:jc w:val="right"/>
            </w:pPr>
          </w:p>
        </w:tc>
        <w:tc>
          <w:tcPr>
            <w:tcW w:w="1020" w:type="dxa"/>
          </w:tcPr>
          <w:p w14:paraId="3335CDB4" w14:textId="77777777" w:rsidR="00B419CE" w:rsidRPr="00B419CE" w:rsidRDefault="00B419CE" w:rsidP="00B419CE">
            <w:pPr>
              <w:jc w:val="right"/>
            </w:pPr>
            <w:r w:rsidRPr="00B419CE">
              <w:t>-100,0</w:t>
            </w:r>
          </w:p>
        </w:tc>
      </w:tr>
      <w:tr w:rsidR="00B419CE" w:rsidRPr="00B419CE" w14:paraId="1FE5C217" w14:textId="77777777" w:rsidTr="00B419CE">
        <w:trPr>
          <w:trHeight w:val="640"/>
        </w:trPr>
        <w:tc>
          <w:tcPr>
            <w:tcW w:w="1020" w:type="dxa"/>
          </w:tcPr>
          <w:p w14:paraId="41C40D20" w14:textId="77777777" w:rsidR="00B419CE" w:rsidRPr="00B419CE" w:rsidRDefault="00B419CE" w:rsidP="00B419CE">
            <w:r w:rsidRPr="00B419CE">
              <w:t>1645</w:t>
            </w:r>
          </w:p>
        </w:tc>
        <w:tc>
          <w:tcPr>
            <w:tcW w:w="4080" w:type="dxa"/>
          </w:tcPr>
          <w:p w14:paraId="193850FB" w14:textId="77777777" w:rsidR="00B419CE" w:rsidRPr="00B419CE" w:rsidRDefault="00B419CE" w:rsidP="00B419CE">
            <w:proofErr w:type="spellStart"/>
            <w:r w:rsidRPr="00B419CE">
              <w:t>Statleg</w:t>
            </w:r>
            <w:proofErr w:type="spellEnd"/>
            <w:r w:rsidRPr="00B419CE">
              <w:t xml:space="preserve"> garantiordning for lån til små og mellomstore </w:t>
            </w:r>
            <w:proofErr w:type="spellStart"/>
            <w:r w:rsidRPr="00B419CE">
              <w:t>føretak</w:t>
            </w:r>
            <w:proofErr w:type="spellEnd"/>
          </w:p>
        </w:tc>
        <w:tc>
          <w:tcPr>
            <w:tcW w:w="1020" w:type="dxa"/>
          </w:tcPr>
          <w:p w14:paraId="2087642F" w14:textId="77777777" w:rsidR="00B419CE" w:rsidRPr="00B419CE" w:rsidRDefault="00B419CE" w:rsidP="00B419CE">
            <w:pPr>
              <w:jc w:val="right"/>
            </w:pPr>
            <w:r w:rsidRPr="00B419CE">
              <w:t>10 010 000</w:t>
            </w:r>
          </w:p>
        </w:tc>
        <w:tc>
          <w:tcPr>
            <w:tcW w:w="1020" w:type="dxa"/>
          </w:tcPr>
          <w:p w14:paraId="051B1EFE" w14:textId="77777777" w:rsidR="00B419CE" w:rsidRPr="00B419CE" w:rsidRDefault="00B419CE" w:rsidP="00B419CE">
            <w:pPr>
              <w:jc w:val="right"/>
            </w:pPr>
            <w:r w:rsidRPr="00B419CE">
              <w:t>3 000</w:t>
            </w:r>
          </w:p>
        </w:tc>
        <w:tc>
          <w:tcPr>
            <w:tcW w:w="1020" w:type="dxa"/>
          </w:tcPr>
          <w:p w14:paraId="7C80A76C" w14:textId="77777777" w:rsidR="00B419CE" w:rsidRPr="00B419CE" w:rsidRDefault="00B419CE" w:rsidP="00B419CE">
            <w:pPr>
              <w:jc w:val="right"/>
            </w:pPr>
            <w:r w:rsidRPr="00B419CE">
              <w:t>4 000</w:t>
            </w:r>
          </w:p>
        </w:tc>
        <w:tc>
          <w:tcPr>
            <w:tcW w:w="1020" w:type="dxa"/>
          </w:tcPr>
          <w:p w14:paraId="6EA3E06E" w14:textId="77777777" w:rsidR="00B419CE" w:rsidRPr="00B419CE" w:rsidRDefault="00B419CE" w:rsidP="00B419CE">
            <w:pPr>
              <w:jc w:val="right"/>
            </w:pPr>
            <w:r w:rsidRPr="00B419CE">
              <w:t>33,3</w:t>
            </w:r>
          </w:p>
        </w:tc>
      </w:tr>
      <w:tr w:rsidR="00B419CE" w:rsidRPr="00B419CE" w14:paraId="2781E1C4" w14:textId="77777777" w:rsidTr="00B419CE">
        <w:trPr>
          <w:trHeight w:val="380"/>
        </w:trPr>
        <w:tc>
          <w:tcPr>
            <w:tcW w:w="1020" w:type="dxa"/>
          </w:tcPr>
          <w:p w14:paraId="4C53B602" w14:textId="77777777" w:rsidR="00B419CE" w:rsidRPr="00B419CE" w:rsidRDefault="00B419CE" w:rsidP="00B419CE"/>
        </w:tc>
        <w:tc>
          <w:tcPr>
            <w:tcW w:w="4080" w:type="dxa"/>
          </w:tcPr>
          <w:p w14:paraId="427A59C5" w14:textId="77777777" w:rsidR="00B419CE" w:rsidRPr="00B419CE" w:rsidRDefault="00B419CE" w:rsidP="00B419CE">
            <w:r w:rsidRPr="00B419CE">
              <w:rPr>
                <w:rStyle w:val="kursiv"/>
              </w:rPr>
              <w:t>Sum kategori 23.40</w:t>
            </w:r>
          </w:p>
        </w:tc>
        <w:tc>
          <w:tcPr>
            <w:tcW w:w="1020" w:type="dxa"/>
          </w:tcPr>
          <w:p w14:paraId="6AD2BBBF" w14:textId="77777777" w:rsidR="00B419CE" w:rsidRPr="00B419CE" w:rsidRDefault="00B419CE" w:rsidP="00B419CE">
            <w:pPr>
              <w:jc w:val="right"/>
            </w:pPr>
            <w:r w:rsidRPr="00B419CE">
              <w:rPr>
                <w:rStyle w:val="kursiv"/>
              </w:rPr>
              <w:t>54 868 157</w:t>
            </w:r>
          </w:p>
        </w:tc>
        <w:tc>
          <w:tcPr>
            <w:tcW w:w="1020" w:type="dxa"/>
          </w:tcPr>
          <w:p w14:paraId="31797EC8" w14:textId="77777777" w:rsidR="00B419CE" w:rsidRPr="00B419CE" w:rsidRDefault="00B419CE" w:rsidP="00B419CE">
            <w:pPr>
              <w:jc w:val="right"/>
            </w:pPr>
            <w:r w:rsidRPr="00B419CE">
              <w:rPr>
                <w:rStyle w:val="kursiv"/>
              </w:rPr>
              <w:t>40 025 600</w:t>
            </w:r>
          </w:p>
        </w:tc>
        <w:tc>
          <w:tcPr>
            <w:tcW w:w="1020" w:type="dxa"/>
          </w:tcPr>
          <w:p w14:paraId="1D0183D1" w14:textId="77777777" w:rsidR="00B419CE" w:rsidRPr="00B419CE" w:rsidRDefault="00B419CE" w:rsidP="00B419CE">
            <w:pPr>
              <w:jc w:val="right"/>
            </w:pPr>
            <w:r w:rsidRPr="00B419CE">
              <w:rPr>
                <w:rStyle w:val="kursiv"/>
              </w:rPr>
              <w:t>40 284 000</w:t>
            </w:r>
          </w:p>
        </w:tc>
        <w:tc>
          <w:tcPr>
            <w:tcW w:w="1020" w:type="dxa"/>
          </w:tcPr>
          <w:p w14:paraId="5E2AB580" w14:textId="77777777" w:rsidR="00B419CE" w:rsidRPr="00B419CE" w:rsidRDefault="00B419CE" w:rsidP="00B419CE">
            <w:pPr>
              <w:jc w:val="right"/>
            </w:pPr>
            <w:r w:rsidRPr="00B419CE">
              <w:rPr>
                <w:rStyle w:val="kursiv"/>
              </w:rPr>
              <w:t>0,6</w:t>
            </w:r>
          </w:p>
        </w:tc>
      </w:tr>
      <w:tr w:rsidR="00B419CE" w:rsidRPr="00B419CE" w14:paraId="552DBF79" w14:textId="77777777" w:rsidTr="00B419CE">
        <w:trPr>
          <w:trHeight w:val="380"/>
        </w:trPr>
        <w:tc>
          <w:tcPr>
            <w:tcW w:w="1020" w:type="dxa"/>
          </w:tcPr>
          <w:p w14:paraId="3CBEF61E" w14:textId="77777777" w:rsidR="00B419CE" w:rsidRPr="00B419CE" w:rsidRDefault="00B419CE" w:rsidP="00B419CE"/>
        </w:tc>
        <w:tc>
          <w:tcPr>
            <w:tcW w:w="4080" w:type="dxa"/>
          </w:tcPr>
          <w:p w14:paraId="04F4B58B" w14:textId="77777777" w:rsidR="00B419CE" w:rsidRPr="00B419CE" w:rsidRDefault="00B419CE" w:rsidP="00B419CE">
            <w:r w:rsidRPr="00B419CE">
              <w:rPr>
                <w:rStyle w:val="kursiv"/>
              </w:rPr>
              <w:t>Sum programområde 23</w:t>
            </w:r>
          </w:p>
        </w:tc>
        <w:tc>
          <w:tcPr>
            <w:tcW w:w="1020" w:type="dxa"/>
          </w:tcPr>
          <w:p w14:paraId="3AE54467" w14:textId="77777777" w:rsidR="00B419CE" w:rsidRPr="00B419CE" w:rsidRDefault="00B419CE" w:rsidP="00B419CE">
            <w:pPr>
              <w:jc w:val="right"/>
            </w:pPr>
            <w:r w:rsidRPr="00B419CE">
              <w:rPr>
                <w:rStyle w:val="kursiv"/>
              </w:rPr>
              <w:t>116 514 924</w:t>
            </w:r>
          </w:p>
        </w:tc>
        <w:tc>
          <w:tcPr>
            <w:tcW w:w="1020" w:type="dxa"/>
          </w:tcPr>
          <w:p w14:paraId="087DF205" w14:textId="77777777" w:rsidR="00B419CE" w:rsidRPr="00B419CE" w:rsidRDefault="00B419CE" w:rsidP="00B419CE">
            <w:pPr>
              <w:jc w:val="right"/>
            </w:pPr>
            <w:r w:rsidRPr="00B419CE">
              <w:rPr>
                <w:rStyle w:val="kursiv"/>
              </w:rPr>
              <w:t>52 340 435</w:t>
            </w:r>
          </w:p>
        </w:tc>
        <w:tc>
          <w:tcPr>
            <w:tcW w:w="1020" w:type="dxa"/>
          </w:tcPr>
          <w:p w14:paraId="62BA720C" w14:textId="77777777" w:rsidR="00B419CE" w:rsidRPr="00B419CE" w:rsidRDefault="00B419CE" w:rsidP="00B419CE">
            <w:pPr>
              <w:jc w:val="right"/>
            </w:pPr>
            <w:r w:rsidRPr="00B419CE">
              <w:rPr>
                <w:rStyle w:val="kursiv"/>
              </w:rPr>
              <w:t>53 219 314</w:t>
            </w:r>
          </w:p>
        </w:tc>
        <w:tc>
          <w:tcPr>
            <w:tcW w:w="1020" w:type="dxa"/>
          </w:tcPr>
          <w:p w14:paraId="25B61419" w14:textId="77777777" w:rsidR="00B419CE" w:rsidRPr="00B419CE" w:rsidRDefault="00B419CE" w:rsidP="00B419CE">
            <w:pPr>
              <w:jc w:val="right"/>
            </w:pPr>
            <w:r w:rsidRPr="00B419CE">
              <w:rPr>
                <w:rStyle w:val="kursiv"/>
              </w:rPr>
              <w:t>1,7</w:t>
            </w:r>
          </w:p>
        </w:tc>
      </w:tr>
      <w:tr w:rsidR="00B419CE" w:rsidRPr="00B419CE" w14:paraId="615C7DC4" w14:textId="77777777" w:rsidTr="00B419CE">
        <w:trPr>
          <w:trHeight w:val="380"/>
        </w:trPr>
        <w:tc>
          <w:tcPr>
            <w:tcW w:w="1020" w:type="dxa"/>
          </w:tcPr>
          <w:p w14:paraId="57176E3B" w14:textId="77777777" w:rsidR="00B419CE" w:rsidRPr="00B419CE" w:rsidRDefault="00B419CE" w:rsidP="00B419CE"/>
        </w:tc>
        <w:tc>
          <w:tcPr>
            <w:tcW w:w="4080" w:type="dxa"/>
          </w:tcPr>
          <w:p w14:paraId="38ECAF24" w14:textId="77777777" w:rsidR="00B419CE" w:rsidRPr="00B419CE" w:rsidRDefault="00B419CE" w:rsidP="00B419CE">
            <w:r w:rsidRPr="00B419CE">
              <w:rPr>
                <w:rStyle w:val="halvfet"/>
              </w:rPr>
              <w:t>Statsgjeld, renter og avdrag m.m.</w:t>
            </w:r>
          </w:p>
        </w:tc>
        <w:tc>
          <w:tcPr>
            <w:tcW w:w="1020" w:type="dxa"/>
          </w:tcPr>
          <w:p w14:paraId="6B07CC85" w14:textId="77777777" w:rsidR="00B419CE" w:rsidRPr="00B419CE" w:rsidRDefault="00B419CE" w:rsidP="00B419CE">
            <w:pPr>
              <w:jc w:val="right"/>
            </w:pPr>
          </w:p>
        </w:tc>
        <w:tc>
          <w:tcPr>
            <w:tcW w:w="1020" w:type="dxa"/>
          </w:tcPr>
          <w:p w14:paraId="253DFF5B" w14:textId="77777777" w:rsidR="00B419CE" w:rsidRPr="00B419CE" w:rsidRDefault="00B419CE" w:rsidP="00B419CE">
            <w:pPr>
              <w:jc w:val="right"/>
            </w:pPr>
          </w:p>
        </w:tc>
        <w:tc>
          <w:tcPr>
            <w:tcW w:w="1020" w:type="dxa"/>
          </w:tcPr>
          <w:p w14:paraId="567A1568" w14:textId="77777777" w:rsidR="00B419CE" w:rsidRPr="00B419CE" w:rsidRDefault="00B419CE" w:rsidP="00B419CE">
            <w:pPr>
              <w:jc w:val="right"/>
            </w:pPr>
          </w:p>
        </w:tc>
        <w:tc>
          <w:tcPr>
            <w:tcW w:w="1020" w:type="dxa"/>
          </w:tcPr>
          <w:p w14:paraId="24941E56" w14:textId="77777777" w:rsidR="00B419CE" w:rsidRPr="00B419CE" w:rsidRDefault="00B419CE" w:rsidP="00B419CE">
            <w:pPr>
              <w:jc w:val="right"/>
            </w:pPr>
          </w:p>
        </w:tc>
      </w:tr>
      <w:tr w:rsidR="00B419CE" w:rsidRPr="00B419CE" w14:paraId="4FDEA56C" w14:textId="77777777" w:rsidTr="00B419CE">
        <w:trPr>
          <w:trHeight w:val="380"/>
        </w:trPr>
        <w:tc>
          <w:tcPr>
            <w:tcW w:w="1020" w:type="dxa"/>
          </w:tcPr>
          <w:p w14:paraId="3451AEB5" w14:textId="77777777" w:rsidR="00B419CE" w:rsidRPr="00B419CE" w:rsidRDefault="00B419CE" w:rsidP="00B419CE">
            <w:r w:rsidRPr="00B419CE">
              <w:t>1650</w:t>
            </w:r>
          </w:p>
        </w:tc>
        <w:tc>
          <w:tcPr>
            <w:tcW w:w="4080" w:type="dxa"/>
          </w:tcPr>
          <w:p w14:paraId="3CA81BD0" w14:textId="77777777" w:rsidR="00B419CE" w:rsidRPr="00B419CE" w:rsidRDefault="00B419CE" w:rsidP="00B419CE">
            <w:r w:rsidRPr="00B419CE">
              <w:t>Statsgjeld, renter m.m.</w:t>
            </w:r>
          </w:p>
        </w:tc>
        <w:tc>
          <w:tcPr>
            <w:tcW w:w="1020" w:type="dxa"/>
          </w:tcPr>
          <w:p w14:paraId="183FCE09" w14:textId="77777777" w:rsidR="00B419CE" w:rsidRPr="00B419CE" w:rsidRDefault="00B419CE" w:rsidP="00B419CE">
            <w:pPr>
              <w:jc w:val="right"/>
            </w:pPr>
            <w:r w:rsidRPr="00B419CE">
              <w:t>10 472 723</w:t>
            </w:r>
          </w:p>
        </w:tc>
        <w:tc>
          <w:tcPr>
            <w:tcW w:w="1020" w:type="dxa"/>
          </w:tcPr>
          <w:p w14:paraId="62CFF015" w14:textId="77777777" w:rsidR="00B419CE" w:rsidRPr="00B419CE" w:rsidRDefault="00B419CE" w:rsidP="00B419CE">
            <w:pPr>
              <w:jc w:val="right"/>
            </w:pPr>
            <w:r w:rsidRPr="00B419CE">
              <w:t>10 160 900</w:t>
            </w:r>
          </w:p>
        </w:tc>
        <w:tc>
          <w:tcPr>
            <w:tcW w:w="1020" w:type="dxa"/>
          </w:tcPr>
          <w:p w14:paraId="5E3A3409" w14:textId="77777777" w:rsidR="00B419CE" w:rsidRPr="00B419CE" w:rsidRDefault="00B419CE" w:rsidP="00B419CE">
            <w:pPr>
              <w:jc w:val="right"/>
            </w:pPr>
            <w:r w:rsidRPr="00B419CE">
              <w:t>10 250 600</w:t>
            </w:r>
          </w:p>
        </w:tc>
        <w:tc>
          <w:tcPr>
            <w:tcW w:w="1020" w:type="dxa"/>
          </w:tcPr>
          <w:p w14:paraId="79EB3860" w14:textId="77777777" w:rsidR="00B419CE" w:rsidRPr="00B419CE" w:rsidRDefault="00B419CE" w:rsidP="00B419CE">
            <w:pPr>
              <w:jc w:val="right"/>
            </w:pPr>
            <w:r w:rsidRPr="00B419CE">
              <w:t>0,9</w:t>
            </w:r>
          </w:p>
        </w:tc>
      </w:tr>
      <w:tr w:rsidR="00B419CE" w:rsidRPr="00B419CE" w14:paraId="1DB44BDC" w14:textId="77777777" w:rsidTr="00B419CE">
        <w:trPr>
          <w:trHeight w:val="380"/>
        </w:trPr>
        <w:tc>
          <w:tcPr>
            <w:tcW w:w="1020" w:type="dxa"/>
          </w:tcPr>
          <w:p w14:paraId="2B7D0577" w14:textId="77777777" w:rsidR="00B419CE" w:rsidRPr="00B419CE" w:rsidRDefault="00B419CE" w:rsidP="00B419CE">
            <w:r w:rsidRPr="00B419CE">
              <w:t>1651</w:t>
            </w:r>
          </w:p>
        </w:tc>
        <w:tc>
          <w:tcPr>
            <w:tcW w:w="4080" w:type="dxa"/>
          </w:tcPr>
          <w:p w14:paraId="764768EA" w14:textId="77777777" w:rsidR="00B419CE" w:rsidRPr="00B419CE" w:rsidRDefault="00B419CE" w:rsidP="00B419CE">
            <w:r w:rsidRPr="00B419CE">
              <w:t>Statsgjeld, avdrag og innløysing</w:t>
            </w:r>
          </w:p>
        </w:tc>
        <w:tc>
          <w:tcPr>
            <w:tcW w:w="1020" w:type="dxa"/>
          </w:tcPr>
          <w:p w14:paraId="2C90CC2D" w14:textId="77777777" w:rsidR="00B419CE" w:rsidRPr="00B419CE" w:rsidRDefault="00B419CE" w:rsidP="00B419CE">
            <w:pPr>
              <w:jc w:val="right"/>
            </w:pPr>
            <w:r w:rsidRPr="00B419CE">
              <w:t>13 995 000</w:t>
            </w:r>
          </w:p>
        </w:tc>
        <w:tc>
          <w:tcPr>
            <w:tcW w:w="1020" w:type="dxa"/>
          </w:tcPr>
          <w:p w14:paraId="49F594DE" w14:textId="77777777" w:rsidR="00B419CE" w:rsidRPr="00B419CE" w:rsidRDefault="00B419CE" w:rsidP="00B419CE">
            <w:pPr>
              <w:jc w:val="right"/>
            </w:pPr>
            <w:r w:rsidRPr="00B419CE">
              <w:t>88 000 000</w:t>
            </w:r>
          </w:p>
        </w:tc>
        <w:tc>
          <w:tcPr>
            <w:tcW w:w="1020" w:type="dxa"/>
          </w:tcPr>
          <w:p w14:paraId="6D5CDD2A" w14:textId="77777777" w:rsidR="00B419CE" w:rsidRPr="00B419CE" w:rsidRDefault="00B419CE" w:rsidP="00B419CE">
            <w:pPr>
              <w:jc w:val="right"/>
            </w:pPr>
          </w:p>
        </w:tc>
        <w:tc>
          <w:tcPr>
            <w:tcW w:w="1020" w:type="dxa"/>
          </w:tcPr>
          <w:p w14:paraId="1E9D9044" w14:textId="77777777" w:rsidR="00B419CE" w:rsidRPr="00B419CE" w:rsidRDefault="00B419CE" w:rsidP="00B419CE">
            <w:pPr>
              <w:jc w:val="right"/>
            </w:pPr>
            <w:r w:rsidRPr="00B419CE">
              <w:t>-100,0</w:t>
            </w:r>
          </w:p>
        </w:tc>
      </w:tr>
      <w:tr w:rsidR="00B419CE" w:rsidRPr="00B419CE" w14:paraId="707564A3" w14:textId="77777777" w:rsidTr="00B419CE">
        <w:trPr>
          <w:trHeight w:val="380"/>
        </w:trPr>
        <w:tc>
          <w:tcPr>
            <w:tcW w:w="1020" w:type="dxa"/>
          </w:tcPr>
          <w:p w14:paraId="28CEF184" w14:textId="77777777" w:rsidR="00B419CE" w:rsidRPr="00B419CE" w:rsidRDefault="00B419CE" w:rsidP="00B419CE"/>
        </w:tc>
        <w:tc>
          <w:tcPr>
            <w:tcW w:w="4080" w:type="dxa"/>
          </w:tcPr>
          <w:p w14:paraId="26143071" w14:textId="77777777" w:rsidR="00B419CE" w:rsidRPr="00B419CE" w:rsidRDefault="00B419CE" w:rsidP="00B419CE">
            <w:r w:rsidRPr="00B419CE">
              <w:rPr>
                <w:rStyle w:val="kursiv"/>
              </w:rPr>
              <w:t>Sum kategori 24.10</w:t>
            </w:r>
          </w:p>
        </w:tc>
        <w:tc>
          <w:tcPr>
            <w:tcW w:w="1020" w:type="dxa"/>
          </w:tcPr>
          <w:p w14:paraId="6F933092" w14:textId="77777777" w:rsidR="00B419CE" w:rsidRPr="00B419CE" w:rsidRDefault="00B419CE" w:rsidP="00B419CE">
            <w:pPr>
              <w:jc w:val="right"/>
            </w:pPr>
            <w:r w:rsidRPr="00B419CE">
              <w:rPr>
                <w:rStyle w:val="kursiv"/>
              </w:rPr>
              <w:t>24 467 723</w:t>
            </w:r>
          </w:p>
        </w:tc>
        <w:tc>
          <w:tcPr>
            <w:tcW w:w="1020" w:type="dxa"/>
          </w:tcPr>
          <w:p w14:paraId="7CBB42DA" w14:textId="77777777" w:rsidR="00B419CE" w:rsidRPr="00B419CE" w:rsidRDefault="00B419CE" w:rsidP="00B419CE">
            <w:pPr>
              <w:jc w:val="right"/>
            </w:pPr>
            <w:r w:rsidRPr="00B419CE">
              <w:rPr>
                <w:rStyle w:val="kursiv"/>
              </w:rPr>
              <w:t>98 160 900</w:t>
            </w:r>
          </w:p>
        </w:tc>
        <w:tc>
          <w:tcPr>
            <w:tcW w:w="1020" w:type="dxa"/>
          </w:tcPr>
          <w:p w14:paraId="3700A21A" w14:textId="77777777" w:rsidR="00B419CE" w:rsidRPr="00B419CE" w:rsidRDefault="00B419CE" w:rsidP="00B419CE">
            <w:pPr>
              <w:jc w:val="right"/>
            </w:pPr>
            <w:r w:rsidRPr="00B419CE">
              <w:rPr>
                <w:rStyle w:val="kursiv"/>
              </w:rPr>
              <w:t>10 250 600</w:t>
            </w:r>
          </w:p>
        </w:tc>
        <w:tc>
          <w:tcPr>
            <w:tcW w:w="1020" w:type="dxa"/>
          </w:tcPr>
          <w:p w14:paraId="2E57917E" w14:textId="77777777" w:rsidR="00B419CE" w:rsidRPr="00B419CE" w:rsidRDefault="00B419CE" w:rsidP="00B419CE">
            <w:pPr>
              <w:jc w:val="right"/>
            </w:pPr>
            <w:r w:rsidRPr="00B419CE">
              <w:rPr>
                <w:rStyle w:val="kursiv"/>
              </w:rPr>
              <w:t>-89,6</w:t>
            </w:r>
          </w:p>
        </w:tc>
      </w:tr>
      <w:tr w:rsidR="00B419CE" w:rsidRPr="00B419CE" w14:paraId="0081AB45" w14:textId="77777777" w:rsidTr="00B419CE">
        <w:trPr>
          <w:trHeight w:val="380"/>
        </w:trPr>
        <w:tc>
          <w:tcPr>
            <w:tcW w:w="1020" w:type="dxa"/>
          </w:tcPr>
          <w:p w14:paraId="62A2C78F" w14:textId="77777777" w:rsidR="00B419CE" w:rsidRPr="00B419CE" w:rsidRDefault="00B419CE" w:rsidP="00B419CE"/>
        </w:tc>
        <w:tc>
          <w:tcPr>
            <w:tcW w:w="4080" w:type="dxa"/>
          </w:tcPr>
          <w:p w14:paraId="19CEAD04" w14:textId="77777777" w:rsidR="00B419CE" w:rsidRPr="00B419CE" w:rsidRDefault="00B419CE" w:rsidP="00B419CE">
            <w:r w:rsidRPr="00B419CE">
              <w:rPr>
                <w:rStyle w:val="kursiv"/>
              </w:rPr>
              <w:t>Sum programområde 24</w:t>
            </w:r>
          </w:p>
        </w:tc>
        <w:tc>
          <w:tcPr>
            <w:tcW w:w="1020" w:type="dxa"/>
          </w:tcPr>
          <w:p w14:paraId="28D033CB" w14:textId="77777777" w:rsidR="00B419CE" w:rsidRPr="00B419CE" w:rsidRDefault="00B419CE" w:rsidP="00B419CE">
            <w:pPr>
              <w:jc w:val="right"/>
            </w:pPr>
            <w:r w:rsidRPr="00B419CE">
              <w:rPr>
                <w:rStyle w:val="kursiv"/>
              </w:rPr>
              <w:t>24 467 723</w:t>
            </w:r>
          </w:p>
        </w:tc>
        <w:tc>
          <w:tcPr>
            <w:tcW w:w="1020" w:type="dxa"/>
          </w:tcPr>
          <w:p w14:paraId="565FB535" w14:textId="77777777" w:rsidR="00B419CE" w:rsidRPr="00B419CE" w:rsidRDefault="00B419CE" w:rsidP="00B419CE">
            <w:pPr>
              <w:jc w:val="right"/>
            </w:pPr>
            <w:r w:rsidRPr="00B419CE">
              <w:rPr>
                <w:rStyle w:val="kursiv"/>
              </w:rPr>
              <w:t>98 160 900</w:t>
            </w:r>
          </w:p>
        </w:tc>
        <w:tc>
          <w:tcPr>
            <w:tcW w:w="1020" w:type="dxa"/>
          </w:tcPr>
          <w:p w14:paraId="30B79084" w14:textId="77777777" w:rsidR="00B419CE" w:rsidRPr="00B419CE" w:rsidRDefault="00B419CE" w:rsidP="00B419CE">
            <w:pPr>
              <w:jc w:val="right"/>
            </w:pPr>
            <w:r w:rsidRPr="00B419CE">
              <w:rPr>
                <w:rStyle w:val="kursiv"/>
              </w:rPr>
              <w:t>10 250 600</w:t>
            </w:r>
          </w:p>
        </w:tc>
        <w:tc>
          <w:tcPr>
            <w:tcW w:w="1020" w:type="dxa"/>
          </w:tcPr>
          <w:p w14:paraId="0D2FDEC4" w14:textId="77777777" w:rsidR="00B419CE" w:rsidRPr="00B419CE" w:rsidRDefault="00B419CE" w:rsidP="00B419CE">
            <w:pPr>
              <w:jc w:val="right"/>
            </w:pPr>
            <w:r w:rsidRPr="00B419CE">
              <w:rPr>
                <w:rStyle w:val="kursiv"/>
              </w:rPr>
              <w:t>-89,6</w:t>
            </w:r>
          </w:p>
        </w:tc>
      </w:tr>
      <w:tr w:rsidR="00B419CE" w:rsidRPr="00B419CE" w14:paraId="67EA0AA3" w14:textId="77777777" w:rsidTr="00B419CE">
        <w:trPr>
          <w:trHeight w:val="380"/>
        </w:trPr>
        <w:tc>
          <w:tcPr>
            <w:tcW w:w="1020" w:type="dxa"/>
          </w:tcPr>
          <w:p w14:paraId="09943409" w14:textId="77777777" w:rsidR="00B419CE" w:rsidRPr="00B419CE" w:rsidRDefault="00B419CE" w:rsidP="00B419CE"/>
        </w:tc>
        <w:tc>
          <w:tcPr>
            <w:tcW w:w="4080" w:type="dxa"/>
          </w:tcPr>
          <w:p w14:paraId="159CF911" w14:textId="77777777" w:rsidR="00B419CE" w:rsidRPr="00B419CE" w:rsidRDefault="00B419CE" w:rsidP="00B419CE">
            <w:r w:rsidRPr="00B419CE">
              <w:rPr>
                <w:rStyle w:val="kursiv"/>
              </w:rPr>
              <w:t>Sum utgifter</w:t>
            </w:r>
          </w:p>
        </w:tc>
        <w:tc>
          <w:tcPr>
            <w:tcW w:w="1020" w:type="dxa"/>
          </w:tcPr>
          <w:p w14:paraId="420BBE35" w14:textId="77777777" w:rsidR="00B419CE" w:rsidRPr="00B419CE" w:rsidRDefault="00B419CE" w:rsidP="00B419CE">
            <w:pPr>
              <w:jc w:val="right"/>
            </w:pPr>
            <w:r w:rsidRPr="00B419CE">
              <w:rPr>
                <w:rStyle w:val="kursiv"/>
              </w:rPr>
              <w:t>143 391 828</w:t>
            </w:r>
          </w:p>
        </w:tc>
        <w:tc>
          <w:tcPr>
            <w:tcW w:w="1020" w:type="dxa"/>
          </w:tcPr>
          <w:p w14:paraId="578CBBDA" w14:textId="77777777" w:rsidR="00B419CE" w:rsidRPr="00B419CE" w:rsidRDefault="00B419CE" w:rsidP="00B419CE">
            <w:pPr>
              <w:jc w:val="right"/>
            </w:pPr>
            <w:r w:rsidRPr="00B419CE">
              <w:rPr>
                <w:rStyle w:val="kursiv"/>
              </w:rPr>
              <w:t>153 015 035</w:t>
            </w:r>
          </w:p>
        </w:tc>
        <w:tc>
          <w:tcPr>
            <w:tcW w:w="1020" w:type="dxa"/>
          </w:tcPr>
          <w:p w14:paraId="4D0F6C04" w14:textId="77777777" w:rsidR="00B419CE" w:rsidRPr="00B419CE" w:rsidRDefault="00B419CE" w:rsidP="00B419CE">
            <w:pPr>
              <w:jc w:val="right"/>
            </w:pPr>
            <w:r w:rsidRPr="00B419CE">
              <w:rPr>
                <w:rStyle w:val="kursiv"/>
              </w:rPr>
              <w:t>66 043 939</w:t>
            </w:r>
          </w:p>
        </w:tc>
        <w:tc>
          <w:tcPr>
            <w:tcW w:w="1020" w:type="dxa"/>
          </w:tcPr>
          <w:p w14:paraId="63AFBCC7" w14:textId="77777777" w:rsidR="00B419CE" w:rsidRPr="00B419CE" w:rsidRDefault="00B419CE" w:rsidP="00B419CE">
            <w:pPr>
              <w:jc w:val="right"/>
            </w:pPr>
            <w:r w:rsidRPr="00B419CE">
              <w:rPr>
                <w:rStyle w:val="kursiv"/>
              </w:rPr>
              <w:t>-56,8</w:t>
            </w:r>
          </w:p>
        </w:tc>
      </w:tr>
    </w:tbl>
    <w:p w14:paraId="18A70215" w14:textId="77777777" w:rsidR="00B419CE" w:rsidRPr="00B419CE" w:rsidRDefault="00B419CE" w:rsidP="00B419CE">
      <w:pPr>
        <w:pStyle w:val="Undertittel"/>
      </w:pPr>
      <w:r w:rsidRPr="00B419CE">
        <w:t>Inntekter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1B98DA47" w14:textId="77777777" w:rsidTr="00A2297F">
        <w:trPr>
          <w:trHeight w:val="640"/>
          <w:hidden/>
        </w:trPr>
        <w:tc>
          <w:tcPr>
            <w:tcW w:w="1020" w:type="dxa"/>
            <w:shd w:val="clear" w:color="auto" w:fill="FFFFFF"/>
          </w:tcPr>
          <w:p w14:paraId="5A07A490" w14:textId="77777777" w:rsidR="00B419CE" w:rsidRPr="00B419CE" w:rsidRDefault="00B419CE" w:rsidP="00A2297F">
            <w:pPr>
              <w:pStyle w:val="Tabellnavn"/>
            </w:pPr>
            <w:r w:rsidRPr="00B419CE">
              <w:t>UIPOKL</w:t>
            </w:r>
          </w:p>
        </w:tc>
        <w:tc>
          <w:tcPr>
            <w:tcW w:w="4080" w:type="dxa"/>
          </w:tcPr>
          <w:p w14:paraId="72410658" w14:textId="77777777" w:rsidR="00B419CE" w:rsidRPr="00B419CE" w:rsidRDefault="00B419CE" w:rsidP="00A2297F"/>
        </w:tc>
        <w:tc>
          <w:tcPr>
            <w:tcW w:w="1020" w:type="dxa"/>
          </w:tcPr>
          <w:p w14:paraId="439D5C99" w14:textId="77777777" w:rsidR="00B419CE" w:rsidRPr="00B419CE" w:rsidRDefault="00B419CE" w:rsidP="00A2297F">
            <w:pPr>
              <w:jc w:val="right"/>
            </w:pPr>
          </w:p>
        </w:tc>
        <w:tc>
          <w:tcPr>
            <w:tcW w:w="1020" w:type="dxa"/>
          </w:tcPr>
          <w:p w14:paraId="06F63287" w14:textId="77777777" w:rsidR="00B419CE" w:rsidRPr="00B419CE" w:rsidRDefault="00B419CE" w:rsidP="00A2297F">
            <w:pPr>
              <w:jc w:val="right"/>
            </w:pPr>
          </w:p>
        </w:tc>
        <w:tc>
          <w:tcPr>
            <w:tcW w:w="1020" w:type="dxa"/>
          </w:tcPr>
          <w:p w14:paraId="2DFD0976" w14:textId="77777777" w:rsidR="00B419CE" w:rsidRPr="00B419CE" w:rsidRDefault="00B419CE" w:rsidP="00A2297F">
            <w:pPr>
              <w:jc w:val="right"/>
            </w:pPr>
          </w:p>
        </w:tc>
        <w:tc>
          <w:tcPr>
            <w:tcW w:w="1020" w:type="dxa"/>
          </w:tcPr>
          <w:p w14:paraId="5F60B1FB" w14:textId="77777777" w:rsidR="00B419CE" w:rsidRPr="00B419CE" w:rsidRDefault="00B419CE" w:rsidP="00A2297F">
            <w:pPr>
              <w:jc w:val="right"/>
            </w:pPr>
            <w:r w:rsidRPr="00B419CE">
              <w:t>(i 1 000 kr)</w:t>
            </w:r>
          </w:p>
        </w:tc>
      </w:tr>
      <w:tr w:rsidR="00B419CE" w:rsidRPr="00B419CE" w14:paraId="5025BA0F" w14:textId="77777777" w:rsidTr="00A2297F">
        <w:trPr>
          <w:trHeight w:val="600"/>
        </w:trPr>
        <w:tc>
          <w:tcPr>
            <w:tcW w:w="1020" w:type="dxa"/>
          </w:tcPr>
          <w:p w14:paraId="51FAA571" w14:textId="77777777" w:rsidR="00B419CE" w:rsidRPr="00B419CE" w:rsidRDefault="00B419CE" w:rsidP="00A2297F">
            <w:r w:rsidRPr="00B419CE">
              <w:t>Kap.</w:t>
            </w:r>
          </w:p>
        </w:tc>
        <w:tc>
          <w:tcPr>
            <w:tcW w:w="4080" w:type="dxa"/>
          </w:tcPr>
          <w:p w14:paraId="17A9BD1D" w14:textId="77777777" w:rsidR="00B419CE" w:rsidRPr="00B419CE" w:rsidRDefault="00B419CE" w:rsidP="00A2297F">
            <w:proofErr w:type="spellStart"/>
            <w:r w:rsidRPr="00B419CE">
              <w:t>Nemning</w:t>
            </w:r>
            <w:proofErr w:type="spellEnd"/>
          </w:p>
        </w:tc>
        <w:tc>
          <w:tcPr>
            <w:tcW w:w="1020" w:type="dxa"/>
          </w:tcPr>
          <w:p w14:paraId="65C8CBF0" w14:textId="77777777" w:rsidR="00B419CE" w:rsidRPr="00B419CE" w:rsidRDefault="00B419CE" w:rsidP="00A2297F">
            <w:pPr>
              <w:jc w:val="right"/>
            </w:pPr>
            <w:proofErr w:type="spellStart"/>
            <w:r w:rsidRPr="00B419CE">
              <w:t>Rekneskap</w:t>
            </w:r>
            <w:proofErr w:type="spellEnd"/>
            <w:r w:rsidRPr="00B419CE">
              <w:t xml:space="preserve"> 2020</w:t>
            </w:r>
          </w:p>
        </w:tc>
        <w:tc>
          <w:tcPr>
            <w:tcW w:w="1020" w:type="dxa"/>
          </w:tcPr>
          <w:p w14:paraId="63449E30" w14:textId="77777777" w:rsidR="00B419CE" w:rsidRPr="00B419CE" w:rsidRDefault="00B419CE" w:rsidP="00A2297F">
            <w:pPr>
              <w:jc w:val="right"/>
            </w:pPr>
            <w:r w:rsidRPr="00B419CE">
              <w:t>Saldert</w:t>
            </w:r>
            <w:r w:rsidRPr="00B419CE">
              <w:br/>
              <w:t xml:space="preserve"> budsjett 2021</w:t>
            </w:r>
          </w:p>
        </w:tc>
        <w:tc>
          <w:tcPr>
            <w:tcW w:w="1020" w:type="dxa"/>
          </w:tcPr>
          <w:p w14:paraId="5A7575C5" w14:textId="77777777" w:rsidR="00B419CE" w:rsidRPr="00B419CE" w:rsidRDefault="00B419CE" w:rsidP="00A2297F">
            <w:pPr>
              <w:jc w:val="right"/>
            </w:pPr>
            <w:r w:rsidRPr="00B419CE">
              <w:t>Forslag</w:t>
            </w:r>
            <w:r w:rsidRPr="00B419CE">
              <w:br/>
              <w:t xml:space="preserve"> 2022</w:t>
            </w:r>
          </w:p>
        </w:tc>
        <w:tc>
          <w:tcPr>
            <w:tcW w:w="1020" w:type="dxa"/>
          </w:tcPr>
          <w:p w14:paraId="6733FAB4" w14:textId="77777777" w:rsidR="00B419CE" w:rsidRPr="00B419CE" w:rsidRDefault="00B419CE" w:rsidP="00A2297F">
            <w:pPr>
              <w:jc w:val="right"/>
            </w:pPr>
            <w:r w:rsidRPr="00B419CE">
              <w:t>Endring</w:t>
            </w:r>
            <w:r w:rsidRPr="00B419CE">
              <w:br/>
              <w:t xml:space="preserve"> i pst.</w:t>
            </w:r>
          </w:p>
        </w:tc>
      </w:tr>
      <w:tr w:rsidR="00B419CE" w:rsidRPr="00B419CE" w14:paraId="1E89B8DF" w14:textId="77777777" w:rsidTr="00A2297F">
        <w:trPr>
          <w:trHeight w:val="380"/>
        </w:trPr>
        <w:tc>
          <w:tcPr>
            <w:tcW w:w="1020" w:type="dxa"/>
          </w:tcPr>
          <w:p w14:paraId="525FB627" w14:textId="77777777" w:rsidR="00B419CE" w:rsidRPr="00B419CE" w:rsidRDefault="00B419CE" w:rsidP="00A2297F"/>
        </w:tc>
        <w:tc>
          <w:tcPr>
            <w:tcW w:w="4080" w:type="dxa"/>
          </w:tcPr>
          <w:p w14:paraId="3CDBD4CE" w14:textId="77777777" w:rsidR="00B419CE" w:rsidRPr="00B419CE" w:rsidRDefault="00B419CE" w:rsidP="00A2297F">
            <w:r w:rsidRPr="00B419CE">
              <w:rPr>
                <w:rStyle w:val="halvfet"/>
              </w:rPr>
              <w:t>Regjeringa</w:t>
            </w:r>
          </w:p>
        </w:tc>
        <w:tc>
          <w:tcPr>
            <w:tcW w:w="1020" w:type="dxa"/>
          </w:tcPr>
          <w:p w14:paraId="587FA61F" w14:textId="77777777" w:rsidR="00B419CE" w:rsidRPr="00B419CE" w:rsidRDefault="00B419CE" w:rsidP="00A2297F">
            <w:pPr>
              <w:jc w:val="right"/>
            </w:pPr>
          </w:p>
        </w:tc>
        <w:tc>
          <w:tcPr>
            <w:tcW w:w="1020" w:type="dxa"/>
          </w:tcPr>
          <w:p w14:paraId="3414D173" w14:textId="77777777" w:rsidR="00B419CE" w:rsidRPr="00B419CE" w:rsidRDefault="00B419CE" w:rsidP="00A2297F">
            <w:pPr>
              <w:jc w:val="right"/>
            </w:pPr>
          </w:p>
        </w:tc>
        <w:tc>
          <w:tcPr>
            <w:tcW w:w="1020" w:type="dxa"/>
          </w:tcPr>
          <w:p w14:paraId="1DB3E89E" w14:textId="77777777" w:rsidR="00B419CE" w:rsidRPr="00B419CE" w:rsidRDefault="00B419CE" w:rsidP="00A2297F">
            <w:pPr>
              <w:jc w:val="right"/>
            </w:pPr>
          </w:p>
        </w:tc>
        <w:tc>
          <w:tcPr>
            <w:tcW w:w="1020" w:type="dxa"/>
          </w:tcPr>
          <w:p w14:paraId="19EFC5F3" w14:textId="77777777" w:rsidR="00B419CE" w:rsidRPr="00B419CE" w:rsidRDefault="00B419CE" w:rsidP="00A2297F">
            <w:pPr>
              <w:jc w:val="right"/>
            </w:pPr>
          </w:p>
        </w:tc>
      </w:tr>
      <w:tr w:rsidR="00B419CE" w:rsidRPr="00B419CE" w14:paraId="36ED42DC" w14:textId="77777777" w:rsidTr="00A2297F">
        <w:trPr>
          <w:trHeight w:val="380"/>
        </w:trPr>
        <w:tc>
          <w:tcPr>
            <w:tcW w:w="1020" w:type="dxa"/>
          </w:tcPr>
          <w:p w14:paraId="24860254" w14:textId="77777777" w:rsidR="00B419CE" w:rsidRPr="00B419CE" w:rsidRDefault="00B419CE" w:rsidP="00A2297F">
            <w:r w:rsidRPr="00B419CE">
              <w:t>3021</w:t>
            </w:r>
          </w:p>
        </w:tc>
        <w:tc>
          <w:tcPr>
            <w:tcW w:w="4080" w:type="dxa"/>
          </w:tcPr>
          <w:p w14:paraId="441416A6" w14:textId="77777777" w:rsidR="00B419CE" w:rsidRPr="00B419CE" w:rsidRDefault="00B419CE" w:rsidP="00A2297F">
            <w:r w:rsidRPr="00B419CE">
              <w:t>Statsrådet</w:t>
            </w:r>
          </w:p>
        </w:tc>
        <w:tc>
          <w:tcPr>
            <w:tcW w:w="1020" w:type="dxa"/>
          </w:tcPr>
          <w:p w14:paraId="51B5B8BE" w14:textId="77777777" w:rsidR="00B419CE" w:rsidRPr="00B419CE" w:rsidRDefault="00B419CE" w:rsidP="00A2297F">
            <w:pPr>
              <w:jc w:val="right"/>
            </w:pPr>
            <w:r w:rsidRPr="00B419CE">
              <w:t>224</w:t>
            </w:r>
          </w:p>
        </w:tc>
        <w:tc>
          <w:tcPr>
            <w:tcW w:w="1020" w:type="dxa"/>
          </w:tcPr>
          <w:p w14:paraId="437D3414" w14:textId="77777777" w:rsidR="00B419CE" w:rsidRPr="00B419CE" w:rsidRDefault="00B419CE" w:rsidP="00A2297F">
            <w:pPr>
              <w:jc w:val="right"/>
            </w:pPr>
          </w:p>
        </w:tc>
        <w:tc>
          <w:tcPr>
            <w:tcW w:w="1020" w:type="dxa"/>
          </w:tcPr>
          <w:p w14:paraId="3543C20D" w14:textId="77777777" w:rsidR="00B419CE" w:rsidRPr="00B419CE" w:rsidRDefault="00B419CE" w:rsidP="00A2297F">
            <w:pPr>
              <w:jc w:val="right"/>
            </w:pPr>
          </w:p>
        </w:tc>
        <w:tc>
          <w:tcPr>
            <w:tcW w:w="1020" w:type="dxa"/>
          </w:tcPr>
          <w:p w14:paraId="03783DF3" w14:textId="77777777" w:rsidR="00B419CE" w:rsidRPr="00B419CE" w:rsidRDefault="00B419CE" w:rsidP="00A2297F">
            <w:pPr>
              <w:jc w:val="right"/>
            </w:pPr>
            <w:r w:rsidRPr="00B419CE">
              <w:t>0,0</w:t>
            </w:r>
          </w:p>
        </w:tc>
      </w:tr>
      <w:tr w:rsidR="00B419CE" w:rsidRPr="00B419CE" w14:paraId="0CD3D421" w14:textId="77777777" w:rsidTr="00A2297F">
        <w:trPr>
          <w:trHeight w:val="380"/>
        </w:trPr>
        <w:tc>
          <w:tcPr>
            <w:tcW w:w="1020" w:type="dxa"/>
          </w:tcPr>
          <w:p w14:paraId="472AB283" w14:textId="77777777" w:rsidR="00B419CE" w:rsidRPr="00B419CE" w:rsidRDefault="00B419CE" w:rsidP="00A2297F">
            <w:r w:rsidRPr="00B419CE">
              <w:t>3024</w:t>
            </w:r>
          </w:p>
        </w:tc>
        <w:tc>
          <w:tcPr>
            <w:tcW w:w="4080" w:type="dxa"/>
          </w:tcPr>
          <w:p w14:paraId="4C0F1518" w14:textId="77777777" w:rsidR="00B419CE" w:rsidRPr="00B419CE" w:rsidRDefault="00B419CE" w:rsidP="00A2297F">
            <w:r w:rsidRPr="00B419CE">
              <w:t>Regjeringsadvokaten</w:t>
            </w:r>
          </w:p>
        </w:tc>
        <w:tc>
          <w:tcPr>
            <w:tcW w:w="1020" w:type="dxa"/>
          </w:tcPr>
          <w:p w14:paraId="79A91AD3" w14:textId="77777777" w:rsidR="00B419CE" w:rsidRPr="00B419CE" w:rsidRDefault="00B419CE" w:rsidP="00A2297F">
            <w:pPr>
              <w:jc w:val="right"/>
            </w:pPr>
            <w:r w:rsidRPr="00B419CE">
              <w:t>16 039</w:t>
            </w:r>
          </w:p>
        </w:tc>
        <w:tc>
          <w:tcPr>
            <w:tcW w:w="1020" w:type="dxa"/>
          </w:tcPr>
          <w:p w14:paraId="6776FA13" w14:textId="77777777" w:rsidR="00B419CE" w:rsidRPr="00B419CE" w:rsidRDefault="00B419CE" w:rsidP="00A2297F">
            <w:pPr>
              <w:jc w:val="right"/>
            </w:pPr>
            <w:r w:rsidRPr="00B419CE">
              <w:t>20 200</w:t>
            </w:r>
          </w:p>
        </w:tc>
        <w:tc>
          <w:tcPr>
            <w:tcW w:w="1020" w:type="dxa"/>
          </w:tcPr>
          <w:p w14:paraId="5A649A9E" w14:textId="77777777" w:rsidR="00B419CE" w:rsidRPr="00B419CE" w:rsidRDefault="00B419CE" w:rsidP="00A2297F">
            <w:pPr>
              <w:jc w:val="right"/>
            </w:pPr>
            <w:r w:rsidRPr="00B419CE">
              <w:t>20 700</w:t>
            </w:r>
          </w:p>
        </w:tc>
        <w:tc>
          <w:tcPr>
            <w:tcW w:w="1020" w:type="dxa"/>
          </w:tcPr>
          <w:p w14:paraId="608C98EE" w14:textId="77777777" w:rsidR="00B419CE" w:rsidRPr="00B419CE" w:rsidRDefault="00B419CE" w:rsidP="00A2297F">
            <w:pPr>
              <w:jc w:val="right"/>
            </w:pPr>
            <w:r w:rsidRPr="00B419CE">
              <w:t>2,5</w:t>
            </w:r>
          </w:p>
        </w:tc>
      </w:tr>
      <w:tr w:rsidR="00B419CE" w:rsidRPr="00B419CE" w14:paraId="77633044" w14:textId="77777777" w:rsidTr="00A2297F">
        <w:trPr>
          <w:trHeight w:val="380"/>
        </w:trPr>
        <w:tc>
          <w:tcPr>
            <w:tcW w:w="1020" w:type="dxa"/>
          </w:tcPr>
          <w:p w14:paraId="357DBE85" w14:textId="77777777" w:rsidR="00B419CE" w:rsidRPr="00B419CE" w:rsidRDefault="00B419CE" w:rsidP="00A2297F"/>
        </w:tc>
        <w:tc>
          <w:tcPr>
            <w:tcW w:w="4080" w:type="dxa"/>
          </w:tcPr>
          <w:p w14:paraId="3402C790" w14:textId="77777777" w:rsidR="00B419CE" w:rsidRPr="00B419CE" w:rsidRDefault="00B419CE" w:rsidP="00A2297F">
            <w:r w:rsidRPr="00B419CE">
              <w:rPr>
                <w:rStyle w:val="kursiv"/>
              </w:rPr>
              <w:t>Sum kategori 00.30</w:t>
            </w:r>
          </w:p>
        </w:tc>
        <w:tc>
          <w:tcPr>
            <w:tcW w:w="1020" w:type="dxa"/>
          </w:tcPr>
          <w:p w14:paraId="69AEB195" w14:textId="77777777" w:rsidR="00B419CE" w:rsidRPr="00B419CE" w:rsidRDefault="00B419CE" w:rsidP="00A2297F">
            <w:pPr>
              <w:jc w:val="right"/>
            </w:pPr>
            <w:r w:rsidRPr="00B419CE">
              <w:rPr>
                <w:rStyle w:val="kursiv"/>
              </w:rPr>
              <w:t>16 263</w:t>
            </w:r>
          </w:p>
        </w:tc>
        <w:tc>
          <w:tcPr>
            <w:tcW w:w="1020" w:type="dxa"/>
          </w:tcPr>
          <w:p w14:paraId="6DDF8BE6" w14:textId="77777777" w:rsidR="00B419CE" w:rsidRPr="00B419CE" w:rsidRDefault="00B419CE" w:rsidP="00A2297F">
            <w:pPr>
              <w:jc w:val="right"/>
            </w:pPr>
            <w:r w:rsidRPr="00B419CE">
              <w:rPr>
                <w:rStyle w:val="kursiv"/>
              </w:rPr>
              <w:t>20 200</w:t>
            </w:r>
          </w:p>
        </w:tc>
        <w:tc>
          <w:tcPr>
            <w:tcW w:w="1020" w:type="dxa"/>
          </w:tcPr>
          <w:p w14:paraId="3406F08A" w14:textId="77777777" w:rsidR="00B419CE" w:rsidRPr="00B419CE" w:rsidRDefault="00B419CE" w:rsidP="00A2297F">
            <w:pPr>
              <w:jc w:val="right"/>
            </w:pPr>
            <w:r w:rsidRPr="00B419CE">
              <w:rPr>
                <w:rStyle w:val="kursiv"/>
              </w:rPr>
              <w:t>20 700</w:t>
            </w:r>
          </w:p>
        </w:tc>
        <w:tc>
          <w:tcPr>
            <w:tcW w:w="1020" w:type="dxa"/>
          </w:tcPr>
          <w:p w14:paraId="0946ACE3" w14:textId="77777777" w:rsidR="00B419CE" w:rsidRPr="00B419CE" w:rsidRDefault="00B419CE" w:rsidP="00A2297F">
            <w:pPr>
              <w:jc w:val="right"/>
            </w:pPr>
            <w:r w:rsidRPr="00B419CE">
              <w:rPr>
                <w:rStyle w:val="kursiv"/>
              </w:rPr>
              <w:t>2,5</w:t>
            </w:r>
          </w:p>
        </w:tc>
      </w:tr>
      <w:tr w:rsidR="00B419CE" w:rsidRPr="00B419CE" w14:paraId="3E00F8DA" w14:textId="77777777" w:rsidTr="00A2297F">
        <w:trPr>
          <w:trHeight w:val="380"/>
        </w:trPr>
        <w:tc>
          <w:tcPr>
            <w:tcW w:w="1020" w:type="dxa"/>
          </w:tcPr>
          <w:p w14:paraId="333F9C90" w14:textId="77777777" w:rsidR="00B419CE" w:rsidRPr="00B419CE" w:rsidRDefault="00B419CE" w:rsidP="00A2297F"/>
        </w:tc>
        <w:tc>
          <w:tcPr>
            <w:tcW w:w="4080" w:type="dxa"/>
          </w:tcPr>
          <w:p w14:paraId="2A65FD88" w14:textId="77777777" w:rsidR="00B419CE" w:rsidRPr="00B419CE" w:rsidRDefault="00B419CE" w:rsidP="00A2297F">
            <w:r w:rsidRPr="00B419CE">
              <w:rPr>
                <w:rStyle w:val="halvfet"/>
              </w:rPr>
              <w:t>Stortinget og tilknytte organ</w:t>
            </w:r>
          </w:p>
        </w:tc>
        <w:tc>
          <w:tcPr>
            <w:tcW w:w="1020" w:type="dxa"/>
          </w:tcPr>
          <w:p w14:paraId="25BC0D3F" w14:textId="77777777" w:rsidR="00B419CE" w:rsidRPr="00B419CE" w:rsidRDefault="00B419CE" w:rsidP="00A2297F">
            <w:pPr>
              <w:jc w:val="right"/>
            </w:pPr>
          </w:p>
        </w:tc>
        <w:tc>
          <w:tcPr>
            <w:tcW w:w="1020" w:type="dxa"/>
          </w:tcPr>
          <w:p w14:paraId="3A54DE43" w14:textId="77777777" w:rsidR="00B419CE" w:rsidRPr="00B419CE" w:rsidRDefault="00B419CE" w:rsidP="00A2297F">
            <w:pPr>
              <w:jc w:val="right"/>
            </w:pPr>
          </w:p>
        </w:tc>
        <w:tc>
          <w:tcPr>
            <w:tcW w:w="1020" w:type="dxa"/>
          </w:tcPr>
          <w:p w14:paraId="64DF88E7" w14:textId="77777777" w:rsidR="00B419CE" w:rsidRPr="00B419CE" w:rsidRDefault="00B419CE" w:rsidP="00A2297F">
            <w:pPr>
              <w:jc w:val="right"/>
            </w:pPr>
          </w:p>
        </w:tc>
        <w:tc>
          <w:tcPr>
            <w:tcW w:w="1020" w:type="dxa"/>
          </w:tcPr>
          <w:p w14:paraId="6E93FA94" w14:textId="77777777" w:rsidR="00B419CE" w:rsidRPr="00B419CE" w:rsidRDefault="00B419CE" w:rsidP="00A2297F">
            <w:pPr>
              <w:jc w:val="right"/>
            </w:pPr>
          </w:p>
        </w:tc>
      </w:tr>
      <w:tr w:rsidR="00B419CE" w:rsidRPr="00B419CE" w14:paraId="183468EE" w14:textId="77777777" w:rsidTr="00A2297F">
        <w:trPr>
          <w:trHeight w:val="380"/>
        </w:trPr>
        <w:tc>
          <w:tcPr>
            <w:tcW w:w="1020" w:type="dxa"/>
          </w:tcPr>
          <w:p w14:paraId="46578B0D" w14:textId="77777777" w:rsidR="00B419CE" w:rsidRPr="00B419CE" w:rsidRDefault="00B419CE" w:rsidP="00A2297F">
            <w:r w:rsidRPr="00B419CE">
              <w:t>3041</w:t>
            </w:r>
          </w:p>
        </w:tc>
        <w:tc>
          <w:tcPr>
            <w:tcW w:w="4080" w:type="dxa"/>
          </w:tcPr>
          <w:p w14:paraId="277E52FB" w14:textId="77777777" w:rsidR="00B419CE" w:rsidRPr="00B419CE" w:rsidRDefault="00B419CE" w:rsidP="00A2297F">
            <w:r w:rsidRPr="00B419CE">
              <w:t>Stortinget</w:t>
            </w:r>
          </w:p>
        </w:tc>
        <w:tc>
          <w:tcPr>
            <w:tcW w:w="1020" w:type="dxa"/>
          </w:tcPr>
          <w:p w14:paraId="3442382F" w14:textId="77777777" w:rsidR="00B419CE" w:rsidRPr="00B419CE" w:rsidRDefault="00B419CE" w:rsidP="00A2297F">
            <w:pPr>
              <w:jc w:val="right"/>
            </w:pPr>
            <w:r w:rsidRPr="00B419CE">
              <w:t>6 746</w:t>
            </w:r>
          </w:p>
        </w:tc>
        <w:tc>
          <w:tcPr>
            <w:tcW w:w="1020" w:type="dxa"/>
          </w:tcPr>
          <w:p w14:paraId="6B72241C" w14:textId="77777777" w:rsidR="00B419CE" w:rsidRPr="00B419CE" w:rsidRDefault="00B419CE" w:rsidP="00A2297F">
            <w:pPr>
              <w:jc w:val="right"/>
            </w:pPr>
            <w:r w:rsidRPr="00B419CE">
              <w:t>7 100</w:t>
            </w:r>
          </w:p>
        </w:tc>
        <w:tc>
          <w:tcPr>
            <w:tcW w:w="1020" w:type="dxa"/>
          </w:tcPr>
          <w:p w14:paraId="14E0397D" w14:textId="77777777" w:rsidR="00B419CE" w:rsidRPr="00B419CE" w:rsidRDefault="00B419CE" w:rsidP="00A2297F">
            <w:pPr>
              <w:jc w:val="right"/>
            </w:pPr>
            <w:r w:rsidRPr="00B419CE">
              <w:t>8 000</w:t>
            </w:r>
          </w:p>
        </w:tc>
        <w:tc>
          <w:tcPr>
            <w:tcW w:w="1020" w:type="dxa"/>
          </w:tcPr>
          <w:p w14:paraId="790A38DD" w14:textId="77777777" w:rsidR="00B419CE" w:rsidRPr="00B419CE" w:rsidRDefault="00B419CE" w:rsidP="00A2297F">
            <w:pPr>
              <w:jc w:val="right"/>
            </w:pPr>
            <w:r w:rsidRPr="00B419CE">
              <w:t>12,7</w:t>
            </w:r>
          </w:p>
        </w:tc>
      </w:tr>
      <w:tr w:rsidR="00B419CE" w:rsidRPr="00B419CE" w14:paraId="31AF062A" w14:textId="77777777" w:rsidTr="00A2297F">
        <w:trPr>
          <w:trHeight w:val="380"/>
        </w:trPr>
        <w:tc>
          <w:tcPr>
            <w:tcW w:w="1020" w:type="dxa"/>
          </w:tcPr>
          <w:p w14:paraId="2DAA22A4" w14:textId="77777777" w:rsidR="00B419CE" w:rsidRPr="00B419CE" w:rsidRDefault="00B419CE" w:rsidP="00A2297F">
            <w:r w:rsidRPr="00B419CE">
              <w:t>3051</w:t>
            </w:r>
          </w:p>
        </w:tc>
        <w:tc>
          <w:tcPr>
            <w:tcW w:w="4080" w:type="dxa"/>
          </w:tcPr>
          <w:p w14:paraId="72FFBF8C" w14:textId="77777777" w:rsidR="00B419CE" w:rsidRPr="00B419CE" w:rsidRDefault="00B419CE" w:rsidP="00A2297F">
            <w:r w:rsidRPr="00B419CE">
              <w:t>Riksrevisjonen</w:t>
            </w:r>
          </w:p>
        </w:tc>
        <w:tc>
          <w:tcPr>
            <w:tcW w:w="1020" w:type="dxa"/>
          </w:tcPr>
          <w:p w14:paraId="5864531F" w14:textId="77777777" w:rsidR="00B419CE" w:rsidRPr="00B419CE" w:rsidRDefault="00B419CE" w:rsidP="00A2297F">
            <w:pPr>
              <w:jc w:val="right"/>
            </w:pPr>
            <w:r w:rsidRPr="00B419CE">
              <w:t>3 072</w:t>
            </w:r>
          </w:p>
        </w:tc>
        <w:tc>
          <w:tcPr>
            <w:tcW w:w="1020" w:type="dxa"/>
          </w:tcPr>
          <w:p w14:paraId="1BD5B072" w14:textId="77777777" w:rsidR="00B419CE" w:rsidRPr="00B419CE" w:rsidRDefault="00B419CE" w:rsidP="00A2297F">
            <w:pPr>
              <w:jc w:val="right"/>
            </w:pPr>
            <w:r w:rsidRPr="00B419CE">
              <w:t>2 300</w:t>
            </w:r>
          </w:p>
        </w:tc>
        <w:tc>
          <w:tcPr>
            <w:tcW w:w="1020" w:type="dxa"/>
          </w:tcPr>
          <w:p w14:paraId="6FDEB345" w14:textId="77777777" w:rsidR="00B419CE" w:rsidRPr="00B419CE" w:rsidRDefault="00B419CE" w:rsidP="00A2297F">
            <w:pPr>
              <w:jc w:val="right"/>
            </w:pPr>
            <w:r w:rsidRPr="00B419CE">
              <w:t>2 300</w:t>
            </w:r>
          </w:p>
        </w:tc>
        <w:tc>
          <w:tcPr>
            <w:tcW w:w="1020" w:type="dxa"/>
          </w:tcPr>
          <w:p w14:paraId="4D903E33" w14:textId="77777777" w:rsidR="00B419CE" w:rsidRPr="00B419CE" w:rsidRDefault="00B419CE" w:rsidP="00A2297F">
            <w:pPr>
              <w:jc w:val="right"/>
            </w:pPr>
            <w:r w:rsidRPr="00B419CE">
              <w:t>0,0</w:t>
            </w:r>
          </w:p>
        </w:tc>
      </w:tr>
      <w:tr w:rsidR="00B419CE" w:rsidRPr="00B419CE" w14:paraId="361CC146" w14:textId="77777777" w:rsidTr="00A2297F">
        <w:trPr>
          <w:trHeight w:val="380"/>
        </w:trPr>
        <w:tc>
          <w:tcPr>
            <w:tcW w:w="1020" w:type="dxa"/>
          </w:tcPr>
          <w:p w14:paraId="228C58B8" w14:textId="77777777" w:rsidR="00B419CE" w:rsidRPr="00B419CE" w:rsidRDefault="00B419CE" w:rsidP="00A2297F"/>
        </w:tc>
        <w:tc>
          <w:tcPr>
            <w:tcW w:w="4080" w:type="dxa"/>
          </w:tcPr>
          <w:p w14:paraId="7D344E0D" w14:textId="77777777" w:rsidR="00B419CE" w:rsidRPr="00B419CE" w:rsidRDefault="00B419CE" w:rsidP="00A2297F">
            <w:r w:rsidRPr="00B419CE">
              <w:rPr>
                <w:rStyle w:val="kursiv"/>
              </w:rPr>
              <w:t>Sum kategori 00.40</w:t>
            </w:r>
          </w:p>
        </w:tc>
        <w:tc>
          <w:tcPr>
            <w:tcW w:w="1020" w:type="dxa"/>
          </w:tcPr>
          <w:p w14:paraId="5AA3464D" w14:textId="77777777" w:rsidR="00B419CE" w:rsidRPr="00B419CE" w:rsidRDefault="00B419CE" w:rsidP="00A2297F">
            <w:pPr>
              <w:jc w:val="right"/>
            </w:pPr>
            <w:r w:rsidRPr="00B419CE">
              <w:rPr>
                <w:rStyle w:val="kursiv"/>
              </w:rPr>
              <w:t>9 818</w:t>
            </w:r>
          </w:p>
        </w:tc>
        <w:tc>
          <w:tcPr>
            <w:tcW w:w="1020" w:type="dxa"/>
          </w:tcPr>
          <w:p w14:paraId="44CCE24C" w14:textId="77777777" w:rsidR="00B419CE" w:rsidRPr="00B419CE" w:rsidRDefault="00B419CE" w:rsidP="00A2297F">
            <w:pPr>
              <w:jc w:val="right"/>
            </w:pPr>
            <w:r w:rsidRPr="00B419CE">
              <w:rPr>
                <w:rStyle w:val="kursiv"/>
              </w:rPr>
              <w:t>9 400</w:t>
            </w:r>
          </w:p>
        </w:tc>
        <w:tc>
          <w:tcPr>
            <w:tcW w:w="1020" w:type="dxa"/>
          </w:tcPr>
          <w:p w14:paraId="03124DC9" w14:textId="77777777" w:rsidR="00B419CE" w:rsidRPr="00B419CE" w:rsidRDefault="00B419CE" w:rsidP="00A2297F">
            <w:pPr>
              <w:jc w:val="right"/>
            </w:pPr>
            <w:r w:rsidRPr="00B419CE">
              <w:rPr>
                <w:rStyle w:val="kursiv"/>
              </w:rPr>
              <w:t>10 300</w:t>
            </w:r>
          </w:p>
        </w:tc>
        <w:tc>
          <w:tcPr>
            <w:tcW w:w="1020" w:type="dxa"/>
          </w:tcPr>
          <w:p w14:paraId="703ED921" w14:textId="77777777" w:rsidR="00B419CE" w:rsidRPr="00B419CE" w:rsidRDefault="00B419CE" w:rsidP="00A2297F">
            <w:pPr>
              <w:jc w:val="right"/>
            </w:pPr>
            <w:r w:rsidRPr="00B419CE">
              <w:rPr>
                <w:rStyle w:val="kursiv"/>
              </w:rPr>
              <w:t>9,6</w:t>
            </w:r>
          </w:p>
        </w:tc>
      </w:tr>
      <w:tr w:rsidR="00B419CE" w:rsidRPr="00B419CE" w14:paraId="0BD7EE60" w14:textId="77777777" w:rsidTr="00A2297F">
        <w:trPr>
          <w:trHeight w:val="380"/>
        </w:trPr>
        <w:tc>
          <w:tcPr>
            <w:tcW w:w="1020" w:type="dxa"/>
          </w:tcPr>
          <w:p w14:paraId="082F75C5" w14:textId="77777777" w:rsidR="00B419CE" w:rsidRPr="00B419CE" w:rsidRDefault="00B419CE" w:rsidP="00A2297F"/>
        </w:tc>
        <w:tc>
          <w:tcPr>
            <w:tcW w:w="4080" w:type="dxa"/>
          </w:tcPr>
          <w:p w14:paraId="1FC5CA27" w14:textId="77777777" w:rsidR="00B419CE" w:rsidRPr="00B419CE" w:rsidRDefault="00B419CE" w:rsidP="00A2297F">
            <w:r w:rsidRPr="00B419CE">
              <w:rPr>
                <w:rStyle w:val="kursiv"/>
              </w:rPr>
              <w:t>Sum programområde 00</w:t>
            </w:r>
          </w:p>
        </w:tc>
        <w:tc>
          <w:tcPr>
            <w:tcW w:w="1020" w:type="dxa"/>
          </w:tcPr>
          <w:p w14:paraId="01E90DDE" w14:textId="77777777" w:rsidR="00B419CE" w:rsidRPr="00B419CE" w:rsidRDefault="00B419CE" w:rsidP="00A2297F">
            <w:pPr>
              <w:jc w:val="right"/>
            </w:pPr>
            <w:r w:rsidRPr="00B419CE">
              <w:rPr>
                <w:rStyle w:val="kursiv"/>
              </w:rPr>
              <w:t>26 081</w:t>
            </w:r>
          </w:p>
        </w:tc>
        <w:tc>
          <w:tcPr>
            <w:tcW w:w="1020" w:type="dxa"/>
          </w:tcPr>
          <w:p w14:paraId="64C5AD00" w14:textId="77777777" w:rsidR="00B419CE" w:rsidRPr="00B419CE" w:rsidRDefault="00B419CE" w:rsidP="00A2297F">
            <w:pPr>
              <w:jc w:val="right"/>
            </w:pPr>
            <w:r w:rsidRPr="00B419CE">
              <w:rPr>
                <w:rStyle w:val="kursiv"/>
              </w:rPr>
              <w:t>29 600</w:t>
            </w:r>
          </w:p>
        </w:tc>
        <w:tc>
          <w:tcPr>
            <w:tcW w:w="1020" w:type="dxa"/>
          </w:tcPr>
          <w:p w14:paraId="0E8AD16A" w14:textId="77777777" w:rsidR="00B419CE" w:rsidRPr="00B419CE" w:rsidRDefault="00B419CE" w:rsidP="00A2297F">
            <w:pPr>
              <w:jc w:val="right"/>
            </w:pPr>
            <w:r w:rsidRPr="00B419CE">
              <w:rPr>
                <w:rStyle w:val="kursiv"/>
              </w:rPr>
              <w:t>31 000</w:t>
            </w:r>
          </w:p>
        </w:tc>
        <w:tc>
          <w:tcPr>
            <w:tcW w:w="1020" w:type="dxa"/>
          </w:tcPr>
          <w:p w14:paraId="7E909603" w14:textId="77777777" w:rsidR="00B419CE" w:rsidRPr="00B419CE" w:rsidRDefault="00B419CE" w:rsidP="00A2297F">
            <w:pPr>
              <w:jc w:val="right"/>
            </w:pPr>
            <w:r w:rsidRPr="00B419CE">
              <w:rPr>
                <w:rStyle w:val="kursiv"/>
              </w:rPr>
              <w:t>4,7</w:t>
            </w:r>
          </w:p>
        </w:tc>
      </w:tr>
      <w:tr w:rsidR="00B419CE" w:rsidRPr="00B419CE" w14:paraId="3C7B8B4C" w14:textId="77777777" w:rsidTr="00A2297F">
        <w:trPr>
          <w:trHeight w:val="380"/>
        </w:trPr>
        <w:tc>
          <w:tcPr>
            <w:tcW w:w="1020" w:type="dxa"/>
          </w:tcPr>
          <w:p w14:paraId="75E080F5" w14:textId="77777777" w:rsidR="00B419CE" w:rsidRPr="00B419CE" w:rsidRDefault="00B419CE" w:rsidP="00A2297F"/>
        </w:tc>
        <w:tc>
          <w:tcPr>
            <w:tcW w:w="4080" w:type="dxa"/>
          </w:tcPr>
          <w:p w14:paraId="40C03E06" w14:textId="77777777" w:rsidR="00B419CE" w:rsidRPr="00B419CE" w:rsidRDefault="00B419CE" w:rsidP="00A2297F">
            <w:r w:rsidRPr="00B419CE">
              <w:rPr>
                <w:rStyle w:val="halvfet"/>
              </w:rPr>
              <w:t>Finansadministrasjon</w:t>
            </w:r>
          </w:p>
        </w:tc>
        <w:tc>
          <w:tcPr>
            <w:tcW w:w="1020" w:type="dxa"/>
          </w:tcPr>
          <w:p w14:paraId="2A18524F" w14:textId="77777777" w:rsidR="00B419CE" w:rsidRPr="00B419CE" w:rsidRDefault="00B419CE" w:rsidP="00A2297F">
            <w:pPr>
              <w:jc w:val="right"/>
            </w:pPr>
          </w:p>
        </w:tc>
        <w:tc>
          <w:tcPr>
            <w:tcW w:w="1020" w:type="dxa"/>
          </w:tcPr>
          <w:p w14:paraId="021A6A48" w14:textId="77777777" w:rsidR="00B419CE" w:rsidRPr="00B419CE" w:rsidRDefault="00B419CE" w:rsidP="00A2297F">
            <w:pPr>
              <w:jc w:val="right"/>
            </w:pPr>
          </w:p>
        </w:tc>
        <w:tc>
          <w:tcPr>
            <w:tcW w:w="1020" w:type="dxa"/>
          </w:tcPr>
          <w:p w14:paraId="4A6C0DDE" w14:textId="77777777" w:rsidR="00B419CE" w:rsidRPr="00B419CE" w:rsidRDefault="00B419CE" w:rsidP="00A2297F">
            <w:pPr>
              <w:jc w:val="right"/>
            </w:pPr>
          </w:p>
        </w:tc>
        <w:tc>
          <w:tcPr>
            <w:tcW w:w="1020" w:type="dxa"/>
          </w:tcPr>
          <w:p w14:paraId="2E5CE2F5" w14:textId="77777777" w:rsidR="00B419CE" w:rsidRPr="00B419CE" w:rsidRDefault="00B419CE" w:rsidP="00A2297F">
            <w:pPr>
              <w:jc w:val="right"/>
            </w:pPr>
          </w:p>
        </w:tc>
      </w:tr>
      <w:tr w:rsidR="00B419CE" w:rsidRPr="00B419CE" w14:paraId="1052C8B4" w14:textId="77777777" w:rsidTr="00A2297F">
        <w:trPr>
          <w:trHeight w:val="380"/>
        </w:trPr>
        <w:tc>
          <w:tcPr>
            <w:tcW w:w="1020" w:type="dxa"/>
          </w:tcPr>
          <w:p w14:paraId="6A9BC896" w14:textId="77777777" w:rsidR="00B419CE" w:rsidRPr="00B419CE" w:rsidRDefault="00B419CE" w:rsidP="00A2297F">
            <w:r w:rsidRPr="00B419CE">
              <w:t>4600</w:t>
            </w:r>
          </w:p>
        </w:tc>
        <w:tc>
          <w:tcPr>
            <w:tcW w:w="4080" w:type="dxa"/>
          </w:tcPr>
          <w:p w14:paraId="756B047F" w14:textId="77777777" w:rsidR="00B419CE" w:rsidRPr="00B419CE" w:rsidRDefault="00B419CE" w:rsidP="00A2297F">
            <w:r w:rsidRPr="00B419CE">
              <w:t>Finansdepartementet</w:t>
            </w:r>
          </w:p>
        </w:tc>
        <w:tc>
          <w:tcPr>
            <w:tcW w:w="1020" w:type="dxa"/>
          </w:tcPr>
          <w:p w14:paraId="25986C75" w14:textId="77777777" w:rsidR="00B419CE" w:rsidRPr="00B419CE" w:rsidRDefault="00B419CE" w:rsidP="00A2297F">
            <w:pPr>
              <w:jc w:val="right"/>
            </w:pPr>
            <w:r w:rsidRPr="00B419CE">
              <w:t>1 292</w:t>
            </w:r>
          </w:p>
        </w:tc>
        <w:tc>
          <w:tcPr>
            <w:tcW w:w="1020" w:type="dxa"/>
          </w:tcPr>
          <w:p w14:paraId="638582C4" w14:textId="77777777" w:rsidR="00B419CE" w:rsidRPr="00B419CE" w:rsidRDefault="00B419CE" w:rsidP="00A2297F">
            <w:pPr>
              <w:jc w:val="right"/>
            </w:pPr>
            <w:r w:rsidRPr="00B419CE">
              <w:t>400</w:t>
            </w:r>
          </w:p>
        </w:tc>
        <w:tc>
          <w:tcPr>
            <w:tcW w:w="1020" w:type="dxa"/>
          </w:tcPr>
          <w:p w14:paraId="13F6973C" w14:textId="77777777" w:rsidR="00B419CE" w:rsidRPr="00B419CE" w:rsidRDefault="00B419CE" w:rsidP="00A2297F">
            <w:pPr>
              <w:jc w:val="right"/>
            </w:pPr>
            <w:r w:rsidRPr="00B419CE">
              <w:t>200</w:t>
            </w:r>
          </w:p>
        </w:tc>
        <w:tc>
          <w:tcPr>
            <w:tcW w:w="1020" w:type="dxa"/>
          </w:tcPr>
          <w:p w14:paraId="7614A033" w14:textId="77777777" w:rsidR="00B419CE" w:rsidRPr="00B419CE" w:rsidRDefault="00B419CE" w:rsidP="00A2297F">
            <w:pPr>
              <w:jc w:val="right"/>
            </w:pPr>
            <w:r w:rsidRPr="00B419CE">
              <w:t>-50,0</w:t>
            </w:r>
          </w:p>
        </w:tc>
      </w:tr>
      <w:tr w:rsidR="00B419CE" w:rsidRPr="00B419CE" w14:paraId="162ED2D3" w14:textId="77777777" w:rsidTr="00A2297F">
        <w:trPr>
          <w:trHeight w:val="380"/>
        </w:trPr>
        <w:tc>
          <w:tcPr>
            <w:tcW w:w="1020" w:type="dxa"/>
          </w:tcPr>
          <w:p w14:paraId="52EA64C0" w14:textId="77777777" w:rsidR="00B419CE" w:rsidRPr="00B419CE" w:rsidRDefault="00B419CE" w:rsidP="00A2297F">
            <w:r w:rsidRPr="00B419CE">
              <w:lastRenderedPageBreak/>
              <w:t>4602</w:t>
            </w:r>
          </w:p>
        </w:tc>
        <w:tc>
          <w:tcPr>
            <w:tcW w:w="4080" w:type="dxa"/>
          </w:tcPr>
          <w:p w14:paraId="0527FEE8" w14:textId="77777777" w:rsidR="00B419CE" w:rsidRPr="00B419CE" w:rsidRDefault="00B419CE" w:rsidP="00A2297F">
            <w:r w:rsidRPr="00B419CE">
              <w:t>Finanstilsynet</w:t>
            </w:r>
          </w:p>
        </w:tc>
        <w:tc>
          <w:tcPr>
            <w:tcW w:w="1020" w:type="dxa"/>
          </w:tcPr>
          <w:p w14:paraId="6A6AC5FF" w14:textId="77777777" w:rsidR="00B419CE" w:rsidRPr="00B419CE" w:rsidRDefault="00B419CE" w:rsidP="00A2297F">
            <w:pPr>
              <w:jc w:val="right"/>
            </w:pPr>
            <w:r w:rsidRPr="00B419CE">
              <w:t>15 567</w:t>
            </w:r>
          </w:p>
        </w:tc>
        <w:tc>
          <w:tcPr>
            <w:tcW w:w="1020" w:type="dxa"/>
          </w:tcPr>
          <w:p w14:paraId="1D3ABEED" w14:textId="77777777" w:rsidR="00B419CE" w:rsidRPr="00B419CE" w:rsidRDefault="00B419CE" w:rsidP="00A2297F">
            <w:pPr>
              <w:jc w:val="right"/>
            </w:pPr>
            <w:r w:rsidRPr="00B419CE">
              <w:t>13 088</w:t>
            </w:r>
          </w:p>
        </w:tc>
        <w:tc>
          <w:tcPr>
            <w:tcW w:w="1020" w:type="dxa"/>
          </w:tcPr>
          <w:p w14:paraId="71BB442A" w14:textId="77777777" w:rsidR="00B419CE" w:rsidRPr="00B419CE" w:rsidRDefault="00B419CE" w:rsidP="00A2297F">
            <w:pPr>
              <w:jc w:val="right"/>
            </w:pPr>
            <w:r w:rsidRPr="00B419CE">
              <w:t>13 300</w:t>
            </w:r>
          </w:p>
        </w:tc>
        <w:tc>
          <w:tcPr>
            <w:tcW w:w="1020" w:type="dxa"/>
          </w:tcPr>
          <w:p w14:paraId="3832F6B2" w14:textId="77777777" w:rsidR="00B419CE" w:rsidRPr="00B419CE" w:rsidRDefault="00B419CE" w:rsidP="00A2297F">
            <w:pPr>
              <w:jc w:val="right"/>
            </w:pPr>
            <w:r w:rsidRPr="00B419CE">
              <w:t>1,6</w:t>
            </w:r>
          </w:p>
        </w:tc>
      </w:tr>
      <w:tr w:rsidR="00B419CE" w:rsidRPr="00B419CE" w14:paraId="5B595122" w14:textId="77777777" w:rsidTr="00A2297F">
        <w:trPr>
          <w:trHeight w:val="640"/>
        </w:trPr>
        <w:tc>
          <w:tcPr>
            <w:tcW w:w="1020" w:type="dxa"/>
          </w:tcPr>
          <w:p w14:paraId="1D5A990F" w14:textId="77777777" w:rsidR="00B419CE" w:rsidRPr="00B419CE" w:rsidRDefault="00B419CE" w:rsidP="00A2297F">
            <w:r w:rsidRPr="00B419CE">
              <w:t>4605</w:t>
            </w:r>
          </w:p>
        </w:tc>
        <w:tc>
          <w:tcPr>
            <w:tcW w:w="4080" w:type="dxa"/>
          </w:tcPr>
          <w:p w14:paraId="37AE94F7" w14:textId="77777777" w:rsidR="00B419CE" w:rsidRPr="00B419CE" w:rsidRDefault="00B419CE" w:rsidP="00A2297F">
            <w:r w:rsidRPr="00B419CE">
              <w:t xml:space="preserve">Direktoratet for forvaltning og </w:t>
            </w:r>
            <w:r w:rsidRPr="00B419CE">
              <w:br/>
              <w:t>økonomistyring</w:t>
            </w:r>
          </w:p>
        </w:tc>
        <w:tc>
          <w:tcPr>
            <w:tcW w:w="1020" w:type="dxa"/>
          </w:tcPr>
          <w:p w14:paraId="3F958A44" w14:textId="77777777" w:rsidR="00B419CE" w:rsidRPr="00B419CE" w:rsidRDefault="00B419CE" w:rsidP="00A2297F">
            <w:pPr>
              <w:jc w:val="right"/>
            </w:pPr>
            <w:r w:rsidRPr="00B419CE">
              <w:t>184 279</w:t>
            </w:r>
          </w:p>
        </w:tc>
        <w:tc>
          <w:tcPr>
            <w:tcW w:w="1020" w:type="dxa"/>
          </w:tcPr>
          <w:p w14:paraId="66E637EE" w14:textId="77777777" w:rsidR="00B419CE" w:rsidRPr="00B419CE" w:rsidRDefault="00B419CE" w:rsidP="00A2297F">
            <w:pPr>
              <w:jc w:val="right"/>
            </w:pPr>
            <w:r w:rsidRPr="00B419CE">
              <w:t>155 300</w:t>
            </w:r>
          </w:p>
        </w:tc>
        <w:tc>
          <w:tcPr>
            <w:tcW w:w="1020" w:type="dxa"/>
          </w:tcPr>
          <w:p w14:paraId="28FC8E83" w14:textId="77777777" w:rsidR="00B419CE" w:rsidRPr="00B419CE" w:rsidRDefault="00B419CE" w:rsidP="00A2297F">
            <w:pPr>
              <w:jc w:val="right"/>
            </w:pPr>
            <w:r w:rsidRPr="00B419CE">
              <w:t>198 100</w:t>
            </w:r>
          </w:p>
        </w:tc>
        <w:tc>
          <w:tcPr>
            <w:tcW w:w="1020" w:type="dxa"/>
          </w:tcPr>
          <w:p w14:paraId="7BF40463" w14:textId="77777777" w:rsidR="00B419CE" w:rsidRPr="00B419CE" w:rsidRDefault="00B419CE" w:rsidP="00A2297F">
            <w:pPr>
              <w:jc w:val="right"/>
            </w:pPr>
            <w:r w:rsidRPr="00B419CE">
              <w:t>27,6</w:t>
            </w:r>
          </w:p>
        </w:tc>
      </w:tr>
      <w:tr w:rsidR="00B419CE" w:rsidRPr="00B419CE" w14:paraId="235B39A8" w14:textId="77777777" w:rsidTr="00A2297F">
        <w:trPr>
          <w:trHeight w:val="640"/>
        </w:trPr>
        <w:tc>
          <w:tcPr>
            <w:tcW w:w="1020" w:type="dxa"/>
          </w:tcPr>
          <w:p w14:paraId="0C8A7945" w14:textId="77777777" w:rsidR="00B419CE" w:rsidRPr="00B419CE" w:rsidRDefault="00B419CE" w:rsidP="00A2297F">
            <w:r w:rsidRPr="00B419CE">
              <w:t>5580</w:t>
            </w:r>
          </w:p>
        </w:tc>
        <w:tc>
          <w:tcPr>
            <w:tcW w:w="4080" w:type="dxa"/>
          </w:tcPr>
          <w:p w14:paraId="375AFF78" w14:textId="77777777" w:rsidR="00B419CE" w:rsidRPr="00B419CE" w:rsidRDefault="00B419CE" w:rsidP="00A2297F">
            <w:r w:rsidRPr="00B419CE">
              <w:t>Sektoravgifter under Finansdepartementet</w:t>
            </w:r>
          </w:p>
        </w:tc>
        <w:tc>
          <w:tcPr>
            <w:tcW w:w="1020" w:type="dxa"/>
          </w:tcPr>
          <w:p w14:paraId="3907694C" w14:textId="77777777" w:rsidR="00B419CE" w:rsidRPr="00B419CE" w:rsidRDefault="00B419CE" w:rsidP="00A2297F">
            <w:pPr>
              <w:jc w:val="right"/>
            </w:pPr>
            <w:r w:rsidRPr="00B419CE">
              <w:t>450 143</w:t>
            </w:r>
          </w:p>
        </w:tc>
        <w:tc>
          <w:tcPr>
            <w:tcW w:w="1020" w:type="dxa"/>
          </w:tcPr>
          <w:p w14:paraId="6C5F661E" w14:textId="77777777" w:rsidR="00B419CE" w:rsidRPr="00B419CE" w:rsidRDefault="00B419CE" w:rsidP="00A2297F">
            <w:pPr>
              <w:jc w:val="right"/>
            </w:pPr>
            <w:r w:rsidRPr="00B419CE">
              <w:t>452 810</w:t>
            </w:r>
          </w:p>
        </w:tc>
        <w:tc>
          <w:tcPr>
            <w:tcW w:w="1020" w:type="dxa"/>
          </w:tcPr>
          <w:p w14:paraId="22DD811D" w14:textId="77777777" w:rsidR="00B419CE" w:rsidRPr="00B419CE" w:rsidRDefault="00B419CE" w:rsidP="00A2297F">
            <w:pPr>
              <w:jc w:val="right"/>
            </w:pPr>
            <w:r w:rsidRPr="00B419CE">
              <w:t>485 860</w:t>
            </w:r>
          </w:p>
        </w:tc>
        <w:tc>
          <w:tcPr>
            <w:tcW w:w="1020" w:type="dxa"/>
          </w:tcPr>
          <w:p w14:paraId="26AF04E3" w14:textId="77777777" w:rsidR="00B419CE" w:rsidRPr="00B419CE" w:rsidRDefault="00B419CE" w:rsidP="00A2297F">
            <w:pPr>
              <w:jc w:val="right"/>
            </w:pPr>
            <w:r w:rsidRPr="00B419CE">
              <w:t>7,3</w:t>
            </w:r>
          </w:p>
        </w:tc>
      </w:tr>
      <w:tr w:rsidR="00B419CE" w:rsidRPr="00B419CE" w14:paraId="1CB1A3FA" w14:textId="77777777" w:rsidTr="00A2297F">
        <w:trPr>
          <w:trHeight w:val="380"/>
        </w:trPr>
        <w:tc>
          <w:tcPr>
            <w:tcW w:w="1020" w:type="dxa"/>
          </w:tcPr>
          <w:p w14:paraId="7DBF968D" w14:textId="77777777" w:rsidR="00B419CE" w:rsidRPr="00B419CE" w:rsidRDefault="00B419CE" w:rsidP="00A2297F"/>
        </w:tc>
        <w:tc>
          <w:tcPr>
            <w:tcW w:w="4080" w:type="dxa"/>
          </w:tcPr>
          <w:p w14:paraId="39FFAC17" w14:textId="77777777" w:rsidR="00B419CE" w:rsidRPr="00B419CE" w:rsidRDefault="00B419CE" w:rsidP="00A2297F">
            <w:r w:rsidRPr="00B419CE">
              <w:rPr>
                <w:rStyle w:val="kursiv"/>
              </w:rPr>
              <w:t>Sum kategori 23.10</w:t>
            </w:r>
          </w:p>
        </w:tc>
        <w:tc>
          <w:tcPr>
            <w:tcW w:w="1020" w:type="dxa"/>
          </w:tcPr>
          <w:p w14:paraId="2079B46A" w14:textId="77777777" w:rsidR="00B419CE" w:rsidRPr="00B419CE" w:rsidRDefault="00B419CE" w:rsidP="00A2297F">
            <w:pPr>
              <w:jc w:val="right"/>
            </w:pPr>
            <w:r w:rsidRPr="00B419CE">
              <w:rPr>
                <w:rStyle w:val="kursiv"/>
              </w:rPr>
              <w:t>651 281</w:t>
            </w:r>
          </w:p>
        </w:tc>
        <w:tc>
          <w:tcPr>
            <w:tcW w:w="1020" w:type="dxa"/>
          </w:tcPr>
          <w:p w14:paraId="780B19FA" w14:textId="77777777" w:rsidR="00B419CE" w:rsidRPr="00B419CE" w:rsidRDefault="00B419CE" w:rsidP="00A2297F">
            <w:pPr>
              <w:jc w:val="right"/>
            </w:pPr>
            <w:r w:rsidRPr="00B419CE">
              <w:rPr>
                <w:rStyle w:val="kursiv"/>
              </w:rPr>
              <w:t>621 598</w:t>
            </w:r>
          </w:p>
        </w:tc>
        <w:tc>
          <w:tcPr>
            <w:tcW w:w="1020" w:type="dxa"/>
          </w:tcPr>
          <w:p w14:paraId="5CF072FF" w14:textId="77777777" w:rsidR="00B419CE" w:rsidRPr="00B419CE" w:rsidRDefault="00B419CE" w:rsidP="00A2297F">
            <w:pPr>
              <w:jc w:val="right"/>
            </w:pPr>
            <w:r w:rsidRPr="00B419CE">
              <w:rPr>
                <w:rStyle w:val="kursiv"/>
              </w:rPr>
              <w:t>697 460</w:t>
            </w:r>
          </w:p>
        </w:tc>
        <w:tc>
          <w:tcPr>
            <w:tcW w:w="1020" w:type="dxa"/>
          </w:tcPr>
          <w:p w14:paraId="0F787F20" w14:textId="77777777" w:rsidR="00B419CE" w:rsidRPr="00B419CE" w:rsidRDefault="00B419CE" w:rsidP="00A2297F">
            <w:pPr>
              <w:jc w:val="right"/>
            </w:pPr>
            <w:r w:rsidRPr="00B419CE">
              <w:rPr>
                <w:rStyle w:val="kursiv"/>
              </w:rPr>
              <w:t>12,2</w:t>
            </w:r>
          </w:p>
        </w:tc>
      </w:tr>
      <w:tr w:rsidR="00B419CE" w:rsidRPr="00B419CE" w14:paraId="1113427D" w14:textId="77777777" w:rsidTr="00A2297F">
        <w:trPr>
          <w:trHeight w:val="640"/>
        </w:trPr>
        <w:tc>
          <w:tcPr>
            <w:tcW w:w="1020" w:type="dxa"/>
          </w:tcPr>
          <w:p w14:paraId="65EC6DE2" w14:textId="77777777" w:rsidR="00B419CE" w:rsidRPr="00B419CE" w:rsidRDefault="00B419CE" w:rsidP="00A2297F"/>
        </w:tc>
        <w:tc>
          <w:tcPr>
            <w:tcW w:w="4080" w:type="dxa"/>
          </w:tcPr>
          <w:p w14:paraId="3A405C8E" w14:textId="77777777" w:rsidR="00B419CE" w:rsidRPr="00B419CE" w:rsidRDefault="00B419CE" w:rsidP="00A2297F">
            <w:r w:rsidRPr="00B419CE">
              <w:rPr>
                <w:rStyle w:val="halvfet"/>
              </w:rPr>
              <w:t xml:space="preserve">Skatte-, avgifts- og </w:t>
            </w:r>
            <w:r w:rsidRPr="00B419CE">
              <w:rPr>
                <w:rStyle w:val="halvfet"/>
              </w:rPr>
              <w:br/>
              <w:t>tolladministrasjon</w:t>
            </w:r>
          </w:p>
        </w:tc>
        <w:tc>
          <w:tcPr>
            <w:tcW w:w="1020" w:type="dxa"/>
          </w:tcPr>
          <w:p w14:paraId="522B8B2D" w14:textId="77777777" w:rsidR="00B419CE" w:rsidRPr="00B419CE" w:rsidRDefault="00B419CE" w:rsidP="00A2297F">
            <w:pPr>
              <w:jc w:val="right"/>
            </w:pPr>
          </w:p>
        </w:tc>
        <w:tc>
          <w:tcPr>
            <w:tcW w:w="1020" w:type="dxa"/>
          </w:tcPr>
          <w:p w14:paraId="6B872426" w14:textId="77777777" w:rsidR="00B419CE" w:rsidRPr="00B419CE" w:rsidRDefault="00B419CE" w:rsidP="00A2297F">
            <w:pPr>
              <w:jc w:val="right"/>
            </w:pPr>
          </w:p>
        </w:tc>
        <w:tc>
          <w:tcPr>
            <w:tcW w:w="1020" w:type="dxa"/>
          </w:tcPr>
          <w:p w14:paraId="3A82A7BD" w14:textId="77777777" w:rsidR="00B419CE" w:rsidRPr="00B419CE" w:rsidRDefault="00B419CE" w:rsidP="00A2297F">
            <w:pPr>
              <w:jc w:val="right"/>
            </w:pPr>
          </w:p>
        </w:tc>
        <w:tc>
          <w:tcPr>
            <w:tcW w:w="1020" w:type="dxa"/>
          </w:tcPr>
          <w:p w14:paraId="4169C0B9" w14:textId="77777777" w:rsidR="00B419CE" w:rsidRPr="00B419CE" w:rsidRDefault="00B419CE" w:rsidP="00A2297F">
            <w:pPr>
              <w:jc w:val="right"/>
            </w:pPr>
          </w:p>
        </w:tc>
      </w:tr>
      <w:tr w:rsidR="00B419CE" w:rsidRPr="00B419CE" w14:paraId="32FA1C8C" w14:textId="77777777" w:rsidTr="00A2297F">
        <w:trPr>
          <w:trHeight w:val="380"/>
        </w:trPr>
        <w:tc>
          <w:tcPr>
            <w:tcW w:w="1020" w:type="dxa"/>
          </w:tcPr>
          <w:p w14:paraId="2AEA819D" w14:textId="77777777" w:rsidR="00B419CE" w:rsidRPr="00B419CE" w:rsidRDefault="00B419CE" w:rsidP="00A2297F">
            <w:r w:rsidRPr="00B419CE">
              <w:t>4610</w:t>
            </w:r>
          </w:p>
        </w:tc>
        <w:tc>
          <w:tcPr>
            <w:tcW w:w="4080" w:type="dxa"/>
          </w:tcPr>
          <w:p w14:paraId="017B3377" w14:textId="77777777" w:rsidR="00B419CE" w:rsidRPr="00B419CE" w:rsidRDefault="00B419CE" w:rsidP="00A2297F">
            <w:r w:rsidRPr="00B419CE">
              <w:t>Tolletaten</w:t>
            </w:r>
          </w:p>
        </w:tc>
        <w:tc>
          <w:tcPr>
            <w:tcW w:w="1020" w:type="dxa"/>
          </w:tcPr>
          <w:p w14:paraId="6E71FE05" w14:textId="77777777" w:rsidR="00B419CE" w:rsidRPr="00B419CE" w:rsidRDefault="00B419CE" w:rsidP="00A2297F">
            <w:pPr>
              <w:jc w:val="right"/>
            </w:pPr>
            <w:r w:rsidRPr="00B419CE">
              <w:t>58 628</w:t>
            </w:r>
          </w:p>
        </w:tc>
        <w:tc>
          <w:tcPr>
            <w:tcW w:w="1020" w:type="dxa"/>
          </w:tcPr>
          <w:p w14:paraId="262B02F3" w14:textId="77777777" w:rsidR="00B419CE" w:rsidRPr="00B419CE" w:rsidRDefault="00B419CE" w:rsidP="00A2297F">
            <w:pPr>
              <w:jc w:val="right"/>
            </w:pPr>
            <w:r w:rsidRPr="00B419CE">
              <w:t>51 365</w:t>
            </w:r>
          </w:p>
        </w:tc>
        <w:tc>
          <w:tcPr>
            <w:tcW w:w="1020" w:type="dxa"/>
          </w:tcPr>
          <w:p w14:paraId="5B1CF054" w14:textId="77777777" w:rsidR="00B419CE" w:rsidRPr="00B419CE" w:rsidRDefault="00B419CE" w:rsidP="00A2297F">
            <w:pPr>
              <w:jc w:val="right"/>
            </w:pPr>
            <w:r w:rsidRPr="00B419CE">
              <w:t>60 200</w:t>
            </w:r>
          </w:p>
        </w:tc>
        <w:tc>
          <w:tcPr>
            <w:tcW w:w="1020" w:type="dxa"/>
          </w:tcPr>
          <w:p w14:paraId="003CAE5F" w14:textId="77777777" w:rsidR="00B419CE" w:rsidRPr="00B419CE" w:rsidRDefault="00B419CE" w:rsidP="00A2297F">
            <w:pPr>
              <w:jc w:val="right"/>
            </w:pPr>
            <w:r w:rsidRPr="00B419CE">
              <w:t>17,2</w:t>
            </w:r>
          </w:p>
        </w:tc>
      </w:tr>
      <w:tr w:rsidR="00B419CE" w:rsidRPr="00B419CE" w14:paraId="18A96FE3" w14:textId="77777777" w:rsidTr="00A2297F">
        <w:trPr>
          <w:trHeight w:val="380"/>
        </w:trPr>
        <w:tc>
          <w:tcPr>
            <w:tcW w:w="1020" w:type="dxa"/>
          </w:tcPr>
          <w:p w14:paraId="4025FCE1" w14:textId="77777777" w:rsidR="00B419CE" w:rsidRPr="00B419CE" w:rsidRDefault="00B419CE" w:rsidP="00A2297F">
            <w:r w:rsidRPr="00B419CE">
              <w:t>4618</w:t>
            </w:r>
          </w:p>
        </w:tc>
        <w:tc>
          <w:tcPr>
            <w:tcW w:w="4080" w:type="dxa"/>
          </w:tcPr>
          <w:p w14:paraId="0C6319AF" w14:textId="77777777" w:rsidR="00B419CE" w:rsidRPr="00B419CE" w:rsidRDefault="00B419CE" w:rsidP="00A2297F">
            <w:r w:rsidRPr="00B419CE">
              <w:t>Skatteetaten</w:t>
            </w:r>
          </w:p>
        </w:tc>
        <w:tc>
          <w:tcPr>
            <w:tcW w:w="1020" w:type="dxa"/>
          </w:tcPr>
          <w:p w14:paraId="50DD0F29" w14:textId="77777777" w:rsidR="00B419CE" w:rsidRPr="00B419CE" w:rsidRDefault="00B419CE" w:rsidP="00A2297F">
            <w:pPr>
              <w:jc w:val="right"/>
            </w:pPr>
            <w:r w:rsidRPr="00B419CE">
              <w:t>2 211 680</w:t>
            </w:r>
          </w:p>
        </w:tc>
        <w:tc>
          <w:tcPr>
            <w:tcW w:w="1020" w:type="dxa"/>
          </w:tcPr>
          <w:p w14:paraId="4B9B87C3" w14:textId="77777777" w:rsidR="00B419CE" w:rsidRPr="00B419CE" w:rsidRDefault="00B419CE" w:rsidP="00A2297F">
            <w:pPr>
              <w:jc w:val="right"/>
            </w:pPr>
            <w:r w:rsidRPr="00B419CE">
              <w:t>2 354 096</w:t>
            </w:r>
          </w:p>
        </w:tc>
        <w:tc>
          <w:tcPr>
            <w:tcW w:w="1020" w:type="dxa"/>
          </w:tcPr>
          <w:p w14:paraId="28B424F3" w14:textId="77777777" w:rsidR="00B419CE" w:rsidRPr="00B419CE" w:rsidRDefault="00B419CE" w:rsidP="00A2297F">
            <w:pPr>
              <w:jc w:val="right"/>
            </w:pPr>
            <w:r w:rsidRPr="00B419CE">
              <w:t>2 548 000</w:t>
            </w:r>
          </w:p>
        </w:tc>
        <w:tc>
          <w:tcPr>
            <w:tcW w:w="1020" w:type="dxa"/>
          </w:tcPr>
          <w:p w14:paraId="21FA4157" w14:textId="77777777" w:rsidR="00B419CE" w:rsidRPr="00B419CE" w:rsidRDefault="00B419CE" w:rsidP="00A2297F">
            <w:pPr>
              <w:jc w:val="right"/>
            </w:pPr>
            <w:r w:rsidRPr="00B419CE">
              <w:t>8,2</w:t>
            </w:r>
          </w:p>
        </w:tc>
      </w:tr>
      <w:tr w:rsidR="00B419CE" w:rsidRPr="00B419CE" w14:paraId="5CF29CC0" w14:textId="77777777" w:rsidTr="00A2297F">
        <w:trPr>
          <w:trHeight w:val="380"/>
        </w:trPr>
        <w:tc>
          <w:tcPr>
            <w:tcW w:w="1020" w:type="dxa"/>
          </w:tcPr>
          <w:p w14:paraId="373623AB" w14:textId="77777777" w:rsidR="00B419CE" w:rsidRPr="00B419CE" w:rsidRDefault="00B419CE" w:rsidP="00A2297F"/>
        </w:tc>
        <w:tc>
          <w:tcPr>
            <w:tcW w:w="4080" w:type="dxa"/>
          </w:tcPr>
          <w:p w14:paraId="3303268C" w14:textId="77777777" w:rsidR="00B419CE" w:rsidRPr="00B419CE" w:rsidRDefault="00B419CE" w:rsidP="00A2297F">
            <w:r w:rsidRPr="00B419CE">
              <w:rPr>
                <w:rStyle w:val="kursiv"/>
              </w:rPr>
              <w:t>Sum kategori 23.20</w:t>
            </w:r>
          </w:p>
        </w:tc>
        <w:tc>
          <w:tcPr>
            <w:tcW w:w="1020" w:type="dxa"/>
          </w:tcPr>
          <w:p w14:paraId="1AEA9105" w14:textId="77777777" w:rsidR="00B419CE" w:rsidRPr="00B419CE" w:rsidRDefault="00B419CE" w:rsidP="00A2297F">
            <w:pPr>
              <w:jc w:val="right"/>
            </w:pPr>
            <w:r w:rsidRPr="00B419CE">
              <w:rPr>
                <w:rStyle w:val="kursiv"/>
              </w:rPr>
              <w:t>2 270 308</w:t>
            </w:r>
          </w:p>
        </w:tc>
        <w:tc>
          <w:tcPr>
            <w:tcW w:w="1020" w:type="dxa"/>
          </w:tcPr>
          <w:p w14:paraId="33CA1D39" w14:textId="77777777" w:rsidR="00B419CE" w:rsidRPr="00B419CE" w:rsidRDefault="00B419CE" w:rsidP="00A2297F">
            <w:pPr>
              <w:jc w:val="right"/>
            </w:pPr>
            <w:r w:rsidRPr="00B419CE">
              <w:rPr>
                <w:rStyle w:val="kursiv"/>
              </w:rPr>
              <w:t>2 405 461</w:t>
            </w:r>
          </w:p>
        </w:tc>
        <w:tc>
          <w:tcPr>
            <w:tcW w:w="1020" w:type="dxa"/>
          </w:tcPr>
          <w:p w14:paraId="6BCFD438" w14:textId="77777777" w:rsidR="00B419CE" w:rsidRPr="00B419CE" w:rsidRDefault="00B419CE" w:rsidP="00A2297F">
            <w:pPr>
              <w:jc w:val="right"/>
            </w:pPr>
            <w:r w:rsidRPr="00B419CE">
              <w:rPr>
                <w:rStyle w:val="kursiv"/>
              </w:rPr>
              <w:t>2 608 200</w:t>
            </w:r>
          </w:p>
        </w:tc>
        <w:tc>
          <w:tcPr>
            <w:tcW w:w="1020" w:type="dxa"/>
          </w:tcPr>
          <w:p w14:paraId="1F0D513F" w14:textId="77777777" w:rsidR="00B419CE" w:rsidRPr="00B419CE" w:rsidRDefault="00B419CE" w:rsidP="00A2297F">
            <w:pPr>
              <w:jc w:val="right"/>
            </w:pPr>
            <w:r w:rsidRPr="00B419CE">
              <w:rPr>
                <w:rStyle w:val="kursiv"/>
              </w:rPr>
              <w:t>8,4</w:t>
            </w:r>
          </w:p>
        </w:tc>
      </w:tr>
      <w:tr w:rsidR="00B419CE" w:rsidRPr="00B419CE" w14:paraId="7980796B" w14:textId="77777777" w:rsidTr="00A2297F">
        <w:trPr>
          <w:trHeight w:val="380"/>
        </w:trPr>
        <w:tc>
          <w:tcPr>
            <w:tcW w:w="1020" w:type="dxa"/>
          </w:tcPr>
          <w:p w14:paraId="62745ACC" w14:textId="77777777" w:rsidR="00B419CE" w:rsidRPr="00B419CE" w:rsidRDefault="00B419CE" w:rsidP="00A2297F"/>
        </w:tc>
        <w:tc>
          <w:tcPr>
            <w:tcW w:w="4080" w:type="dxa"/>
          </w:tcPr>
          <w:p w14:paraId="24CC3747" w14:textId="77777777" w:rsidR="00B419CE" w:rsidRPr="00B419CE" w:rsidRDefault="00B419CE" w:rsidP="00A2297F">
            <w:r w:rsidRPr="00B419CE">
              <w:rPr>
                <w:rStyle w:val="halvfet"/>
              </w:rPr>
              <w:t>Offisiell statistikk</w:t>
            </w:r>
          </w:p>
        </w:tc>
        <w:tc>
          <w:tcPr>
            <w:tcW w:w="1020" w:type="dxa"/>
          </w:tcPr>
          <w:p w14:paraId="4971593D" w14:textId="77777777" w:rsidR="00B419CE" w:rsidRPr="00B419CE" w:rsidRDefault="00B419CE" w:rsidP="00A2297F">
            <w:pPr>
              <w:jc w:val="right"/>
            </w:pPr>
          </w:p>
        </w:tc>
        <w:tc>
          <w:tcPr>
            <w:tcW w:w="1020" w:type="dxa"/>
          </w:tcPr>
          <w:p w14:paraId="1C7946B7" w14:textId="77777777" w:rsidR="00B419CE" w:rsidRPr="00B419CE" w:rsidRDefault="00B419CE" w:rsidP="00A2297F">
            <w:pPr>
              <w:jc w:val="right"/>
            </w:pPr>
          </w:p>
        </w:tc>
        <w:tc>
          <w:tcPr>
            <w:tcW w:w="1020" w:type="dxa"/>
          </w:tcPr>
          <w:p w14:paraId="739A8DE1" w14:textId="77777777" w:rsidR="00B419CE" w:rsidRPr="00B419CE" w:rsidRDefault="00B419CE" w:rsidP="00A2297F">
            <w:pPr>
              <w:jc w:val="right"/>
            </w:pPr>
          </w:p>
        </w:tc>
        <w:tc>
          <w:tcPr>
            <w:tcW w:w="1020" w:type="dxa"/>
          </w:tcPr>
          <w:p w14:paraId="0B41E1CF" w14:textId="77777777" w:rsidR="00B419CE" w:rsidRPr="00B419CE" w:rsidRDefault="00B419CE" w:rsidP="00A2297F">
            <w:pPr>
              <w:jc w:val="right"/>
            </w:pPr>
          </w:p>
        </w:tc>
      </w:tr>
      <w:tr w:rsidR="00B419CE" w:rsidRPr="00B419CE" w14:paraId="2A59FDC1" w14:textId="77777777" w:rsidTr="00A2297F">
        <w:trPr>
          <w:trHeight w:val="380"/>
        </w:trPr>
        <w:tc>
          <w:tcPr>
            <w:tcW w:w="1020" w:type="dxa"/>
          </w:tcPr>
          <w:p w14:paraId="50BEF90D" w14:textId="77777777" w:rsidR="00B419CE" w:rsidRPr="00B419CE" w:rsidRDefault="00B419CE" w:rsidP="00A2297F">
            <w:r w:rsidRPr="00B419CE">
              <w:t>4620</w:t>
            </w:r>
          </w:p>
        </w:tc>
        <w:tc>
          <w:tcPr>
            <w:tcW w:w="4080" w:type="dxa"/>
          </w:tcPr>
          <w:p w14:paraId="4965593D" w14:textId="77777777" w:rsidR="00B419CE" w:rsidRPr="00B419CE" w:rsidRDefault="00B419CE" w:rsidP="00A2297F">
            <w:r w:rsidRPr="00B419CE">
              <w:t>Statistisk sentralbyrå</w:t>
            </w:r>
          </w:p>
        </w:tc>
        <w:tc>
          <w:tcPr>
            <w:tcW w:w="1020" w:type="dxa"/>
          </w:tcPr>
          <w:p w14:paraId="501D5A1E" w14:textId="77777777" w:rsidR="00B419CE" w:rsidRPr="00B419CE" w:rsidRDefault="00B419CE" w:rsidP="00A2297F">
            <w:pPr>
              <w:jc w:val="right"/>
            </w:pPr>
            <w:r w:rsidRPr="00B419CE">
              <w:t>243 247</w:t>
            </w:r>
          </w:p>
        </w:tc>
        <w:tc>
          <w:tcPr>
            <w:tcW w:w="1020" w:type="dxa"/>
          </w:tcPr>
          <w:p w14:paraId="11170C64" w14:textId="77777777" w:rsidR="00B419CE" w:rsidRPr="00B419CE" w:rsidRDefault="00B419CE" w:rsidP="00A2297F">
            <w:pPr>
              <w:jc w:val="right"/>
            </w:pPr>
            <w:r w:rsidRPr="00B419CE">
              <w:t>275 634</w:t>
            </w:r>
          </w:p>
        </w:tc>
        <w:tc>
          <w:tcPr>
            <w:tcW w:w="1020" w:type="dxa"/>
          </w:tcPr>
          <w:p w14:paraId="3C43037D" w14:textId="77777777" w:rsidR="00B419CE" w:rsidRPr="00B419CE" w:rsidRDefault="00B419CE" w:rsidP="00A2297F">
            <w:pPr>
              <w:jc w:val="right"/>
            </w:pPr>
            <w:r w:rsidRPr="00B419CE">
              <w:t>263 194</w:t>
            </w:r>
          </w:p>
        </w:tc>
        <w:tc>
          <w:tcPr>
            <w:tcW w:w="1020" w:type="dxa"/>
          </w:tcPr>
          <w:p w14:paraId="71E99DDC" w14:textId="77777777" w:rsidR="00B419CE" w:rsidRPr="00B419CE" w:rsidRDefault="00B419CE" w:rsidP="00A2297F">
            <w:pPr>
              <w:jc w:val="right"/>
            </w:pPr>
            <w:r w:rsidRPr="00B419CE">
              <w:t>-4,5</w:t>
            </w:r>
          </w:p>
        </w:tc>
      </w:tr>
      <w:tr w:rsidR="00B419CE" w:rsidRPr="00B419CE" w14:paraId="0E161FAD" w14:textId="77777777" w:rsidTr="00A2297F">
        <w:trPr>
          <w:trHeight w:val="380"/>
        </w:trPr>
        <w:tc>
          <w:tcPr>
            <w:tcW w:w="1020" w:type="dxa"/>
          </w:tcPr>
          <w:p w14:paraId="5968A044" w14:textId="77777777" w:rsidR="00B419CE" w:rsidRPr="00B419CE" w:rsidRDefault="00B419CE" w:rsidP="00A2297F"/>
        </w:tc>
        <w:tc>
          <w:tcPr>
            <w:tcW w:w="4080" w:type="dxa"/>
          </w:tcPr>
          <w:p w14:paraId="1DD931AA" w14:textId="77777777" w:rsidR="00B419CE" w:rsidRPr="00B419CE" w:rsidRDefault="00B419CE" w:rsidP="00A2297F">
            <w:r w:rsidRPr="00B419CE">
              <w:rPr>
                <w:rStyle w:val="kursiv"/>
              </w:rPr>
              <w:t>Sum kategori 23.30</w:t>
            </w:r>
          </w:p>
        </w:tc>
        <w:tc>
          <w:tcPr>
            <w:tcW w:w="1020" w:type="dxa"/>
          </w:tcPr>
          <w:p w14:paraId="3052FBE2" w14:textId="77777777" w:rsidR="00B419CE" w:rsidRPr="00B419CE" w:rsidRDefault="00B419CE" w:rsidP="00A2297F">
            <w:pPr>
              <w:jc w:val="right"/>
            </w:pPr>
            <w:r w:rsidRPr="00B419CE">
              <w:rPr>
                <w:rStyle w:val="kursiv"/>
              </w:rPr>
              <w:t>243 247</w:t>
            </w:r>
          </w:p>
        </w:tc>
        <w:tc>
          <w:tcPr>
            <w:tcW w:w="1020" w:type="dxa"/>
          </w:tcPr>
          <w:p w14:paraId="7A95DE9F" w14:textId="77777777" w:rsidR="00B419CE" w:rsidRPr="00B419CE" w:rsidRDefault="00B419CE" w:rsidP="00A2297F">
            <w:pPr>
              <w:jc w:val="right"/>
            </w:pPr>
            <w:r w:rsidRPr="00B419CE">
              <w:rPr>
                <w:rStyle w:val="kursiv"/>
              </w:rPr>
              <w:t>275 634</w:t>
            </w:r>
          </w:p>
        </w:tc>
        <w:tc>
          <w:tcPr>
            <w:tcW w:w="1020" w:type="dxa"/>
          </w:tcPr>
          <w:p w14:paraId="628A6B93" w14:textId="77777777" w:rsidR="00B419CE" w:rsidRPr="00B419CE" w:rsidRDefault="00B419CE" w:rsidP="00A2297F">
            <w:pPr>
              <w:jc w:val="right"/>
            </w:pPr>
            <w:r w:rsidRPr="00B419CE">
              <w:rPr>
                <w:rStyle w:val="kursiv"/>
              </w:rPr>
              <w:t>263 194</w:t>
            </w:r>
          </w:p>
        </w:tc>
        <w:tc>
          <w:tcPr>
            <w:tcW w:w="1020" w:type="dxa"/>
          </w:tcPr>
          <w:p w14:paraId="734DE34E" w14:textId="77777777" w:rsidR="00B419CE" w:rsidRPr="00B419CE" w:rsidRDefault="00B419CE" w:rsidP="00A2297F">
            <w:pPr>
              <w:jc w:val="right"/>
            </w:pPr>
            <w:r w:rsidRPr="00B419CE">
              <w:rPr>
                <w:rStyle w:val="kursiv"/>
              </w:rPr>
              <w:t>-4,5</w:t>
            </w:r>
          </w:p>
        </w:tc>
      </w:tr>
      <w:tr w:rsidR="00B419CE" w:rsidRPr="00B419CE" w14:paraId="467E0D32" w14:textId="77777777" w:rsidTr="00A2297F">
        <w:trPr>
          <w:trHeight w:val="380"/>
        </w:trPr>
        <w:tc>
          <w:tcPr>
            <w:tcW w:w="1020" w:type="dxa"/>
          </w:tcPr>
          <w:p w14:paraId="01C9D88A" w14:textId="77777777" w:rsidR="00B419CE" w:rsidRPr="00B419CE" w:rsidRDefault="00B419CE" w:rsidP="00A2297F"/>
        </w:tc>
        <w:tc>
          <w:tcPr>
            <w:tcW w:w="4080" w:type="dxa"/>
          </w:tcPr>
          <w:p w14:paraId="3784CB73" w14:textId="77777777" w:rsidR="00B419CE" w:rsidRPr="00B419CE" w:rsidRDefault="00B419CE" w:rsidP="00A2297F">
            <w:r w:rsidRPr="00B419CE">
              <w:rPr>
                <w:rStyle w:val="kursiv"/>
              </w:rPr>
              <w:t>Sum programområde 23</w:t>
            </w:r>
          </w:p>
        </w:tc>
        <w:tc>
          <w:tcPr>
            <w:tcW w:w="1020" w:type="dxa"/>
          </w:tcPr>
          <w:p w14:paraId="7C7DBFC9" w14:textId="77777777" w:rsidR="00B419CE" w:rsidRPr="00B419CE" w:rsidRDefault="00B419CE" w:rsidP="00A2297F">
            <w:pPr>
              <w:jc w:val="right"/>
            </w:pPr>
            <w:r w:rsidRPr="00B419CE">
              <w:rPr>
                <w:rStyle w:val="kursiv"/>
              </w:rPr>
              <w:t>3 164 836</w:t>
            </w:r>
          </w:p>
        </w:tc>
        <w:tc>
          <w:tcPr>
            <w:tcW w:w="1020" w:type="dxa"/>
          </w:tcPr>
          <w:p w14:paraId="7F337E06" w14:textId="77777777" w:rsidR="00B419CE" w:rsidRPr="00B419CE" w:rsidRDefault="00B419CE" w:rsidP="00A2297F">
            <w:pPr>
              <w:jc w:val="right"/>
            </w:pPr>
            <w:r w:rsidRPr="00B419CE">
              <w:rPr>
                <w:rStyle w:val="kursiv"/>
              </w:rPr>
              <w:t>3 302 693</w:t>
            </w:r>
          </w:p>
        </w:tc>
        <w:tc>
          <w:tcPr>
            <w:tcW w:w="1020" w:type="dxa"/>
          </w:tcPr>
          <w:p w14:paraId="75769DB1" w14:textId="77777777" w:rsidR="00B419CE" w:rsidRPr="00B419CE" w:rsidRDefault="00B419CE" w:rsidP="00A2297F">
            <w:pPr>
              <w:jc w:val="right"/>
            </w:pPr>
            <w:r w:rsidRPr="00B419CE">
              <w:rPr>
                <w:rStyle w:val="kursiv"/>
              </w:rPr>
              <w:t>3 568 854</w:t>
            </w:r>
          </w:p>
        </w:tc>
        <w:tc>
          <w:tcPr>
            <w:tcW w:w="1020" w:type="dxa"/>
          </w:tcPr>
          <w:p w14:paraId="628C96B2" w14:textId="77777777" w:rsidR="00B419CE" w:rsidRPr="00B419CE" w:rsidRDefault="00B419CE" w:rsidP="00A2297F">
            <w:pPr>
              <w:jc w:val="right"/>
            </w:pPr>
            <w:r w:rsidRPr="00B419CE">
              <w:rPr>
                <w:rStyle w:val="kursiv"/>
              </w:rPr>
              <w:t>8,1</w:t>
            </w:r>
          </w:p>
        </w:tc>
      </w:tr>
      <w:tr w:rsidR="00A2297F" w:rsidRPr="00B419CE" w14:paraId="5D82AAF6" w14:textId="77777777" w:rsidTr="00A2297F">
        <w:trPr>
          <w:trHeight w:val="380"/>
        </w:trPr>
        <w:tc>
          <w:tcPr>
            <w:tcW w:w="1020" w:type="dxa"/>
          </w:tcPr>
          <w:p w14:paraId="6CCD0B88" w14:textId="77777777" w:rsidR="00A2297F" w:rsidRPr="00B419CE" w:rsidRDefault="00A2297F" w:rsidP="00A2297F"/>
        </w:tc>
        <w:tc>
          <w:tcPr>
            <w:tcW w:w="4080" w:type="dxa"/>
          </w:tcPr>
          <w:p w14:paraId="76B819F1" w14:textId="77777777" w:rsidR="00A2297F" w:rsidRPr="00B419CE" w:rsidRDefault="00A2297F" w:rsidP="00A2297F">
            <w:proofErr w:type="spellStart"/>
            <w:r w:rsidRPr="00B419CE">
              <w:rPr>
                <w:rStyle w:val="halvfet"/>
              </w:rPr>
              <w:t>Statlege</w:t>
            </w:r>
            <w:proofErr w:type="spellEnd"/>
            <w:r w:rsidRPr="00B419CE">
              <w:rPr>
                <w:rStyle w:val="halvfet"/>
              </w:rPr>
              <w:t xml:space="preserve"> </w:t>
            </w:r>
            <w:proofErr w:type="spellStart"/>
            <w:r w:rsidRPr="00B419CE">
              <w:rPr>
                <w:rStyle w:val="halvfet"/>
              </w:rPr>
              <w:t>fordringar</w:t>
            </w:r>
            <w:proofErr w:type="spellEnd"/>
            <w:r w:rsidRPr="00B419CE">
              <w:rPr>
                <w:rStyle w:val="halvfet"/>
              </w:rPr>
              <w:t xml:space="preserve">, </w:t>
            </w:r>
            <w:proofErr w:type="spellStart"/>
            <w:r w:rsidRPr="00B419CE">
              <w:rPr>
                <w:rStyle w:val="halvfet"/>
              </w:rPr>
              <w:t>avsetningar</w:t>
            </w:r>
            <w:proofErr w:type="spellEnd"/>
            <w:r w:rsidRPr="00B419CE">
              <w:rPr>
                <w:rStyle w:val="halvfet"/>
              </w:rPr>
              <w:t xml:space="preserve"> m.m.</w:t>
            </w:r>
          </w:p>
        </w:tc>
        <w:tc>
          <w:tcPr>
            <w:tcW w:w="1020" w:type="dxa"/>
          </w:tcPr>
          <w:p w14:paraId="11404E7B" w14:textId="64E66B88" w:rsidR="00A2297F" w:rsidRPr="00B419CE" w:rsidRDefault="00A2297F" w:rsidP="00A2297F">
            <w:pPr>
              <w:jc w:val="right"/>
            </w:pPr>
          </w:p>
        </w:tc>
        <w:tc>
          <w:tcPr>
            <w:tcW w:w="1020" w:type="dxa"/>
          </w:tcPr>
          <w:p w14:paraId="6B0F71B7" w14:textId="77777777" w:rsidR="00A2297F" w:rsidRPr="00B419CE" w:rsidRDefault="00A2297F" w:rsidP="00A2297F">
            <w:pPr>
              <w:jc w:val="right"/>
            </w:pPr>
          </w:p>
        </w:tc>
        <w:tc>
          <w:tcPr>
            <w:tcW w:w="1020" w:type="dxa"/>
          </w:tcPr>
          <w:p w14:paraId="4A8A59B0" w14:textId="77777777" w:rsidR="00A2297F" w:rsidRPr="00B419CE" w:rsidRDefault="00A2297F" w:rsidP="00A2297F">
            <w:pPr>
              <w:jc w:val="right"/>
            </w:pPr>
          </w:p>
        </w:tc>
        <w:tc>
          <w:tcPr>
            <w:tcW w:w="1020" w:type="dxa"/>
          </w:tcPr>
          <w:p w14:paraId="389F9778" w14:textId="77777777" w:rsidR="00A2297F" w:rsidRPr="00B419CE" w:rsidRDefault="00A2297F" w:rsidP="00A2297F">
            <w:pPr>
              <w:jc w:val="right"/>
            </w:pPr>
          </w:p>
        </w:tc>
      </w:tr>
      <w:tr w:rsidR="00B419CE" w:rsidRPr="00B419CE" w14:paraId="4DAF6BE8" w14:textId="77777777" w:rsidTr="00A2297F">
        <w:trPr>
          <w:trHeight w:val="380"/>
        </w:trPr>
        <w:tc>
          <w:tcPr>
            <w:tcW w:w="1020" w:type="dxa"/>
          </w:tcPr>
          <w:p w14:paraId="78E58D6F" w14:textId="77777777" w:rsidR="00B419CE" w:rsidRPr="00B419CE" w:rsidRDefault="00B419CE" w:rsidP="00A2297F">
            <w:r w:rsidRPr="00B419CE">
              <w:t>4670</w:t>
            </w:r>
          </w:p>
        </w:tc>
        <w:tc>
          <w:tcPr>
            <w:tcW w:w="4080" w:type="dxa"/>
          </w:tcPr>
          <w:p w14:paraId="196FD503" w14:textId="77777777" w:rsidR="00B419CE" w:rsidRPr="00B419CE" w:rsidRDefault="00B419CE" w:rsidP="00A2297F">
            <w:r w:rsidRPr="00B419CE">
              <w:t>Den nordiske investeringsbanken</w:t>
            </w:r>
          </w:p>
        </w:tc>
        <w:tc>
          <w:tcPr>
            <w:tcW w:w="1020" w:type="dxa"/>
          </w:tcPr>
          <w:p w14:paraId="724B86F7" w14:textId="77777777" w:rsidR="00B419CE" w:rsidRPr="00B419CE" w:rsidRDefault="00B419CE" w:rsidP="00A2297F">
            <w:pPr>
              <w:jc w:val="right"/>
            </w:pPr>
            <w:r w:rsidRPr="00B419CE">
              <w:t>70 237</w:t>
            </w:r>
          </w:p>
        </w:tc>
        <w:tc>
          <w:tcPr>
            <w:tcW w:w="1020" w:type="dxa"/>
          </w:tcPr>
          <w:p w14:paraId="56859862" w14:textId="77777777" w:rsidR="00B419CE" w:rsidRPr="00B419CE" w:rsidRDefault="00B419CE" w:rsidP="00A2297F">
            <w:pPr>
              <w:jc w:val="right"/>
            </w:pPr>
          </w:p>
        </w:tc>
        <w:tc>
          <w:tcPr>
            <w:tcW w:w="1020" w:type="dxa"/>
          </w:tcPr>
          <w:p w14:paraId="5E33BBBF" w14:textId="77777777" w:rsidR="00B419CE" w:rsidRPr="00B419CE" w:rsidRDefault="00B419CE" w:rsidP="00A2297F">
            <w:pPr>
              <w:jc w:val="right"/>
            </w:pPr>
          </w:p>
        </w:tc>
        <w:tc>
          <w:tcPr>
            <w:tcW w:w="1020" w:type="dxa"/>
          </w:tcPr>
          <w:p w14:paraId="01B6678E" w14:textId="77777777" w:rsidR="00B419CE" w:rsidRPr="00B419CE" w:rsidRDefault="00B419CE" w:rsidP="00A2297F">
            <w:pPr>
              <w:jc w:val="right"/>
            </w:pPr>
            <w:r w:rsidRPr="00B419CE">
              <w:t>0,0</w:t>
            </w:r>
          </w:p>
        </w:tc>
      </w:tr>
      <w:tr w:rsidR="00B419CE" w:rsidRPr="00B419CE" w14:paraId="233B6900" w14:textId="77777777" w:rsidTr="00A2297F">
        <w:trPr>
          <w:trHeight w:val="380"/>
        </w:trPr>
        <w:tc>
          <w:tcPr>
            <w:tcW w:w="1020" w:type="dxa"/>
          </w:tcPr>
          <w:p w14:paraId="5DCB7B66" w14:textId="77777777" w:rsidR="00B419CE" w:rsidRPr="00B419CE" w:rsidRDefault="00B419CE" w:rsidP="00A2297F">
            <w:r w:rsidRPr="00B419CE">
              <w:t>5341</w:t>
            </w:r>
          </w:p>
        </w:tc>
        <w:tc>
          <w:tcPr>
            <w:tcW w:w="4080" w:type="dxa"/>
          </w:tcPr>
          <w:p w14:paraId="6249D9E9" w14:textId="77777777" w:rsidR="00B419CE" w:rsidRPr="00B419CE" w:rsidRDefault="00B419CE" w:rsidP="00A2297F">
            <w:r w:rsidRPr="00B419CE">
              <w:t xml:space="preserve">Avdrag på </w:t>
            </w:r>
            <w:proofErr w:type="spellStart"/>
            <w:r w:rsidRPr="00B419CE">
              <w:t>uteståande</w:t>
            </w:r>
            <w:proofErr w:type="spellEnd"/>
            <w:r w:rsidRPr="00B419CE">
              <w:t xml:space="preserve"> </w:t>
            </w:r>
            <w:proofErr w:type="spellStart"/>
            <w:r w:rsidRPr="00B419CE">
              <w:t>fordringar</w:t>
            </w:r>
            <w:proofErr w:type="spellEnd"/>
          </w:p>
        </w:tc>
        <w:tc>
          <w:tcPr>
            <w:tcW w:w="1020" w:type="dxa"/>
          </w:tcPr>
          <w:p w14:paraId="4639A206" w14:textId="77777777" w:rsidR="00B419CE" w:rsidRPr="00B419CE" w:rsidRDefault="00B419CE" w:rsidP="00A2297F">
            <w:pPr>
              <w:jc w:val="right"/>
            </w:pPr>
            <w:r w:rsidRPr="00B419CE">
              <w:t>9 064</w:t>
            </w:r>
          </w:p>
        </w:tc>
        <w:tc>
          <w:tcPr>
            <w:tcW w:w="1020" w:type="dxa"/>
          </w:tcPr>
          <w:p w14:paraId="2C09ACFA" w14:textId="77777777" w:rsidR="00B419CE" w:rsidRPr="00B419CE" w:rsidRDefault="00B419CE" w:rsidP="00A2297F">
            <w:pPr>
              <w:jc w:val="right"/>
            </w:pPr>
            <w:r w:rsidRPr="00B419CE">
              <w:t>6 000 700</w:t>
            </w:r>
          </w:p>
        </w:tc>
        <w:tc>
          <w:tcPr>
            <w:tcW w:w="1020" w:type="dxa"/>
          </w:tcPr>
          <w:p w14:paraId="0A3DC2C6" w14:textId="77777777" w:rsidR="00B419CE" w:rsidRPr="00B419CE" w:rsidRDefault="00B419CE" w:rsidP="00A2297F">
            <w:pPr>
              <w:jc w:val="right"/>
            </w:pPr>
            <w:r w:rsidRPr="00B419CE">
              <w:t>700</w:t>
            </w:r>
          </w:p>
        </w:tc>
        <w:tc>
          <w:tcPr>
            <w:tcW w:w="1020" w:type="dxa"/>
          </w:tcPr>
          <w:p w14:paraId="7E65D222" w14:textId="77777777" w:rsidR="00B419CE" w:rsidRPr="00B419CE" w:rsidRDefault="00B419CE" w:rsidP="00A2297F">
            <w:pPr>
              <w:jc w:val="right"/>
            </w:pPr>
            <w:r w:rsidRPr="00B419CE">
              <w:t>-100,0</w:t>
            </w:r>
          </w:p>
        </w:tc>
      </w:tr>
      <w:tr w:rsidR="00B419CE" w:rsidRPr="00B419CE" w14:paraId="4894CC8B" w14:textId="77777777" w:rsidTr="00A2297F">
        <w:trPr>
          <w:trHeight w:val="380"/>
        </w:trPr>
        <w:tc>
          <w:tcPr>
            <w:tcW w:w="1020" w:type="dxa"/>
          </w:tcPr>
          <w:p w14:paraId="3937E836" w14:textId="77777777" w:rsidR="00B419CE" w:rsidRPr="00B419CE" w:rsidRDefault="00B419CE" w:rsidP="00A2297F">
            <w:r w:rsidRPr="00B419CE">
              <w:t>5351</w:t>
            </w:r>
          </w:p>
        </w:tc>
        <w:tc>
          <w:tcPr>
            <w:tcW w:w="4080" w:type="dxa"/>
          </w:tcPr>
          <w:p w14:paraId="30D436D6" w14:textId="77777777" w:rsidR="00B419CE" w:rsidRPr="00B419CE" w:rsidRDefault="00B419CE" w:rsidP="00A2297F">
            <w:r w:rsidRPr="00B419CE">
              <w:t xml:space="preserve">Overføring </w:t>
            </w:r>
            <w:proofErr w:type="spellStart"/>
            <w:r w:rsidRPr="00B419CE">
              <w:t>frå</w:t>
            </w:r>
            <w:proofErr w:type="spellEnd"/>
            <w:r w:rsidRPr="00B419CE">
              <w:t xml:space="preserve"> </w:t>
            </w:r>
            <w:proofErr w:type="spellStart"/>
            <w:r w:rsidRPr="00B419CE">
              <w:t>Noregs</w:t>
            </w:r>
            <w:proofErr w:type="spellEnd"/>
            <w:r w:rsidRPr="00B419CE">
              <w:t xml:space="preserve"> Bank</w:t>
            </w:r>
          </w:p>
        </w:tc>
        <w:tc>
          <w:tcPr>
            <w:tcW w:w="1020" w:type="dxa"/>
          </w:tcPr>
          <w:p w14:paraId="584873B3" w14:textId="77777777" w:rsidR="00B419CE" w:rsidRPr="00B419CE" w:rsidRDefault="00B419CE" w:rsidP="00A2297F">
            <w:pPr>
              <w:jc w:val="right"/>
            </w:pPr>
            <w:r w:rsidRPr="00B419CE">
              <w:t>19 706 302</w:t>
            </w:r>
          </w:p>
        </w:tc>
        <w:tc>
          <w:tcPr>
            <w:tcW w:w="1020" w:type="dxa"/>
          </w:tcPr>
          <w:p w14:paraId="6E8B9090" w14:textId="77777777" w:rsidR="00B419CE" w:rsidRPr="00B419CE" w:rsidRDefault="00B419CE" w:rsidP="00A2297F">
            <w:pPr>
              <w:jc w:val="right"/>
            </w:pPr>
            <w:r w:rsidRPr="00B419CE">
              <w:t>18 600 000</w:t>
            </w:r>
          </w:p>
        </w:tc>
        <w:tc>
          <w:tcPr>
            <w:tcW w:w="1020" w:type="dxa"/>
          </w:tcPr>
          <w:p w14:paraId="7B35CBC9" w14:textId="77777777" w:rsidR="00B419CE" w:rsidRPr="00B419CE" w:rsidRDefault="00B419CE" w:rsidP="00A2297F">
            <w:pPr>
              <w:jc w:val="right"/>
            </w:pPr>
            <w:r w:rsidRPr="00B419CE">
              <w:t>10 113 000</w:t>
            </w:r>
          </w:p>
        </w:tc>
        <w:tc>
          <w:tcPr>
            <w:tcW w:w="1020" w:type="dxa"/>
          </w:tcPr>
          <w:p w14:paraId="59D7D860" w14:textId="77777777" w:rsidR="00B419CE" w:rsidRPr="00B419CE" w:rsidRDefault="00B419CE" w:rsidP="00A2297F">
            <w:pPr>
              <w:jc w:val="right"/>
            </w:pPr>
            <w:r w:rsidRPr="00B419CE">
              <w:t>-45,6</w:t>
            </w:r>
          </w:p>
        </w:tc>
      </w:tr>
      <w:tr w:rsidR="00B419CE" w:rsidRPr="00B419CE" w14:paraId="2078E772" w14:textId="77777777" w:rsidTr="00A2297F">
        <w:trPr>
          <w:trHeight w:val="640"/>
        </w:trPr>
        <w:tc>
          <w:tcPr>
            <w:tcW w:w="1020" w:type="dxa"/>
          </w:tcPr>
          <w:p w14:paraId="0F77B908" w14:textId="77777777" w:rsidR="00B419CE" w:rsidRPr="00B419CE" w:rsidRDefault="00B419CE" w:rsidP="00A2297F">
            <w:r w:rsidRPr="00B419CE">
              <w:t>5605</w:t>
            </w:r>
          </w:p>
        </w:tc>
        <w:tc>
          <w:tcPr>
            <w:tcW w:w="4080" w:type="dxa"/>
          </w:tcPr>
          <w:p w14:paraId="7F0214C9" w14:textId="77777777" w:rsidR="00B419CE" w:rsidRPr="00B419CE" w:rsidRDefault="00B419CE" w:rsidP="00A2297F">
            <w:r w:rsidRPr="00B419CE">
              <w:t xml:space="preserve">Renter av </w:t>
            </w:r>
            <w:proofErr w:type="spellStart"/>
            <w:r w:rsidRPr="00B419CE">
              <w:t>kontantar</w:t>
            </w:r>
            <w:proofErr w:type="spellEnd"/>
            <w:r w:rsidRPr="00B419CE">
              <w:t xml:space="preserve"> i statskassa </w:t>
            </w:r>
            <w:r w:rsidRPr="00B419CE">
              <w:br/>
              <w:t xml:space="preserve">og av andre </w:t>
            </w:r>
            <w:proofErr w:type="spellStart"/>
            <w:r w:rsidRPr="00B419CE">
              <w:t>fordringar</w:t>
            </w:r>
            <w:proofErr w:type="spellEnd"/>
          </w:p>
        </w:tc>
        <w:tc>
          <w:tcPr>
            <w:tcW w:w="1020" w:type="dxa"/>
          </w:tcPr>
          <w:p w14:paraId="0DE45BA8" w14:textId="77777777" w:rsidR="00B419CE" w:rsidRPr="00B419CE" w:rsidRDefault="00B419CE" w:rsidP="00A2297F">
            <w:pPr>
              <w:jc w:val="right"/>
            </w:pPr>
            <w:r w:rsidRPr="00B419CE">
              <w:t>1 838 344</w:t>
            </w:r>
          </w:p>
        </w:tc>
        <w:tc>
          <w:tcPr>
            <w:tcW w:w="1020" w:type="dxa"/>
          </w:tcPr>
          <w:p w14:paraId="0C9D0098" w14:textId="77777777" w:rsidR="00B419CE" w:rsidRPr="00B419CE" w:rsidRDefault="00B419CE" w:rsidP="00A2297F">
            <w:pPr>
              <w:jc w:val="right"/>
            </w:pPr>
            <w:r w:rsidRPr="00B419CE">
              <w:t>1 200 700</w:t>
            </w:r>
          </w:p>
        </w:tc>
        <w:tc>
          <w:tcPr>
            <w:tcW w:w="1020" w:type="dxa"/>
          </w:tcPr>
          <w:p w14:paraId="7E2C8269" w14:textId="77777777" w:rsidR="00B419CE" w:rsidRPr="00B419CE" w:rsidRDefault="00B419CE" w:rsidP="00A2297F">
            <w:pPr>
              <w:jc w:val="right"/>
            </w:pPr>
            <w:r w:rsidRPr="00B419CE">
              <w:t>1 501 800</w:t>
            </w:r>
          </w:p>
        </w:tc>
        <w:tc>
          <w:tcPr>
            <w:tcW w:w="1020" w:type="dxa"/>
          </w:tcPr>
          <w:p w14:paraId="0C93E305" w14:textId="77777777" w:rsidR="00B419CE" w:rsidRPr="00B419CE" w:rsidRDefault="00B419CE" w:rsidP="00A2297F">
            <w:pPr>
              <w:jc w:val="right"/>
            </w:pPr>
            <w:r w:rsidRPr="00B419CE">
              <w:t>25,1</w:t>
            </w:r>
          </w:p>
        </w:tc>
      </w:tr>
      <w:tr w:rsidR="00B419CE" w:rsidRPr="00B419CE" w14:paraId="719367FB" w14:textId="77777777" w:rsidTr="00A2297F">
        <w:trPr>
          <w:trHeight w:val="640"/>
        </w:trPr>
        <w:tc>
          <w:tcPr>
            <w:tcW w:w="1020" w:type="dxa"/>
          </w:tcPr>
          <w:p w14:paraId="5953D5D5" w14:textId="77777777" w:rsidR="00B419CE" w:rsidRPr="00B419CE" w:rsidRDefault="00B419CE" w:rsidP="00A2297F">
            <w:r w:rsidRPr="00B419CE">
              <w:t>5692</w:t>
            </w:r>
          </w:p>
        </w:tc>
        <w:tc>
          <w:tcPr>
            <w:tcW w:w="4080" w:type="dxa"/>
          </w:tcPr>
          <w:p w14:paraId="003F28EB" w14:textId="77777777" w:rsidR="00B419CE" w:rsidRPr="00B419CE" w:rsidRDefault="00B419CE" w:rsidP="00A2297F">
            <w:proofErr w:type="spellStart"/>
            <w:r w:rsidRPr="00B419CE">
              <w:t>Utbyte</w:t>
            </w:r>
            <w:proofErr w:type="spellEnd"/>
            <w:r w:rsidRPr="00B419CE">
              <w:t xml:space="preserve"> av statens kapital i </w:t>
            </w:r>
            <w:r w:rsidRPr="00B419CE">
              <w:br/>
              <w:t>Den nordiske investeringsbanken</w:t>
            </w:r>
          </w:p>
        </w:tc>
        <w:tc>
          <w:tcPr>
            <w:tcW w:w="1020" w:type="dxa"/>
          </w:tcPr>
          <w:p w14:paraId="12117F5D" w14:textId="77777777" w:rsidR="00B419CE" w:rsidRPr="00B419CE" w:rsidRDefault="00B419CE" w:rsidP="00A2297F">
            <w:pPr>
              <w:jc w:val="right"/>
            </w:pPr>
            <w:r w:rsidRPr="00B419CE">
              <w:t>104 052</w:t>
            </w:r>
          </w:p>
        </w:tc>
        <w:tc>
          <w:tcPr>
            <w:tcW w:w="1020" w:type="dxa"/>
          </w:tcPr>
          <w:p w14:paraId="444FCAE8" w14:textId="77777777" w:rsidR="00B419CE" w:rsidRPr="00B419CE" w:rsidRDefault="00B419CE" w:rsidP="00A2297F">
            <w:pPr>
              <w:jc w:val="right"/>
            </w:pPr>
          </w:p>
        </w:tc>
        <w:tc>
          <w:tcPr>
            <w:tcW w:w="1020" w:type="dxa"/>
          </w:tcPr>
          <w:p w14:paraId="4428105C" w14:textId="77777777" w:rsidR="00B419CE" w:rsidRPr="00B419CE" w:rsidRDefault="00B419CE" w:rsidP="00A2297F">
            <w:pPr>
              <w:jc w:val="right"/>
            </w:pPr>
            <w:r w:rsidRPr="00B419CE">
              <w:t>104 100</w:t>
            </w:r>
          </w:p>
        </w:tc>
        <w:tc>
          <w:tcPr>
            <w:tcW w:w="1020" w:type="dxa"/>
          </w:tcPr>
          <w:p w14:paraId="500882EC" w14:textId="77777777" w:rsidR="00B419CE" w:rsidRPr="00B419CE" w:rsidRDefault="00B419CE" w:rsidP="00A2297F">
            <w:pPr>
              <w:jc w:val="right"/>
            </w:pPr>
            <w:r w:rsidRPr="00B419CE">
              <w:t>100,0</w:t>
            </w:r>
          </w:p>
        </w:tc>
      </w:tr>
      <w:tr w:rsidR="00B419CE" w:rsidRPr="00B419CE" w14:paraId="088AEB20" w14:textId="77777777" w:rsidTr="00A2297F">
        <w:trPr>
          <w:trHeight w:val="380"/>
        </w:trPr>
        <w:tc>
          <w:tcPr>
            <w:tcW w:w="1020" w:type="dxa"/>
          </w:tcPr>
          <w:p w14:paraId="3F08F6A1" w14:textId="77777777" w:rsidR="00B419CE" w:rsidRPr="00B419CE" w:rsidRDefault="00B419CE" w:rsidP="00A2297F">
            <w:r w:rsidRPr="00B419CE">
              <w:t>5693</w:t>
            </w:r>
          </w:p>
        </w:tc>
        <w:tc>
          <w:tcPr>
            <w:tcW w:w="4080" w:type="dxa"/>
          </w:tcPr>
          <w:p w14:paraId="55EA4E70" w14:textId="77777777" w:rsidR="00B419CE" w:rsidRPr="00B419CE" w:rsidRDefault="00B419CE" w:rsidP="00A2297F">
            <w:proofErr w:type="spellStart"/>
            <w:r w:rsidRPr="00B419CE">
              <w:t>Utbyte</w:t>
            </w:r>
            <w:proofErr w:type="spellEnd"/>
            <w:r w:rsidRPr="00B419CE">
              <w:t xml:space="preserve"> av </w:t>
            </w:r>
            <w:proofErr w:type="spellStart"/>
            <w:r w:rsidRPr="00B419CE">
              <w:t>aksjar</w:t>
            </w:r>
            <w:proofErr w:type="spellEnd"/>
            <w:r w:rsidRPr="00B419CE">
              <w:t xml:space="preserve"> i ymse selskap m.m.</w:t>
            </w:r>
          </w:p>
        </w:tc>
        <w:tc>
          <w:tcPr>
            <w:tcW w:w="1020" w:type="dxa"/>
          </w:tcPr>
          <w:p w14:paraId="18CFF143" w14:textId="77777777" w:rsidR="00B419CE" w:rsidRPr="00B419CE" w:rsidRDefault="00B419CE" w:rsidP="00A2297F">
            <w:pPr>
              <w:jc w:val="right"/>
            </w:pPr>
            <w:r w:rsidRPr="00B419CE">
              <w:t>863</w:t>
            </w:r>
          </w:p>
        </w:tc>
        <w:tc>
          <w:tcPr>
            <w:tcW w:w="1020" w:type="dxa"/>
          </w:tcPr>
          <w:p w14:paraId="7C675142" w14:textId="77777777" w:rsidR="00B419CE" w:rsidRPr="00B419CE" w:rsidRDefault="00B419CE" w:rsidP="00A2297F">
            <w:pPr>
              <w:jc w:val="right"/>
            </w:pPr>
            <w:r w:rsidRPr="00B419CE">
              <w:t>800</w:t>
            </w:r>
          </w:p>
        </w:tc>
        <w:tc>
          <w:tcPr>
            <w:tcW w:w="1020" w:type="dxa"/>
          </w:tcPr>
          <w:p w14:paraId="22A53A7A" w14:textId="77777777" w:rsidR="00B419CE" w:rsidRPr="00B419CE" w:rsidRDefault="00B419CE" w:rsidP="00A2297F">
            <w:pPr>
              <w:jc w:val="right"/>
            </w:pPr>
            <w:r w:rsidRPr="00B419CE">
              <w:t>300</w:t>
            </w:r>
          </w:p>
        </w:tc>
        <w:tc>
          <w:tcPr>
            <w:tcW w:w="1020" w:type="dxa"/>
          </w:tcPr>
          <w:p w14:paraId="37C12A92" w14:textId="77777777" w:rsidR="00B419CE" w:rsidRPr="00B419CE" w:rsidRDefault="00B419CE" w:rsidP="00A2297F">
            <w:pPr>
              <w:jc w:val="right"/>
            </w:pPr>
            <w:r w:rsidRPr="00B419CE">
              <w:t>-62,5</w:t>
            </w:r>
          </w:p>
        </w:tc>
      </w:tr>
      <w:tr w:rsidR="00B419CE" w:rsidRPr="00B419CE" w14:paraId="70CF605F" w14:textId="77777777" w:rsidTr="00A2297F">
        <w:trPr>
          <w:trHeight w:val="380"/>
        </w:trPr>
        <w:tc>
          <w:tcPr>
            <w:tcW w:w="1020" w:type="dxa"/>
          </w:tcPr>
          <w:p w14:paraId="546AD40F" w14:textId="77777777" w:rsidR="00B419CE" w:rsidRPr="00B419CE" w:rsidRDefault="00B419CE" w:rsidP="00A2297F"/>
        </w:tc>
        <w:tc>
          <w:tcPr>
            <w:tcW w:w="4080" w:type="dxa"/>
          </w:tcPr>
          <w:p w14:paraId="21562E73" w14:textId="77777777" w:rsidR="00B419CE" w:rsidRPr="00B419CE" w:rsidRDefault="00B419CE" w:rsidP="00A2297F">
            <w:r w:rsidRPr="00B419CE">
              <w:rPr>
                <w:rStyle w:val="kursiv"/>
              </w:rPr>
              <w:t>Sum kategori 24.20</w:t>
            </w:r>
          </w:p>
        </w:tc>
        <w:tc>
          <w:tcPr>
            <w:tcW w:w="1020" w:type="dxa"/>
          </w:tcPr>
          <w:p w14:paraId="0240B3F1" w14:textId="77777777" w:rsidR="00B419CE" w:rsidRPr="00B419CE" w:rsidRDefault="00B419CE" w:rsidP="00A2297F">
            <w:pPr>
              <w:jc w:val="right"/>
            </w:pPr>
            <w:r w:rsidRPr="00B419CE">
              <w:rPr>
                <w:rStyle w:val="kursiv"/>
              </w:rPr>
              <w:t>21 728 862</w:t>
            </w:r>
          </w:p>
        </w:tc>
        <w:tc>
          <w:tcPr>
            <w:tcW w:w="1020" w:type="dxa"/>
          </w:tcPr>
          <w:p w14:paraId="0743E6F1" w14:textId="77777777" w:rsidR="00B419CE" w:rsidRPr="00B419CE" w:rsidRDefault="00B419CE" w:rsidP="00A2297F">
            <w:pPr>
              <w:jc w:val="right"/>
            </w:pPr>
            <w:r w:rsidRPr="00B419CE">
              <w:rPr>
                <w:rStyle w:val="kursiv"/>
              </w:rPr>
              <w:t>25 802 200</w:t>
            </w:r>
          </w:p>
        </w:tc>
        <w:tc>
          <w:tcPr>
            <w:tcW w:w="1020" w:type="dxa"/>
          </w:tcPr>
          <w:p w14:paraId="52FF5C7B" w14:textId="77777777" w:rsidR="00B419CE" w:rsidRPr="00B419CE" w:rsidRDefault="00B419CE" w:rsidP="00A2297F">
            <w:pPr>
              <w:jc w:val="right"/>
            </w:pPr>
            <w:r w:rsidRPr="00B419CE">
              <w:rPr>
                <w:rStyle w:val="kursiv"/>
              </w:rPr>
              <w:t>11 719 900</w:t>
            </w:r>
          </w:p>
        </w:tc>
        <w:tc>
          <w:tcPr>
            <w:tcW w:w="1020" w:type="dxa"/>
          </w:tcPr>
          <w:p w14:paraId="298BBC9B" w14:textId="77777777" w:rsidR="00B419CE" w:rsidRPr="00B419CE" w:rsidRDefault="00B419CE" w:rsidP="00A2297F">
            <w:pPr>
              <w:jc w:val="right"/>
            </w:pPr>
            <w:r w:rsidRPr="00B419CE">
              <w:rPr>
                <w:rStyle w:val="kursiv"/>
              </w:rPr>
              <w:t>-54,6</w:t>
            </w:r>
          </w:p>
        </w:tc>
      </w:tr>
      <w:tr w:rsidR="00B419CE" w:rsidRPr="00B419CE" w14:paraId="6C341445" w14:textId="77777777" w:rsidTr="00A2297F">
        <w:trPr>
          <w:trHeight w:val="380"/>
        </w:trPr>
        <w:tc>
          <w:tcPr>
            <w:tcW w:w="1020" w:type="dxa"/>
          </w:tcPr>
          <w:p w14:paraId="5EB10316" w14:textId="77777777" w:rsidR="00B419CE" w:rsidRPr="00B419CE" w:rsidRDefault="00B419CE" w:rsidP="00A2297F"/>
        </w:tc>
        <w:tc>
          <w:tcPr>
            <w:tcW w:w="4080" w:type="dxa"/>
          </w:tcPr>
          <w:p w14:paraId="47D05675" w14:textId="77777777" w:rsidR="00B419CE" w:rsidRPr="00B419CE" w:rsidRDefault="00B419CE" w:rsidP="00A2297F">
            <w:r w:rsidRPr="00B419CE">
              <w:rPr>
                <w:rStyle w:val="kursiv"/>
              </w:rPr>
              <w:t>Sum programområde 24</w:t>
            </w:r>
          </w:p>
        </w:tc>
        <w:tc>
          <w:tcPr>
            <w:tcW w:w="1020" w:type="dxa"/>
          </w:tcPr>
          <w:p w14:paraId="1E919CD3" w14:textId="77777777" w:rsidR="00B419CE" w:rsidRPr="00B419CE" w:rsidRDefault="00B419CE" w:rsidP="00A2297F">
            <w:pPr>
              <w:jc w:val="right"/>
            </w:pPr>
            <w:r w:rsidRPr="00B419CE">
              <w:rPr>
                <w:rStyle w:val="kursiv"/>
              </w:rPr>
              <w:t>21 728 862</w:t>
            </w:r>
          </w:p>
        </w:tc>
        <w:tc>
          <w:tcPr>
            <w:tcW w:w="1020" w:type="dxa"/>
          </w:tcPr>
          <w:p w14:paraId="533A07B8" w14:textId="77777777" w:rsidR="00B419CE" w:rsidRPr="00B419CE" w:rsidRDefault="00B419CE" w:rsidP="00A2297F">
            <w:pPr>
              <w:jc w:val="right"/>
            </w:pPr>
            <w:r w:rsidRPr="00B419CE">
              <w:rPr>
                <w:rStyle w:val="kursiv"/>
              </w:rPr>
              <w:t>25 802 200</w:t>
            </w:r>
          </w:p>
        </w:tc>
        <w:tc>
          <w:tcPr>
            <w:tcW w:w="1020" w:type="dxa"/>
          </w:tcPr>
          <w:p w14:paraId="7446F91B" w14:textId="77777777" w:rsidR="00B419CE" w:rsidRPr="00B419CE" w:rsidRDefault="00B419CE" w:rsidP="00A2297F">
            <w:pPr>
              <w:jc w:val="right"/>
            </w:pPr>
            <w:r w:rsidRPr="00B419CE">
              <w:rPr>
                <w:rStyle w:val="kursiv"/>
              </w:rPr>
              <w:t>11 719 900</w:t>
            </w:r>
          </w:p>
        </w:tc>
        <w:tc>
          <w:tcPr>
            <w:tcW w:w="1020" w:type="dxa"/>
          </w:tcPr>
          <w:p w14:paraId="61CF63CA" w14:textId="77777777" w:rsidR="00B419CE" w:rsidRPr="00B419CE" w:rsidRDefault="00B419CE" w:rsidP="00A2297F">
            <w:pPr>
              <w:jc w:val="right"/>
            </w:pPr>
            <w:r w:rsidRPr="00B419CE">
              <w:rPr>
                <w:rStyle w:val="kursiv"/>
              </w:rPr>
              <w:t>-54,6</w:t>
            </w:r>
          </w:p>
        </w:tc>
      </w:tr>
      <w:tr w:rsidR="00B419CE" w:rsidRPr="00B419CE" w14:paraId="6AFA0715" w14:textId="77777777" w:rsidTr="00A2297F">
        <w:trPr>
          <w:trHeight w:val="380"/>
        </w:trPr>
        <w:tc>
          <w:tcPr>
            <w:tcW w:w="1020" w:type="dxa"/>
          </w:tcPr>
          <w:p w14:paraId="24FA9DBE" w14:textId="77777777" w:rsidR="00B419CE" w:rsidRPr="00B419CE" w:rsidRDefault="00B419CE" w:rsidP="00A2297F"/>
        </w:tc>
        <w:tc>
          <w:tcPr>
            <w:tcW w:w="4080" w:type="dxa"/>
          </w:tcPr>
          <w:p w14:paraId="3D825379" w14:textId="77777777" w:rsidR="00B419CE" w:rsidRPr="00B419CE" w:rsidRDefault="00B419CE" w:rsidP="00A2297F">
            <w:r w:rsidRPr="00B419CE">
              <w:rPr>
                <w:rStyle w:val="kursiv"/>
              </w:rPr>
              <w:t>Sum inntekter</w:t>
            </w:r>
          </w:p>
        </w:tc>
        <w:tc>
          <w:tcPr>
            <w:tcW w:w="1020" w:type="dxa"/>
          </w:tcPr>
          <w:p w14:paraId="4BC90D71" w14:textId="77777777" w:rsidR="00B419CE" w:rsidRPr="00B419CE" w:rsidRDefault="00B419CE" w:rsidP="00A2297F">
            <w:pPr>
              <w:jc w:val="right"/>
            </w:pPr>
            <w:r w:rsidRPr="00B419CE">
              <w:rPr>
                <w:rStyle w:val="kursiv"/>
              </w:rPr>
              <w:t>24 919 779</w:t>
            </w:r>
          </w:p>
        </w:tc>
        <w:tc>
          <w:tcPr>
            <w:tcW w:w="1020" w:type="dxa"/>
          </w:tcPr>
          <w:p w14:paraId="7B1582A3" w14:textId="77777777" w:rsidR="00B419CE" w:rsidRPr="00B419CE" w:rsidRDefault="00B419CE" w:rsidP="00A2297F">
            <w:pPr>
              <w:jc w:val="right"/>
            </w:pPr>
            <w:r w:rsidRPr="00B419CE">
              <w:rPr>
                <w:rStyle w:val="kursiv"/>
              </w:rPr>
              <w:t>29 134 493</w:t>
            </w:r>
          </w:p>
        </w:tc>
        <w:tc>
          <w:tcPr>
            <w:tcW w:w="1020" w:type="dxa"/>
          </w:tcPr>
          <w:p w14:paraId="03419836" w14:textId="77777777" w:rsidR="00B419CE" w:rsidRPr="00B419CE" w:rsidRDefault="00B419CE" w:rsidP="00A2297F">
            <w:pPr>
              <w:jc w:val="right"/>
            </w:pPr>
            <w:r w:rsidRPr="00B419CE">
              <w:rPr>
                <w:rStyle w:val="kursiv"/>
              </w:rPr>
              <w:t>15 319 754</w:t>
            </w:r>
          </w:p>
        </w:tc>
        <w:tc>
          <w:tcPr>
            <w:tcW w:w="1020" w:type="dxa"/>
          </w:tcPr>
          <w:p w14:paraId="0678FFCD" w14:textId="77777777" w:rsidR="00B419CE" w:rsidRPr="00B419CE" w:rsidRDefault="00B419CE" w:rsidP="00A2297F">
            <w:pPr>
              <w:jc w:val="right"/>
            </w:pPr>
            <w:r w:rsidRPr="00B419CE">
              <w:rPr>
                <w:rStyle w:val="kursiv"/>
              </w:rPr>
              <w:t>-47,4</w:t>
            </w:r>
          </w:p>
        </w:tc>
      </w:tr>
    </w:tbl>
    <w:p w14:paraId="14EE9686" w14:textId="77777777" w:rsidR="00B419CE" w:rsidRPr="00B419CE" w:rsidRDefault="00B419CE" w:rsidP="00B419CE">
      <w:pPr>
        <w:pStyle w:val="Overskrift2"/>
      </w:pPr>
      <w:r w:rsidRPr="00B419CE">
        <w:t xml:space="preserve">Bruk av stikkordet «kan </w:t>
      </w:r>
      <w:proofErr w:type="spellStart"/>
      <w:r w:rsidRPr="00B419CE">
        <w:t>overførast</w:t>
      </w:r>
      <w:proofErr w:type="spellEnd"/>
      <w:r w:rsidRPr="00B419CE">
        <w:t>»</w:t>
      </w:r>
    </w:p>
    <w:p w14:paraId="20115E96" w14:textId="77777777" w:rsidR="00B419CE" w:rsidRPr="00B419CE" w:rsidRDefault="00B419CE" w:rsidP="00B419CE">
      <w:pPr>
        <w:pStyle w:val="Tabellnavn"/>
      </w:pPr>
      <w:r w:rsidRPr="00B419CE">
        <w:t>05N2xx2</w:t>
      </w:r>
    </w:p>
    <w:tbl>
      <w:tblPr>
        <w:tblStyle w:val="StandardTabell"/>
        <w:tblW w:w="9200" w:type="dxa"/>
        <w:tblLayout w:type="fixed"/>
        <w:tblLook w:val="04A0" w:firstRow="1" w:lastRow="0" w:firstColumn="1" w:lastColumn="0" w:noHBand="0" w:noVBand="1"/>
      </w:tblPr>
      <w:tblGrid>
        <w:gridCol w:w="846"/>
        <w:gridCol w:w="709"/>
        <w:gridCol w:w="3965"/>
        <w:gridCol w:w="1840"/>
        <w:gridCol w:w="1840"/>
      </w:tblGrid>
      <w:tr w:rsidR="00B419CE" w:rsidRPr="00B419CE" w14:paraId="65B81481" w14:textId="77777777" w:rsidTr="00A2297F">
        <w:trPr>
          <w:trHeight w:val="360"/>
        </w:trPr>
        <w:tc>
          <w:tcPr>
            <w:tcW w:w="846" w:type="dxa"/>
            <w:shd w:val="clear" w:color="auto" w:fill="FFFFFF"/>
          </w:tcPr>
          <w:p w14:paraId="5566540B" w14:textId="77777777" w:rsidR="00B419CE" w:rsidRPr="00B419CE" w:rsidRDefault="00B419CE" w:rsidP="00B419CE"/>
        </w:tc>
        <w:tc>
          <w:tcPr>
            <w:tcW w:w="709" w:type="dxa"/>
          </w:tcPr>
          <w:p w14:paraId="51B302A3" w14:textId="77777777" w:rsidR="00B419CE" w:rsidRPr="00B419CE" w:rsidRDefault="00B419CE" w:rsidP="00B419CE"/>
        </w:tc>
        <w:tc>
          <w:tcPr>
            <w:tcW w:w="3965" w:type="dxa"/>
          </w:tcPr>
          <w:p w14:paraId="5B78FC7B" w14:textId="77777777" w:rsidR="00B419CE" w:rsidRPr="00B419CE" w:rsidRDefault="00B419CE" w:rsidP="00B419CE"/>
        </w:tc>
        <w:tc>
          <w:tcPr>
            <w:tcW w:w="1840" w:type="dxa"/>
          </w:tcPr>
          <w:p w14:paraId="4B7AEFA5" w14:textId="77777777" w:rsidR="00B419CE" w:rsidRPr="00B419CE" w:rsidRDefault="00B419CE" w:rsidP="00A2297F">
            <w:pPr>
              <w:jc w:val="right"/>
            </w:pPr>
          </w:p>
        </w:tc>
        <w:tc>
          <w:tcPr>
            <w:tcW w:w="1840" w:type="dxa"/>
          </w:tcPr>
          <w:p w14:paraId="46487B89" w14:textId="77777777" w:rsidR="00B419CE" w:rsidRPr="00B419CE" w:rsidRDefault="00B419CE" w:rsidP="00A2297F">
            <w:pPr>
              <w:jc w:val="right"/>
            </w:pPr>
            <w:r w:rsidRPr="00B419CE">
              <w:t>(i 1 000 kr)</w:t>
            </w:r>
          </w:p>
        </w:tc>
      </w:tr>
      <w:tr w:rsidR="00B419CE" w:rsidRPr="00B419CE" w14:paraId="198E6F84" w14:textId="77777777" w:rsidTr="00A2297F">
        <w:trPr>
          <w:trHeight w:val="600"/>
        </w:trPr>
        <w:tc>
          <w:tcPr>
            <w:tcW w:w="846" w:type="dxa"/>
          </w:tcPr>
          <w:p w14:paraId="61F77B9E" w14:textId="77777777" w:rsidR="00B419CE" w:rsidRPr="00B419CE" w:rsidRDefault="00B419CE" w:rsidP="00B419CE">
            <w:r w:rsidRPr="00B419CE">
              <w:t>Kap.</w:t>
            </w:r>
          </w:p>
        </w:tc>
        <w:tc>
          <w:tcPr>
            <w:tcW w:w="709" w:type="dxa"/>
          </w:tcPr>
          <w:p w14:paraId="6E4E45AC" w14:textId="77777777" w:rsidR="00B419CE" w:rsidRPr="00B419CE" w:rsidRDefault="00B419CE" w:rsidP="00B419CE">
            <w:r w:rsidRPr="00B419CE">
              <w:t>Post</w:t>
            </w:r>
          </w:p>
        </w:tc>
        <w:tc>
          <w:tcPr>
            <w:tcW w:w="3965" w:type="dxa"/>
          </w:tcPr>
          <w:p w14:paraId="4BD3B931" w14:textId="77777777" w:rsidR="00B419CE" w:rsidRPr="00B419CE" w:rsidRDefault="00B419CE" w:rsidP="00B419CE">
            <w:proofErr w:type="spellStart"/>
            <w:r w:rsidRPr="00B419CE">
              <w:t>Nemning</w:t>
            </w:r>
            <w:proofErr w:type="spellEnd"/>
          </w:p>
        </w:tc>
        <w:tc>
          <w:tcPr>
            <w:tcW w:w="1840" w:type="dxa"/>
          </w:tcPr>
          <w:p w14:paraId="1474613F" w14:textId="77777777" w:rsidR="00B419CE" w:rsidRPr="00B419CE" w:rsidRDefault="00B419CE" w:rsidP="00A2297F">
            <w:pPr>
              <w:jc w:val="right"/>
            </w:pPr>
            <w:r w:rsidRPr="00B419CE">
              <w:t>Overført</w:t>
            </w:r>
            <w:r w:rsidRPr="00B419CE">
              <w:br/>
              <w:t xml:space="preserve"> til 2021</w:t>
            </w:r>
          </w:p>
        </w:tc>
        <w:tc>
          <w:tcPr>
            <w:tcW w:w="1840" w:type="dxa"/>
          </w:tcPr>
          <w:p w14:paraId="4FC37C90" w14:textId="77777777" w:rsidR="00B419CE" w:rsidRPr="00B419CE" w:rsidRDefault="00B419CE" w:rsidP="00A2297F">
            <w:pPr>
              <w:jc w:val="right"/>
            </w:pPr>
            <w:r w:rsidRPr="00B419CE">
              <w:t>Forslag</w:t>
            </w:r>
            <w:r w:rsidRPr="00B419CE">
              <w:br/>
              <w:t xml:space="preserve"> 2022</w:t>
            </w:r>
          </w:p>
        </w:tc>
      </w:tr>
      <w:tr w:rsidR="00B419CE" w:rsidRPr="00B419CE" w14:paraId="32BD101F" w14:textId="77777777" w:rsidTr="00A2297F">
        <w:trPr>
          <w:trHeight w:val="380"/>
        </w:trPr>
        <w:tc>
          <w:tcPr>
            <w:tcW w:w="846" w:type="dxa"/>
          </w:tcPr>
          <w:p w14:paraId="0858CE35" w14:textId="77777777" w:rsidR="00B419CE" w:rsidRPr="00B419CE" w:rsidRDefault="00B419CE" w:rsidP="00B419CE">
            <w:r w:rsidRPr="00B419CE">
              <w:t>20</w:t>
            </w:r>
          </w:p>
        </w:tc>
        <w:tc>
          <w:tcPr>
            <w:tcW w:w="709" w:type="dxa"/>
          </w:tcPr>
          <w:p w14:paraId="51EB8405" w14:textId="77777777" w:rsidR="00B419CE" w:rsidRPr="00B419CE" w:rsidRDefault="00B419CE" w:rsidP="00B419CE">
            <w:r w:rsidRPr="00B419CE">
              <w:t>21</w:t>
            </w:r>
          </w:p>
        </w:tc>
        <w:tc>
          <w:tcPr>
            <w:tcW w:w="3965" w:type="dxa"/>
          </w:tcPr>
          <w:p w14:paraId="53349991" w14:textId="77777777" w:rsidR="00B419CE" w:rsidRPr="00B419CE" w:rsidRDefault="00B419CE" w:rsidP="00B419CE">
            <w:r w:rsidRPr="00B419CE">
              <w:t>Spesielle driftsutgifter, Koronakommisjonen</w:t>
            </w:r>
          </w:p>
        </w:tc>
        <w:tc>
          <w:tcPr>
            <w:tcW w:w="1840" w:type="dxa"/>
          </w:tcPr>
          <w:p w14:paraId="23F44324" w14:textId="77777777" w:rsidR="00B419CE" w:rsidRPr="00B419CE" w:rsidRDefault="00B419CE" w:rsidP="00A2297F">
            <w:pPr>
              <w:jc w:val="right"/>
            </w:pPr>
            <w:r w:rsidRPr="00B419CE">
              <w:t>6 219</w:t>
            </w:r>
          </w:p>
        </w:tc>
        <w:tc>
          <w:tcPr>
            <w:tcW w:w="1840" w:type="dxa"/>
          </w:tcPr>
          <w:p w14:paraId="6CC09265" w14:textId="77777777" w:rsidR="00B419CE" w:rsidRPr="00B419CE" w:rsidRDefault="00B419CE" w:rsidP="00A2297F">
            <w:pPr>
              <w:jc w:val="right"/>
            </w:pPr>
            <w:r w:rsidRPr="00B419CE">
              <w:t>5 000</w:t>
            </w:r>
          </w:p>
        </w:tc>
      </w:tr>
      <w:tr w:rsidR="00B419CE" w:rsidRPr="00B419CE" w14:paraId="4D058234" w14:textId="77777777" w:rsidTr="00A2297F">
        <w:trPr>
          <w:trHeight w:val="380"/>
        </w:trPr>
        <w:tc>
          <w:tcPr>
            <w:tcW w:w="846" w:type="dxa"/>
          </w:tcPr>
          <w:p w14:paraId="1A20509A" w14:textId="77777777" w:rsidR="00B419CE" w:rsidRPr="00B419CE" w:rsidRDefault="00B419CE" w:rsidP="00B419CE">
            <w:r w:rsidRPr="00B419CE">
              <w:t>41</w:t>
            </w:r>
          </w:p>
        </w:tc>
        <w:tc>
          <w:tcPr>
            <w:tcW w:w="709" w:type="dxa"/>
          </w:tcPr>
          <w:p w14:paraId="64C0E787" w14:textId="77777777" w:rsidR="00B419CE" w:rsidRPr="00B419CE" w:rsidRDefault="00B419CE" w:rsidP="00B419CE">
            <w:r w:rsidRPr="00B419CE">
              <w:t>21</w:t>
            </w:r>
          </w:p>
        </w:tc>
        <w:tc>
          <w:tcPr>
            <w:tcW w:w="3965" w:type="dxa"/>
          </w:tcPr>
          <w:p w14:paraId="577F201A" w14:textId="77777777" w:rsidR="00B419CE" w:rsidRPr="00B419CE" w:rsidRDefault="00B419CE" w:rsidP="00B419CE">
            <w:r w:rsidRPr="00B419CE">
              <w:t>Spesielle driftsutgifter</w:t>
            </w:r>
          </w:p>
        </w:tc>
        <w:tc>
          <w:tcPr>
            <w:tcW w:w="1840" w:type="dxa"/>
          </w:tcPr>
          <w:p w14:paraId="42FF5B2A" w14:textId="77777777" w:rsidR="00B419CE" w:rsidRPr="00B419CE" w:rsidRDefault="00B419CE" w:rsidP="00A2297F">
            <w:pPr>
              <w:jc w:val="right"/>
            </w:pPr>
            <w:r w:rsidRPr="00B419CE">
              <w:t>400</w:t>
            </w:r>
          </w:p>
        </w:tc>
        <w:tc>
          <w:tcPr>
            <w:tcW w:w="1840" w:type="dxa"/>
          </w:tcPr>
          <w:p w14:paraId="59592C4E" w14:textId="77777777" w:rsidR="00B419CE" w:rsidRPr="00B419CE" w:rsidRDefault="00B419CE" w:rsidP="00A2297F">
            <w:pPr>
              <w:jc w:val="right"/>
            </w:pPr>
            <w:r w:rsidRPr="00B419CE">
              <w:t>2 400</w:t>
            </w:r>
          </w:p>
        </w:tc>
      </w:tr>
      <w:tr w:rsidR="00B419CE" w:rsidRPr="00B419CE" w14:paraId="4476EA87" w14:textId="77777777" w:rsidTr="00A2297F">
        <w:trPr>
          <w:trHeight w:val="380"/>
        </w:trPr>
        <w:tc>
          <w:tcPr>
            <w:tcW w:w="846" w:type="dxa"/>
          </w:tcPr>
          <w:p w14:paraId="6760E4DF" w14:textId="77777777" w:rsidR="00B419CE" w:rsidRPr="00B419CE" w:rsidRDefault="00B419CE" w:rsidP="00B419CE">
            <w:r w:rsidRPr="00B419CE">
              <w:t>1600</w:t>
            </w:r>
          </w:p>
        </w:tc>
        <w:tc>
          <w:tcPr>
            <w:tcW w:w="709" w:type="dxa"/>
          </w:tcPr>
          <w:p w14:paraId="0B393301" w14:textId="77777777" w:rsidR="00B419CE" w:rsidRPr="00B419CE" w:rsidRDefault="00B419CE" w:rsidP="00B419CE">
            <w:r w:rsidRPr="00B419CE">
              <w:t>21</w:t>
            </w:r>
          </w:p>
        </w:tc>
        <w:tc>
          <w:tcPr>
            <w:tcW w:w="3965" w:type="dxa"/>
          </w:tcPr>
          <w:p w14:paraId="2C6667BC" w14:textId="77777777" w:rsidR="00B419CE" w:rsidRPr="00B419CE" w:rsidRDefault="00B419CE" w:rsidP="00B419CE">
            <w:r w:rsidRPr="00B419CE">
              <w:t>Spesielle driftsutgifter</w:t>
            </w:r>
          </w:p>
        </w:tc>
        <w:tc>
          <w:tcPr>
            <w:tcW w:w="1840" w:type="dxa"/>
          </w:tcPr>
          <w:p w14:paraId="6FA65DE0" w14:textId="77777777" w:rsidR="00B419CE" w:rsidRPr="00B419CE" w:rsidRDefault="00B419CE" w:rsidP="00A2297F">
            <w:pPr>
              <w:jc w:val="right"/>
            </w:pPr>
            <w:r w:rsidRPr="00B419CE">
              <w:t>40 600</w:t>
            </w:r>
          </w:p>
        </w:tc>
        <w:tc>
          <w:tcPr>
            <w:tcW w:w="1840" w:type="dxa"/>
          </w:tcPr>
          <w:p w14:paraId="5C6C5E9F" w14:textId="77777777" w:rsidR="00B419CE" w:rsidRPr="00B419CE" w:rsidRDefault="00B419CE" w:rsidP="00A2297F">
            <w:pPr>
              <w:jc w:val="right"/>
            </w:pPr>
            <w:r w:rsidRPr="00B419CE">
              <w:t>101 700</w:t>
            </w:r>
          </w:p>
        </w:tc>
      </w:tr>
      <w:tr w:rsidR="00B419CE" w:rsidRPr="00B419CE" w14:paraId="2D2A818D" w14:textId="77777777" w:rsidTr="00A2297F">
        <w:trPr>
          <w:trHeight w:val="380"/>
        </w:trPr>
        <w:tc>
          <w:tcPr>
            <w:tcW w:w="846" w:type="dxa"/>
          </w:tcPr>
          <w:p w14:paraId="2110250C" w14:textId="77777777" w:rsidR="00B419CE" w:rsidRPr="00B419CE" w:rsidRDefault="00B419CE" w:rsidP="00B419CE">
            <w:r w:rsidRPr="00B419CE">
              <w:t>1618</w:t>
            </w:r>
          </w:p>
        </w:tc>
        <w:tc>
          <w:tcPr>
            <w:tcW w:w="709" w:type="dxa"/>
          </w:tcPr>
          <w:p w14:paraId="0369F556" w14:textId="77777777" w:rsidR="00B419CE" w:rsidRPr="00B419CE" w:rsidRDefault="00B419CE" w:rsidP="00B419CE">
            <w:r w:rsidRPr="00B419CE">
              <w:t>22</w:t>
            </w:r>
          </w:p>
        </w:tc>
        <w:tc>
          <w:tcPr>
            <w:tcW w:w="3965" w:type="dxa"/>
          </w:tcPr>
          <w:p w14:paraId="12F58BA8" w14:textId="77777777" w:rsidR="00B419CE" w:rsidRPr="00B419CE" w:rsidRDefault="00B419CE" w:rsidP="00B419CE">
            <w:r w:rsidRPr="00B419CE">
              <w:t>Større IT-prosjekt</w:t>
            </w:r>
          </w:p>
        </w:tc>
        <w:tc>
          <w:tcPr>
            <w:tcW w:w="1840" w:type="dxa"/>
          </w:tcPr>
          <w:p w14:paraId="70FB7456" w14:textId="77777777" w:rsidR="00B419CE" w:rsidRPr="00B419CE" w:rsidRDefault="00B419CE" w:rsidP="00A2297F">
            <w:pPr>
              <w:jc w:val="right"/>
            </w:pPr>
            <w:r w:rsidRPr="00B419CE">
              <w:t>35 419</w:t>
            </w:r>
          </w:p>
        </w:tc>
        <w:tc>
          <w:tcPr>
            <w:tcW w:w="1840" w:type="dxa"/>
          </w:tcPr>
          <w:p w14:paraId="79AAEBF1" w14:textId="77777777" w:rsidR="00B419CE" w:rsidRPr="00B419CE" w:rsidRDefault="00B419CE" w:rsidP="00A2297F">
            <w:pPr>
              <w:jc w:val="right"/>
            </w:pPr>
            <w:r w:rsidRPr="00B419CE">
              <w:t>616 800</w:t>
            </w:r>
          </w:p>
        </w:tc>
      </w:tr>
      <w:tr w:rsidR="00B419CE" w:rsidRPr="00B419CE" w14:paraId="443153E3" w14:textId="77777777" w:rsidTr="00A2297F">
        <w:trPr>
          <w:trHeight w:val="380"/>
        </w:trPr>
        <w:tc>
          <w:tcPr>
            <w:tcW w:w="846" w:type="dxa"/>
          </w:tcPr>
          <w:p w14:paraId="52B8C195" w14:textId="77777777" w:rsidR="00B419CE" w:rsidRPr="00B419CE" w:rsidRDefault="00B419CE" w:rsidP="00B419CE">
            <w:r w:rsidRPr="00B419CE">
              <w:t>1620</w:t>
            </w:r>
          </w:p>
        </w:tc>
        <w:tc>
          <w:tcPr>
            <w:tcW w:w="709" w:type="dxa"/>
          </w:tcPr>
          <w:p w14:paraId="14E75649" w14:textId="77777777" w:rsidR="00B419CE" w:rsidRPr="00B419CE" w:rsidRDefault="00B419CE" w:rsidP="00B419CE">
            <w:r w:rsidRPr="00B419CE">
              <w:t>21</w:t>
            </w:r>
          </w:p>
        </w:tc>
        <w:tc>
          <w:tcPr>
            <w:tcW w:w="3965" w:type="dxa"/>
          </w:tcPr>
          <w:p w14:paraId="09E5EA3E" w14:textId="77777777" w:rsidR="00B419CE" w:rsidRPr="00B419CE" w:rsidRDefault="00B419CE" w:rsidP="00B419CE">
            <w:r w:rsidRPr="00B419CE">
              <w:t>Spesielle driftsutgifter</w:t>
            </w:r>
          </w:p>
        </w:tc>
        <w:tc>
          <w:tcPr>
            <w:tcW w:w="1840" w:type="dxa"/>
          </w:tcPr>
          <w:p w14:paraId="5457F715" w14:textId="77777777" w:rsidR="00B419CE" w:rsidRPr="00B419CE" w:rsidRDefault="00B419CE" w:rsidP="00A2297F">
            <w:pPr>
              <w:jc w:val="right"/>
            </w:pPr>
            <w:r w:rsidRPr="00B419CE">
              <w:t>14 343</w:t>
            </w:r>
          </w:p>
        </w:tc>
        <w:tc>
          <w:tcPr>
            <w:tcW w:w="1840" w:type="dxa"/>
          </w:tcPr>
          <w:p w14:paraId="4DAEC110" w14:textId="77777777" w:rsidR="00B419CE" w:rsidRPr="00B419CE" w:rsidRDefault="00B419CE" w:rsidP="00A2297F">
            <w:pPr>
              <w:jc w:val="right"/>
            </w:pPr>
            <w:r w:rsidRPr="00B419CE">
              <w:t>244 194</w:t>
            </w:r>
          </w:p>
        </w:tc>
      </w:tr>
    </w:tbl>
    <w:p w14:paraId="336BF379" w14:textId="6D07DBB9" w:rsidR="00B419CE" w:rsidRPr="00B419CE" w:rsidRDefault="00A2297F" w:rsidP="00B419CE">
      <w:pPr>
        <w:pStyle w:val="del-nr"/>
      </w:pPr>
      <w:r>
        <w:t>Del II</w:t>
      </w:r>
    </w:p>
    <w:p w14:paraId="4F6831C9" w14:textId="77777777" w:rsidR="00B419CE" w:rsidRPr="00B419CE" w:rsidRDefault="00B419CE" w:rsidP="00B419CE">
      <w:pPr>
        <w:pStyle w:val="del-tittel"/>
      </w:pPr>
      <w:r w:rsidRPr="00B419CE">
        <w:t>Budsjettframlegget for 2022</w:t>
      </w:r>
    </w:p>
    <w:p w14:paraId="6B4ADB23" w14:textId="77777777" w:rsidR="00B419CE" w:rsidRPr="00B419CE" w:rsidRDefault="00B419CE" w:rsidP="00B419CE">
      <w:pPr>
        <w:pStyle w:val="Overskrift1"/>
      </w:pPr>
      <w:proofErr w:type="spellStart"/>
      <w:r w:rsidRPr="00B419CE">
        <w:t>Nærare</w:t>
      </w:r>
      <w:proofErr w:type="spellEnd"/>
      <w:r w:rsidRPr="00B419CE">
        <w:t xml:space="preserve"> omtale av </w:t>
      </w:r>
      <w:proofErr w:type="spellStart"/>
      <w:r w:rsidRPr="00B419CE">
        <w:t>løyvingsframlegga</w:t>
      </w:r>
      <w:proofErr w:type="spellEnd"/>
      <w:r w:rsidRPr="00B419CE">
        <w:t xml:space="preserve"> m.m.</w:t>
      </w:r>
    </w:p>
    <w:p w14:paraId="31C5B5DE" w14:textId="77777777" w:rsidR="00B419CE" w:rsidRPr="00B419CE" w:rsidRDefault="00B419CE" w:rsidP="00B419CE">
      <w:pPr>
        <w:pStyle w:val="b-progomr"/>
      </w:pPr>
      <w:r w:rsidRPr="00B419CE">
        <w:t xml:space="preserve">Programområde 00 Konstitusjonelle </w:t>
      </w:r>
      <w:proofErr w:type="spellStart"/>
      <w:r w:rsidRPr="00B419CE">
        <w:t>institusjonar</w:t>
      </w:r>
      <w:proofErr w:type="spellEnd"/>
    </w:p>
    <w:p w14:paraId="08DECBB6" w14:textId="77777777" w:rsidR="00B419CE" w:rsidRPr="00B419CE" w:rsidRDefault="00B419CE" w:rsidP="00B419CE">
      <w:pPr>
        <w:pStyle w:val="b-progkat"/>
      </w:pPr>
      <w:r w:rsidRPr="00B419CE">
        <w:t>Programkategori 00.30 Regjeringa</w:t>
      </w:r>
    </w:p>
    <w:p w14:paraId="6639B239" w14:textId="77777777" w:rsidR="00B419CE" w:rsidRPr="00B419CE" w:rsidRDefault="00B419CE" w:rsidP="00B419CE">
      <w:pPr>
        <w:pStyle w:val="avsnitt-tittel"/>
      </w:pPr>
      <w:r w:rsidRPr="00B419CE">
        <w:t>Utgifter under programkategori 00.30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446ECF69" w14:textId="77777777" w:rsidTr="00B419CE">
        <w:trPr>
          <w:trHeight w:val="640"/>
          <w:hidden/>
        </w:trPr>
        <w:tc>
          <w:tcPr>
            <w:tcW w:w="1020" w:type="dxa"/>
            <w:shd w:val="clear" w:color="auto" w:fill="FFFFFF"/>
          </w:tcPr>
          <w:p w14:paraId="4E771BE2" w14:textId="77777777" w:rsidR="00B419CE" w:rsidRPr="00B419CE" w:rsidRDefault="00B419CE" w:rsidP="00B419CE">
            <w:pPr>
              <w:pStyle w:val="Tabellnavn"/>
            </w:pPr>
            <w:r w:rsidRPr="00B419CE">
              <w:t>PIKL</w:t>
            </w:r>
          </w:p>
        </w:tc>
        <w:tc>
          <w:tcPr>
            <w:tcW w:w="4080" w:type="dxa"/>
          </w:tcPr>
          <w:p w14:paraId="4A758B83" w14:textId="77777777" w:rsidR="00B419CE" w:rsidRPr="00B419CE" w:rsidRDefault="00B419CE" w:rsidP="00B419CE"/>
        </w:tc>
        <w:tc>
          <w:tcPr>
            <w:tcW w:w="1020" w:type="dxa"/>
          </w:tcPr>
          <w:p w14:paraId="1A75F556" w14:textId="77777777" w:rsidR="00B419CE" w:rsidRPr="00B419CE" w:rsidRDefault="00B419CE" w:rsidP="00B419CE">
            <w:pPr>
              <w:jc w:val="right"/>
            </w:pPr>
          </w:p>
        </w:tc>
        <w:tc>
          <w:tcPr>
            <w:tcW w:w="1020" w:type="dxa"/>
          </w:tcPr>
          <w:p w14:paraId="3A51A86D" w14:textId="77777777" w:rsidR="00B419CE" w:rsidRPr="00B419CE" w:rsidRDefault="00B419CE" w:rsidP="00B419CE">
            <w:pPr>
              <w:jc w:val="right"/>
            </w:pPr>
          </w:p>
        </w:tc>
        <w:tc>
          <w:tcPr>
            <w:tcW w:w="1020" w:type="dxa"/>
          </w:tcPr>
          <w:p w14:paraId="69B742AC" w14:textId="77777777" w:rsidR="00B419CE" w:rsidRPr="00B419CE" w:rsidRDefault="00B419CE" w:rsidP="00B419CE">
            <w:pPr>
              <w:jc w:val="right"/>
            </w:pPr>
          </w:p>
        </w:tc>
        <w:tc>
          <w:tcPr>
            <w:tcW w:w="1020" w:type="dxa"/>
          </w:tcPr>
          <w:p w14:paraId="3685C1F6" w14:textId="77777777" w:rsidR="00B419CE" w:rsidRPr="00B419CE" w:rsidRDefault="00B419CE" w:rsidP="00B419CE">
            <w:pPr>
              <w:jc w:val="right"/>
            </w:pPr>
            <w:r w:rsidRPr="00B419CE">
              <w:t>(i 1 000 kr)</w:t>
            </w:r>
          </w:p>
        </w:tc>
      </w:tr>
      <w:tr w:rsidR="00B419CE" w:rsidRPr="00B419CE" w14:paraId="7E18B5AC" w14:textId="77777777" w:rsidTr="00B419CE">
        <w:trPr>
          <w:trHeight w:val="600"/>
        </w:trPr>
        <w:tc>
          <w:tcPr>
            <w:tcW w:w="1020" w:type="dxa"/>
          </w:tcPr>
          <w:p w14:paraId="6A17CF33" w14:textId="77777777" w:rsidR="00B419CE" w:rsidRPr="00B419CE" w:rsidRDefault="00B419CE" w:rsidP="00B419CE">
            <w:r w:rsidRPr="00B419CE">
              <w:t>Kap.</w:t>
            </w:r>
          </w:p>
        </w:tc>
        <w:tc>
          <w:tcPr>
            <w:tcW w:w="4080" w:type="dxa"/>
          </w:tcPr>
          <w:p w14:paraId="2E74D27C" w14:textId="77777777" w:rsidR="00B419CE" w:rsidRPr="00B419CE" w:rsidRDefault="00B419CE" w:rsidP="00B419CE">
            <w:proofErr w:type="spellStart"/>
            <w:r w:rsidRPr="00B419CE">
              <w:t>Nemning</w:t>
            </w:r>
            <w:proofErr w:type="spellEnd"/>
          </w:p>
        </w:tc>
        <w:tc>
          <w:tcPr>
            <w:tcW w:w="1020" w:type="dxa"/>
          </w:tcPr>
          <w:p w14:paraId="52BBBBA8"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071B095B" w14:textId="77777777" w:rsidR="00B419CE" w:rsidRPr="00B419CE" w:rsidRDefault="00B419CE" w:rsidP="00B419CE">
            <w:pPr>
              <w:jc w:val="right"/>
            </w:pPr>
            <w:r w:rsidRPr="00B419CE">
              <w:t>Saldert</w:t>
            </w:r>
            <w:r w:rsidRPr="00B419CE">
              <w:br/>
              <w:t xml:space="preserve"> budsjett 2021</w:t>
            </w:r>
          </w:p>
        </w:tc>
        <w:tc>
          <w:tcPr>
            <w:tcW w:w="1020" w:type="dxa"/>
          </w:tcPr>
          <w:p w14:paraId="33429C0F" w14:textId="77777777" w:rsidR="00B419CE" w:rsidRPr="00B419CE" w:rsidRDefault="00B419CE" w:rsidP="00B419CE">
            <w:pPr>
              <w:jc w:val="right"/>
            </w:pPr>
            <w:r w:rsidRPr="00B419CE">
              <w:t>Forslag</w:t>
            </w:r>
            <w:r w:rsidRPr="00B419CE">
              <w:br/>
              <w:t xml:space="preserve"> 2022</w:t>
            </w:r>
          </w:p>
        </w:tc>
        <w:tc>
          <w:tcPr>
            <w:tcW w:w="1020" w:type="dxa"/>
          </w:tcPr>
          <w:p w14:paraId="1D69C78A" w14:textId="77777777" w:rsidR="00B419CE" w:rsidRPr="00B419CE" w:rsidRDefault="00B419CE" w:rsidP="00B419CE">
            <w:pPr>
              <w:jc w:val="right"/>
            </w:pPr>
            <w:r w:rsidRPr="00B419CE">
              <w:t>Endring</w:t>
            </w:r>
            <w:r w:rsidRPr="00B419CE">
              <w:br/>
              <w:t xml:space="preserve"> i pst.</w:t>
            </w:r>
          </w:p>
        </w:tc>
      </w:tr>
      <w:tr w:rsidR="00B419CE" w:rsidRPr="00B419CE" w14:paraId="1A7A753E" w14:textId="77777777" w:rsidTr="00B419CE">
        <w:trPr>
          <w:trHeight w:val="380"/>
        </w:trPr>
        <w:tc>
          <w:tcPr>
            <w:tcW w:w="1020" w:type="dxa"/>
          </w:tcPr>
          <w:p w14:paraId="14FE7EB3" w14:textId="77777777" w:rsidR="00B419CE" w:rsidRPr="00B419CE" w:rsidRDefault="00B419CE" w:rsidP="00B419CE">
            <w:r w:rsidRPr="00B419CE">
              <w:lastRenderedPageBreak/>
              <w:t>20</w:t>
            </w:r>
          </w:p>
        </w:tc>
        <w:tc>
          <w:tcPr>
            <w:tcW w:w="4080" w:type="dxa"/>
          </w:tcPr>
          <w:p w14:paraId="024F4C35" w14:textId="77777777" w:rsidR="00B419CE" w:rsidRPr="00B419CE" w:rsidRDefault="00B419CE" w:rsidP="00B419CE">
            <w:r w:rsidRPr="00B419CE">
              <w:t>Statsministerens kontor</w:t>
            </w:r>
          </w:p>
        </w:tc>
        <w:tc>
          <w:tcPr>
            <w:tcW w:w="1020" w:type="dxa"/>
          </w:tcPr>
          <w:p w14:paraId="372B430E" w14:textId="77777777" w:rsidR="00B419CE" w:rsidRPr="00B419CE" w:rsidRDefault="00B419CE" w:rsidP="00B419CE">
            <w:pPr>
              <w:jc w:val="right"/>
            </w:pPr>
            <w:r w:rsidRPr="00B419CE">
              <w:t>132 807</w:t>
            </w:r>
          </w:p>
        </w:tc>
        <w:tc>
          <w:tcPr>
            <w:tcW w:w="1020" w:type="dxa"/>
          </w:tcPr>
          <w:p w14:paraId="11B8339A" w14:textId="77777777" w:rsidR="00B419CE" w:rsidRPr="00B419CE" w:rsidRDefault="00B419CE" w:rsidP="00B419CE">
            <w:pPr>
              <w:jc w:val="right"/>
            </w:pPr>
            <w:r w:rsidRPr="00B419CE">
              <w:t>103 315</w:t>
            </w:r>
          </w:p>
        </w:tc>
        <w:tc>
          <w:tcPr>
            <w:tcW w:w="1020" w:type="dxa"/>
          </w:tcPr>
          <w:p w14:paraId="62A0584F" w14:textId="77777777" w:rsidR="00B419CE" w:rsidRPr="00B419CE" w:rsidRDefault="00B419CE" w:rsidP="00B419CE">
            <w:pPr>
              <w:jc w:val="right"/>
            </w:pPr>
            <w:r w:rsidRPr="00B419CE">
              <w:t>100 181</w:t>
            </w:r>
          </w:p>
        </w:tc>
        <w:tc>
          <w:tcPr>
            <w:tcW w:w="1020" w:type="dxa"/>
          </w:tcPr>
          <w:p w14:paraId="3C68C5D6" w14:textId="77777777" w:rsidR="00B419CE" w:rsidRPr="00B419CE" w:rsidRDefault="00B419CE" w:rsidP="00B419CE">
            <w:pPr>
              <w:jc w:val="right"/>
            </w:pPr>
            <w:r w:rsidRPr="00B419CE">
              <w:t>-3,0</w:t>
            </w:r>
          </w:p>
        </w:tc>
      </w:tr>
      <w:tr w:rsidR="00B419CE" w:rsidRPr="00B419CE" w14:paraId="2C34980E" w14:textId="77777777" w:rsidTr="00B419CE">
        <w:trPr>
          <w:trHeight w:val="380"/>
        </w:trPr>
        <w:tc>
          <w:tcPr>
            <w:tcW w:w="1020" w:type="dxa"/>
          </w:tcPr>
          <w:p w14:paraId="66F07E79" w14:textId="77777777" w:rsidR="00B419CE" w:rsidRPr="00B419CE" w:rsidRDefault="00B419CE" w:rsidP="00B419CE">
            <w:r w:rsidRPr="00B419CE">
              <w:t>21</w:t>
            </w:r>
          </w:p>
        </w:tc>
        <w:tc>
          <w:tcPr>
            <w:tcW w:w="4080" w:type="dxa"/>
          </w:tcPr>
          <w:p w14:paraId="3330D594" w14:textId="77777777" w:rsidR="00B419CE" w:rsidRPr="00B419CE" w:rsidRDefault="00B419CE" w:rsidP="00B419CE">
            <w:r w:rsidRPr="00B419CE">
              <w:t>Statsrådet</w:t>
            </w:r>
          </w:p>
        </w:tc>
        <w:tc>
          <w:tcPr>
            <w:tcW w:w="1020" w:type="dxa"/>
          </w:tcPr>
          <w:p w14:paraId="737E5EA3" w14:textId="77777777" w:rsidR="00B419CE" w:rsidRPr="00B419CE" w:rsidRDefault="00B419CE" w:rsidP="00B419CE">
            <w:pPr>
              <w:jc w:val="right"/>
            </w:pPr>
            <w:r w:rsidRPr="00B419CE">
              <w:t>190 046</w:t>
            </w:r>
          </w:p>
        </w:tc>
        <w:tc>
          <w:tcPr>
            <w:tcW w:w="1020" w:type="dxa"/>
          </w:tcPr>
          <w:p w14:paraId="5201852E" w14:textId="77777777" w:rsidR="00B419CE" w:rsidRPr="00B419CE" w:rsidRDefault="00B419CE" w:rsidP="00B419CE">
            <w:pPr>
              <w:jc w:val="right"/>
            </w:pPr>
            <w:r w:rsidRPr="00B419CE">
              <w:t>177 242</w:t>
            </w:r>
          </w:p>
        </w:tc>
        <w:tc>
          <w:tcPr>
            <w:tcW w:w="1020" w:type="dxa"/>
          </w:tcPr>
          <w:p w14:paraId="1F5F1A31" w14:textId="77777777" w:rsidR="00B419CE" w:rsidRPr="00B419CE" w:rsidRDefault="00B419CE" w:rsidP="00B419CE">
            <w:pPr>
              <w:jc w:val="right"/>
            </w:pPr>
            <w:r w:rsidRPr="00B419CE">
              <w:t>175 969</w:t>
            </w:r>
          </w:p>
        </w:tc>
        <w:tc>
          <w:tcPr>
            <w:tcW w:w="1020" w:type="dxa"/>
          </w:tcPr>
          <w:p w14:paraId="1E7C9388" w14:textId="77777777" w:rsidR="00B419CE" w:rsidRPr="00B419CE" w:rsidRDefault="00B419CE" w:rsidP="00B419CE">
            <w:pPr>
              <w:jc w:val="right"/>
            </w:pPr>
            <w:r w:rsidRPr="00B419CE">
              <w:t>-0,7</w:t>
            </w:r>
          </w:p>
        </w:tc>
      </w:tr>
      <w:tr w:rsidR="00B419CE" w:rsidRPr="00B419CE" w14:paraId="151FE767" w14:textId="77777777" w:rsidTr="00B419CE">
        <w:trPr>
          <w:trHeight w:val="380"/>
        </w:trPr>
        <w:tc>
          <w:tcPr>
            <w:tcW w:w="1020" w:type="dxa"/>
          </w:tcPr>
          <w:p w14:paraId="78BA2E25" w14:textId="77777777" w:rsidR="00B419CE" w:rsidRPr="00B419CE" w:rsidRDefault="00B419CE" w:rsidP="00B419CE">
            <w:r w:rsidRPr="00B419CE">
              <w:t>24</w:t>
            </w:r>
          </w:p>
        </w:tc>
        <w:tc>
          <w:tcPr>
            <w:tcW w:w="4080" w:type="dxa"/>
          </w:tcPr>
          <w:p w14:paraId="19893236" w14:textId="77777777" w:rsidR="00B419CE" w:rsidRPr="00B419CE" w:rsidRDefault="00B419CE" w:rsidP="00B419CE">
            <w:r w:rsidRPr="00B419CE">
              <w:t>Regjeringsadvokaten</w:t>
            </w:r>
          </w:p>
        </w:tc>
        <w:tc>
          <w:tcPr>
            <w:tcW w:w="1020" w:type="dxa"/>
          </w:tcPr>
          <w:p w14:paraId="3F580354" w14:textId="77777777" w:rsidR="00B419CE" w:rsidRPr="00B419CE" w:rsidRDefault="00B419CE" w:rsidP="00B419CE">
            <w:pPr>
              <w:jc w:val="right"/>
            </w:pPr>
            <w:r w:rsidRPr="00B419CE">
              <w:t>119 469</w:t>
            </w:r>
          </w:p>
        </w:tc>
        <w:tc>
          <w:tcPr>
            <w:tcW w:w="1020" w:type="dxa"/>
          </w:tcPr>
          <w:p w14:paraId="2E8492D2" w14:textId="77777777" w:rsidR="00B419CE" w:rsidRPr="00B419CE" w:rsidRDefault="00B419CE" w:rsidP="00B419CE">
            <w:pPr>
              <w:jc w:val="right"/>
            </w:pPr>
            <w:r w:rsidRPr="00B419CE">
              <w:t>123 141</w:t>
            </w:r>
          </w:p>
        </w:tc>
        <w:tc>
          <w:tcPr>
            <w:tcW w:w="1020" w:type="dxa"/>
          </w:tcPr>
          <w:p w14:paraId="2F014BF2" w14:textId="77777777" w:rsidR="00B419CE" w:rsidRPr="00B419CE" w:rsidRDefault="00B419CE" w:rsidP="00B419CE">
            <w:pPr>
              <w:jc w:val="right"/>
            </w:pPr>
            <w:r w:rsidRPr="00B419CE">
              <w:t>125 815</w:t>
            </w:r>
          </w:p>
        </w:tc>
        <w:tc>
          <w:tcPr>
            <w:tcW w:w="1020" w:type="dxa"/>
          </w:tcPr>
          <w:p w14:paraId="5FCB4B98" w14:textId="77777777" w:rsidR="00B419CE" w:rsidRPr="00B419CE" w:rsidRDefault="00B419CE" w:rsidP="00B419CE">
            <w:pPr>
              <w:jc w:val="right"/>
            </w:pPr>
            <w:r w:rsidRPr="00B419CE">
              <w:t>2,2</w:t>
            </w:r>
          </w:p>
        </w:tc>
      </w:tr>
      <w:tr w:rsidR="00B419CE" w:rsidRPr="00B419CE" w14:paraId="1632621A" w14:textId="77777777" w:rsidTr="00B419CE">
        <w:trPr>
          <w:trHeight w:val="380"/>
        </w:trPr>
        <w:tc>
          <w:tcPr>
            <w:tcW w:w="1020" w:type="dxa"/>
          </w:tcPr>
          <w:p w14:paraId="03FD2473" w14:textId="77777777" w:rsidR="00B419CE" w:rsidRPr="00B419CE" w:rsidRDefault="00B419CE" w:rsidP="00B419CE"/>
        </w:tc>
        <w:tc>
          <w:tcPr>
            <w:tcW w:w="4080" w:type="dxa"/>
          </w:tcPr>
          <w:p w14:paraId="216C14F0" w14:textId="77777777" w:rsidR="00B419CE" w:rsidRPr="00B419CE" w:rsidRDefault="00B419CE" w:rsidP="00B419CE">
            <w:r w:rsidRPr="00B419CE">
              <w:t>Sum kategori 00.30</w:t>
            </w:r>
          </w:p>
        </w:tc>
        <w:tc>
          <w:tcPr>
            <w:tcW w:w="1020" w:type="dxa"/>
          </w:tcPr>
          <w:p w14:paraId="4A6C07C4" w14:textId="77777777" w:rsidR="00B419CE" w:rsidRPr="00B419CE" w:rsidRDefault="00B419CE" w:rsidP="00B419CE">
            <w:pPr>
              <w:jc w:val="right"/>
            </w:pPr>
            <w:r w:rsidRPr="00B419CE">
              <w:t>442 322</w:t>
            </w:r>
          </w:p>
        </w:tc>
        <w:tc>
          <w:tcPr>
            <w:tcW w:w="1020" w:type="dxa"/>
          </w:tcPr>
          <w:p w14:paraId="2D72B61B" w14:textId="77777777" w:rsidR="00B419CE" w:rsidRPr="00B419CE" w:rsidRDefault="00B419CE" w:rsidP="00B419CE">
            <w:pPr>
              <w:jc w:val="right"/>
            </w:pPr>
            <w:r w:rsidRPr="00B419CE">
              <w:t>403 698</w:t>
            </w:r>
          </w:p>
        </w:tc>
        <w:tc>
          <w:tcPr>
            <w:tcW w:w="1020" w:type="dxa"/>
          </w:tcPr>
          <w:p w14:paraId="24C103B9" w14:textId="77777777" w:rsidR="00B419CE" w:rsidRPr="00B419CE" w:rsidRDefault="00B419CE" w:rsidP="00B419CE">
            <w:pPr>
              <w:jc w:val="right"/>
            </w:pPr>
            <w:r w:rsidRPr="00B419CE">
              <w:t>401 965</w:t>
            </w:r>
          </w:p>
        </w:tc>
        <w:tc>
          <w:tcPr>
            <w:tcW w:w="1020" w:type="dxa"/>
          </w:tcPr>
          <w:p w14:paraId="1BB8A8DA" w14:textId="77777777" w:rsidR="00B419CE" w:rsidRPr="00B419CE" w:rsidRDefault="00B419CE" w:rsidP="00B419CE">
            <w:pPr>
              <w:jc w:val="right"/>
            </w:pPr>
            <w:r w:rsidRPr="00B419CE">
              <w:t>-0,4</w:t>
            </w:r>
          </w:p>
        </w:tc>
      </w:tr>
    </w:tbl>
    <w:p w14:paraId="25EA4E0C" w14:textId="77777777" w:rsidR="00B419CE" w:rsidRPr="00B419CE" w:rsidRDefault="00B419CE" w:rsidP="00B419CE">
      <w:pPr>
        <w:pStyle w:val="Undertittel"/>
      </w:pPr>
      <w:r w:rsidRPr="00B419CE">
        <w:t>Statsministerens kontor og Statsrådet</w:t>
      </w:r>
    </w:p>
    <w:p w14:paraId="28C0EA98" w14:textId="77777777" w:rsidR="00B419CE" w:rsidRPr="00B419CE" w:rsidRDefault="00B419CE" w:rsidP="00B419CE">
      <w:r w:rsidRPr="00B419CE">
        <w:t xml:space="preserve">Statsministerens kontor </w:t>
      </w:r>
      <w:proofErr w:type="spellStart"/>
      <w:r w:rsidRPr="00B419CE">
        <w:t>støttar</w:t>
      </w:r>
      <w:proofErr w:type="spellEnd"/>
      <w:r w:rsidRPr="00B419CE">
        <w:t xml:space="preserve"> statsministeren i arbeidet med å leie og samordne arbeidet i regjeringa, m.a. ved å førebu, gjennomføre og </w:t>
      </w:r>
      <w:proofErr w:type="spellStart"/>
      <w:r w:rsidRPr="00B419CE">
        <w:t>følgje</w:t>
      </w:r>
      <w:proofErr w:type="spellEnd"/>
      <w:r w:rsidRPr="00B419CE">
        <w:t xml:space="preserve"> opp </w:t>
      </w:r>
      <w:proofErr w:type="spellStart"/>
      <w:r w:rsidRPr="00B419CE">
        <w:t>regjeringskonferansane</w:t>
      </w:r>
      <w:proofErr w:type="spellEnd"/>
      <w:r w:rsidRPr="00B419CE">
        <w:t>.</w:t>
      </w:r>
    </w:p>
    <w:p w14:paraId="0BF48098" w14:textId="77777777" w:rsidR="00B419CE" w:rsidRPr="00B419CE" w:rsidRDefault="00B419CE" w:rsidP="00B419CE">
      <w:r w:rsidRPr="00B419CE">
        <w:t xml:space="preserve">Visse saker vert behandla i Statsrådet under Kongen si leiing. Det gjeld til dømes framlegg til nye lover, budsjettframlegg og andre framlegg til vedtak i Stortinget. Statsministerens kontor har </w:t>
      </w:r>
      <w:proofErr w:type="spellStart"/>
      <w:r w:rsidRPr="00B419CE">
        <w:t>saman</w:t>
      </w:r>
      <w:proofErr w:type="spellEnd"/>
      <w:r w:rsidRPr="00B419CE">
        <w:t xml:space="preserve"> med fagdepartementa ansvar for å førebu, gjennomføre og </w:t>
      </w:r>
      <w:proofErr w:type="spellStart"/>
      <w:r w:rsidRPr="00B419CE">
        <w:t>følgje</w:t>
      </w:r>
      <w:proofErr w:type="spellEnd"/>
      <w:r w:rsidRPr="00B419CE">
        <w:t xml:space="preserve"> opp Statsrådet </w:t>
      </w:r>
      <w:proofErr w:type="gramStart"/>
      <w:r w:rsidRPr="00B419CE">
        <w:t>sine møte</w:t>
      </w:r>
      <w:proofErr w:type="gramEnd"/>
      <w:r w:rsidRPr="00B419CE">
        <w:t xml:space="preserve"> hos Kongen. </w:t>
      </w:r>
      <w:proofErr w:type="spellStart"/>
      <w:r w:rsidRPr="00B419CE">
        <w:t>Vidare</w:t>
      </w:r>
      <w:proofErr w:type="spellEnd"/>
      <w:r w:rsidRPr="00B419CE">
        <w:t xml:space="preserve"> </w:t>
      </w:r>
      <w:proofErr w:type="spellStart"/>
      <w:r w:rsidRPr="00B419CE">
        <w:t>samordnar</w:t>
      </w:r>
      <w:proofErr w:type="spellEnd"/>
      <w:r w:rsidRPr="00B419CE">
        <w:t xml:space="preserve"> kontoret </w:t>
      </w:r>
      <w:proofErr w:type="spellStart"/>
      <w:r w:rsidRPr="00B419CE">
        <w:t>regjeringsmedlemmane</w:t>
      </w:r>
      <w:proofErr w:type="spellEnd"/>
      <w:r w:rsidRPr="00B419CE">
        <w:t xml:space="preserve"> si deltaking i enkelte </w:t>
      </w:r>
      <w:proofErr w:type="spellStart"/>
      <w:r w:rsidRPr="00B419CE">
        <w:t>debattar</w:t>
      </w:r>
      <w:proofErr w:type="spellEnd"/>
      <w:r w:rsidRPr="00B419CE">
        <w:t xml:space="preserve"> og munnlege </w:t>
      </w:r>
      <w:proofErr w:type="spellStart"/>
      <w:r w:rsidRPr="00B419CE">
        <w:t>spørjetimar</w:t>
      </w:r>
      <w:proofErr w:type="spellEnd"/>
      <w:r w:rsidRPr="00B419CE">
        <w:t xml:space="preserve"> på Stortinget. Kontoret skal òg støtte statsministeren i internasjonalt arbeid. </w:t>
      </w:r>
      <w:proofErr w:type="spellStart"/>
      <w:r w:rsidRPr="00B419CE">
        <w:t>Dessutan</w:t>
      </w:r>
      <w:proofErr w:type="spellEnd"/>
      <w:r w:rsidRPr="00B419CE">
        <w:t xml:space="preserve"> har kontoret </w:t>
      </w:r>
      <w:proofErr w:type="spellStart"/>
      <w:r w:rsidRPr="00B419CE">
        <w:t>arbeidsgjevarfunksjonar</w:t>
      </w:r>
      <w:proofErr w:type="spellEnd"/>
      <w:r w:rsidRPr="00B419CE">
        <w:t xml:space="preserve"> for </w:t>
      </w:r>
      <w:proofErr w:type="spellStart"/>
      <w:r w:rsidRPr="00B419CE">
        <w:t>regjeringsmedlemmane</w:t>
      </w:r>
      <w:proofErr w:type="spellEnd"/>
      <w:r w:rsidRPr="00B419CE">
        <w:t xml:space="preserve"> og andre </w:t>
      </w:r>
      <w:proofErr w:type="spellStart"/>
      <w:r w:rsidRPr="00B419CE">
        <w:t>politikarar</w:t>
      </w:r>
      <w:proofErr w:type="spellEnd"/>
      <w:r w:rsidRPr="00B419CE">
        <w:t xml:space="preserve"> i departementa.</w:t>
      </w:r>
    </w:p>
    <w:p w14:paraId="3DF6039D" w14:textId="77777777" w:rsidR="00B419CE" w:rsidRPr="00B419CE" w:rsidRDefault="00B419CE" w:rsidP="00B419CE">
      <w:r w:rsidRPr="00B419CE">
        <w:t xml:space="preserve">Statsministerens kontor har tre </w:t>
      </w:r>
      <w:proofErr w:type="spellStart"/>
      <w:r w:rsidRPr="00B419CE">
        <w:t>avdelingar</w:t>
      </w:r>
      <w:proofErr w:type="spellEnd"/>
      <w:r w:rsidRPr="00B419CE">
        <w:t xml:space="preserve"> (administrativ og konstitusjonell avdeling, </w:t>
      </w:r>
      <w:proofErr w:type="spellStart"/>
      <w:r w:rsidRPr="00B419CE">
        <w:t>innanriksavdelinga</w:t>
      </w:r>
      <w:proofErr w:type="spellEnd"/>
      <w:r w:rsidRPr="00B419CE">
        <w:t xml:space="preserve"> og internasjonal avdeling) og </w:t>
      </w:r>
      <w:proofErr w:type="spellStart"/>
      <w:r w:rsidRPr="00B419CE">
        <w:t>ein</w:t>
      </w:r>
      <w:proofErr w:type="spellEnd"/>
      <w:r w:rsidRPr="00B419CE">
        <w:t xml:space="preserve"> kommunikasjonsseksjon.</w:t>
      </w:r>
    </w:p>
    <w:p w14:paraId="21F560F3" w14:textId="77777777" w:rsidR="00B419CE" w:rsidRPr="00B419CE" w:rsidRDefault="00B419CE" w:rsidP="00B419CE">
      <w:pPr>
        <w:pStyle w:val="Undertittel"/>
      </w:pPr>
      <w:r w:rsidRPr="00B419CE">
        <w:t>Regjeringsadvokaten</w:t>
      </w:r>
    </w:p>
    <w:p w14:paraId="5D95059E" w14:textId="77777777" w:rsidR="00B419CE" w:rsidRPr="00B419CE" w:rsidRDefault="00B419CE" w:rsidP="00B419CE">
      <w:proofErr w:type="spellStart"/>
      <w:r w:rsidRPr="00B419CE">
        <w:t>Hovudoppgåvene</w:t>
      </w:r>
      <w:proofErr w:type="spellEnd"/>
      <w:r w:rsidRPr="00B419CE">
        <w:t xml:space="preserve"> til Regjeringsadvokaten er å føre sivile rettssaker på vegner av staten og </w:t>
      </w:r>
      <w:proofErr w:type="spellStart"/>
      <w:r w:rsidRPr="00B419CE">
        <w:t>gje</w:t>
      </w:r>
      <w:proofErr w:type="spellEnd"/>
      <w:r w:rsidRPr="00B419CE">
        <w:t xml:space="preserve"> fråsegner om </w:t>
      </w:r>
      <w:proofErr w:type="spellStart"/>
      <w:r w:rsidRPr="00B419CE">
        <w:t>rettslege</w:t>
      </w:r>
      <w:proofErr w:type="spellEnd"/>
      <w:r w:rsidRPr="00B419CE">
        <w:t xml:space="preserve"> spørsmål. Regjeringsadvokaten har som mål at staten får dekt behovet sitt for </w:t>
      </w:r>
      <w:proofErr w:type="spellStart"/>
      <w:r w:rsidRPr="00B419CE">
        <w:t>advokattenester</w:t>
      </w:r>
      <w:proofErr w:type="spellEnd"/>
      <w:r w:rsidRPr="00B419CE">
        <w:t xml:space="preserve"> på </w:t>
      </w:r>
      <w:proofErr w:type="spellStart"/>
      <w:r w:rsidRPr="00B419CE">
        <w:t>ein</w:t>
      </w:r>
      <w:proofErr w:type="spellEnd"/>
      <w:r w:rsidRPr="00B419CE">
        <w:t xml:space="preserve"> god måte, og slik at </w:t>
      </w:r>
      <w:proofErr w:type="spellStart"/>
      <w:r w:rsidRPr="00B419CE">
        <w:t>dei</w:t>
      </w:r>
      <w:proofErr w:type="spellEnd"/>
      <w:r w:rsidRPr="00B419CE">
        <w:t xml:space="preserve"> tildelte </w:t>
      </w:r>
      <w:proofErr w:type="spellStart"/>
      <w:r w:rsidRPr="00B419CE">
        <w:t>ressursane</w:t>
      </w:r>
      <w:proofErr w:type="spellEnd"/>
      <w:r w:rsidRPr="00B419CE">
        <w:t xml:space="preserve"> vert utnytta best </w:t>
      </w:r>
      <w:proofErr w:type="spellStart"/>
      <w:r w:rsidRPr="00B419CE">
        <w:t>mogleg</w:t>
      </w:r>
      <w:proofErr w:type="spellEnd"/>
      <w:r w:rsidRPr="00B419CE">
        <w:t xml:space="preserve"> sett under </w:t>
      </w:r>
      <w:proofErr w:type="spellStart"/>
      <w:r w:rsidRPr="00B419CE">
        <w:t>eitt</w:t>
      </w:r>
      <w:proofErr w:type="spellEnd"/>
      <w:r w:rsidRPr="00B419CE">
        <w:t xml:space="preserve">. </w:t>
      </w:r>
      <w:proofErr w:type="spellStart"/>
      <w:r w:rsidRPr="00B419CE">
        <w:t>Brukarane</w:t>
      </w:r>
      <w:proofErr w:type="spellEnd"/>
      <w:r w:rsidRPr="00B419CE">
        <w:t xml:space="preserve"> skal oppfatte embetet som serviceinnstilt, målretta og effektivt. Saksbehandlinga skal </w:t>
      </w:r>
      <w:proofErr w:type="spellStart"/>
      <w:r w:rsidRPr="00B419CE">
        <w:t>vere</w:t>
      </w:r>
      <w:proofErr w:type="spellEnd"/>
      <w:r w:rsidRPr="00B419CE">
        <w:t xml:space="preserve"> rask og god.</w:t>
      </w:r>
    </w:p>
    <w:p w14:paraId="39057935" w14:textId="77777777" w:rsidR="00B419CE" w:rsidRPr="00B419CE" w:rsidRDefault="00B419CE" w:rsidP="00B419CE">
      <w:proofErr w:type="spellStart"/>
      <w:r w:rsidRPr="00B419CE">
        <w:t>Brukarane</w:t>
      </w:r>
      <w:proofErr w:type="spellEnd"/>
      <w:r w:rsidRPr="00B419CE">
        <w:t xml:space="preserve"> til Regjeringsadvokaten er </w:t>
      </w:r>
      <w:proofErr w:type="spellStart"/>
      <w:r w:rsidRPr="00B419CE">
        <w:t>dei</w:t>
      </w:r>
      <w:proofErr w:type="spellEnd"/>
      <w:r w:rsidRPr="00B419CE">
        <w:t xml:space="preserve"> </w:t>
      </w:r>
      <w:proofErr w:type="spellStart"/>
      <w:r w:rsidRPr="00B419CE">
        <w:t>statlege</w:t>
      </w:r>
      <w:proofErr w:type="spellEnd"/>
      <w:r w:rsidRPr="00B419CE">
        <w:t xml:space="preserve"> organa, dvs. regjeringa, departementa og </w:t>
      </w:r>
      <w:proofErr w:type="spellStart"/>
      <w:r w:rsidRPr="00B419CE">
        <w:t>verksemdene</w:t>
      </w:r>
      <w:proofErr w:type="spellEnd"/>
      <w:r w:rsidRPr="00B419CE">
        <w:t xml:space="preserve"> under departementa. Saksfeltet </w:t>
      </w:r>
      <w:proofErr w:type="spellStart"/>
      <w:r w:rsidRPr="00B419CE">
        <w:t>omfattar</w:t>
      </w:r>
      <w:proofErr w:type="spellEnd"/>
      <w:r w:rsidRPr="00B419CE">
        <w:t xml:space="preserve"> </w:t>
      </w:r>
      <w:proofErr w:type="gramStart"/>
      <w:r w:rsidRPr="00B419CE">
        <w:t>alle område</w:t>
      </w:r>
      <w:proofErr w:type="gramEnd"/>
      <w:r w:rsidRPr="00B419CE">
        <w:t xml:space="preserve"> av staten si </w:t>
      </w:r>
      <w:proofErr w:type="spellStart"/>
      <w:r w:rsidRPr="00B419CE">
        <w:t>verksemd</w:t>
      </w:r>
      <w:proofErr w:type="spellEnd"/>
      <w:r w:rsidRPr="00B419CE">
        <w:t xml:space="preserve">. Viktige område er domstolskontroll av </w:t>
      </w:r>
      <w:proofErr w:type="spellStart"/>
      <w:r w:rsidRPr="00B419CE">
        <w:t>offentlege</w:t>
      </w:r>
      <w:proofErr w:type="spellEnd"/>
      <w:r w:rsidRPr="00B419CE">
        <w:t xml:space="preserve"> styresmakter (skatt, trygd, </w:t>
      </w:r>
      <w:proofErr w:type="spellStart"/>
      <w:r w:rsidRPr="00B419CE">
        <w:t>konsesjonar</w:t>
      </w:r>
      <w:proofErr w:type="spellEnd"/>
      <w:r w:rsidRPr="00B419CE">
        <w:t xml:space="preserve">, ekspropriasjon m.m.), skadebotsaker, </w:t>
      </w:r>
      <w:proofErr w:type="spellStart"/>
      <w:r w:rsidRPr="00B419CE">
        <w:t>eigedomssaker</w:t>
      </w:r>
      <w:proofErr w:type="spellEnd"/>
      <w:r w:rsidRPr="00B419CE">
        <w:t xml:space="preserve">, saker om arbeids- og </w:t>
      </w:r>
      <w:proofErr w:type="spellStart"/>
      <w:r w:rsidRPr="00B419CE">
        <w:t>tenestetilhøve</w:t>
      </w:r>
      <w:proofErr w:type="spellEnd"/>
      <w:r w:rsidRPr="00B419CE">
        <w:t xml:space="preserve"> m.m. I tillegg fører Regjeringsadvokaten saker for internasjonale </w:t>
      </w:r>
      <w:proofErr w:type="spellStart"/>
      <w:r w:rsidRPr="00B419CE">
        <w:t>domstolar</w:t>
      </w:r>
      <w:proofErr w:type="spellEnd"/>
      <w:r w:rsidRPr="00B419CE">
        <w:t xml:space="preserve">, t.d. Menneskerettsdomstolen i Strasbourg og </w:t>
      </w:r>
      <w:proofErr w:type="spellStart"/>
      <w:r w:rsidRPr="00B419CE">
        <w:t>domstolane</w:t>
      </w:r>
      <w:proofErr w:type="spellEnd"/>
      <w:r w:rsidRPr="00B419CE">
        <w:t xml:space="preserve"> i EU og EØS.</w:t>
      </w:r>
    </w:p>
    <w:p w14:paraId="2207B4EE" w14:textId="77777777" w:rsidR="00B419CE" w:rsidRPr="00B419CE" w:rsidRDefault="00B419CE" w:rsidP="00B419CE">
      <w:pPr>
        <w:pStyle w:val="b-budkaptit"/>
      </w:pPr>
      <w:r w:rsidRPr="00B419CE">
        <w:t>Kap. 20 Statsministerens kontor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140C73A7" w14:textId="77777777" w:rsidTr="00B419CE">
        <w:trPr>
          <w:trHeight w:val="640"/>
          <w:hidden/>
        </w:trPr>
        <w:tc>
          <w:tcPr>
            <w:tcW w:w="1140" w:type="dxa"/>
            <w:shd w:val="clear" w:color="auto" w:fill="FFFFFF"/>
          </w:tcPr>
          <w:p w14:paraId="1CB4DDAA" w14:textId="77777777" w:rsidR="00B419CE" w:rsidRPr="00B419CE" w:rsidRDefault="00B419CE" w:rsidP="00B419CE">
            <w:pPr>
              <w:pStyle w:val="Tabellnavn"/>
            </w:pPr>
            <w:r w:rsidRPr="00B419CE">
              <w:t>KPAL</w:t>
            </w:r>
          </w:p>
        </w:tc>
        <w:tc>
          <w:tcPr>
            <w:tcW w:w="4560" w:type="dxa"/>
          </w:tcPr>
          <w:p w14:paraId="61A87602" w14:textId="77777777" w:rsidR="00B419CE" w:rsidRPr="00B419CE" w:rsidRDefault="00B419CE" w:rsidP="00B419CE"/>
        </w:tc>
        <w:tc>
          <w:tcPr>
            <w:tcW w:w="1140" w:type="dxa"/>
          </w:tcPr>
          <w:p w14:paraId="16C40DDC" w14:textId="77777777" w:rsidR="00B419CE" w:rsidRPr="00B419CE" w:rsidRDefault="00B419CE" w:rsidP="00B419CE">
            <w:pPr>
              <w:jc w:val="right"/>
            </w:pPr>
          </w:p>
        </w:tc>
        <w:tc>
          <w:tcPr>
            <w:tcW w:w="1140" w:type="dxa"/>
          </w:tcPr>
          <w:p w14:paraId="7A54704F" w14:textId="77777777" w:rsidR="00B419CE" w:rsidRPr="00B419CE" w:rsidRDefault="00B419CE" w:rsidP="00B419CE">
            <w:pPr>
              <w:jc w:val="right"/>
            </w:pPr>
          </w:p>
        </w:tc>
        <w:tc>
          <w:tcPr>
            <w:tcW w:w="1140" w:type="dxa"/>
          </w:tcPr>
          <w:p w14:paraId="14657A2B" w14:textId="77777777" w:rsidR="00B419CE" w:rsidRPr="00B419CE" w:rsidRDefault="00B419CE" w:rsidP="00B419CE">
            <w:pPr>
              <w:jc w:val="right"/>
            </w:pPr>
            <w:r w:rsidRPr="00B419CE">
              <w:t>(i 1 000 kr)</w:t>
            </w:r>
          </w:p>
        </w:tc>
      </w:tr>
      <w:tr w:rsidR="00B419CE" w:rsidRPr="00B419CE" w14:paraId="70117294" w14:textId="77777777" w:rsidTr="00B419CE">
        <w:trPr>
          <w:trHeight w:val="600"/>
        </w:trPr>
        <w:tc>
          <w:tcPr>
            <w:tcW w:w="1140" w:type="dxa"/>
          </w:tcPr>
          <w:p w14:paraId="3CBD91B4" w14:textId="77777777" w:rsidR="00B419CE" w:rsidRPr="00B419CE" w:rsidRDefault="00B419CE" w:rsidP="00B419CE">
            <w:r w:rsidRPr="00B419CE">
              <w:lastRenderedPageBreak/>
              <w:t>Post</w:t>
            </w:r>
          </w:p>
        </w:tc>
        <w:tc>
          <w:tcPr>
            <w:tcW w:w="4560" w:type="dxa"/>
          </w:tcPr>
          <w:p w14:paraId="4F8B7D88" w14:textId="77777777" w:rsidR="00B419CE" w:rsidRPr="00B419CE" w:rsidRDefault="00B419CE" w:rsidP="00B419CE">
            <w:proofErr w:type="spellStart"/>
            <w:r w:rsidRPr="00B419CE">
              <w:t>Nemning</w:t>
            </w:r>
            <w:proofErr w:type="spellEnd"/>
          </w:p>
        </w:tc>
        <w:tc>
          <w:tcPr>
            <w:tcW w:w="1140" w:type="dxa"/>
          </w:tcPr>
          <w:p w14:paraId="355BADC3"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1925E623" w14:textId="77777777" w:rsidR="00B419CE" w:rsidRPr="00B419CE" w:rsidRDefault="00B419CE" w:rsidP="00B419CE">
            <w:pPr>
              <w:jc w:val="right"/>
            </w:pPr>
            <w:r w:rsidRPr="00B419CE">
              <w:t>Saldert</w:t>
            </w:r>
            <w:r w:rsidRPr="00B419CE">
              <w:br/>
              <w:t xml:space="preserve"> budsjett 2021</w:t>
            </w:r>
          </w:p>
        </w:tc>
        <w:tc>
          <w:tcPr>
            <w:tcW w:w="1140" w:type="dxa"/>
          </w:tcPr>
          <w:p w14:paraId="5DFA8D74" w14:textId="77777777" w:rsidR="00B419CE" w:rsidRPr="00B419CE" w:rsidRDefault="00B419CE" w:rsidP="00B419CE">
            <w:pPr>
              <w:jc w:val="right"/>
            </w:pPr>
            <w:r w:rsidRPr="00B419CE">
              <w:t>Forslag</w:t>
            </w:r>
            <w:r w:rsidRPr="00B419CE">
              <w:br/>
              <w:t xml:space="preserve"> 2022</w:t>
            </w:r>
          </w:p>
        </w:tc>
      </w:tr>
      <w:tr w:rsidR="00B419CE" w:rsidRPr="00B419CE" w14:paraId="41A6EE6C" w14:textId="77777777" w:rsidTr="00B419CE">
        <w:trPr>
          <w:trHeight w:val="380"/>
        </w:trPr>
        <w:tc>
          <w:tcPr>
            <w:tcW w:w="1140" w:type="dxa"/>
          </w:tcPr>
          <w:p w14:paraId="686596FE" w14:textId="77777777" w:rsidR="00B419CE" w:rsidRPr="00B419CE" w:rsidRDefault="00B419CE" w:rsidP="00B419CE">
            <w:r w:rsidRPr="00B419CE">
              <w:t>01</w:t>
            </w:r>
          </w:p>
        </w:tc>
        <w:tc>
          <w:tcPr>
            <w:tcW w:w="4560" w:type="dxa"/>
          </w:tcPr>
          <w:p w14:paraId="1C5E7899" w14:textId="77777777" w:rsidR="00B419CE" w:rsidRPr="00B419CE" w:rsidRDefault="00B419CE" w:rsidP="00B419CE">
            <w:r w:rsidRPr="00B419CE">
              <w:t>Driftsutgifter</w:t>
            </w:r>
          </w:p>
        </w:tc>
        <w:tc>
          <w:tcPr>
            <w:tcW w:w="1140" w:type="dxa"/>
          </w:tcPr>
          <w:p w14:paraId="6F4555C1" w14:textId="77777777" w:rsidR="00B419CE" w:rsidRPr="00B419CE" w:rsidRDefault="00B419CE" w:rsidP="00B419CE">
            <w:pPr>
              <w:jc w:val="right"/>
            </w:pPr>
            <w:r w:rsidRPr="00B419CE">
              <w:t>123 899</w:t>
            </w:r>
          </w:p>
        </w:tc>
        <w:tc>
          <w:tcPr>
            <w:tcW w:w="1140" w:type="dxa"/>
          </w:tcPr>
          <w:p w14:paraId="51F7B497" w14:textId="77777777" w:rsidR="00B419CE" w:rsidRPr="00B419CE" w:rsidRDefault="00B419CE" w:rsidP="00B419CE">
            <w:pPr>
              <w:jc w:val="right"/>
            </w:pPr>
            <w:r w:rsidRPr="00B419CE">
              <w:t>93 315</w:t>
            </w:r>
          </w:p>
        </w:tc>
        <w:tc>
          <w:tcPr>
            <w:tcW w:w="1140" w:type="dxa"/>
          </w:tcPr>
          <w:p w14:paraId="26D7D8DA" w14:textId="77777777" w:rsidR="00B419CE" w:rsidRPr="00B419CE" w:rsidRDefault="00B419CE" w:rsidP="00B419CE">
            <w:pPr>
              <w:jc w:val="right"/>
            </w:pPr>
            <w:r w:rsidRPr="00B419CE">
              <w:t>95 181</w:t>
            </w:r>
          </w:p>
        </w:tc>
      </w:tr>
      <w:tr w:rsidR="00B419CE" w:rsidRPr="00B419CE" w14:paraId="2397B002" w14:textId="77777777" w:rsidTr="00B419CE">
        <w:trPr>
          <w:trHeight w:val="640"/>
        </w:trPr>
        <w:tc>
          <w:tcPr>
            <w:tcW w:w="1140" w:type="dxa"/>
          </w:tcPr>
          <w:p w14:paraId="3C158D29" w14:textId="77777777" w:rsidR="00B419CE" w:rsidRPr="00B419CE" w:rsidRDefault="00B419CE" w:rsidP="00B419CE">
            <w:r w:rsidRPr="00B419CE">
              <w:t>21</w:t>
            </w:r>
          </w:p>
        </w:tc>
        <w:tc>
          <w:tcPr>
            <w:tcW w:w="4560" w:type="dxa"/>
          </w:tcPr>
          <w:p w14:paraId="21D53543" w14:textId="77777777" w:rsidR="00B419CE" w:rsidRPr="00B419CE" w:rsidRDefault="00B419CE" w:rsidP="00B419CE">
            <w:r w:rsidRPr="00B419CE">
              <w:t>Spesielle driftsutgifter, Koronakommisjonen</w:t>
            </w:r>
            <w:r w:rsidRPr="00B419CE">
              <w:rPr>
                <w:rStyle w:val="kursiv"/>
              </w:rPr>
              <w:t xml:space="preserve">, </w:t>
            </w:r>
            <w:r w:rsidRPr="00B419CE">
              <w:rPr>
                <w:rStyle w:val="kursiv"/>
              </w:rPr>
              <w:br/>
              <w:t xml:space="preserve">kan </w:t>
            </w:r>
            <w:proofErr w:type="spellStart"/>
            <w:r w:rsidRPr="00B419CE">
              <w:rPr>
                <w:rStyle w:val="kursiv"/>
              </w:rPr>
              <w:t>overførast</w:t>
            </w:r>
            <w:proofErr w:type="spellEnd"/>
          </w:p>
        </w:tc>
        <w:tc>
          <w:tcPr>
            <w:tcW w:w="1140" w:type="dxa"/>
          </w:tcPr>
          <w:p w14:paraId="0B691D3D" w14:textId="77777777" w:rsidR="00B419CE" w:rsidRPr="00B419CE" w:rsidRDefault="00B419CE" w:rsidP="00B419CE">
            <w:pPr>
              <w:jc w:val="right"/>
            </w:pPr>
            <w:r w:rsidRPr="00B419CE">
              <w:t>8 908</w:t>
            </w:r>
          </w:p>
        </w:tc>
        <w:tc>
          <w:tcPr>
            <w:tcW w:w="1140" w:type="dxa"/>
          </w:tcPr>
          <w:p w14:paraId="5A937517" w14:textId="77777777" w:rsidR="00B419CE" w:rsidRPr="00B419CE" w:rsidRDefault="00B419CE" w:rsidP="00B419CE">
            <w:pPr>
              <w:jc w:val="right"/>
            </w:pPr>
            <w:r w:rsidRPr="00B419CE">
              <w:t>10 000</w:t>
            </w:r>
          </w:p>
        </w:tc>
        <w:tc>
          <w:tcPr>
            <w:tcW w:w="1140" w:type="dxa"/>
          </w:tcPr>
          <w:p w14:paraId="65FFDB94" w14:textId="77777777" w:rsidR="00B419CE" w:rsidRPr="00B419CE" w:rsidRDefault="00B419CE" w:rsidP="00B419CE">
            <w:pPr>
              <w:jc w:val="right"/>
            </w:pPr>
            <w:r w:rsidRPr="00B419CE">
              <w:t>5 000</w:t>
            </w:r>
          </w:p>
        </w:tc>
      </w:tr>
      <w:tr w:rsidR="00B419CE" w:rsidRPr="00B419CE" w14:paraId="0F0021BF" w14:textId="77777777" w:rsidTr="00B419CE">
        <w:trPr>
          <w:trHeight w:val="380"/>
        </w:trPr>
        <w:tc>
          <w:tcPr>
            <w:tcW w:w="1140" w:type="dxa"/>
          </w:tcPr>
          <w:p w14:paraId="0D47FE24" w14:textId="77777777" w:rsidR="00B419CE" w:rsidRPr="00B419CE" w:rsidRDefault="00B419CE" w:rsidP="00B419CE"/>
        </w:tc>
        <w:tc>
          <w:tcPr>
            <w:tcW w:w="4560" w:type="dxa"/>
          </w:tcPr>
          <w:p w14:paraId="1DED7483" w14:textId="77777777" w:rsidR="00B419CE" w:rsidRPr="00B419CE" w:rsidRDefault="00B419CE" w:rsidP="00B419CE">
            <w:r w:rsidRPr="00B419CE">
              <w:t>Sum kap. 20</w:t>
            </w:r>
          </w:p>
        </w:tc>
        <w:tc>
          <w:tcPr>
            <w:tcW w:w="1140" w:type="dxa"/>
          </w:tcPr>
          <w:p w14:paraId="399B795E" w14:textId="77777777" w:rsidR="00B419CE" w:rsidRPr="00B419CE" w:rsidRDefault="00B419CE" w:rsidP="00B419CE">
            <w:pPr>
              <w:jc w:val="right"/>
            </w:pPr>
            <w:r w:rsidRPr="00B419CE">
              <w:t>132 807</w:t>
            </w:r>
          </w:p>
        </w:tc>
        <w:tc>
          <w:tcPr>
            <w:tcW w:w="1140" w:type="dxa"/>
          </w:tcPr>
          <w:p w14:paraId="1C8BD255" w14:textId="77777777" w:rsidR="00B419CE" w:rsidRPr="00B419CE" w:rsidRDefault="00B419CE" w:rsidP="00B419CE">
            <w:pPr>
              <w:jc w:val="right"/>
            </w:pPr>
            <w:r w:rsidRPr="00B419CE">
              <w:t>103 315</w:t>
            </w:r>
          </w:p>
        </w:tc>
        <w:tc>
          <w:tcPr>
            <w:tcW w:w="1140" w:type="dxa"/>
          </w:tcPr>
          <w:p w14:paraId="3B10CFC9" w14:textId="77777777" w:rsidR="00B419CE" w:rsidRPr="00B419CE" w:rsidRDefault="00B419CE" w:rsidP="00B419CE">
            <w:pPr>
              <w:jc w:val="right"/>
            </w:pPr>
            <w:r w:rsidRPr="00B419CE">
              <w:t>100 181</w:t>
            </w:r>
          </w:p>
        </w:tc>
      </w:tr>
    </w:tbl>
    <w:p w14:paraId="131B5A0E" w14:textId="77777777" w:rsidR="00B419CE" w:rsidRPr="00B419CE" w:rsidRDefault="00B419CE" w:rsidP="00B419CE">
      <w:pPr>
        <w:pStyle w:val="Undertittel"/>
      </w:pPr>
      <w:r w:rsidRPr="00B419CE">
        <w:t>Rapport 2020</w:t>
      </w:r>
    </w:p>
    <w:p w14:paraId="1B5A915F" w14:textId="77777777" w:rsidR="00B419CE" w:rsidRPr="00B419CE" w:rsidRDefault="00B419CE" w:rsidP="00B419CE">
      <w:pPr>
        <w:pStyle w:val="b-post"/>
      </w:pPr>
      <w:r w:rsidRPr="00B419CE">
        <w:t>Post 01 Driftsutgifter</w:t>
      </w:r>
    </w:p>
    <w:p w14:paraId="7C87AB85" w14:textId="77777777" w:rsidR="00B419CE" w:rsidRPr="00B419CE" w:rsidRDefault="00B419CE" w:rsidP="00B419CE">
      <w:r w:rsidRPr="00B419CE">
        <w:t xml:space="preserve">Statsministerens kontor har støtta statsministeren i å leie og samordne arbeidet til regjeringa, m.a. med å førebu, gjennomføre og </w:t>
      </w:r>
      <w:proofErr w:type="spellStart"/>
      <w:r w:rsidRPr="00B419CE">
        <w:t>følgje</w:t>
      </w:r>
      <w:proofErr w:type="spellEnd"/>
      <w:r w:rsidRPr="00B419CE">
        <w:t xml:space="preserve"> opp </w:t>
      </w:r>
      <w:proofErr w:type="spellStart"/>
      <w:r w:rsidRPr="00B419CE">
        <w:t>regjeringskonferansane</w:t>
      </w:r>
      <w:proofErr w:type="spellEnd"/>
      <w:r w:rsidRPr="00B419CE">
        <w:t xml:space="preserve">. Om lag 80 pst. av utgiftene i 2020 var </w:t>
      </w:r>
      <w:proofErr w:type="spellStart"/>
      <w:r w:rsidRPr="00B419CE">
        <w:t>løn</w:t>
      </w:r>
      <w:proofErr w:type="spellEnd"/>
      <w:r w:rsidRPr="00B419CE">
        <w:t xml:space="preserve"> og </w:t>
      </w:r>
      <w:proofErr w:type="spellStart"/>
      <w:r w:rsidRPr="00B419CE">
        <w:t>godtgjersler</w:t>
      </w:r>
      <w:proofErr w:type="spellEnd"/>
      <w:r w:rsidRPr="00B419CE">
        <w:t xml:space="preserve"> til </w:t>
      </w:r>
      <w:proofErr w:type="gramStart"/>
      <w:r w:rsidRPr="00B419CE">
        <w:t>tilsette</w:t>
      </w:r>
      <w:proofErr w:type="gramEnd"/>
      <w:r w:rsidRPr="00B419CE">
        <w:t xml:space="preserve">. Andre større utgifter var </w:t>
      </w:r>
      <w:proofErr w:type="spellStart"/>
      <w:r w:rsidRPr="00B419CE">
        <w:t>husleige</w:t>
      </w:r>
      <w:proofErr w:type="spellEnd"/>
      <w:r w:rsidRPr="00B419CE">
        <w:t xml:space="preserve"> og reiseutgifter. </w:t>
      </w:r>
      <w:proofErr w:type="spellStart"/>
      <w:r w:rsidRPr="00B419CE">
        <w:t>Hovudårsaka</w:t>
      </w:r>
      <w:proofErr w:type="spellEnd"/>
      <w:r w:rsidRPr="00B419CE">
        <w:t xml:space="preserve"> til reduksjonen </w:t>
      </w:r>
      <w:proofErr w:type="spellStart"/>
      <w:r w:rsidRPr="00B419CE">
        <w:t>frå</w:t>
      </w:r>
      <w:proofErr w:type="spellEnd"/>
      <w:r w:rsidRPr="00B419CE">
        <w:t xml:space="preserve"> </w:t>
      </w:r>
      <w:proofErr w:type="spellStart"/>
      <w:r w:rsidRPr="00B419CE">
        <w:t>rekneskap</w:t>
      </w:r>
      <w:proofErr w:type="spellEnd"/>
      <w:r w:rsidRPr="00B419CE">
        <w:t xml:space="preserve"> 2020 til saldert budsjett 2021 var at Regjeringas </w:t>
      </w:r>
      <w:proofErr w:type="spellStart"/>
      <w:r w:rsidRPr="00B419CE">
        <w:t>bilteneste</w:t>
      </w:r>
      <w:proofErr w:type="spellEnd"/>
      <w:r w:rsidRPr="00B419CE">
        <w:t xml:space="preserve"> blei overført til Politiets sikkerheitsteneste </w:t>
      </w:r>
      <w:proofErr w:type="spellStart"/>
      <w:r w:rsidRPr="00B419CE">
        <w:t>frå</w:t>
      </w:r>
      <w:proofErr w:type="spellEnd"/>
      <w:r w:rsidRPr="00B419CE">
        <w:t xml:space="preserve"> 1. januar 2021.</w:t>
      </w:r>
    </w:p>
    <w:p w14:paraId="7BCC0E7D" w14:textId="77777777" w:rsidR="00B419CE" w:rsidRPr="00B419CE" w:rsidRDefault="00B419CE" w:rsidP="00B419CE">
      <w:pPr>
        <w:pStyle w:val="Undertittel"/>
      </w:pPr>
      <w:r w:rsidRPr="00B419CE">
        <w:t>Budsjett 2022</w:t>
      </w:r>
    </w:p>
    <w:p w14:paraId="5E54D74E" w14:textId="77777777" w:rsidR="00B419CE" w:rsidRPr="00B419CE" w:rsidRDefault="00B419CE" w:rsidP="00B419CE">
      <w:pPr>
        <w:pStyle w:val="b-post"/>
      </w:pPr>
      <w:r w:rsidRPr="00B419CE">
        <w:t>Post 01 Driftsutgifter</w:t>
      </w:r>
    </w:p>
    <w:p w14:paraId="77D4BBF3" w14:textId="77777777" w:rsidR="00B419CE" w:rsidRPr="00B419CE" w:rsidRDefault="00B419CE" w:rsidP="00B419CE">
      <w:r w:rsidRPr="00B419CE">
        <w:t xml:space="preserve">Løyvinga under kap. 20 </w:t>
      </w:r>
      <w:r w:rsidRPr="00B419CE">
        <w:rPr>
          <w:rStyle w:val="kursiv"/>
        </w:rPr>
        <w:t>Statsministerens kontor</w:t>
      </w:r>
      <w:r w:rsidRPr="00B419CE">
        <w:t xml:space="preserve"> </w:t>
      </w:r>
      <w:proofErr w:type="spellStart"/>
      <w:r w:rsidRPr="00B419CE">
        <w:t>dekkjer</w:t>
      </w:r>
      <w:proofErr w:type="spellEnd"/>
      <w:r w:rsidRPr="00B419CE">
        <w:t xml:space="preserve"> </w:t>
      </w:r>
      <w:proofErr w:type="spellStart"/>
      <w:r w:rsidRPr="00B419CE">
        <w:t>vanlege</w:t>
      </w:r>
      <w:proofErr w:type="spellEnd"/>
      <w:r w:rsidRPr="00B419CE">
        <w:t xml:space="preserve"> driftsutgifter for kontoret. Framlegget </w:t>
      </w:r>
      <w:proofErr w:type="spellStart"/>
      <w:r w:rsidRPr="00B419CE">
        <w:t>inneber</w:t>
      </w:r>
      <w:proofErr w:type="spellEnd"/>
      <w:r w:rsidRPr="00B419CE">
        <w:t xml:space="preserve"> ei budsjettramme på 95,2 mill. kroner.</w:t>
      </w:r>
    </w:p>
    <w:p w14:paraId="373B59B5" w14:textId="77777777" w:rsidR="00B419CE" w:rsidRPr="00B419CE" w:rsidRDefault="00B419CE" w:rsidP="00B419CE">
      <w:pPr>
        <w:pStyle w:val="avsnitt-undertittel"/>
      </w:pPr>
      <w:r w:rsidRPr="00B419CE">
        <w:t>Implementeringa av ny lov om nasjonal sikkerhet</w:t>
      </w:r>
    </w:p>
    <w:p w14:paraId="7AED351D" w14:textId="77777777" w:rsidR="00B419CE" w:rsidRPr="00B419CE" w:rsidRDefault="00B419CE" w:rsidP="00B419CE">
      <w:r w:rsidRPr="00B419CE">
        <w:t xml:space="preserve">Lov om nasjonal sikkerhet (sikkerhetsloven) tok til å gjelde 1. januar 2019, og alle </w:t>
      </w:r>
      <w:proofErr w:type="spellStart"/>
      <w:r w:rsidRPr="00B419CE">
        <w:t>sektorar</w:t>
      </w:r>
      <w:proofErr w:type="spellEnd"/>
      <w:r w:rsidRPr="00B419CE">
        <w:t xml:space="preserve"> arbeider med å </w:t>
      </w:r>
      <w:proofErr w:type="gramStart"/>
      <w:r w:rsidRPr="00B419CE">
        <w:t>implementere</w:t>
      </w:r>
      <w:proofErr w:type="gramEnd"/>
      <w:r w:rsidRPr="00B419CE">
        <w:t xml:space="preserve"> lova. </w:t>
      </w:r>
      <w:proofErr w:type="spellStart"/>
      <w:r w:rsidRPr="00B419CE">
        <w:t>Føremålet</w:t>
      </w:r>
      <w:proofErr w:type="spellEnd"/>
      <w:r w:rsidRPr="00B419CE">
        <w:t xml:space="preserve"> med lova er å </w:t>
      </w:r>
      <w:proofErr w:type="spellStart"/>
      <w:r w:rsidRPr="00B419CE">
        <w:t>tryggje</w:t>
      </w:r>
      <w:proofErr w:type="spellEnd"/>
      <w:r w:rsidRPr="00B419CE">
        <w:t xml:space="preserve"> </w:t>
      </w:r>
      <w:proofErr w:type="spellStart"/>
      <w:r w:rsidRPr="00B419CE">
        <w:t>dei</w:t>
      </w:r>
      <w:proofErr w:type="spellEnd"/>
      <w:r w:rsidRPr="00B419CE">
        <w:t xml:space="preserve"> nasjonale </w:t>
      </w:r>
      <w:proofErr w:type="spellStart"/>
      <w:r w:rsidRPr="00B419CE">
        <w:t>sikkerheitsinteressene</w:t>
      </w:r>
      <w:proofErr w:type="spellEnd"/>
      <w:r w:rsidRPr="00B419CE">
        <w:t xml:space="preserve"> våre og å </w:t>
      </w:r>
      <w:proofErr w:type="spellStart"/>
      <w:r w:rsidRPr="00B419CE">
        <w:t>førebyggje</w:t>
      </w:r>
      <w:proofErr w:type="spellEnd"/>
      <w:r w:rsidRPr="00B419CE">
        <w:t xml:space="preserve">, </w:t>
      </w:r>
      <w:proofErr w:type="spellStart"/>
      <w:r w:rsidRPr="00B419CE">
        <w:t>avdekkje</w:t>
      </w:r>
      <w:proofErr w:type="spellEnd"/>
      <w:r w:rsidRPr="00B419CE">
        <w:t xml:space="preserve"> og </w:t>
      </w:r>
      <w:proofErr w:type="spellStart"/>
      <w:r w:rsidRPr="00B419CE">
        <w:t>motverke</w:t>
      </w:r>
      <w:proofErr w:type="spellEnd"/>
      <w:r w:rsidRPr="00B419CE">
        <w:t xml:space="preserve"> </w:t>
      </w:r>
      <w:proofErr w:type="spellStart"/>
      <w:r w:rsidRPr="00B419CE">
        <w:t>sikkerheitstrugande</w:t>
      </w:r>
      <w:proofErr w:type="spellEnd"/>
      <w:r w:rsidRPr="00B419CE">
        <w:t xml:space="preserve"> </w:t>
      </w:r>
      <w:proofErr w:type="spellStart"/>
      <w:r w:rsidRPr="00B419CE">
        <w:t>verksemd</w:t>
      </w:r>
      <w:proofErr w:type="spellEnd"/>
      <w:r w:rsidRPr="00B419CE">
        <w:t xml:space="preserve">. Dei nasjonale </w:t>
      </w:r>
      <w:proofErr w:type="spellStart"/>
      <w:r w:rsidRPr="00B419CE">
        <w:t>sikkerheitsinteressene</w:t>
      </w:r>
      <w:proofErr w:type="spellEnd"/>
      <w:r w:rsidRPr="00B419CE">
        <w:t xml:space="preserve"> blir </w:t>
      </w:r>
      <w:proofErr w:type="spellStart"/>
      <w:r w:rsidRPr="00B419CE">
        <w:t>tryggja</w:t>
      </w:r>
      <w:proofErr w:type="spellEnd"/>
      <w:r w:rsidRPr="00B419CE">
        <w:t xml:space="preserve"> ved at departementa identifiserer </w:t>
      </w:r>
      <w:proofErr w:type="spellStart"/>
      <w:r w:rsidRPr="00B419CE">
        <w:t>grunnleggjande</w:t>
      </w:r>
      <w:proofErr w:type="spellEnd"/>
      <w:r w:rsidRPr="00B419CE">
        <w:t xml:space="preserve"> nasjonale </w:t>
      </w:r>
      <w:proofErr w:type="spellStart"/>
      <w:r w:rsidRPr="00B419CE">
        <w:t>funksjonar</w:t>
      </w:r>
      <w:proofErr w:type="spellEnd"/>
      <w:r w:rsidRPr="00B419CE">
        <w:t xml:space="preserve"> (GNF) </w:t>
      </w:r>
      <w:proofErr w:type="spellStart"/>
      <w:r w:rsidRPr="00B419CE">
        <w:t>innanfor</w:t>
      </w:r>
      <w:proofErr w:type="spellEnd"/>
      <w:r w:rsidRPr="00B419CE">
        <w:t xml:space="preserve"> sine ansvarsområde, </w:t>
      </w:r>
      <w:proofErr w:type="spellStart"/>
      <w:r w:rsidRPr="00B419CE">
        <w:t>verksemder</w:t>
      </w:r>
      <w:proofErr w:type="spellEnd"/>
      <w:r w:rsidRPr="00B419CE">
        <w:t xml:space="preserve"> av </w:t>
      </w:r>
      <w:proofErr w:type="spellStart"/>
      <w:r w:rsidRPr="00B419CE">
        <w:t>avgjerande</w:t>
      </w:r>
      <w:proofErr w:type="spellEnd"/>
      <w:r w:rsidRPr="00B419CE">
        <w:t xml:space="preserve"> betydning for GNF vert </w:t>
      </w:r>
      <w:proofErr w:type="spellStart"/>
      <w:r w:rsidRPr="00B419CE">
        <w:t>underlagde</w:t>
      </w:r>
      <w:proofErr w:type="spellEnd"/>
      <w:r w:rsidRPr="00B419CE">
        <w:t xml:space="preserve"> tryggingslova, og </w:t>
      </w:r>
      <w:proofErr w:type="spellStart"/>
      <w:r w:rsidRPr="00B419CE">
        <w:t>naudsynte</w:t>
      </w:r>
      <w:proofErr w:type="spellEnd"/>
      <w:r w:rsidRPr="00B419CE">
        <w:t xml:space="preserve"> sikringstiltak for skjermingsverdige </w:t>
      </w:r>
      <w:proofErr w:type="spellStart"/>
      <w:r w:rsidRPr="00B419CE">
        <w:t>verdiar</w:t>
      </w:r>
      <w:proofErr w:type="spellEnd"/>
      <w:r w:rsidRPr="00B419CE">
        <w:t xml:space="preserve"> vert gjennomførte. For å vareta </w:t>
      </w:r>
      <w:proofErr w:type="spellStart"/>
      <w:r w:rsidRPr="00B419CE">
        <w:t>føremålet</w:t>
      </w:r>
      <w:proofErr w:type="spellEnd"/>
      <w:r w:rsidRPr="00B419CE">
        <w:t xml:space="preserve"> med lova, vil GNF-prosessen </w:t>
      </w:r>
      <w:proofErr w:type="spellStart"/>
      <w:r w:rsidRPr="00B419CE">
        <w:t>vere</w:t>
      </w:r>
      <w:proofErr w:type="spellEnd"/>
      <w:r w:rsidRPr="00B419CE">
        <w:t xml:space="preserve"> </w:t>
      </w:r>
      <w:proofErr w:type="spellStart"/>
      <w:r w:rsidRPr="00B419CE">
        <w:t>ein</w:t>
      </w:r>
      <w:proofErr w:type="spellEnd"/>
      <w:r w:rsidRPr="00B419CE">
        <w:t xml:space="preserve"> </w:t>
      </w:r>
      <w:proofErr w:type="spellStart"/>
      <w:r w:rsidRPr="00B419CE">
        <w:t>kontinuerleg</w:t>
      </w:r>
      <w:proofErr w:type="spellEnd"/>
      <w:r w:rsidRPr="00B419CE">
        <w:t xml:space="preserve"> prosess. Denne prosessen kan føre til </w:t>
      </w:r>
      <w:proofErr w:type="spellStart"/>
      <w:r w:rsidRPr="00B419CE">
        <w:t>endringar</w:t>
      </w:r>
      <w:proofErr w:type="spellEnd"/>
      <w:r w:rsidRPr="00B419CE">
        <w:t xml:space="preserve"> når det </w:t>
      </w:r>
      <w:proofErr w:type="spellStart"/>
      <w:r w:rsidRPr="00B419CE">
        <w:t>gjeld</w:t>
      </w:r>
      <w:proofErr w:type="spellEnd"/>
      <w:r w:rsidRPr="00B419CE">
        <w:t xml:space="preserve"> identifiserte </w:t>
      </w:r>
      <w:proofErr w:type="spellStart"/>
      <w:r w:rsidRPr="00B419CE">
        <w:t>funksjonar</w:t>
      </w:r>
      <w:proofErr w:type="spellEnd"/>
      <w:r w:rsidRPr="00B419CE">
        <w:t xml:space="preserve"> og skjermingsverdige </w:t>
      </w:r>
      <w:proofErr w:type="spellStart"/>
      <w:r w:rsidRPr="00B419CE">
        <w:t>verdiar</w:t>
      </w:r>
      <w:proofErr w:type="spellEnd"/>
      <w:r w:rsidRPr="00B419CE">
        <w:t xml:space="preserve">, kva for </w:t>
      </w:r>
      <w:proofErr w:type="spellStart"/>
      <w:r w:rsidRPr="00B419CE">
        <w:t>verksemder</w:t>
      </w:r>
      <w:proofErr w:type="spellEnd"/>
      <w:r w:rsidRPr="00B419CE">
        <w:t xml:space="preserve"> som er av </w:t>
      </w:r>
      <w:proofErr w:type="spellStart"/>
      <w:r w:rsidRPr="00B419CE">
        <w:t>vesentleg</w:t>
      </w:r>
      <w:proofErr w:type="spellEnd"/>
      <w:r w:rsidRPr="00B419CE">
        <w:t xml:space="preserve"> og </w:t>
      </w:r>
      <w:proofErr w:type="spellStart"/>
      <w:r w:rsidRPr="00B419CE">
        <w:t>avgjerande</w:t>
      </w:r>
      <w:proofErr w:type="spellEnd"/>
      <w:r w:rsidRPr="00B419CE">
        <w:t xml:space="preserve"> </w:t>
      </w:r>
      <w:proofErr w:type="spellStart"/>
      <w:r w:rsidRPr="00B419CE">
        <w:t>betyding</w:t>
      </w:r>
      <w:proofErr w:type="spellEnd"/>
      <w:r w:rsidRPr="00B419CE">
        <w:t xml:space="preserve">, og i kva grad ei </w:t>
      </w:r>
      <w:proofErr w:type="spellStart"/>
      <w:r w:rsidRPr="00B419CE">
        <w:t>verksemd</w:t>
      </w:r>
      <w:proofErr w:type="spellEnd"/>
      <w:r w:rsidRPr="00B419CE">
        <w:t xml:space="preserve"> er avhengig av eksterne </w:t>
      </w:r>
      <w:proofErr w:type="spellStart"/>
      <w:r w:rsidRPr="00B419CE">
        <w:t>ressursar</w:t>
      </w:r>
      <w:proofErr w:type="spellEnd"/>
      <w:r w:rsidRPr="00B419CE">
        <w:t xml:space="preserve"> (andre </w:t>
      </w:r>
      <w:proofErr w:type="spellStart"/>
      <w:r w:rsidRPr="00B419CE">
        <w:t>verksemder</w:t>
      </w:r>
      <w:proofErr w:type="spellEnd"/>
      <w:r w:rsidRPr="00B419CE">
        <w:t xml:space="preserve">). Kva som vil </w:t>
      </w:r>
      <w:proofErr w:type="spellStart"/>
      <w:r w:rsidRPr="00B419CE">
        <w:t>krevjast</w:t>
      </w:r>
      <w:proofErr w:type="spellEnd"/>
      <w:r w:rsidRPr="00B419CE">
        <w:t xml:space="preserve"> for å oppnå </w:t>
      </w:r>
      <w:proofErr w:type="spellStart"/>
      <w:r w:rsidRPr="00B419CE">
        <w:t>eit</w:t>
      </w:r>
      <w:proofErr w:type="spellEnd"/>
      <w:r w:rsidRPr="00B419CE">
        <w:t xml:space="preserve"> </w:t>
      </w:r>
      <w:proofErr w:type="spellStart"/>
      <w:r w:rsidRPr="00B419CE">
        <w:t>forsvarleg</w:t>
      </w:r>
      <w:proofErr w:type="spellEnd"/>
      <w:r w:rsidRPr="00B419CE">
        <w:t xml:space="preserve"> </w:t>
      </w:r>
      <w:proofErr w:type="spellStart"/>
      <w:r w:rsidRPr="00B419CE">
        <w:t>sikkerheitsnivå</w:t>
      </w:r>
      <w:proofErr w:type="spellEnd"/>
      <w:r w:rsidRPr="00B419CE">
        <w:t>, kan òg bli endra.</w:t>
      </w:r>
    </w:p>
    <w:p w14:paraId="791B9ADC" w14:textId="77777777" w:rsidR="00B419CE" w:rsidRPr="00B419CE" w:rsidRDefault="00B419CE" w:rsidP="00B419CE">
      <w:r w:rsidRPr="00B419CE">
        <w:t xml:space="preserve">Statsministerens kontor har identifisert </w:t>
      </w:r>
      <w:proofErr w:type="spellStart"/>
      <w:r w:rsidRPr="00B419CE">
        <w:t>følgjande</w:t>
      </w:r>
      <w:proofErr w:type="spellEnd"/>
      <w:r w:rsidRPr="00B419CE">
        <w:t xml:space="preserve"> </w:t>
      </w:r>
      <w:proofErr w:type="spellStart"/>
      <w:r w:rsidRPr="00B419CE">
        <w:t>grunnleggjande</w:t>
      </w:r>
      <w:proofErr w:type="spellEnd"/>
      <w:r w:rsidRPr="00B419CE">
        <w:t xml:space="preserve"> nasjonale </w:t>
      </w:r>
      <w:proofErr w:type="spellStart"/>
      <w:r w:rsidRPr="00B419CE">
        <w:t>funksjonar</w:t>
      </w:r>
      <w:proofErr w:type="spellEnd"/>
      <w:r w:rsidRPr="00B419CE">
        <w:t xml:space="preserve"> i eigen sektor: </w:t>
      </w:r>
      <w:r w:rsidRPr="00B419CE">
        <w:rPr>
          <w:rStyle w:val="kursiv"/>
        </w:rPr>
        <w:t xml:space="preserve">SMK GNF 1: Statsministerens kontors virksomhet, handlefrihet og </w:t>
      </w:r>
      <w:r w:rsidRPr="00B419CE">
        <w:rPr>
          <w:rStyle w:val="kursiv"/>
        </w:rPr>
        <w:lastRenderedPageBreak/>
        <w:t>beslutningsdyktighet</w:t>
      </w:r>
      <w:r w:rsidRPr="00B419CE">
        <w:t xml:space="preserve"> </w:t>
      </w:r>
      <w:proofErr w:type="spellStart"/>
      <w:r w:rsidRPr="00B419CE">
        <w:t>omfattar</w:t>
      </w:r>
      <w:proofErr w:type="spellEnd"/>
      <w:r w:rsidRPr="00B419CE">
        <w:t xml:space="preserve"> kontoret </w:t>
      </w:r>
      <w:proofErr w:type="spellStart"/>
      <w:r w:rsidRPr="00B419CE">
        <w:t>si</w:t>
      </w:r>
      <w:proofErr w:type="spellEnd"/>
      <w:r w:rsidRPr="00B419CE">
        <w:t xml:space="preserve"> rolle som </w:t>
      </w:r>
      <w:proofErr w:type="spellStart"/>
      <w:r w:rsidRPr="00B419CE">
        <w:t>fagleg</w:t>
      </w:r>
      <w:proofErr w:type="spellEnd"/>
      <w:r w:rsidRPr="00B419CE">
        <w:t xml:space="preserve"> sekretariat for politisk leiing, utøving av </w:t>
      </w:r>
      <w:proofErr w:type="spellStart"/>
      <w:r w:rsidRPr="00B419CE">
        <w:t>myndigheit</w:t>
      </w:r>
      <w:proofErr w:type="spellEnd"/>
      <w:r w:rsidRPr="00B419CE">
        <w:t xml:space="preserve"> og styring og oppfølging av </w:t>
      </w:r>
      <w:proofErr w:type="spellStart"/>
      <w:r w:rsidRPr="00B419CE">
        <w:t>underliggjande</w:t>
      </w:r>
      <w:proofErr w:type="spellEnd"/>
      <w:r w:rsidRPr="00B419CE">
        <w:t xml:space="preserve"> </w:t>
      </w:r>
      <w:proofErr w:type="spellStart"/>
      <w:r w:rsidRPr="00B419CE">
        <w:t>verksemd</w:t>
      </w:r>
      <w:proofErr w:type="spellEnd"/>
      <w:r w:rsidRPr="00B419CE">
        <w:t>.</w:t>
      </w:r>
    </w:p>
    <w:p w14:paraId="3310D78B" w14:textId="77777777" w:rsidR="00B419CE" w:rsidRPr="00B419CE" w:rsidRDefault="00B419CE" w:rsidP="00B419CE">
      <w:r w:rsidRPr="00B419CE">
        <w:t xml:space="preserve">Statsministerens kontor har kartlagt </w:t>
      </w:r>
      <w:proofErr w:type="spellStart"/>
      <w:r w:rsidRPr="00B419CE">
        <w:t>avhengigheiter</w:t>
      </w:r>
      <w:proofErr w:type="spellEnd"/>
      <w:r w:rsidRPr="00B419CE">
        <w:t xml:space="preserve"> og varsla </w:t>
      </w:r>
      <w:proofErr w:type="spellStart"/>
      <w:r w:rsidRPr="00B419CE">
        <w:t>ansvarlege</w:t>
      </w:r>
      <w:proofErr w:type="spellEnd"/>
      <w:r w:rsidRPr="00B419CE">
        <w:t xml:space="preserve"> </w:t>
      </w:r>
      <w:proofErr w:type="spellStart"/>
      <w:r w:rsidRPr="00B419CE">
        <w:t>verksemder</w:t>
      </w:r>
      <w:proofErr w:type="spellEnd"/>
      <w:r w:rsidRPr="00B419CE">
        <w:t xml:space="preserve">. Kontoret har </w:t>
      </w:r>
      <w:proofErr w:type="spellStart"/>
      <w:r w:rsidRPr="00B419CE">
        <w:t>ikkje</w:t>
      </w:r>
      <w:proofErr w:type="spellEnd"/>
      <w:r w:rsidRPr="00B419CE">
        <w:t xml:space="preserve"> </w:t>
      </w:r>
      <w:proofErr w:type="spellStart"/>
      <w:r w:rsidRPr="00B419CE">
        <w:t>verksemder</w:t>
      </w:r>
      <w:proofErr w:type="spellEnd"/>
      <w:r w:rsidRPr="00B419CE">
        <w:t xml:space="preserve"> i eigen sektor som er av </w:t>
      </w:r>
      <w:proofErr w:type="spellStart"/>
      <w:r w:rsidRPr="00B419CE">
        <w:t>vesentleg</w:t>
      </w:r>
      <w:proofErr w:type="spellEnd"/>
      <w:r w:rsidRPr="00B419CE">
        <w:t xml:space="preserve"> eller </w:t>
      </w:r>
      <w:proofErr w:type="spellStart"/>
      <w:r w:rsidRPr="00B419CE">
        <w:t>avgjerande</w:t>
      </w:r>
      <w:proofErr w:type="spellEnd"/>
      <w:r w:rsidRPr="00B419CE">
        <w:t xml:space="preserve"> betydning for GNF. Identifisert GNF er innmeld til tryggingsorganet.</w:t>
      </w:r>
    </w:p>
    <w:p w14:paraId="2829BF72" w14:textId="77777777" w:rsidR="00B419CE" w:rsidRPr="00B419CE" w:rsidRDefault="00B419CE" w:rsidP="00B419CE">
      <w:pPr>
        <w:pStyle w:val="b-post"/>
      </w:pPr>
      <w:r w:rsidRPr="00B419CE">
        <w:t xml:space="preserve">Post 21 Spesielle driftsutgifter, Koronakommisjonen, kan </w:t>
      </w:r>
      <w:proofErr w:type="spellStart"/>
      <w:r w:rsidRPr="00B419CE">
        <w:t>overførast</w:t>
      </w:r>
      <w:proofErr w:type="spellEnd"/>
    </w:p>
    <w:p w14:paraId="64A24AFC" w14:textId="77777777" w:rsidR="00B419CE" w:rsidRPr="00B419CE" w:rsidRDefault="00B419CE" w:rsidP="00B419CE">
      <w:r w:rsidRPr="00B419CE">
        <w:t xml:space="preserve">I statsråd 24. april 2020 vart det oppretta </w:t>
      </w:r>
      <w:proofErr w:type="spellStart"/>
      <w:r w:rsidRPr="00B419CE">
        <w:t>ein</w:t>
      </w:r>
      <w:proofErr w:type="spellEnd"/>
      <w:r w:rsidRPr="00B419CE">
        <w:t xml:space="preserve"> uavhengig kommisjon som skal gjennomgå og </w:t>
      </w:r>
      <w:proofErr w:type="spellStart"/>
      <w:r w:rsidRPr="00B419CE">
        <w:t>trekkje</w:t>
      </w:r>
      <w:proofErr w:type="spellEnd"/>
      <w:r w:rsidRPr="00B419CE">
        <w:t xml:space="preserve"> lærdom </w:t>
      </w:r>
      <w:proofErr w:type="spellStart"/>
      <w:r w:rsidRPr="00B419CE">
        <w:t>frå</w:t>
      </w:r>
      <w:proofErr w:type="spellEnd"/>
      <w:r w:rsidRPr="00B419CE">
        <w:t xml:space="preserve"> </w:t>
      </w:r>
      <w:proofErr w:type="spellStart"/>
      <w:r w:rsidRPr="00B419CE">
        <w:t>covid</w:t>
      </w:r>
      <w:proofErr w:type="spellEnd"/>
      <w:r w:rsidRPr="00B419CE">
        <w:t xml:space="preserve"> 19-utbrotet i </w:t>
      </w:r>
      <w:proofErr w:type="spellStart"/>
      <w:r w:rsidRPr="00B419CE">
        <w:t>Noreg</w:t>
      </w:r>
      <w:proofErr w:type="spellEnd"/>
      <w:r w:rsidRPr="00B419CE">
        <w:t xml:space="preserve"> (Koronakommisjonen). Kommisjonen leverte sin første rapport 14. april 2021.</w:t>
      </w:r>
    </w:p>
    <w:p w14:paraId="412385D4" w14:textId="77777777" w:rsidR="00B419CE" w:rsidRPr="00B419CE" w:rsidRDefault="00B419CE" w:rsidP="00B419CE">
      <w:r w:rsidRPr="00B419CE">
        <w:t xml:space="preserve">Kommisjonen vil </w:t>
      </w:r>
      <w:proofErr w:type="spellStart"/>
      <w:r w:rsidRPr="00B419CE">
        <w:t>halde</w:t>
      </w:r>
      <w:proofErr w:type="spellEnd"/>
      <w:r w:rsidRPr="00B419CE">
        <w:t xml:space="preserve"> fram arbeidet i 2022. Framlegget </w:t>
      </w:r>
      <w:proofErr w:type="spellStart"/>
      <w:r w:rsidRPr="00B419CE">
        <w:t>inneber</w:t>
      </w:r>
      <w:proofErr w:type="spellEnd"/>
      <w:r w:rsidRPr="00B419CE">
        <w:t xml:space="preserve"> ei budsjettramme på 5 mill. kroner for 2022.</w:t>
      </w:r>
    </w:p>
    <w:p w14:paraId="0AD1FF85" w14:textId="77777777" w:rsidR="00B419CE" w:rsidRPr="00B419CE" w:rsidRDefault="00B419CE" w:rsidP="00B419CE">
      <w:pPr>
        <w:pStyle w:val="b-budkaptit"/>
      </w:pPr>
      <w:r w:rsidRPr="00B419CE">
        <w:t>Kap. 21 Statsrådet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69ED44E9" w14:textId="77777777" w:rsidTr="00B419CE">
        <w:trPr>
          <w:trHeight w:val="640"/>
          <w:hidden/>
        </w:trPr>
        <w:tc>
          <w:tcPr>
            <w:tcW w:w="1140" w:type="dxa"/>
            <w:shd w:val="clear" w:color="auto" w:fill="FFFFFF"/>
          </w:tcPr>
          <w:p w14:paraId="35443B34" w14:textId="77777777" w:rsidR="00B419CE" w:rsidRPr="00B419CE" w:rsidRDefault="00B419CE" w:rsidP="00B419CE">
            <w:pPr>
              <w:pStyle w:val="Tabellnavn"/>
            </w:pPr>
            <w:r w:rsidRPr="00B419CE">
              <w:t>KPAL</w:t>
            </w:r>
          </w:p>
        </w:tc>
        <w:tc>
          <w:tcPr>
            <w:tcW w:w="4560" w:type="dxa"/>
          </w:tcPr>
          <w:p w14:paraId="15A001F9" w14:textId="77777777" w:rsidR="00B419CE" w:rsidRPr="00B419CE" w:rsidRDefault="00B419CE" w:rsidP="00B419CE"/>
        </w:tc>
        <w:tc>
          <w:tcPr>
            <w:tcW w:w="1140" w:type="dxa"/>
          </w:tcPr>
          <w:p w14:paraId="36787D42" w14:textId="77777777" w:rsidR="00B419CE" w:rsidRPr="00B419CE" w:rsidRDefault="00B419CE" w:rsidP="00B419CE">
            <w:pPr>
              <w:jc w:val="right"/>
            </w:pPr>
          </w:p>
        </w:tc>
        <w:tc>
          <w:tcPr>
            <w:tcW w:w="1140" w:type="dxa"/>
          </w:tcPr>
          <w:p w14:paraId="476A119C" w14:textId="77777777" w:rsidR="00B419CE" w:rsidRPr="00B419CE" w:rsidRDefault="00B419CE" w:rsidP="00B419CE">
            <w:pPr>
              <w:jc w:val="right"/>
            </w:pPr>
          </w:p>
        </w:tc>
        <w:tc>
          <w:tcPr>
            <w:tcW w:w="1140" w:type="dxa"/>
          </w:tcPr>
          <w:p w14:paraId="4B327632" w14:textId="77777777" w:rsidR="00B419CE" w:rsidRPr="00B419CE" w:rsidRDefault="00B419CE" w:rsidP="00B419CE">
            <w:pPr>
              <w:jc w:val="right"/>
            </w:pPr>
            <w:r w:rsidRPr="00B419CE">
              <w:t>(i 1 000 kr)</w:t>
            </w:r>
          </w:p>
        </w:tc>
      </w:tr>
      <w:tr w:rsidR="00B419CE" w:rsidRPr="00B419CE" w14:paraId="47847D14" w14:textId="77777777" w:rsidTr="00B419CE">
        <w:trPr>
          <w:trHeight w:val="600"/>
        </w:trPr>
        <w:tc>
          <w:tcPr>
            <w:tcW w:w="1140" w:type="dxa"/>
          </w:tcPr>
          <w:p w14:paraId="4E799C4C" w14:textId="77777777" w:rsidR="00B419CE" w:rsidRPr="00B419CE" w:rsidRDefault="00B419CE" w:rsidP="00B419CE">
            <w:r w:rsidRPr="00B419CE">
              <w:t>Post</w:t>
            </w:r>
          </w:p>
        </w:tc>
        <w:tc>
          <w:tcPr>
            <w:tcW w:w="4560" w:type="dxa"/>
          </w:tcPr>
          <w:p w14:paraId="2A6E00E7" w14:textId="77777777" w:rsidR="00B419CE" w:rsidRPr="00B419CE" w:rsidRDefault="00B419CE" w:rsidP="00B419CE">
            <w:proofErr w:type="spellStart"/>
            <w:r w:rsidRPr="00B419CE">
              <w:t>Nemning</w:t>
            </w:r>
            <w:proofErr w:type="spellEnd"/>
          </w:p>
        </w:tc>
        <w:tc>
          <w:tcPr>
            <w:tcW w:w="1140" w:type="dxa"/>
          </w:tcPr>
          <w:p w14:paraId="592569F8"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0B5F36F3" w14:textId="77777777" w:rsidR="00B419CE" w:rsidRPr="00B419CE" w:rsidRDefault="00B419CE" w:rsidP="00B419CE">
            <w:pPr>
              <w:jc w:val="right"/>
            </w:pPr>
            <w:r w:rsidRPr="00B419CE">
              <w:t>Saldert</w:t>
            </w:r>
            <w:r w:rsidRPr="00B419CE">
              <w:br/>
              <w:t xml:space="preserve"> budsjett 2021</w:t>
            </w:r>
          </w:p>
        </w:tc>
        <w:tc>
          <w:tcPr>
            <w:tcW w:w="1140" w:type="dxa"/>
          </w:tcPr>
          <w:p w14:paraId="5ECBB250" w14:textId="77777777" w:rsidR="00B419CE" w:rsidRPr="00B419CE" w:rsidRDefault="00B419CE" w:rsidP="00B419CE">
            <w:pPr>
              <w:jc w:val="right"/>
            </w:pPr>
            <w:r w:rsidRPr="00B419CE">
              <w:t>Forslag</w:t>
            </w:r>
            <w:r w:rsidRPr="00B419CE">
              <w:br/>
              <w:t xml:space="preserve"> 2022</w:t>
            </w:r>
          </w:p>
        </w:tc>
      </w:tr>
      <w:tr w:rsidR="00B419CE" w:rsidRPr="00B419CE" w14:paraId="576006ED" w14:textId="77777777" w:rsidTr="00B419CE">
        <w:trPr>
          <w:trHeight w:val="380"/>
        </w:trPr>
        <w:tc>
          <w:tcPr>
            <w:tcW w:w="1140" w:type="dxa"/>
          </w:tcPr>
          <w:p w14:paraId="40BF5630" w14:textId="77777777" w:rsidR="00B419CE" w:rsidRPr="00B419CE" w:rsidRDefault="00B419CE" w:rsidP="00B419CE">
            <w:r w:rsidRPr="00B419CE">
              <w:t>01</w:t>
            </w:r>
          </w:p>
        </w:tc>
        <w:tc>
          <w:tcPr>
            <w:tcW w:w="4560" w:type="dxa"/>
          </w:tcPr>
          <w:p w14:paraId="075A34D3" w14:textId="77777777" w:rsidR="00B419CE" w:rsidRPr="00B419CE" w:rsidRDefault="00B419CE" w:rsidP="00B419CE">
            <w:r w:rsidRPr="00B419CE">
              <w:t>Driftsutgifter</w:t>
            </w:r>
          </w:p>
        </w:tc>
        <w:tc>
          <w:tcPr>
            <w:tcW w:w="1140" w:type="dxa"/>
          </w:tcPr>
          <w:p w14:paraId="2AA93DC6" w14:textId="77777777" w:rsidR="00B419CE" w:rsidRPr="00B419CE" w:rsidRDefault="00B419CE" w:rsidP="00B419CE">
            <w:pPr>
              <w:jc w:val="right"/>
            </w:pPr>
            <w:r w:rsidRPr="00B419CE">
              <w:t>190 046</w:t>
            </w:r>
          </w:p>
        </w:tc>
        <w:tc>
          <w:tcPr>
            <w:tcW w:w="1140" w:type="dxa"/>
          </w:tcPr>
          <w:p w14:paraId="39B39478" w14:textId="77777777" w:rsidR="00B419CE" w:rsidRPr="00B419CE" w:rsidRDefault="00B419CE" w:rsidP="00B419CE">
            <w:pPr>
              <w:jc w:val="right"/>
            </w:pPr>
            <w:r w:rsidRPr="00B419CE">
              <w:t>177 242</w:t>
            </w:r>
          </w:p>
        </w:tc>
        <w:tc>
          <w:tcPr>
            <w:tcW w:w="1140" w:type="dxa"/>
          </w:tcPr>
          <w:p w14:paraId="39539AA2" w14:textId="77777777" w:rsidR="00B419CE" w:rsidRPr="00B419CE" w:rsidRDefault="00B419CE" w:rsidP="00B419CE">
            <w:pPr>
              <w:jc w:val="right"/>
            </w:pPr>
            <w:r w:rsidRPr="00B419CE">
              <w:t>175 969</w:t>
            </w:r>
          </w:p>
        </w:tc>
      </w:tr>
      <w:tr w:rsidR="00B419CE" w:rsidRPr="00B419CE" w14:paraId="099FD349" w14:textId="77777777" w:rsidTr="00B419CE">
        <w:trPr>
          <w:trHeight w:val="380"/>
        </w:trPr>
        <w:tc>
          <w:tcPr>
            <w:tcW w:w="1140" w:type="dxa"/>
          </w:tcPr>
          <w:p w14:paraId="19F69648" w14:textId="77777777" w:rsidR="00B419CE" w:rsidRPr="00B419CE" w:rsidRDefault="00B419CE" w:rsidP="00B419CE"/>
        </w:tc>
        <w:tc>
          <w:tcPr>
            <w:tcW w:w="4560" w:type="dxa"/>
          </w:tcPr>
          <w:p w14:paraId="23EFF604" w14:textId="77777777" w:rsidR="00B419CE" w:rsidRPr="00B419CE" w:rsidRDefault="00B419CE" w:rsidP="00B419CE">
            <w:r w:rsidRPr="00B419CE">
              <w:t>Sum kap. 21</w:t>
            </w:r>
          </w:p>
        </w:tc>
        <w:tc>
          <w:tcPr>
            <w:tcW w:w="1140" w:type="dxa"/>
          </w:tcPr>
          <w:p w14:paraId="47BDB139" w14:textId="77777777" w:rsidR="00B419CE" w:rsidRPr="00B419CE" w:rsidRDefault="00B419CE" w:rsidP="00B419CE">
            <w:pPr>
              <w:jc w:val="right"/>
            </w:pPr>
            <w:r w:rsidRPr="00B419CE">
              <w:t>190 046</w:t>
            </w:r>
          </w:p>
        </w:tc>
        <w:tc>
          <w:tcPr>
            <w:tcW w:w="1140" w:type="dxa"/>
          </w:tcPr>
          <w:p w14:paraId="5344B345" w14:textId="77777777" w:rsidR="00B419CE" w:rsidRPr="00B419CE" w:rsidRDefault="00B419CE" w:rsidP="00B419CE">
            <w:pPr>
              <w:jc w:val="right"/>
            </w:pPr>
            <w:r w:rsidRPr="00B419CE">
              <w:t>177 242</w:t>
            </w:r>
          </w:p>
        </w:tc>
        <w:tc>
          <w:tcPr>
            <w:tcW w:w="1140" w:type="dxa"/>
          </w:tcPr>
          <w:p w14:paraId="0D9E368F" w14:textId="77777777" w:rsidR="00B419CE" w:rsidRPr="00B419CE" w:rsidRDefault="00B419CE" w:rsidP="00B419CE">
            <w:pPr>
              <w:jc w:val="right"/>
            </w:pPr>
            <w:r w:rsidRPr="00B419CE">
              <w:t>175 969</w:t>
            </w:r>
          </w:p>
        </w:tc>
      </w:tr>
    </w:tbl>
    <w:p w14:paraId="537947FF" w14:textId="77777777" w:rsidR="00B419CE" w:rsidRPr="00B419CE" w:rsidRDefault="00B419CE" w:rsidP="00B419CE">
      <w:pPr>
        <w:pStyle w:val="Undertittel"/>
      </w:pPr>
      <w:r w:rsidRPr="00B419CE">
        <w:t>Rapport 2020</w:t>
      </w:r>
    </w:p>
    <w:p w14:paraId="6ECBEF7B" w14:textId="77777777" w:rsidR="00B419CE" w:rsidRPr="00B419CE" w:rsidRDefault="00B419CE" w:rsidP="00B419CE">
      <w:pPr>
        <w:pStyle w:val="b-post"/>
      </w:pPr>
      <w:r w:rsidRPr="00B419CE">
        <w:t>Post 01 Driftsutgifter</w:t>
      </w:r>
    </w:p>
    <w:p w14:paraId="20AF2677" w14:textId="77777777" w:rsidR="00B419CE" w:rsidRPr="00B419CE" w:rsidRDefault="00B419CE" w:rsidP="00B419CE">
      <w:r w:rsidRPr="00B419CE">
        <w:t xml:space="preserve">Større utgifter i 2020 har </w:t>
      </w:r>
      <w:proofErr w:type="spellStart"/>
      <w:r w:rsidRPr="00B419CE">
        <w:t>vore</w:t>
      </w:r>
      <w:proofErr w:type="spellEnd"/>
      <w:r w:rsidRPr="00B419CE">
        <w:t xml:space="preserve"> </w:t>
      </w:r>
      <w:proofErr w:type="spellStart"/>
      <w:r w:rsidRPr="00B419CE">
        <w:t>godtgjersle</w:t>
      </w:r>
      <w:proofErr w:type="spellEnd"/>
      <w:r w:rsidRPr="00B419CE">
        <w:t xml:space="preserve"> til regjeringa og </w:t>
      </w:r>
      <w:proofErr w:type="spellStart"/>
      <w:r w:rsidRPr="00B419CE">
        <w:t>dei</w:t>
      </w:r>
      <w:proofErr w:type="spellEnd"/>
      <w:r w:rsidRPr="00B419CE">
        <w:t xml:space="preserve"> politisk tilsette i departementa, </w:t>
      </w:r>
      <w:proofErr w:type="spellStart"/>
      <w:r w:rsidRPr="00B419CE">
        <w:t>investeringar</w:t>
      </w:r>
      <w:proofErr w:type="spellEnd"/>
      <w:r w:rsidRPr="00B419CE">
        <w:t xml:space="preserve"> i Regjeringa si </w:t>
      </w:r>
      <w:proofErr w:type="spellStart"/>
      <w:r w:rsidRPr="00B419CE">
        <w:t>bilteneste</w:t>
      </w:r>
      <w:proofErr w:type="spellEnd"/>
      <w:r w:rsidRPr="00B419CE">
        <w:t xml:space="preserve">, reiseutgifter og </w:t>
      </w:r>
      <w:proofErr w:type="spellStart"/>
      <w:r w:rsidRPr="00B419CE">
        <w:t>husleige</w:t>
      </w:r>
      <w:proofErr w:type="spellEnd"/>
      <w:r w:rsidRPr="00B419CE">
        <w:t xml:space="preserve"> for </w:t>
      </w:r>
      <w:proofErr w:type="spellStart"/>
      <w:r w:rsidRPr="00B419CE">
        <w:t>pendlarbustader</w:t>
      </w:r>
      <w:proofErr w:type="spellEnd"/>
      <w:r w:rsidRPr="00B419CE">
        <w:t>.</w:t>
      </w:r>
    </w:p>
    <w:p w14:paraId="7A63628B" w14:textId="77777777" w:rsidR="00B419CE" w:rsidRPr="00B419CE" w:rsidRDefault="00B419CE" w:rsidP="00B419CE">
      <w:proofErr w:type="spellStart"/>
      <w:r w:rsidRPr="00B419CE">
        <w:t>Hovudårsaka</w:t>
      </w:r>
      <w:proofErr w:type="spellEnd"/>
      <w:r w:rsidRPr="00B419CE">
        <w:t xml:space="preserve"> til reduksjonen </w:t>
      </w:r>
      <w:proofErr w:type="spellStart"/>
      <w:r w:rsidRPr="00B419CE">
        <w:t>frå</w:t>
      </w:r>
      <w:proofErr w:type="spellEnd"/>
      <w:r w:rsidRPr="00B419CE">
        <w:t xml:space="preserve"> </w:t>
      </w:r>
      <w:proofErr w:type="spellStart"/>
      <w:r w:rsidRPr="00B419CE">
        <w:t>rekneskap</w:t>
      </w:r>
      <w:proofErr w:type="spellEnd"/>
      <w:r w:rsidRPr="00B419CE">
        <w:t xml:space="preserve"> 2020 til saldert budsjett 2021 var at Regjeringas </w:t>
      </w:r>
      <w:proofErr w:type="spellStart"/>
      <w:r w:rsidRPr="00B419CE">
        <w:t>bilteneste</w:t>
      </w:r>
      <w:proofErr w:type="spellEnd"/>
      <w:r w:rsidRPr="00B419CE">
        <w:t xml:space="preserve"> blei overført til Politiets sikkerheitsteneste </w:t>
      </w:r>
      <w:proofErr w:type="spellStart"/>
      <w:r w:rsidRPr="00B419CE">
        <w:t>frå</w:t>
      </w:r>
      <w:proofErr w:type="spellEnd"/>
      <w:r w:rsidRPr="00B419CE">
        <w:t xml:space="preserve"> 1. januar 2021.</w:t>
      </w:r>
    </w:p>
    <w:p w14:paraId="51C85AFE" w14:textId="77777777" w:rsidR="00B419CE" w:rsidRPr="00B419CE" w:rsidRDefault="00B419CE" w:rsidP="00B419CE">
      <w:pPr>
        <w:pStyle w:val="Undertittel"/>
      </w:pPr>
      <w:r w:rsidRPr="00B419CE">
        <w:t>Budsjett 2022</w:t>
      </w:r>
    </w:p>
    <w:p w14:paraId="0E579CB7" w14:textId="77777777" w:rsidR="00B419CE" w:rsidRPr="00B419CE" w:rsidRDefault="00B419CE" w:rsidP="00B419CE">
      <w:pPr>
        <w:pStyle w:val="b-post"/>
      </w:pPr>
      <w:r w:rsidRPr="00B419CE">
        <w:t>Post 01 Driftsutgifter</w:t>
      </w:r>
    </w:p>
    <w:p w14:paraId="5223D52C" w14:textId="77777777" w:rsidR="00B419CE" w:rsidRPr="00B419CE" w:rsidRDefault="00B419CE" w:rsidP="00B419CE">
      <w:r w:rsidRPr="00B419CE">
        <w:t xml:space="preserve">Løyvinga under kap. 21 </w:t>
      </w:r>
      <w:r w:rsidRPr="00B419CE">
        <w:rPr>
          <w:rStyle w:val="kursiv"/>
        </w:rPr>
        <w:t>Statsrådet</w:t>
      </w:r>
      <w:r w:rsidRPr="00B419CE">
        <w:t xml:space="preserve"> skal </w:t>
      </w:r>
      <w:proofErr w:type="spellStart"/>
      <w:r w:rsidRPr="00B419CE">
        <w:t>dekkje</w:t>
      </w:r>
      <w:proofErr w:type="spellEnd"/>
      <w:r w:rsidRPr="00B419CE">
        <w:t xml:space="preserve"> </w:t>
      </w:r>
      <w:proofErr w:type="spellStart"/>
      <w:r w:rsidRPr="00B419CE">
        <w:t>godtgjersle</w:t>
      </w:r>
      <w:proofErr w:type="spellEnd"/>
      <w:r w:rsidRPr="00B419CE">
        <w:t xml:space="preserve"> til </w:t>
      </w:r>
      <w:proofErr w:type="spellStart"/>
      <w:r w:rsidRPr="00B419CE">
        <w:t>regjeringsmedlemmane</w:t>
      </w:r>
      <w:proofErr w:type="spellEnd"/>
      <w:r w:rsidRPr="00B419CE">
        <w:t xml:space="preserve">, </w:t>
      </w:r>
      <w:proofErr w:type="spellStart"/>
      <w:r w:rsidRPr="00B419CE">
        <w:t>statssekretærane</w:t>
      </w:r>
      <w:proofErr w:type="spellEnd"/>
      <w:r w:rsidRPr="00B419CE">
        <w:t xml:space="preserve"> og </w:t>
      </w:r>
      <w:proofErr w:type="spellStart"/>
      <w:r w:rsidRPr="00B419CE">
        <w:t>dei</w:t>
      </w:r>
      <w:proofErr w:type="spellEnd"/>
      <w:r w:rsidRPr="00B419CE">
        <w:t xml:space="preserve"> politiske </w:t>
      </w:r>
      <w:proofErr w:type="spellStart"/>
      <w:r w:rsidRPr="00B419CE">
        <w:t>rådgjevarane</w:t>
      </w:r>
      <w:proofErr w:type="spellEnd"/>
      <w:r w:rsidRPr="00B419CE">
        <w:t xml:space="preserve">, og </w:t>
      </w:r>
      <w:proofErr w:type="spellStart"/>
      <w:r w:rsidRPr="00B419CE">
        <w:t>ein</w:t>
      </w:r>
      <w:proofErr w:type="spellEnd"/>
      <w:r w:rsidRPr="00B419CE">
        <w:t xml:space="preserve"> del andre utgifter knytt til den politiske </w:t>
      </w:r>
      <w:proofErr w:type="spellStart"/>
      <w:r w:rsidRPr="00B419CE">
        <w:t>leiinga</w:t>
      </w:r>
      <w:proofErr w:type="spellEnd"/>
      <w:r w:rsidRPr="00B419CE">
        <w:t xml:space="preserve"> ved Statsministerens kontor og i departementa. Det </w:t>
      </w:r>
      <w:proofErr w:type="spellStart"/>
      <w:r w:rsidRPr="00B419CE">
        <w:t>gjeld</w:t>
      </w:r>
      <w:proofErr w:type="spellEnd"/>
      <w:r w:rsidRPr="00B419CE">
        <w:t xml:space="preserve"> m.a. utgifter til bustad for </w:t>
      </w:r>
      <w:proofErr w:type="spellStart"/>
      <w:r w:rsidRPr="00B419CE">
        <w:t>pendlarar</w:t>
      </w:r>
      <w:proofErr w:type="spellEnd"/>
      <w:r w:rsidRPr="00B419CE">
        <w:t xml:space="preserve">, heimreiser, besøksreiser for familie og </w:t>
      </w:r>
      <w:proofErr w:type="spellStart"/>
      <w:r w:rsidRPr="00B419CE">
        <w:t>tenestereiser</w:t>
      </w:r>
      <w:proofErr w:type="spellEnd"/>
      <w:r w:rsidRPr="00B419CE">
        <w:t>.</w:t>
      </w:r>
    </w:p>
    <w:p w14:paraId="43B5D7C5" w14:textId="77777777" w:rsidR="00B419CE" w:rsidRPr="00B419CE" w:rsidRDefault="00B419CE" w:rsidP="00B419CE">
      <w:proofErr w:type="spellStart"/>
      <w:r w:rsidRPr="00B419CE">
        <w:lastRenderedPageBreak/>
        <w:t>Nærare</w:t>
      </w:r>
      <w:proofErr w:type="spellEnd"/>
      <w:r w:rsidRPr="00B419CE">
        <w:t xml:space="preserve"> </w:t>
      </w:r>
      <w:proofErr w:type="spellStart"/>
      <w:r w:rsidRPr="00B419CE">
        <w:t>reglar</w:t>
      </w:r>
      <w:proofErr w:type="spellEnd"/>
      <w:r w:rsidRPr="00B419CE">
        <w:t xml:space="preserve"> om kva for </w:t>
      </w:r>
      <w:proofErr w:type="spellStart"/>
      <w:r w:rsidRPr="00B419CE">
        <w:t>ytingar</w:t>
      </w:r>
      <w:proofErr w:type="spellEnd"/>
      <w:r w:rsidRPr="00B419CE">
        <w:t xml:space="preserve"> den politiske </w:t>
      </w:r>
      <w:proofErr w:type="spellStart"/>
      <w:r w:rsidRPr="00B419CE">
        <w:t>leiinga</w:t>
      </w:r>
      <w:proofErr w:type="spellEnd"/>
      <w:r w:rsidRPr="00B419CE">
        <w:t xml:space="preserve"> kan få dekt, </w:t>
      </w:r>
      <w:proofErr w:type="spellStart"/>
      <w:r w:rsidRPr="00B419CE">
        <w:t>finst</w:t>
      </w:r>
      <w:proofErr w:type="spellEnd"/>
      <w:r w:rsidRPr="00B419CE">
        <w:t xml:space="preserve"> i </w:t>
      </w:r>
      <w:r w:rsidRPr="00B419CE">
        <w:rPr>
          <w:rStyle w:val="kursiv"/>
        </w:rPr>
        <w:t>«Reglement om arbeidsvilkår for politisk ledelse»,</w:t>
      </w:r>
      <w:r w:rsidRPr="00B419CE">
        <w:t xml:space="preserve"> fastsett ved </w:t>
      </w:r>
      <w:proofErr w:type="spellStart"/>
      <w:r w:rsidRPr="00B419CE">
        <w:t>kongeleg</w:t>
      </w:r>
      <w:proofErr w:type="spellEnd"/>
      <w:r w:rsidRPr="00B419CE">
        <w:t xml:space="preserve"> resolusjon 28. mars 2003. Reglementet er supplert og utfylt i </w:t>
      </w:r>
      <w:r w:rsidRPr="00B419CE">
        <w:rPr>
          <w:rStyle w:val="kursiv"/>
        </w:rPr>
        <w:t>«Håndbok for politisk ledelse»,</w:t>
      </w:r>
      <w:r w:rsidRPr="00B419CE">
        <w:t xml:space="preserve"> som vert gjeve ut av Statsministerens kontor.</w:t>
      </w:r>
    </w:p>
    <w:p w14:paraId="322371CA" w14:textId="77777777" w:rsidR="00B419CE" w:rsidRPr="00B419CE" w:rsidRDefault="00B419CE" w:rsidP="00B419CE">
      <w:r w:rsidRPr="00B419CE">
        <w:t xml:space="preserve">Framlegget </w:t>
      </w:r>
      <w:proofErr w:type="spellStart"/>
      <w:r w:rsidRPr="00B419CE">
        <w:t>inneber</w:t>
      </w:r>
      <w:proofErr w:type="spellEnd"/>
      <w:r w:rsidRPr="00B419CE">
        <w:t xml:space="preserve"> </w:t>
      </w:r>
      <w:proofErr w:type="spellStart"/>
      <w:r w:rsidRPr="00B419CE">
        <w:t>ein</w:t>
      </w:r>
      <w:proofErr w:type="spellEnd"/>
      <w:r w:rsidRPr="00B419CE">
        <w:t xml:space="preserve"> budsjettramme på 176,0 mill. kroner.</w:t>
      </w:r>
    </w:p>
    <w:p w14:paraId="14D12854" w14:textId="77777777" w:rsidR="00B419CE" w:rsidRPr="00B419CE" w:rsidRDefault="00B419CE" w:rsidP="00B419CE">
      <w:pPr>
        <w:pStyle w:val="avsnitt-undertittel"/>
      </w:pPr>
      <w:r w:rsidRPr="00B419CE">
        <w:t>Fullmakt til overskriding</w:t>
      </w:r>
    </w:p>
    <w:p w14:paraId="3704DF1B" w14:textId="77777777" w:rsidR="00B419CE" w:rsidRPr="00B419CE" w:rsidRDefault="00B419CE" w:rsidP="00B419CE">
      <w:r w:rsidRPr="00B419CE">
        <w:t xml:space="preserve">I samråd med politiet </w:t>
      </w:r>
      <w:proofErr w:type="spellStart"/>
      <w:r w:rsidRPr="00B419CE">
        <w:t>set</w:t>
      </w:r>
      <w:proofErr w:type="spellEnd"/>
      <w:r w:rsidRPr="00B419CE">
        <w:t xml:space="preserve"> Statsministerens kontor i verk visse tryggingstiltak for regjeringa. Det er </w:t>
      </w:r>
      <w:proofErr w:type="spellStart"/>
      <w:r w:rsidRPr="00B419CE">
        <w:t>vanskeleg</w:t>
      </w:r>
      <w:proofErr w:type="spellEnd"/>
      <w:r w:rsidRPr="00B419CE">
        <w:t xml:space="preserve"> å budsjettere behova, og </w:t>
      </w:r>
      <w:proofErr w:type="spellStart"/>
      <w:r w:rsidRPr="00B419CE">
        <w:t>dei</w:t>
      </w:r>
      <w:proofErr w:type="spellEnd"/>
      <w:r w:rsidRPr="00B419CE">
        <w:t xml:space="preserve"> kan endre seg i løpet av budsjettåret. </w:t>
      </w:r>
      <w:proofErr w:type="spellStart"/>
      <w:r w:rsidRPr="00B419CE">
        <w:t>Difor</w:t>
      </w:r>
      <w:proofErr w:type="spellEnd"/>
      <w:r w:rsidRPr="00B419CE">
        <w:t xml:space="preserve"> </w:t>
      </w:r>
      <w:proofErr w:type="spellStart"/>
      <w:r w:rsidRPr="00B419CE">
        <w:t>gjer</w:t>
      </w:r>
      <w:proofErr w:type="spellEnd"/>
      <w:r w:rsidRPr="00B419CE">
        <w:t xml:space="preserve"> </w:t>
      </w:r>
      <w:proofErr w:type="spellStart"/>
      <w:r w:rsidRPr="00B419CE">
        <w:t>ein</w:t>
      </w:r>
      <w:proofErr w:type="spellEnd"/>
      <w:r w:rsidRPr="00B419CE">
        <w:t xml:space="preserve"> framlegg om </w:t>
      </w:r>
      <w:proofErr w:type="spellStart"/>
      <w:r w:rsidRPr="00B419CE">
        <w:t>samtykkje</w:t>
      </w:r>
      <w:proofErr w:type="spellEnd"/>
      <w:r w:rsidRPr="00B419CE">
        <w:t xml:space="preserve"> til at Statsministerens kontor i 2022 kan overskride løyvinga på kap. 21 Statsrådet, post 01 </w:t>
      </w:r>
      <w:r w:rsidRPr="00B419CE">
        <w:rPr>
          <w:rStyle w:val="kursiv"/>
        </w:rPr>
        <w:t>Driftsutgifter</w:t>
      </w:r>
      <w:r w:rsidRPr="00B419CE">
        <w:t xml:space="preserve"> for å </w:t>
      </w:r>
      <w:proofErr w:type="spellStart"/>
      <w:r w:rsidRPr="00B419CE">
        <w:t>setje</w:t>
      </w:r>
      <w:proofErr w:type="spellEnd"/>
      <w:r w:rsidRPr="00B419CE">
        <w:t xml:space="preserve"> i verk </w:t>
      </w:r>
      <w:proofErr w:type="spellStart"/>
      <w:r w:rsidRPr="00B419CE">
        <w:t>naudsynte</w:t>
      </w:r>
      <w:proofErr w:type="spellEnd"/>
      <w:r w:rsidRPr="00B419CE">
        <w:t xml:space="preserve"> tryggingstiltak for regjeringa, jf. framlegg til </w:t>
      </w:r>
      <w:proofErr w:type="spellStart"/>
      <w:r w:rsidRPr="00B419CE">
        <w:t>romartalsvedtak</w:t>
      </w:r>
      <w:proofErr w:type="spellEnd"/>
      <w:r w:rsidRPr="00B419CE">
        <w:t xml:space="preserve"> III.1.</w:t>
      </w:r>
    </w:p>
    <w:p w14:paraId="50EFD850" w14:textId="77777777" w:rsidR="00B419CE" w:rsidRPr="00B419CE" w:rsidRDefault="00B419CE" w:rsidP="00B419CE">
      <w:pPr>
        <w:pStyle w:val="b-budkaptit"/>
      </w:pPr>
      <w:r w:rsidRPr="00B419CE">
        <w:t>Kap. 3021 Statsrådet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3366D291" w14:textId="77777777" w:rsidTr="00B419CE">
        <w:trPr>
          <w:trHeight w:val="640"/>
          <w:hidden/>
        </w:trPr>
        <w:tc>
          <w:tcPr>
            <w:tcW w:w="1140" w:type="dxa"/>
            <w:shd w:val="clear" w:color="auto" w:fill="FFFFFF"/>
          </w:tcPr>
          <w:p w14:paraId="1C4A562C" w14:textId="77777777" w:rsidR="00B419CE" w:rsidRPr="00B419CE" w:rsidRDefault="00B419CE" w:rsidP="00B419CE">
            <w:pPr>
              <w:pStyle w:val="Tabellnavn"/>
            </w:pPr>
            <w:r w:rsidRPr="00B419CE">
              <w:t>KPAL</w:t>
            </w:r>
          </w:p>
        </w:tc>
        <w:tc>
          <w:tcPr>
            <w:tcW w:w="4560" w:type="dxa"/>
          </w:tcPr>
          <w:p w14:paraId="6AD8990B" w14:textId="77777777" w:rsidR="00B419CE" w:rsidRPr="00B419CE" w:rsidRDefault="00B419CE" w:rsidP="00B419CE"/>
        </w:tc>
        <w:tc>
          <w:tcPr>
            <w:tcW w:w="1140" w:type="dxa"/>
          </w:tcPr>
          <w:p w14:paraId="12742AA4" w14:textId="77777777" w:rsidR="00B419CE" w:rsidRPr="00B419CE" w:rsidRDefault="00B419CE" w:rsidP="00B419CE">
            <w:pPr>
              <w:jc w:val="right"/>
            </w:pPr>
          </w:p>
        </w:tc>
        <w:tc>
          <w:tcPr>
            <w:tcW w:w="1140" w:type="dxa"/>
          </w:tcPr>
          <w:p w14:paraId="0D94A1EF" w14:textId="77777777" w:rsidR="00B419CE" w:rsidRPr="00B419CE" w:rsidRDefault="00B419CE" w:rsidP="00B419CE">
            <w:pPr>
              <w:jc w:val="right"/>
            </w:pPr>
          </w:p>
        </w:tc>
        <w:tc>
          <w:tcPr>
            <w:tcW w:w="1140" w:type="dxa"/>
          </w:tcPr>
          <w:p w14:paraId="1A1504D3" w14:textId="77777777" w:rsidR="00B419CE" w:rsidRPr="00B419CE" w:rsidRDefault="00B419CE" w:rsidP="00B419CE">
            <w:pPr>
              <w:jc w:val="right"/>
            </w:pPr>
            <w:r w:rsidRPr="00B419CE">
              <w:t>(i 1 000 kr)</w:t>
            </w:r>
          </w:p>
        </w:tc>
      </w:tr>
      <w:tr w:rsidR="00B419CE" w:rsidRPr="00B419CE" w14:paraId="3C70CB1C" w14:textId="77777777" w:rsidTr="00B419CE">
        <w:trPr>
          <w:trHeight w:val="600"/>
        </w:trPr>
        <w:tc>
          <w:tcPr>
            <w:tcW w:w="1140" w:type="dxa"/>
          </w:tcPr>
          <w:p w14:paraId="0AA8DC32" w14:textId="77777777" w:rsidR="00B419CE" w:rsidRPr="00B419CE" w:rsidRDefault="00B419CE" w:rsidP="00B419CE">
            <w:r w:rsidRPr="00B419CE">
              <w:t>Post</w:t>
            </w:r>
          </w:p>
        </w:tc>
        <w:tc>
          <w:tcPr>
            <w:tcW w:w="4560" w:type="dxa"/>
          </w:tcPr>
          <w:p w14:paraId="0B1423A3" w14:textId="77777777" w:rsidR="00B419CE" w:rsidRPr="00B419CE" w:rsidRDefault="00B419CE" w:rsidP="00B419CE">
            <w:proofErr w:type="spellStart"/>
            <w:r w:rsidRPr="00B419CE">
              <w:t>Nemning</w:t>
            </w:r>
            <w:proofErr w:type="spellEnd"/>
          </w:p>
        </w:tc>
        <w:tc>
          <w:tcPr>
            <w:tcW w:w="1140" w:type="dxa"/>
          </w:tcPr>
          <w:p w14:paraId="1EA7E3E8"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29DEFDE5" w14:textId="77777777" w:rsidR="00B419CE" w:rsidRPr="00B419CE" w:rsidRDefault="00B419CE" w:rsidP="00B419CE">
            <w:pPr>
              <w:jc w:val="right"/>
            </w:pPr>
            <w:r w:rsidRPr="00B419CE">
              <w:t>Saldert</w:t>
            </w:r>
            <w:r w:rsidRPr="00B419CE">
              <w:br/>
              <w:t xml:space="preserve"> budsjett 2021</w:t>
            </w:r>
          </w:p>
        </w:tc>
        <w:tc>
          <w:tcPr>
            <w:tcW w:w="1140" w:type="dxa"/>
          </w:tcPr>
          <w:p w14:paraId="6ABF0006" w14:textId="77777777" w:rsidR="00B419CE" w:rsidRPr="00B419CE" w:rsidRDefault="00B419CE" w:rsidP="00B419CE">
            <w:pPr>
              <w:jc w:val="right"/>
            </w:pPr>
            <w:r w:rsidRPr="00B419CE">
              <w:t>Forslag</w:t>
            </w:r>
            <w:r w:rsidRPr="00B419CE">
              <w:br/>
              <w:t xml:space="preserve"> 2022</w:t>
            </w:r>
          </w:p>
        </w:tc>
      </w:tr>
      <w:tr w:rsidR="00B419CE" w:rsidRPr="00B419CE" w14:paraId="15720699" w14:textId="77777777" w:rsidTr="00B419CE">
        <w:trPr>
          <w:trHeight w:val="380"/>
        </w:trPr>
        <w:tc>
          <w:tcPr>
            <w:tcW w:w="1140" w:type="dxa"/>
          </w:tcPr>
          <w:p w14:paraId="4E2CBE59" w14:textId="77777777" w:rsidR="00B419CE" w:rsidRPr="00B419CE" w:rsidRDefault="00B419CE" w:rsidP="00B419CE">
            <w:r w:rsidRPr="00B419CE">
              <w:t>02</w:t>
            </w:r>
          </w:p>
        </w:tc>
        <w:tc>
          <w:tcPr>
            <w:tcW w:w="4560" w:type="dxa"/>
          </w:tcPr>
          <w:p w14:paraId="258F399F" w14:textId="77777777" w:rsidR="00B419CE" w:rsidRPr="00B419CE" w:rsidRDefault="00B419CE" w:rsidP="00B419CE">
            <w:r w:rsidRPr="00B419CE">
              <w:t xml:space="preserve">Diverse </w:t>
            </w:r>
            <w:proofErr w:type="spellStart"/>
            <w:r w:rsidRPr="00B419CE">
              <w:t>refusjonar</w:t>
            </w:r>
            <w:proofErr w:type="spellEnd"/>
            <w:r w:rsidRPr="00B419CE">
              <w:t xml:space="preserve"> </w:t>
            </w:r>
          </w:p>
        </w:tc>
        <w:tc>
          <w:tcPr>
            <w:tcW w:w="1140" w:type="dxa"/>
          </w:tcPr>
          <w:p w14:paraId="02A241B6" w14:textId="77777777" w:rsidR="00B419CE" w:rsidRPr="00B419CE" w:rsidRDefault="00B419CE" w:rsidP="00B419CE">
            <w:pPr>
              <w:jc w:val="right"/>
            </w:pPr>
            <w:r w:rsidRPr="00B419CE">
              <w:t>224</w:t>
            </w:r>
          </w:p>
        </w:tc>
        <w:tc>
          <w:tcPr>
            <w:tcW w:w="1140" w:type="dxa"/>
          </w:tcPr>
          <w:p w14:paraId="25BF9865" w14:textId="77777777" w:rsidR="00B419CE" w:rsidRPr="00B419CE" w:rsidRDefault="00B419CE" w:rsidP="00B419CE">
            <w:pPr>
              <w:jc w:val="right"/>
            </w:pPr>
            <w:r w:rsidRPr="00B419CE">
              <w:t>-</w:t>
            </w:r>
          </w:p>
        </w:tc>
        <w:tc>
          <w:tcPr>
            <w:tcW w:w="1140" w:type="dxa"/>
          </w:tcPr>
          <w:p w14:paraId="424613CA" w14:textId="77777777" w:rsidR="00B419CE" w:rsidRPr="00B419CE" w:rsidRDefault="00B419CE" w:rsidP="00B419CE">
            <w:pPr>
              <w:jc w:val="right"/>
            </w:pPr>
            <w:r w:rsidRPr="00B419CE">
              <w:t>-</w:t>
            </w:r>
          </w:p>
        </w:tc>
      </w:tr>
      <w:tr w:rsidR="00B419CE" w:rsidRPr="00B419CE" w14:paraId="7808B495" w14:textId="77777777" w:rsidTr="00B419CE">
        <w:trPr>
          <w:trHeight w:val="380"/>
        </w:trPr>
        <w:tc>
          <w:tcPr>
            <w:tcW w:w="1140" w:type="dxa"/>
          </w:tcPr>
          <w:p w14:paraId="5273E9BB" w14:textId="77777777" w:rsidR="00B419CE" w:rsidRPr="00B419CE" w:rsidRDefault="00B419CE" w:rsidP="00B419CE"/>
        </w:tc>
        <w:tc>
          <w:tcPr>
            <w:tcW w:w="4560" w:type="dxa"/>
          </w:tcPr>
          <w:p w14:paraId="43DA9615" w14:textId="77777777" w:rsidR="00B419CE" w:rsidRPr="00B419CE" w:rsidRDefault="00B419CE" w:rsidP="00B419CE">
            <w:r w:rsidRPr="00B419CE">
              <w:t>Sum kap. 3021</w:t>
            </w:r>
          </w:p>
        </w:tc>
        <w:tc>
          <w:tcPr>
            <w:tcW w:w="1140" w:type="dxa"/>
          </w:tcPr>
          <w:p w14:paraId="33BC73BA" w14:textId="77777777" w:rsidR="00B419CE" w:rsidRPr="00B419CE" w:rsidRDefault="00B419CE" w:rsidP="00B419CE">
            <w:pPr>
              <w:jc w:val="right"/>
            </w:pPr>
            <w:r w:rsidRPr="00B419CE">
              <w:t>224</w:t>
            </w:r>
          </w:p>
        </w:tc>
        <w:tc>
          <w:tcPr>
            <w:tcW w:w="1140" w:type="dxa"/>
          </w:tcPr>
          <w:p w14:paraId="5FB08714" w14:textId="77777777" w:rsidR="00B419CE" w:rsidRPr="00B419CE" w:rsidRDefault="00B419CE" w:rsidP="00B419CE">
            <w:pPr>
              <w:jc w:val="right"/>
            </w:pPr>
            <w:r w:rsidRPr="00B419CE">
              <w:t>-</w:t>
            </w:r>
          </w:p>
        </w:tc>
        <w:tc>
          <w:tcPr>
            <w:tcW w:w="1140" w:type="dxa"/>
          </w:tcPr>
          <w:p w14:paraId="123AE24F" w14:textId="77777777" w:rsidR="00B419CE" w:rsidRPr="00B419CE" w:rsidRDefault="00B419CE" w:rsidP="00B419CE">
            <w:pPr>
              <w:jc w:val="right"/>
            </w:pPr>
            <w:r w:rsidRPr="00B419CE">
              <w:t>-</w:t>
            </w:r>
          </w:p>
        </w:tc>
      </w:tr>
    </w:tbl>
    <w:p w14:paraId="0104A7B4" w14:textId="77777777" w:rsidR="00B419CE" w:rsidRPr="00B419CE" w:rsidRDefault="00B419CE" w:rsidP="00B419CE">
      <w:r w:rsidRPr="00B419CE">
        <w:t xml:space="preserve">Posten dekte i </w:t>
      </w:r>
      <w:proofErr w:type="spellStart"/>
      <w:r w:rsidRPr="00B419CE">
        <w:t>hovudsak</w:t>
      </w:r>
      <w:proofErr w:type="spellEnd"/>
      <w:r w:rsidRPr="00B419CE">
        <w:t xml:space="preserve"> </w:t>
      </w:r>
      <w:proofErr w:type="spellStart"/>
      <w:r w:rsidRPr="00B419CE">
        <w:t>refusjonar</w:t>
      </w:r>
      <w:proofErr w:type="spellEnd"/>
      <w:r w:rsidRPr="00B419CE">
        <w:t xml:space="preserve"> av utgifter der Statsministerens kontor la ut for andre, til dømes når </w:t>
      </w:r>
      <w:proofErr w:type="spellStart"/>
      <w:r w:rsidRPr="00B419CE">
        <w:t>representantar</w:t>
      </w:r>
      <w:proofErr w:type="spellEnd"/>
      <w:r w:rsidRPr="00B419CE">
        <w:t xml:space="preserve"> </w:t>
      </w:r>
      <w:proofErr w:type="spellStart"/>
      <w:r w:rsidRPr="00B419CE">
        <w:t>frå</w:t>
      </w:r>
      <w:proofErr w:type="spellEnd"/>
      <w:r w:rsidRPr="00B419CE">
        <w:t xml:space="preserve"> næringslivet, politiske parti og presse deltok på reiser og skulle </w:t>
      </w:r>
      <w:proofErr w:type="spellStart"/>
      <w:r w:rsidRPr="00B419CE">
        <w:t>dekkje</w:t>
      </w:r>
      <w:proofErr w:type="spellEnd"/>
      <w:r w:rsidRPr="00B419CE">
        <w:t xml:space="preserve"> </w:t>
      </w:r>
      <w:proofErr w:type="spellStart"/>
      <w:r w:rsidRPr="00B419CE">
        <w:t>kostnadane</w:t>
      </w:r>
      <w:proofErr w:type="spellEnd"/>
      <w:r w:rsidRPr="00B419CE">
        <w:t xml:space="preserve"> sjølve.</w:t>
      </w:r>
    </w:p>
    <w:p w14:paraId="2AA24356" w14:textId="77777777" w:rsidR="00B419CE" w:rsidRPr="00B419CE" w:rsidRDefault="00B419CE" w:rsidP="00B419CE">
      <w:r w:rsidRPr="00B419CE">
        <w:t xml:space="preserve">Som </w:t>
      </w:r>
      <w:proofErr w:type="spellStart"/>
      <w:r w:rsidRPr="00B419CE">
        <w:t>følgje</w:t>
      </w:r>
      <w:proofErr w:type="spellEnd"/>
      <w:r w:rsidRPr="00B419CE">
        <w:t xml:space="preserve"> av overgang til nettoføring av utlegg og </w:t>
      </w:r>
      <w:proofErr w:type="spellStart"/>
      <w:r w:rsidRPr="00B419CE">
        <w:t>utgiftsdeling</w:t>
      </w:r>
      <w:proofErr w:type="spellEnd"/>
      <w:r w:rsidRPr="00B419CE">
        <w:t xml:space="preserve"> </w:t>
      </w:r>
      <w:proofErr w:type="spellStart"/>
      <w:r w:rsidRPr="00B419CE">
        <w:t>frå</w:t>
      </w:r>
      <w:proofErr w:type="spellEnd"/>
      <w:r w:rsidRPr="00B419CE">
        <w:t xml:space="preserve"> 1. januar 2021 er det </w:t>
      </w:r>
      <w:proofErr w:type="spellStart"/>
      <w:r w:rsidRPr="00B419CE">
        <w:t>ikkje</w:t>
      </w:r>
      <w:proofErr w:type="spellEnd"/>
      <w:r w:rsidRPr="00B419CE">
        <w:t xml:space="preserve"> lenger behov for posten.</w:t>
      </w:r>
    </w:p>
    <w:p w14:paraId="2DFE14C2" w14:textId="77777777" w:rsidR="00B419CE" w:rsidRPr="00B419CE" w:rsidRDefault="00B419CE" w:rsidP="00B419CE">
      <w:pPr>
        <w:pStyle w:val="b-budkaptit"/>
      </w:pPr>
      <w:r w:rsidRPr="00B419CE">
        <w:t>Kap. 24 Regjeringsadvokaten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390C39C6" w14:textId="77777777" w:rsidTr="00B419CE">
        <w:trPr>
          <w:trHeight w:val="640"/>
          <w:hidden/>
        </w:trPr>
        <w:tc>
          <w:tcPr>
            <w:tcW w:w="1140" w:type="dxa"/>
            <w:shd w:val="clear" w:color="auto" w:fill="FFFFFF"/>
          </w:tcPr>
          <w:p w14:paraId="076F25A4" w14:textId="77777777" w:rsidR="00B419CE" w:rsidRPr="00B419CE" w:rsidRDefault="00B419CE" w:rsidP="00B419CE">
            <w:pPr>
              <w:pStyle w:val="Tabellnavn"/>
            </w:pPr>
            <w:r w:rsidRPr="00B419CE">
              <w:t>KPAL</w:t>
            </w:r>
          </w:p>
        </w:tc>
        <w:tc>
          <w:tcPr>
            <w:tcW w:w="4560" w:type="dxa"/>
          </w:tcPr>
          <w:p w14:paraId="4E03C787" w14:textId="77777777" w:rsidR="00B419CE" w:rsidRPr="00B419CE" w:rsidRDefault="00B419CE" w:rsidP="00B419CE"/>
        </w:tc>
        <w:tc>
          <w:tcPr>
            <w:tcW w:w="1140" w:type="dxa"/>
          </w:tcPr>
          <w:p w14:paraId="020A580E" w14:textId="77777777" w:rsidR="00B419CE" w:rsidRPr="00B419CE" w:rsidRDefault="00B419CE" w:rsidP="00B419CE">
            <w:pPr>
              <w:jc w:val="right"/>
            </w:pPr>
          </w:p>
        </w:tc>
        <w:tc>
          <w:tcPr>
            <w:tcW w:w="1140" w:type="dxa"/>
          </w:tcPr>
          <w:p w14:paraId="61E0D053" w14:textId="77777777" w:rsidR="00B419CE" w:rsidRPr="00B419CE" w:rsidRDefault="00B419CE" w:rsidP="00B419CE">
            <w:pPr>
              <w:jc w:val="right"/>
            </w:pPr>
          </w:p>
        </w:tc>
        <w:tc>
          <w:tcPr>
            <w:tcW w:w="1140" w:type="dxa"/>
          </w:tcPr>
          <w:p w14:paraId="08A4E5B0" w14:textId="77777777" w:rsidR="00B419CE" w:rsidRPr="00B419CE" w:rsidRDefault="00B419CE" w:rsidP="00B419CE">
            <w:pPr>
              <w:jc w:val="right"/>
            </w:pPr>
            <w:r w:rsidRPr="00B419CE">
              <w:t>(i 1 000 kr)</w:t>
            </w:r>
          </w:p>
        </w:tc>
      </w:tr>
      <w:tr w:rsidR="00B419CE" w:rsidRPr="00B419CE" w14:paraId="732B40A9" w14:textId="77777777" w:rsidTr="00B419CE">
        <w:trPr>
          <w:trHeight w:val="600"/>
        </w:trPr>
        <w:tc>
          <w:tcPr>
            <w:tcW w:w="1140" w:type="dxa"/>
          </w:tcPr>
          <w:p w14:paraId="25113A8C" w14:textId="77777777" w:rsidR="00B419CE" w:rsidRPr="00B419CE" w:rsidRDefault="00B419CE" w:rsidP="00B419CE">
            <w:r w:rsidRPr="00B419CE">
              <w:t>Post</w:t>
            </w:r>
          </w:p>
        </w:tc>
        <w:tc>
          <w:tcPr>
            <w:tcW w:w="4560" w:type="dxa"/>
          </w:tcPr>
          <w:p w14:paraId="20FFC9A1" w14:textId="77777777" w:rsidR="00B419CE" w:rsidRPr="00B419CE" w:rsidRDefault="00B419CE" w:rsidP="00B419CE">
            <w:proofErr w:type="spellStart"/>
            <w:r w:rsidRPr="00B419CE">
              <w:t>Nemning</w:t>
            </w:r>
            <w:proofErr w:type="spellEnd"/>
          </w:p>
        </w:tc>
        <w:tc>
          <w:tcPr>
            <w:tcW w:w="1140" w:type="dxa"/>
          </w:tcPr>
          <w:p w14:paraId="0FE6E4E2"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27E758D7" w14:textId="77777777" w:rsidR="00B419CE" w:rsidRPr="00B419CE" w:rsidRDefault="00B419CE" w:rsidP="00B419CE">
            <w:pPr>
              <w:jc w:val="right"/>
            </w:pPr>
            <w:r w:rsidRPr="00B419CE">
              <w:t>Saldert</w:t>
            </w:r>
            <w:r w:rsidRPr="00B419CE">
              <w:br/>
              <w:t xml:space="preserve"> budsjett 2021</w:t>
            </w:r>
          </w:p>
        </w:tc>
        <w:tc>
          <w:tcPr>
            <w:tcW w:w="1140" w:type="dxa"/>
          </w:tcPr>
          <w:p w14:paraId="7148066C" w14:textId="77777777" w:rsidR="00B419CE" w:rsidRPr="00B419CE" w:rsidRDefault="00B419CE" w:rsidP="00B419CE">
            <w:pPr>
              <w:jc w:val="right"/>
            </w:pPr>
            <w:r w:rsidRPr="00B419CE">
              <w:t>Forslag</w:t>
            </w:r>
            <w:r w:rsidRPr="00B419CE">
              <w:br/>
              <w:t xml:space="preserve"> 2022</w:t>
            </w:r>
          </w:p>
        </w:tc>
      </w:tr>
      <w:tr w:rsidR="00B419CE" w:rsidRPr="00B419CE" w14:paraId="22110726" w14:textId="77777777" w:rsidTr="00B419CE">
        <w:trPr>
          <w:trHeight w:val="380"/>
        </w:trPr>
        <w:tc>
          <w:tcPr>
            <w:tcW w:w="1140" w:type="dxa"/>
          </w:tcPr>
          <w:p w14:paraId="5D5C9518" w14:textId="77777777" w:rsidR="00B419CE" w:rsidRPr="00B419CE" w:rsidRDefault="00B419CE" w:rsidP="00B419CE">
            <w:r w:rsidRPr="00B419CE">
              <w:t>01</w:t>
            </w:r>
          </w:p>
        </w:tc>
        <w:tc>
          <w:tcPr>
            <w:tcW w:w="4560" w:type="dxa"/>
          </w:tcPr>
          <w:p w14:paraId="43D0A3BE" w14:textId="77777777" w:rsidR="00B419CE" w:rsidRPr="00B419CE" w:rsidRDefault="00B419CE" w:rsidP="00B419CE">
            <w:r w:rsidRPr="00B419CE">
              <w:t>Driftsutgifter</w:t>
            </w:r>
          </w:p>
        </w:tc>
        <w:tc>
          <w:tcPr>
            <w:tcW w:w="1140" w:type="dxa"/>
          </w:tcPr>
          <w:p w14:paraId="36268AB0" w14:textId="77777777" w:rsidR="00B419CE" w:rsidRPr="00B419CE" w:rsidRDefault="00B419CE" w:rsidP="00B419CE">
            <w:pPr>
              <w:jc w:val="right"/>
            </w:pPr>
            <w:r w:rsidRPr="00B419CE">
              <w:t>106 067</w:t>
            </w:r>
          </w:p>
        </w:tc>
        <w:tc>
          <w:tcPr>
            <w:tcW w:w="1140" w:type="dxa"/>
          </w:tcPr>
          <w:p w14:paraId="7FA35388" w14:textId="77777777" w:rsidR="00B419CE" w:rsidRPr="00B419CE" w:rsidRDefault="00B419CE" w:rsidP="00B419CE">
            <w:pPr>
              <w:jc w:val="right"/>
            </w:pPr>
            <w:r w:rsidRPr="00B419CE">
              <w:t>108 355</w:t>
            </w:r>
          </w:p>
        </w:tc>
        <w:tc>
          <w:tcPr>
            <w:tcW w:w="1140" w:type="dxa"/>
          </w:tcPr>
          <w:p w14:paraId="37C88131" w14:textId="77777777" w:rsidR="00B419CE" w:rsidRPr="00B419CE" w:rsidRDefault="00B419CE" w:rsidP="00B419CE">
            <w:pPr>
              <w:jc w:val="right"/>
            </w:pPr>
            <w:r w:rsidRPr="00B419CE">
              <w:t>110 715</w:t>
            </w:r>
          </w:p>
        </w:tc>
      </w:tr>
      <w:tr w:rsidR="00B419CE" w:rsidRPr="00B419CE" w14:paraId="50ECA340" w14:textId="77777777" w:rsidTr="00B419CE">
        <w:trPr>
          <w:trHeight w:val="380"/>
        </w:trPr>
        <w:tc>
          <w:tcPr>
            <w:tcW w:w="1140" w:type="dxa"/>
          </w:tcPr>
          <w:p w14:paraId="024C0830" w14:textId="77777777" w:rsidR="00B419CE" w:rsidRPr="00B419CE" w:rsidRDefault="00B419CE" w:rsidP="00B419CE">
            <w:r w:rsidRPr="00B419CE">
              <w:t>21</w:t>
            </w:r>
          </w:p>
        </w:tc>
        <w:tc>
          <w:tcPr>
            <w:tcW w:w="4560" w:type="dxa"/>
          </w:tcPr>
          <w:p w14:paraId="39E2C293" w14:textId="77777777" w:rsidR="00B419CE" w:rsidRPr="00B419CE" w:rsidRDefault="00B419CE" w:rsidP="00B419CE">
            <w:r w:rsidRPr="00B419CE">
              <w:t>Spesielle driftsutgifter</w:t>
            </w:r>
          </w:p>
        </w:tc>
        <w:tc>
          <w:tcPr>
            <w:tcW w:w="1140" w:type="dxa"/>
          </w:tcPr>
          <w:p w14:paraId="4B4F5087" w14:textId="77777777" w:rsidR="00B419CE" w:rsidRPr="00B419CE" w:rsidRDefault="00B419CE" w:rsidP="00B419CE">
            <w:pPr>
              <w:jc w:val="right"/>
            </w:pPr>
            <w:r w:rsidRPr="00B419CE">
              <w:t>13 402</w:t>
            </w:r>
          </w:p>
        </w:tc>
        <w:tc>
          <w:tcPr>
            <w:tcW w:w="1140" w:type="dxa"/>
          </w:tcPr>
          <w:p w14:paraId="3CD134B1" w14:textId="77777777" w:rsidR="00B419CE" w:rsidRPr="00B419CE" w:rsidRDefault="00B419CE" w:rsidP="00B419CE">
            <w:pPr>
              <w:jc w:val="right"/>
            </w:pPr>
            <w:r w:rsidRPr="00B419CE">
              <w:t>14 786</w:t>
            </w:r>
          </w:p>
        </w:tc>
        <w:tc>
          <w:tcPr>
            <w:tcW w:w="1140" w:type="dxa"/>
          </w:tcPr>
          <w:p w14:paraId="40DF487C" w14:textId="77777777" w:rsidR="00B419CE" w:rsidRPr="00B419CE" w:rsidRDefault="00B419CE" w:rsidP="00B419CE">
            <w:pPr>
              <w:jc w:val="right"/>
            </w:pPr>
            <w:r w:rsidRPr="00B419CE">
              <w:t>15 100</w:t>
            </w:r>
          </w:p>
        </w:tc>
      </w:tr>
      <w:tr w:rsidR="00B419CE" w:rsidRPr="00B419CE" w14:paraId="69D50DE6" w14:textId="77777777" w:rsidTr="00B419CE">
        <w:trPr>
          <w:trHeight w:val="380"/>
        </w:trPr>
        <w:tc>
          <w:tcPr>
            <w:tcW w:w="1140" w:type="dxa"/>
          </w:tcPr>
          <w:p w14:paraId="213F9ECD" w14:textId="77777777" w:rsidR="00B419CE" w:rsidRPr="00B419CE" w:rsidRDefault="00B419CE" w:rsidP="00B419CE"/>
        </w:tc>
        <w:tc>
          <w:tcPr>
            <w:tcW w:w="4560" w:type="dxa"/>
          </w:tcPr>
          <w:p w14:paraId="20BBDC11" w14:textId="77777777" w:rsidR="00B419CE" w:rsidRPr="00B419CE" w:rsidRDefault="00B419CE" w:rsidP="00B419CE">
            <w:r w:rsidRPr="00B419CE">
              <w:t>Sum kap. 24</w:t>
            </w:r>
          </w:p>
        </w:tc>
        <w:tc>
          <w:tcPr>
            <w:tcW w:w="1140" w:type="dxa"/>
          </w:tcPr>
          <w:p w14:paraId="61F6377D" w14:textId="77777777" w:rsidR="00B419CE" w:rsidRPr="00B419CE" w:rsidRDefault="00B419CE" w:rsidP="00B419CE">
            <w:pPr>
              <w:jc w:val="right"/>
            </w:pPr>
            <w:r w:rsidRPr="00B419CE">
              <w:t>119 469</w:t>
            </w:r>
          </w:p>
        </w:tc>
        <w:tc>
          <w:tcPr>
            <w:tcW w:w="1140" w:type="dxa"/>
          </w:tcPr>
          <w:p w14:paraId="3DBBA2E8" w14:textId="77777777" w:rsidR="00B419CE" w:rsidRPr="00B419CE" w:rsidRDefault="00B419CE" w:rsidP="00B419CE">
            <w:pPr>
              <w:jc w:val="right"/>
            </w:pPr>
            <w:r w:rsidRPr="00B419CE">
              <w:t>123 141</w:t>
            </w:r>
          </w:p>
        </w:tc>
        <w:tc>
          <w:tcPr>
            <w:tcW w:w="1140" w:type="dxa"/>
          </w:tcPr>
          <w:p w14:paraId="626578B8" w14:textId="77777777" w:rsidR="00B419CE" w:rsidRPr="00B419CE" w:rsidRDefault="00B419CE" w:rsidP="00B419CE">
            <w:pPr>
              <w:jc w:val="right"/>
            </w:pPr>
            <w:r w:rsidRPr="00B419CE">
              <w:t>125 815</w:t>
            </w:r>
          </w:p>
        </w:tc>
      </w:tr>
    </w:tbl>
    <w:p w14:paraId="2D830F57" w14:textId="77777777" w:rsidR="00B419CE" w:rsidRPr="00B419CE" w:rsidRDefault="00B419CE" w:rsidP="00B419CE">
      <w:pPr>
        <w:pStyle w:val="Undertittel"/>
      </w:pPr>
      <w:r w:rsidRPr="00B419CE">
        <w:lastRenderedPageBreak/>
        <w:t>Rapport 2020</w:t>
      </w:r>
    </w:p>
    <w:p w14:paraId="17F04DD5" w14:textId="77777777" w:rsidR="00B419CE" w:rsidRPr="00B419CE" w:rsidRDefault="00B419CE" w:rsidP="00B419CE">
      <w:r w:rsidRPr="00B419CE">
        <w:t xml:space="preserve">I 2020 kom det inn 1 276 nye saker til Regjeringsadvokaten, </w:t>
      </w:r>
      <w:proofErr w:type="spellStart"/>
      <w:r w:rsidRPr="00B419CE">
        <w:t>ein</w:t>
      </w:r>
      <w:proofErr w:type="spellEnd"/>
      <w:r w:rsidRPr="00B419CE">
        <w:t xml:space="preserve"> </w:t>
      </w:r>
      <w:proofErr w:type="spellStart"/>
      <w:r w:rsidRPr="00B419CE">
        <w:t>auke</w:t>
      </w:r>
      <w:proofErr w:type="spellEnd"/>
      <w:r w:rsidRPr="00B419CE">
        <w:t xml:space="preserve"> på 6 pst. i høve til 2019.</w:t>
      </w:r>
    </w:p>
    <w:p w14:paraId="78E693F5" w14:textId="77777777" w:rsidR="00B419CE" w:rsidRPr="00B419CE" w:rsidRDefault="00B419CE" w:rsidP="00B419CE">
      <w:r w:rsidRPr="00B419CE">
        <w:t xml:space="preserve">Utviklinga går i retning av at både fråsegnssaker og rettssaker vert større og </w:t>
      </w:r>
      <w:proofErr w:type="spellStart"/>
      <w:r w:rsidRPr="00B419CE">
        <w:t>meir</w:t>
      </w:r>
      <w:proofErr w:type="spellEnd"/>
      <w:r w:rsidRPr="00B419CE">
        <w:t xml:space="preserve"> kompliserte. Det har </w:t>
      </w:r>
      <w:proofErr w:type="spellStart"/>
      <w:r w:rsidRPr="00B419CE">
        <w:t>særleg</w:t>
      </w:r>
      <w:proofErr w:type="spellEnd"/>
      <w:r w:rsidRPr="00B419CE">
        <w:t xml:space="preserve"> </w:t>
      </w:r>
      <w:proofErr w:type="spellStart"/>
      <w:r w:rsidRPr="00B419CE">
        <w:t>samanheng</w:t>
      </w:r>
      <w:proofErr w:type="spellEnd"/>
      <w:r w:rsidRPr="00B419CE">
        <w:t xml:space="preserve"> med at rettskjeldematerialet er </w:t>
      </w:r>
      <w:proofErr w:type="spellStart"/>
      <w:r w:rsidRPr="00B419CE">
        <w:t>meir</w:t>
      </w:r>
      <w:proofErr w:type="spellEnd"/>
      <w:r w:rsidRPr="00B419CE">
        <w:t xml:space="preserve"> </w:t>
      </w:r>
      <w:proofErr w:type="spellStart"/>
      <w:r w:rsidRPr="00B419CE">
        <w:t>omfattande</w:t>
      </w:r>
      <w:proofErr w:type="spellEnd"/>
      <w:r w:rsidRPr="00B419CE">
        <w:t xml:space="preserve"> og samansett, og at sakene </w:t>
      </w:r>
      <w:proofErr w:type="spellStart"/>
      <w:r w:rsidRPr="00B419CE">
        <w:t>oftare</w:t>
      </w:r>
      <w:proofErr w:type="spellEnd"/>
      <w:r w:rsidRPr="00B419CE">
        <w:t xml:space="preserve"> har </w:t>
      </w:r>
      <w:proofErr w:type="spellStart"/>
      <w:r w:rsidRPr="00B419CE">
        <w:t>eit</w:t>
      </w:r>
      <w:proofErr w:type="spellEnd"/>
      <w:r w:rsidRPr="00B419CE">
        <w:t xml:space="preserve"> internasjonalt tilsnitt. </w:t>
      </w:r>
      <w:proofErr w:type="spellStart"/>
      <w:r w:rsidRPr="00B419CE">
        <w:t>Difor</w:t>
      </w:r>
      <w:proofErr w:type="spellEnd"/>
      <w:r w:rsidRPr="00B419CE">
        <w:t xml:space="preserve"> </w:t>
      </w:r>
      <w:proofErr w:type="spellStart"/>
      <w:r w:rsidRPr="00B419CE">
        <w:t>aukar</w:t>
      </w:r>
      <w:proofErr w:type="spellEnd"/>
      <w:r w:rsidRPr="00B419CE">
        <w:t xml:space="preserve"> behovet for spesialkompetanse </w:t>
      </w:r>
      <w:proofErr w:type="spellStart"/>
      <w:r w:rsidRPr="00B419CE">
        <w:t>innan</w:t>
      </w:r>
      <w:proofErr w:type="spellEnd"/>
      <w:r w:rsidRPr="00B419CE">
        <w:t xml:space="preserve"> </w:t>
      </w:r>
      <w:proofErr w:type="spellStart"/>
      <w:r w:rsidRPr="00B419CE">
        <w:t>menneskerettar</w:t>
      </w:r>
      <w:proofErr w:type="spellEnd"/>
      <w:r w:rsidRPr="00B419CE">
        <w:t>, EØS-rett og allmenn folkerett.</w:t>
      </w:r>
    </w:p>
    <w:p w14:paraId="40C704F5" w14:textId="77777777" w:rsidR="00B419CE" w:rsidRPr="00B419CE" w:rsidRDefault="00B419CE" w:rsidP="00B419CE">
      <w:r w:rsidRPr="00B419CE">
        <w:t xml:space="preserve">Av </w:t>
      </w:r>
      <w:proofErr w:type="spellStart"/>
      <w:r w:rsidRPr="00B419CE">
        <w:t>dei</w:t>
      </w:r>
      <w:proofErr w:type="spellEnd"/>
      <w:r w:rsidRPr="00B419CE">
        <w:t xml:space="preserve"> </w:t>
      </w:r>
      <w:proofErr w:type="spellStart"/>
      <w:r w:rsidRPr="00B419CE">
        <w:t>nemnde</w:t>
      </w:r>
      <w:proofErr w:type="spellEnd"/>
      <w:r w:rsidRPr="00B419CE">
        <w:t xml:space="preserve"> sakene er 892 rettssaker (900 i 2019), 208 </w:t>
      </w:r>
      <w:proofErr w:type="spellStart"/>
      <w:r w:rsidRPr="00B419CE">
        <w:t>rådgjevande</w:t>
      </w:r>
      <w:proofErr w:type="spellEnd"/>
      <w:r w:rsidRPr="00B419CE">
        <w:t xml:space="preserve"> fråsegner (193 i 2019) og 176 </w:t>
      </w:r>
      <w:proofErr w:type="spellStart"/>
      <w:r w:rsidRPr="00B419CE">
        <w:t>høyringar</w:t>
      </w:r>
      <w:proofErr w:type="spellEnd"/>
      <w:r w:rsidRPr="00B419CE">
        <w:t xml:space="preserve"> (112 i 2019). Blant rettssakene </w:t>
      </w:r>
      <w:proofErr w:type="spellStart"/>
      <w:r w:rsidRPr="00B419CE">
        <w:t>utgjer</w:t>
      </w:r>
      <w:proofErr w:type="spellEnd"/>
      <w:r w:rsidRPr="00B419CE">
        <w:t xml:space="preserve"> områda trygd, psykisk helsevern og utlendingssaker framleis </w:t>
      </w:r>
      <w:proofErr w:type="spellStart"/>
      <w:r w:rsidRPr="00B419CE">
        <w:t>ein</w:t>
      </w:r>
      <w:proofErr w:type="spellEnd"/>
      <w:r w:rsidRPr="00B419CE">
        <w:t xml:space="preserve"> stor del.</w:t>
      </w:r>
    </w:p>
    <w:p w14:paraId="2E15F4A9" w14:textId="77777777" w:rsidR="00B419CE" w:rsidRPr="00B419CE" w:rsidRDefault="00B419CE" w:rsidP="00B419CE">
      <w:r w:rsidRPr="00B419CE">
        <w:t xml:space="preserve">Utlendingssakene viser </w:t>
      </w:r>
      <w:proofErr w:type="spellStart"/>
      <w:r w:rsidRPr="00B419CE">
        <w:t>ein</w:t>
      </w:r>
      <w:proofErr w:type="spellEnd"/>
      <w:r w:rsidRPr="00B419CE">
        <w:t xml:space="preserve"> nedgang til 91 saker (128 saker i 2019). </w:t>
      </w:r>
      <w:proofErr w:type="spellStart"/>
      <w:r w:rsidRPr="00B419CE">
        <w:t>Talet</w:t>
      </w:r>
      <w:proofErr w:type="spellEnd"/>
      <w:r w:rsidRPr="00B419CE">
        <w:t xml:space="preserve"> på psykisk helsevernsaker var 364 i 2020, </w:t>
      </w:r>
      <w:proofErr w:type="spellStart"/>
      <w:r w:rsidRPr="00B419CE">
        <w:t>ein</w:t>
      </w:r>
      <w:proofErr w:type="spellEnd"/>
      <w:r w:rsidRPr="00B419CE">
        <w:t xml:space="preserve"> </w:t>
      </w:r>
      <w:proofErr w:type="spellStart"/>
      <w:r w:rsidRPr="00B419CE">
        <w:t>auke</w:t>
      </w:r>
      <w:proofErr w:type="spellEnd"/>
      <w:r w:rsidRPr="00B419CE">
        <w:t xml:space="preserve"> </w:t>
      </w:r>
      <w:proofErr w:type="spellStart"/>
      <w:r w:rsidRPr="00B419CE">
        <w:t>frå</w:t>
      </w:r>
      <w:proofErr w:type="spellEnd"/>
      <w:r w:rsidRPr="00B419CE">
        <w:t xml:space="preserve"> 300 saker i 2019. </w:t>
      </w:r>
      <w:proofErr w:type="spellStart"/>
      <w:r w:rsidRPr="00B419CE">
        <w:t>Talet</w:t>
      </w:r>
      <w:proofErr w:type="spellEnd"/>
      <w:r w:rsidRPr="00B419CE">
        <w:t xml:space="preserve"> på trygdesaker hadde </w:t>
      </w:r>
      <w:proofErr w:type="spellStart"/>
      <w:r w:rsidRPr="00B419CE">
        <w:t>ein</w:t>
      </w:r>
      <w:proofErr w:type="spellEnd"/>
      <w:r w:rsidRPr="00B419CE">
        <w:t xml:space="preserve"> nedgang </w:t>
      </w:r>
      <w:proofErr w:type="spellStart"/>
      <w:r w:rsidRPr="00B419CE">
        <w:t>frå</w:t>
      </w:r>
      <w:proofErr w:type="spellEnd"/>
      <w:r w:rsidRPr="00B419CE">
        <w:t xml:space="preserve"> 122 saker i 2019 til 101 i 2020.</w:t>
      </w:r>
    </w:p>
    <w:p w14:paraId="1B57C014" w14:textId="77777777" w:rsidR="00B419CE" w:rsidRPr="00B419CE" w:rsidRDefault="00B419CE" w:rsidP="00B419CE">
      <w:proofErr w:type="spellStart"/>
      <w:r w:rsidRPr="00B419CE">
        <w:t>Arbeidsmengda</w:t>
      </w:r>
      <w:proofErr w:type="spellEnd"/>
      <w:r w:rsidRPr="00B419CE">
        <w:t xml:space="preserve"> for </w:t>
      </w:r>
      <w:proofErr w:type="spellStart"/>
      <w:r w:rsidRPr="00B419CE">
        <w:t>dei</w:t>
      </w:r>
      <w:proofErr w:type="spellEnd"/>
      <w:r w:rsidRPr="00B419CE">
        <w:t xml:space="preserve"> tilsette hos Regjeringsadvokaten er </w:t>
      </w:r>
      <w:proofErr w:type="spellStart"/>
      <w:r w:rsidRPr="00B419CE">
        <w:t>høg</w:t>
      </w:r>
      <w:proofErr w:type="spellEnd"/>
      <w:r w:rsidRPr="00B419CE">
        <w:t xml:space="preserve">. </w:t>
      </w:r>
      <w:proofErr w:type="spellStart"/>
      <w:r w:rsidRPr="00B419CE">
        <w:t>Noko</w:t>
      </w:r>
      <w:proofErr w:type="spellEnd"/>
      <w:r w:rsidRPr="00B419CE">
        <w:t xml:space="preserve"> vert løyst ved å </w:t>
      </w:r>
      <w:proofErr w:type="spellStart"/>
      <w:r w:rsidRPr="00B419CE">
        <w:t>setje</w:t>
      </w:r>
      <w:proofErr w:type="spellEnd"/>
      <w:r w:rsidRPr="00B419CE">
        <w:t xml:space="preserve"> ut saker til private </w:t>
      </w:r>
      <w:proofErr w:type="spellStart"/>
      <w:r w:rsidRPr="00B419CE">
        <w:t>advokatar</w:t>
      </w:r>
      <w:proofErr w:type="spellEnd"/>
      <w:r w:rsidRPr="00B419CE">
        <w:t xml:space="preserve"> og ved </w:t>
      </w:r>
      <w:proofErr w:type="spellStart"/>
      <w:r w:rsidRPr="00B419CE">
        <w:t>noko</w:t>
      </w:r>
      <w:proofErr w:type="spellEnd"/>
      <w:r w:rsidRPr="00B419CE">
        <w:t xml:space="preserve"> eigenprosedyre i </w:t>
      </w:r>
      <w:proofErr w:type="spellStart"/>
      <w:r w:rsidRPr="00B419CE">
        <w:t>etatane</w:t>
      </w:r>
      <w:proofErr w:type="spellEnd"/>
      <w:r w:rsidRPr="00B419CE">
        <w:t xml:space="preserve">. Sakene som vert sett ut til private </w:t>
      </w:r>
      <w:proofErr w:type="spellStart"/>
      <w:r w:rsidRPr="00B419CE">
        <w:t>advokatar</w:t>
      </w:r>
      <w:proofErr w:type="spellEnd"/>
      <w:r w:rsidRPr="00B419CE">
        <w:t xml:space="preserve">, er helst slike som det er mange relativt like av. Viktige saker må </w:t>
      </w:r>
      <w:proofErr w:type="spellStart"/>
      <w:r w:rsidRPr="00B419CE">
        <w:t>behandlast</w:t>
      </w:r>
      <w:proofErr w:type="spellEnd"/>
      <w:r w:rsidRPr="00B419CE">
        <w:t xml:space="preserve"> av Regjeringsadvokaten.</w:t>
      </w:r>
    </w:p>
    <w:p w14:paraId="10707A16" w14:textId="77777777" w:rsidR="00B419CE" w:rsidRPr="00B419CE" w:rsidRDefault="00B419CE" w:rsidP="00B419CE">
      <w:pPr>
        <w:pStyle w:val="Undertittel"/>
      </w:pPr>
      <w:r w:rsidRPr="00B419CE">
        <w:t>Budsjett 2022</w:t>
      </w:r>
    </w:p>
    <w:p w14:paraId="46086805" w14:textId="77777777" w:rsidR="00B419CE" w:rsidRPr="00B419CE" w:rsidRDefault="00B419CE" w:rsidP="00B419CE">
      <w:pPr>
        <w:pStyle w:val="b-post"/>
      </w:pPr>
      <w:r w:rsidRPr="00B419CE">
        <w:t>Post 01 Driftsutgifter</w:t>
      </w:r>
    </w:p>
    <w:p w14:paraId="4B8B7357" w14:textId="77777777" w:rsidR="00B419CE" w:rsidRPr="00B419CE" w:rsidRDefault="00B419CE" w:rsidP="00B419CE">
      <w:r w:rsidRPr="00B419CE">
        <w:t xml:space="preserve">Framlegget </w:t>
      </w:r>
      <w:proofErr w:type="spellStart"/>
      <w:r w:rsidRPr="00B419CE">
        <w:t>inneber</w:t>
      </w:r>
      <w:proofErr w:type="spellEnd"/>
      <w:r w:rsidRPr="00B419CE">
        <w:t xml:space="preserve"> ei budsjettramme på 110,7 mill. kroner for 2022. Løyvinga skal fyrst og fremst </w:t>
      </w:r>
      <w:proofErr w:type="spellStart"/>
      <w:r w:rsidRPr="00B419CE">
        <w:t>dekkje</w:t>
      </w:r>
      <w:proofErr w:type="spellEnd"/>
      <w:r w:rsidRPr="00B419CE">
        <w:t xml:space="preserve"> </w:t>
      </w:r>
      <w:proofErr w:type="spellStart"/>
      <w:r w:rsidRPr="00B419CE">
        <w:t>løns</w:t>
      </w:r>
      <w:proofErr w:type="spellEnd"/>
      <w:r w:rsidRPr="00B419CE">
        <w:t xml:space="preserve">- og driftsutgifter hos Regjeringsadvokaten. For å sikre </w:t>
      </w:r>
      <w:proofErr w:type="spellStart"/>
      <w:r w:rsidRPr="00B419CE">
        <w:t>eit</w:t>
      </w:r>
      <w:proofErr w:type="spellEnd"/>
      <w:r w:rsidRPr="00B419CE">
        <w:t xml:space="preserve"> kvalifisert advokatkorps i ei tid der sakene stadig vert </w:t>
      </w:r>
      <w:proofErr w:type="spellStart"/>
      <w:r w:rsidRPr="00B419CE">
        <w:t>meir</w:t>
      </w:r>
      <w:proofErr w:type="spellEnd"/>
      <w:r w:rsidRPr="00B419CE">
        <w:t xml:space="preserve"> innfløkte, er Regjeringsadvokaten </w:t>
      </w:r>
      <w:proofErr w:type="spellStart"/>
      <w:r w:rsidRPr="00B419CE">
        <w:t>meir</w:t>
      </w:r>
      <w:proofErr w:type="spellEnd"/>
      <w:r w:rsidRPr="00B419CE">
        <w:t xml:space="preserve"> enn før </w:t>
      </w:r>
      <w:proofErr w:type="spellStart"/>
      <w:r w:rsidRPr="00B419CE">
        <w:t>nøydd</w:t>
      </w:r>
      <w:proofErr w:type="spellEnd"/>
      <w:r w:rsidRPr="00B419CE">
        <w:t xml:space="preserve"> til å </w:t>
      </w:r>
      <w:proofErr w:type="spellStart"/>
      <w:r w:rsidRPr="00B419CE">
        <w:t>halde</w:t>
      </w:r>
      <w:proofErr w:type="spellEnd"/>
      <w:r w:rsidRPr="00B419CE">
        <w:t xml:space="preserve"> på </w:t>
      </w:r>
      <w:proofErr w:type="spellStart"/>
      <w:r w:rsidRPr="00B419CE">
        <w:t>dei</w:t>
      </w:r>
      <w:proofErr w:type="spellEnd"/>
      <w:r w:rsidRPr="00B419CE">
        <w:t xml:space="preserve"> mest </w:t>
      </w:r>
      <w:proofErr w:type="spellStart"/>
      <w:r w:rsidRPr="00B419CE">
        <w:t>røynde</w:t>
      </w:r>
      <w:proofErr w:type="spellEnd"/>
      <w:r w:rsidRPr="00B419CE">
        <w:t xml:space="preserve"> </w:t>
      </w:r>
      <w:proofErr w:type="spellStart"/>
      <w:r w:rsidRPr="00B419CE">
        <w:t>advokatane</w:t>
      </w:r>
      <w:proofErr w:type="spellEnd"/>
      <w:r w:rsidRPr="00B419CE">
        <w:t xml:space="preserve">, </w:t>
      </w:r>
      <w:proofErr w:type="spellStart"/>
      <w:r w:rsidRPr="00B419CE">
        <w:t>særleg</w:t>
      </w:r>
      <w:proofErr w:type="spellEnd"/>
      <w:r w:rsidRPr="00B419CE">
        <w:t xml:space="preserve"> </w:t>
      </w:r>
      <w:proofErr w:type="spellStart"/>
      <w:r w:rsidRPr="00B419CE">
        <w:t>dei</w:t>
      </w:r>
      <w:proofErr w:type="spellEnd"/>
      <w:r w:rsidRPr="00B419CE">
        <w:t xml:space="preserve"> som har møterett for Høgsterett.</w:t>
      </w:r>
    </w:p>
    <w:p w14:paraId="3FD49D2F" w14:textId="77777777" w:rsidR="00B419CE" w:rsidRPr="00B419CE" w:rsidRDefault="00B419CE" w:rsidP="00B419CE">
      <w:r w:rsidRPr="00B419CE">
        <w:t xml:space="preserve">Regjeringsadvokaten si budsjettramme har blitt styrkt over </w:t>
      </w:r>
      <w:proofErr w:type="spellStart"/>
      <w:r w:rsidRPr="00B419CE">
        <w:t>fleire</w:t>
      </w:r>
      <w:proofErr w:type="spellEnd"/>
      <w:r w:rsidRPr="00B419CE">
        <w:t xml:space="preserve"> år, blant anna for å </w:t>
      </w:r>
      <w:proofErr w:type="spellStart"/>
      <w:r w:rsidRPr="00B419CE">
        <w:t>auke</w:t>
      </w:r>
      <w:proofErr w:type="spellEnd"/>
      <w:r w:rsidRPr="00B419CE">
        <w:t xml:space="preserve"> kapasiteten på område som er </w:t>
      </w:r>
      <w:proofErr w:type="spellStart"/>
      <w:r w:rsidRPr="00B419CE">
        <w:t>særleg</w:t>
      </w:r>
      <w:proofErr w:type="spellEnd"/>
      <w:r w:rsidRPr="00B419CE">
        <w:t xml:space="preserve"> viktige og som det er pågang på </w:t>
      </w:r>
      <w:proofErr w:type="spellStart"/>
      <w:r w:rsidRPr="00B419CE">
        <w:t>frå</w:t>
      </w:r>
      <w:proofErr w:type="spellEnd"/>
      <w:r w:rsidRPr="00B419CE">
        <w:t xml:space="preserve"> regjering og forvaltning. </w:t>
      </w:r>
      <w:proofErr w:type="spellStart"/>
      <w:r w:rsidRPr="00B419CE">
        <w:t>Frå</w:t>
      </w:r>
      <w:proofErr w:type="spellEnd"/>
      <w:r w:rsidRPr="00B419CE">
        <w:t xml:space="preserve"> 2021 har i tillegg Regjeringsadvokaten fått frigjort kapasitet ved at Helsedirektoratet har tatt over </w:t>
      </w:r>
      <w:proofErr w:type="spellStart"/>
      <w:r w:rsidRPr="00B419CE">
        <w:t>hovudtyngda</w:t>
      </w:r>
      <w:proofErr w:type="spellEnd"/>
      <w:r w:rsidRPr="00B419CE">
        <w:t xml:space="preserve"> av saker om </w:t>
      </w:r>
      <w:proofErr w:type="spellStart"/>
      <w:r w:rsidRPr="00B419CE">
        <w:t>opphøyr</w:t>
      </w:r>
      <w:proofErr w:type="spellEnd"/>
      <w:r w:rsidRPr="00B419CE">
        <w:t xml:space="preserve"> av tvungent psykisk helsevern, og på den måten blitt </w:t>
      </w:r>
      <w:proofErr w:type="spellStart"/>
      <w:r w:rsidRPr="00B419CE">
        <w:t>ytterlegare</w:t>
      </w:r>
      <w:proofErr w:type="spellEnd"/>
      <w:r w:rsidRPr="00B419CE">
        <w:t xml:space="preserve"> styrkt.</w:t>
      </w:r>
    </w:p>
    <w:p w14:paraId="5A9EDFFA" w14:textId="77777777" w:rsidR="00B419CE" w:rsidRPr="00B419CE" w:rsidRDefault="00B419CE" w:rsidP="00B419CE">
      <w:pPr>
        <w:pStyle w:val="b-post"/>
      </w:pPr>
      <w:r w:rsidRPr="00B419CE">
        <w:t>Post 21 Spesielle driftsutgifter</w:t>
      </w:r>
    </w:p>
    <w:p w14:paraId="1C0353BD" w14:textId="77777777" w:rsidR="00B419CE" w:rsidRPr="00B419CE" w:rsidRDefault="00B419CE" w:rsidP="00B419CE">
      <w:r w:rsidRPr="00B419CE">
        <w:t xml:space="preserve">Løyvinga skal </w:t>
      </w:r>
      <w:proofErr w:type="spellStart"/>
      <w:r w:rsidRPr="00B419CE">
        <w:t>dekkje</w:t>
      </w:r>
      <w:proofErr w:type="spellEnd"/>
      <w:r w:rsidRPr="00B419CE">
        <w:t xml:space="preserve"> prosessutgifter og utgifter til </w:t>
      </w:r>
      <w:proofErr w:type="spellStart"/>
      <w:r w:rsidRPr="00B419CE">
        <w:t>leige</w:t>
      </w:r>
      <w:proofErr w:type="spellEnd"/>
      <w:r w:rsidRPr="00B419CE">
        <w:t xml:space="preserve"> av </w:t>
      </w:r>
      <w:proofErr w:type="spellStart"/>
      <w:r w:rsidRPr="00B419CE">
        <w:t>advokatar</w:t>
      </w:r>
      <w:proofErr w:type="spellEnd"/>
      <w:r w:rsidRPr="00B419CE">
        <w:t xml:space="preserve">. </w:t>
      </w:r>
      <w:proofErr w:type="spellStart"/>
      <w:r w:rsidRPr="00B419CE">
        <w:t>Nokre</w:t>
      </w:r>
      <w:proofErr w:type="spellEnd"/>
      <w:r w:rsidRPr="00B419CE">
        <w:t xml:space="preserve"> </w:t>
      </w:r>
      <w:proofErr w:type="spellStart"/>
      <w:r w:rsidRPr="00B419CE">
        <w:t>sakstypar</w:t>
      </w:r>
      <w:proofErr w:type="spellEnd"/>
      <w:r w:rsidRPr="00B419CE">
        <w:t xml:space="preserve">, til dømes utlendings- og trygdesaker, er </w:t>
      </w:r>
      <w:proofErr w:type="spellStart"/>
      <w:r w:rsidRPr="00B419CE">
        <w:t>tyngjande</w:t>
      </w:r>
      <w:proofErr w:type="spellEnd"/>
      <w:r w:rsidRPr="00B419CE">
        <w:t xml:space="preserve"> fordi det er så mange </w:t>
      </w:r>
      <w:proofErr w:type="spellStart"/>
      <w:r w:rsidRPr="00B419CE">
        <w:t>einskildsaker</w:t>
      </w:r>
      <w:proofErr w:type="spellEnd"/>
      <w:r w:rsidRPr="00B419CE">
        <w:t xml:space="preserve">. </w:t>
      </w:r>
      <w:proofErr w:type="spellStart"/>
      <w:r w:rsidRPr="00B419CE">
        <w:t>Talet</w:t>
      </w:r>
      <w:proofErr w:type="spellEnd"/>
      <w:r w:rsidRPr="00B419CE">
        <w:t xml:space="preserve"> på nye rettssaker er uvisst.</w:t>
      </w:r>
    </w:p>
    <w:p w14:paraId="46B02BF0" w14:textId="77777777" w:rsidR="00B419CE" w:rsidRPr="00B419CE" w:rsidRDefault="00B419CE" w:rsidP="00B419CE">
      <w:r w:rsidRPr="00B419CE">
        <w:t xml:space="preserve">Framlegget </w:t>
      </w:r>
      <w:proofErr w:type="spellStart"/>
      <w:r w:rsidRPr="00B419CE">
        <w:t>inneber</w:t>
      </w:r>
      <w:proofErr w:type="spellEnd"/>
      <w:r w:rsidRPr="00B419CE">
        <w:t xml:space="preserve"> ei budsjettramme på 15,1 mill. kroner.</w:t>
      </w:r>
    </w:p>
    <w:p w14:paraId="6F926B74" w14:textId="77777777" w:rsidR="00B419CE" w:rsidRPr="00B419CE" w:rsidRDefault="00B419CE" w:rsidP="00B419CE">
      <w:pPr>
        <w:pStyle w:val="b-budkaptit"/>
      </w:pPr>
      <w:r w:rsidRPr="00B419CE">
        <w:lastRenderedPageBreak/>
        <w:t>Kap. 3024 Regjeringsadvokaten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0677B6E1" w14:textId="77777777" w:rsidTr="00B419CE">
        <w:trPr>
          <w:trHeight w:val="640"/>
          <w:hidden/>
        </w:trPr>
        <w:tc>
          <w:tcPr>
            <w:tcW w:w="1140" w:type="dxa"/>
            <w:shd w:val="clear" w:color="auto" w:fill="FFFFFF"/>
          </w:tcPr>
          <w:p w14:paraId="5F31361A" w14:textId="77777777" w:rsidR="00B419CE" w:rsidRPr="00B419CE" w:rsidRDefault="00B419CE" w:rsidP="00B419CE">
            <w:pPr>
              <w:pStyle w:val="Tabellnavn"/>
            </w:pPr>
            <w:r w:rsidRPr="00B419CE">
              <w:t>KPAL</w:t>
            </w:r>
          </w:p>
        </w:tc>
        <w:tc>
          <w:tcPr>
            <w:tcW w:w="4560" w:type="dxa"/>
          </w:tcPr>
          <w:p w14:paraId="7DF5721C" w14:textId="77777777" w:rsidR="00B419CE" w:rsidRPr="00B419CE" w:rsidRDefault="00B419CE" w:rsidP="00B419CE">
            <w:pPr>
              <w:pStyle w:val="Tabellnavn"/>
            </w:pPr>
          </w:p>
        </w:tc>
        <w:tc>
          <w:tcPr>
            <w:tcW w:w="1140" w:type="dxa"/>
          </w:tcPr>
          <w:p w14:paraId="4C27A73D" w14:textId="77777777" w:rsidR="00B419CE" w:rsidRPr="00B419CE" w:rsidRDefault="00B419CE" w:rsidP="00B419CE">
            <w:pPr>
              <w:pStyle w:val="Tabellnavn"/>
              <w:jc w:val="right"/>
            </w:pPr>
          </w:p>
        </w:tc>
        <w:tc>
          <w:tcPr>
            <w:tcW w:w="1140" w:type="dxa"/>
          </w:tcPr>
          <w:p w14:paraId="2847ADCC" w14:textId="77777777" w:rsidR="00B419CE" w:rsidRPr="00B419CE" w:rsidRDefault="00B419CE" w:rsidP="00B419CE">
            <w:pPr>
              <w:pStyle w:val="Tabellnavn"/>
              <w:jc w:val="right"/>
            </w:pPr>
          </w:p>
        </w:tc>
        <w:tc>
          <w:tcPr>
            <w:tcW w:w="1140" w:type="dxa"/>
          </w:tcPr>
          <w:p w14:paraId="60E32E65" w14:textId="77777777" w:rsidR="00B419CE" w:rsidRPr="00B419CE" w:rsidRDefault="00B419CE" w:rsidP="00B419CE">
            <w:pPr>
              <w:jc w:val="right"/>
            </w:pPr>
            <w:r w:rsidRPr="00B419CE">
              <w:t>(i 1 000 kr)</w:t>
            </w:r>
          </w:p>
        </w:tc>
      </w:tr>
      <w:tr w:rsidR="00B419CE" w:rsidRPr="00B419CE" w14:paraId="11ED807D" w14:textId="77777777" w:rsidTr="00B419CE">
        <w:trPr>
          <w:trHeight w:val="600"/>
        </w:trPr>
        <w:tc>
          <w:tcPr>
            <w:tcW w:w="1140" w:type="dxa"/>
          </w:tcPr>
          <w:p w14:paraId="39AF9594" w14:textId="77777777" w:rsidR="00B419CE" w:rsidRPr="00B419CE" w:rsidRDefault="00B419CE" w:rsidP="00B419CE">
            <w:r w:rsidRPr="00B419CE">
              <w:t>Post</w:t>
            </w:r>
          </w:p>
        </w:tc>
        <w:tc>
          <w:tcPr>
            <w:tcW w:w="4560" w:type="dxa"/>
          </w:tcPr>
          <w:p w14:paraId="200A1F51" w14:textId="77777777" w:rsidR="00B419CE" w:rsidRPr="00B419CE" w:rsidRDefault="00B419CE" w:rsidP="00B419CE">
            <w:proofErr w:type="spellStart"/>
            <w:r w:rsidRPr="00B419CE">
              <w:t>Nemning</w:t>
            </w:r>
            <w:proofErr w:type="spellEnd"/>
          </w:p>
        </w:tc>
        <w:tc>
          <w:tcPr>
            <w:tcW w:w="1140" w:type="dxa"/>
          </w:tcPr>
          <w:p w14:paraId="3F602404"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6529321" w14:textId="77777777" w:rsidR="00B419CE" w:rsidRPr="00B419CE" w:rsidRDefault="00B419CE" w:rsidP="00B419CE">
            <w:pPr>
              <w:jc w:val="right"/>
            </w:pPr>
            <w:r w:rsidRPr="00B419CE">
              <w:t>Saldert</w:t>
            </w:r>
            <w:r w:rsidRPr="00B419CE">
              <w:br/>
              <w:t xml:space="preserve"> budsjett 2021</w:t>
            </w:r>
          </w:p>
        </w:tc>
        <w:tc>
          <w:tcPr>
            <w:tcW w:w="1140" w:type="dxa"/>
          </w:tcPr>
          <w:p w14:paraId="08E3457D" w14:textId="77777777" w:rsidR="00B419CE" w:rsidRPr="00B419CE" w:rsidRDefault="00B419CE" w:rsidP="00B419CE">
            <w:pPr>
              <w:jc w:val="right"/>
            </w:pPr>
            <w:r w:rsidRPr="00B419CE">
              <w:t>Forslag</w:t>
            </w:r>
            <w:r w:rsidRPr="00B419CE">
              <w:br/>
              <w:t xml:space="preserve"> 2022</w:t>
            </w:r>
          </w:p>
        </w:tc>
      </w:tr>
      <w:tr w:rsidR="00B419CE" w:rsidRPr="00B419CE" w14:paraId="1181F6A7" w14:textId="77777777" w:rsidTr="00B419CE">
        <w:trPr>
          <w:trHeight w:val="380"/>
        </w:trPr>
        <w:tc>
          <w:tcPr>
            <w:tcW w:w="1140" w:type="dxa"/>
          </w:tcPr>
          <w:p w14:paraId="5F66F81A" w14:textId="77777777" w:rsidR="00B419CE" w:rsidRPr="00B419CE" w:rsidRDefault="00B419CE" w:rsidP="00B419CE">
            <w:r w:rsidRPr="00B419CE">
              <w:t>01</w:t>
            </w:r>
          </w:p>
        </w:tc>
        <w:tc>
          <w:tcPr>
            <w:tcW w:w="4560" w:type="dxa"/>
          </w:tcPr>
          <w:p w14:paraId="0C48DC3C" w14:textId="77777777" w:rsidR="00B419CE" w:rsidRPr="00B419CE" w:rsidRDefault="00B419CE" w:rsidP="00B419CE">
            <w:r w:rsidRPr="00B419CE">
              <w:t>Vederlag for utgifter i rettssaker</w:t>
            </w:r>
          </w:p>
        </w:tc>
        <w:tc>
          <w:tcPr>
            <w:tcW w:w="1140" w:type="dxa"/>
          </w:tcPr>
          <w:p w14:paraId="623594A7" w14:textId="77777777" w:rsidR="00B419CE" w:rsidRPr="00B419CE" w:rsidRDefault="00B419CE" w:rsidP="00B419CE">
            <w:pPr>
              <w:jc w:val="right"/>
            </w:pPr>
            <w:r w:rsidRPr="00B419CE">
              <w:t>16 039</w:t>
            </w:r>
          </w:p>
        </w:tc>
        <w:tc>
          <w:tcPr>
            <w:tcW w:w="1140" w:type="dxa"/>
          </w:tcPr>
          <w:p w14:paraId="3C94C6F9" w14:textId="77777777" w:rsidR="00B419CE" w:rsidRPr="00B419CE" w:rsidRDefault="00B419CE" w:rsidP="00B419CE">
            <w:pPr>
              <w:jc w:val="right"/>
            </w:pPr>
            <w:r w:rsidRPr="00B419CE">
              <w:t>20 200</w:t>
            </w:r>
          </w:p>
        </w:tc>
        <w:tc>
          <w:tcPr>
            <w:tcW w:w="1140" w:type="dxa"/>
          </w:tcPr>
          <w:p w14:paraId="32A22569" w14:textId="77777777" w:rsidR="00B419CE" w:rsidRPr="00B419CE" w:rsidRDefault="00B419CE" w:rsidP="00B419CE">
            <w:pPr>
              <w:jc w:val="right"/>
            </w:pPr>
            <w:r w:rsidRPr="00B419CE">
              <w:t>20 700</w:t>
            </w:r>
          </w:p>
        </w:tc>
      </w:tr>
      <w:tr w:rsidR="00B419CE" w:rsidRPr="00B419CE" w14:paraId="2872D52F" w14:textId="77777777" w:rsidTr="00B419CE">
        <w:trPr>
          <w:trHeight w:val="380"/>
        </w:trPr>
        <w:tc>
          <w:tcPr>
            <w:tcW w:w="1140" w:type="dxa"/>
          </w:tcPr>
          <w:p w14:paraId="41E01F69" w14:textId="77777777" w:rsidR="00B419CE" w:rsidRPr="00B419CE" w:rsidRDefault="00B419CE" w:rsidP="00B419CE"/>
        </w:tc>
        <w:tc>
          <w:tcPr>
            <w:tcW w:w="4560" w:type="dxa"/>
          </w:tcPr>
          <w:p w14:paraId="4E21E891" w14:textId="77777777" w:rsidR="00B419CE" w:rsidRPr="00B419CE" w:rsidRDefault="00B419CE" w:rsidP="00B419CE">
            <w:r w:rsidRPr="00B419CE">
              <w:t>Sum kap. 3024</w:t>
            </w:r>
          </w:p>
        </w:tc>
        <w:tc>
          <w:tcPr>
            <w:tcW w:w="1140" w:type="dxa"/>
          </w:tcPr>
          <w:p w14:paraId="05E3F253" w14:textId="77777777" w:rsidR="00B419CE" w:rsidRPr="00B419CE" w:rsidRDefault="00B419CE" w:rsidP="00B419CE">
            <w:pPr>
              <w:jc w:val="right"/>
            </w:pPr>
            <w:r w:rsidRPr="00B419CE">
              <w:t>16 039</w:t>
            </w:r>
          </w:p>
        </w:tc>
        <w:tc>
          <w:tcPr>
            <w:tcW w:w="1140" w:type="dxa"/>
          </w:tcPr>
          <w:p w14:paraId="14D3FFFE" w14:textId="77777777" w:rsidR="00B419CE" w:rsidRPr="00B419CE" w:rsidRDefault="00B419CE" w:rsidP="00B419CE">
            <w:pPr>
              <w:jc w:val="right"/>
            </w:pPr>
            <w:r w:rsidRPr="00B419CE">
              <w:t>20 200</w:t>
            </w:r>
          </w:p>
        </w:tc>
        <w:tc>
          <w:tcPr>
            <w:tcW w:w="1140" w:type="dxa"/>
          </w:tcPr>
          <w:p w14:paraId="241082B3" w14:textId="77777777" w:rsidR="00B419CE" w:rsidRPr="00B419CE" w:rsidRDefault="00B419CE" w:rsidP="00B419CE">
            <w:pPr>
              <w:jc w:val="right"/>
            </w:pPr>
            <w:r w:rsidRPr="00B419CE">
              <w:t>20 700</w:t>
            </w:r>
          </w:p>
        </w:tc>
      </w:tr>
    </w:tbl>
    <w:p w14:paraId="586942D7" w14:textId="77777777" w:rsidR="00B419CE" w:rsidRPr="00B419CE" w:rsidRDefault="00B419CE" w:rsidP="00B419CE">
      <w:pPr>
        <w:pStyle w:val="b-post"/>
      </w:pPr>
      <w:r w:rsidRPr="00B419CE">
        <w:t>Post 01 Vederlag for utgifter i rettssaker</w:t>
      </w:r>
    </w:p>
    <w:p w14:paraId="593618FB" w14:textId="77777777" w:rsidR="00B419CE" w:rsidRPr="00B419CE" w:rsidRDefault="00B419CE" w:rsidP="00B419CE">
      <w:r w:rsidRPr="00B419CE">
        <w:t xml:space="preserve">Inntektsframlegget </w:t>
      </w:r>
      <w:proofErr w:type="spellStart"/>
      <w:r w:rsidRPr="00B419CE">
        <w:t>dekkjer</w:t>
      </w:r>
      <w:proofErr w:type="spellEnd"/>
      <w:r w:rsidRPr="00B419CE">
        <w:t xml:space="preserve"> inntekter som følgjer av at staten vert </w:t>
      </w:r>
      <w:proofErr w:type="spellStart"/>
      <w:r w:rsidRPr="00B419CE">
        <w:t>tilkjend</w:t>
      </w:r>
      <w:proofErr w:type="spellEnd"/>
      <w:r w:rsidRPr="00B419CE">
        <w:t xml:space="preserve"> sakskostnader i sivile saker der Regjeringsadvokaten er </w:t>
      </w:r>
      <w:proofErr w:type="spellStart"/>
      <w:r w:rsidRPr="00B419CE">
        <w:t>prosessfullmektig</w:t>
      </w:r>
      <w:proofErr w:type="spellEnd"/>
      <w:r w:rsidRPr="00B419CE">
        <w:t xml:space="preserve">. Inntektene er </w:t>
      </w:r>
      <w:proofErr w:type="spellStart"/>
      <w:r w:rsidRPr="00B419CE">
        <w:t>vanskeleg</w:t>
      </w:r>
      <w:proofErr w:type="spellEnd"/>
      <w:r w:rsidRPr="00B419CE">
        <w:t xml:space="preserve"> å anslå, og der vert </w:t>
      </w:r>
      <w:proofErr w:type="spellStart"/>
      <w:r w:rsidRPr="00B419CE">
        <w:t>difor</w:t>
      </w:r>
      <w:proofErr w:type="spellEnd"/>
      <w:r w:rsidRPr="00B419CE">
        <w:t xml:space="preserve"> gjort framlegg om ei ramme for 2022 på 20,7 mill. kroner.</w:t>
      </w:r>
    </w:p>
    <w:p w14:paraId="0B693E16" w14:textId="77777777" w:rsidR="00B419CE" w:rsidRPr="00B419CE" w:rsidRDefault="00B419CE" w:rsidP="00B419CE">
      <w:pPr>
        <w:pStyle w:val="b-progkat"/>
      </w:pPr>
      <w:r w:rsidRPr="00B419CE">
        <w:t>Programkategori 00.40 Stortinget og tilknytte organ</w:t>
      </w:r>
    </w:p>
    <w:p w14:paraId="5F7F90DB" w14:textId="77777777" w:rsidR="00B419CE" w:rsidRPr="00B419CE" w:rsidRDefault="00B419CE" w:rsidP="00B419CE">
      <w:pPr>
        <w:pStyle w:val="avsnitt-tittel"/>
      </w:pPr>
      <w:r w:rsidRPr="00B419CE">
        <w:t>Utgifter under programkategori 00.40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7D2B49F3" w14:textId="77777777" w:rsidTr="00B419CE">
        <w:trPr>
          <w:trHeight w:val="640"/>
          <w:hidden/>
        </w:trPr>
        <w:tc>
          <w:tcPr>
            <w:tcW w:w="1020" w:type="dxa"/>
            <w:shd w:val="clear" w:color="auto" w:fill="FFFFFF"/>
          </w:tcPr>
          <w:p w14:paraId="3BE50A9C" w14:textId="77777777" w:rsidR="00B419CE" w:rsidRPr="00B419CE" w:rsidRDefault="00B419CE" w:rsidP="00B419CE">
            <w:pPr>
              <w:pStyle w:val="Tabellnavn"/>
            </w:pPr>
            <w:r w:rsidRPr="00B419CE">
              <w:t>PIKL</w:t>
            </w:r>
          </w:p>
        </w:tc>
        <w:tc>
          <w:tcPr>
            <w:tcW w:w="4080" w:type="dxa"/>
          </w:tcPr>
          <w:p w14:paraId="5CD4CF79" w14:textId="77777777" w:rsidR="00B419CE" w:rsidRPr="00B419CE" w:rsidRDefault="00B419CE" w:rsidP="00B419CE"/>
        </w:tc>
        <w:tc>
          <w:tcPr>
            <w:tcW w:w="1020" w:type="dxa"/>
          </w:tcPr>
          <w:p w14:paraId="6B2835C3" w14:textId="77777777" w:rsidR="00B419CE" w:rsidRPr="00B419CE" w:rsidRDefault="00B419CE" w:rsidP="00B419CE">
            <w:pPr>
              <w:jc w:val="right"/>
            </w:pPr>
          </w:p>
        </w:tc>
        <w:tc>
          <w:tcPr>
            <w:tcW w:w="1020" w:type="dxa"/>
          </w:tcPr>
          <w:p w14:paraId="00A36DC2" w14:textId="77777777" w:rsidR="00B419CE" w:rsidRPr="00B419CE" w:rsidRDefault="00B419CE" w:rsidP="00B419CE">
            <w:pPr>
              <w:jc w:val="right"/>
            </w:pPr>
          </w:p>
        </w:tc>
        <w:tc>
          <w:tcPr>
            <w:tcW w:w="1020" w:type="dxa"/>
          </w:tcPr>
          <w:p w14:paraId="18B65EF4" w14:textId="77777777" w:rsidR="00B419CE" w:rsidRPr="00B419CE" w:rsidRDefault="00B419CE" w:rsidP="00B419CE">
            <w:pPr>
              <w:jc w:val="right"/>
            </w:pPr>
          </w:p>
        </w:tc>
        <w:tc>
          <w:tcPr>
            <w:tcW w:w="1020" w:type="dxa"/>
          </w:tcPr>
          <w:p w14:paraId="27658851" w14:textId="77777777" w:rsidR="00B419CE" w:rsidRPr="00B419CE" w:rsidRDefault="00B419CE" w:rsidP="00B419CE">
            <w:pPr>
              <w:jc w:val="right"/>
            </w:pPr>
            <w:r w:rsidRPr="00B419CE">
              <w:t>(i 1 000 kr)</w:t>
            </w:r>
          </w:p>
        </w:tc>
      </w:tr>
      <w:tr w:rsidR="00B419CE" w:rsidRPr="00B419CE" w14:paraId="01A4362C" w14:textId="77777777" w:rsidTr="00B419CE">
        <w:trPr>
          <w:trHeight w:val="600"/>
        </w:trPr>
        <w:tc>
          <w:tcPr>
            <w:tcW w:w="1020" w:type="dxa"/>
          </w:tcPr>
          <w:p w14:paraId="00C0F285" w14:textId="77777777" w:rsidR="00B419CE" w:rsidRPr="00B419CE" w:rsidRDefault="00B419CE" w:rsidP="00B419CE">
            <w:r w:rsidRPr="00B419CE">
              <w:t>Kap.</w:t>
            </w:r>
          </w:p>
        </w:tc>
        <w:tc>
          <w:tcPr>
            <w:tcW w:w="4080" w:type="dxa"/>
          </w:tcPr>
          <w:p w14:paraId="05247E29" w14:textId="77777777" w:rsidR="00B419CE" w:rsidRPr="00B419CE" w:rsidRDefault="00B419CE" w:rsidP="00B419CE">
            <w:proofErr w:type="spellStart"/>
            <w:r w:rsidRPr="00B419CE">
              <w:t>Nemning</w:t>
            </w:r>
            <w:proofErr w:type="spellEnd"/>
          </w:p>
        </w:tc>
        <w:tc>
          <w:tcPr>
            <w:tcW w:w="1020" w:type="dxa"/>
          </w:tcPr>
          <w:p w14:paraId="640893F4"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3820F1A8" w14:textId="77777777" w:rsidR="00B419CE" w:rsidRPr="00B419CE" w:rsidRDefault="00B419CE" w:rsidP="00B419CE">
            <w:pPr>
              <w:jc w:val="right"/>
            </w:pPr>
            <w:r w:rsidRPr="00B419CE">
              <w:t>Saldert</w:t>
            </w:r>
            <w:r w:rsidRPr="00B419CE">
              <w:br/>
              <w:t xml:space="preserve"> budsjett 2021</w:t>
            </w:r>
          </w:p>
        </w:tc>
        <w:tc>
          <w:tcPr>
            <w:tcW w:w="1020" w:type="dxa"/>
          </w:tcPr>
          <w:p w14:paraId="62E397D7" w14:textId="77777777" w:rsidR="00B419CE" w:rsidRPr="00B419CE" w:rsidRDefault="00B419CE" w:rsidP="00B419CE">
            <w:pPr>
              <w:jc w:val="right"/>
            </w:pPr>
            <w:r w:rsidRPr="00B419CE">
              <w:t>Forslag</w:t>
            </w:r>
            <w:r w:rsidRPr="00B419CE">
              <w:br/>
              <w:t xml:space="preserve"> 2022</w:t>
            </w:r>
          </w:p>
        </w:tc>
        <w:tc>
          <w:tcPr>
            <w:tcW w:w="1020" w:type="dxa"/>
          </w:tcPr>
          <w:p w14:paraId="5044FCD4" w14:textId="77777777" w:rsidR="00B419CE" w:rsidRPr="00B419CE" w:rsidRDefault="00B419CE" w:rsidP="00B419CE">
            <w:pPr>
              <w:jc w:val="right"/>
            </w:pPr>
            <w:r w:rsidRPr="00B419CE">
              <w:t>Endring</w:t>
            </w:r>
            <w:r w:rsidRPr="00B419CE">
              <w:br/>
              <w:t xml:space="preserve"> i pst.</w:t>
            </w:r>
          </w:p>
        </w:tc>
      </w:tr>
      <w:tr w:rsidR="00B419CE" w:rsidRPr="00B419CE" w14:paraId="65D2D8D6" w14:textId="77777777" w:rsidTr="00B419CE">
        <w:trPr>
          <w:trHeight w:val="380"/>
        </w:trPr>
        <w:tc>
          <w:tcPr>
            <w:tcW w:w="1020" w:type="dxa"/>
          </w:tcPr>
          <w:p w14:paraId="13BEF1B5" w14:textId="77777777" w:rsidR="00B419CE" w:rsidRPr="00B419CE" w:rsidRDefault="00B419CE" w:rsidP="00B419CE">
            <w:r w:rsidRPr="00B419CE">
              <w:t>41</w:t>
            </w:r>
          </w:p>
        </w:tc>
        <w:tc>
          <w:tcPr>
            <w:tcW w:w="4080" w:type="dxa"/>
          </w:tcPr>
          <w:p w14:paraId="1F4B5751" w14:textId="77777777" w:rsidR="00B419CE" w:rsidRPr="00B419CE" w:rsidRDefault="00B419CE" w:rsidP="00B419CE">
            <w:r w:rsidRPr="00B419CE">
              <w:t>Stortinget</w:t>
            </w:r>
          </w:p>
        </w:tc>
        <w:tc>
          <w:tcPr>
            <w:tcW w:w="1020" w:type="dxa"/>
          </w:tcPr>
          <w:p w14:paraId="28618400" w14:textId="77777777" w:rsidR="00B419CE" w:rsidRPr="00B419CE" w:rsidRDefault="00B419CE" w:rsidP="00B419CE">
            <w:pPr>
              <w:jc w:val="right"/>
            </w:pPr>
            <w:r w:rsidRPr="00B419CE">
              <w:t>1 263 026</w:t>
            </w:r>
          </w:p>
        </w:tc>
        <w:tc>
          <w:tcPr>
            <w:tcW w:w="1020" w:type="dxa"/>
          </w:tcPr>
          <w:p w14:paraId="4011AD5C" w14:textId="77777777" w:rsidR="00B419CE" w:rsidRPr="00B419CE" w:rsidRDefault="00B419CE" w:rsidP="00B419CE">
            <w:pPr>
              <w:jc w:val="right"/>
            </w:pPr>
            <w:r w:rsidRPr="00B419CE">
              <w:t>1 368 800</w:t>
            </w:r>
          </w:p>
        </w:tc>
        <w:tc>
          <w:tcPr>
            <w:tcW w:w="1020" w:type="dxa"/>
          </w:tcPr>
          <w:p w14:paraId="01346AD8" w14:textId="77777777" w:rsidR="00B419CE" w:rsidRPr="00B419CE" w:rsidRDefault="00B419CE" w:rsidP="00B419CE">
            <w:pPr>
              <w:jc w:val="right"/>
            </w:pPr>
            <w:r w:rsidRPr="00B419CE">
              <w:t>1 416 285</w:t>
            </w:r>
          </w:p>
        </w:tc>
        <w:tc>
          <w:tcPr>
            <w:tcW w:w="1020" w:type="dxa"/>
          </w:tcPr>
          <w:p w14:paraId="52F3961E" w14:textId="77777777" w:rsidR="00B419CE" w:rsidRPr="00B419CE" w:rsidRDefault="00B419CE" w:rsidP="00B419CE">
            <w:pPr>
              <w:jc w:val="right"/>
            </w:pPr>
            <w:r w:rsidRPr="00B419CE">
              <w:t>3,5</w:t>
            </w:r>
          </w:p>
        </w:tc>
      </w:tr>
      <w:tr w:rsidR="00B419CE" w:rsidRPr="00B419CE" w14:paraId="2D1DDF64" w14:textId="77777777" w:rsidTr="00B419CE">
        <w:trPr>
          <w:trHeight w:val="640"/>
        </w:trPr>
        <w:tc>
          <w:tcPr>
            <w:tcW w:w="1020" w:type="dxa"/>
          </w:tcPr>
          <w:p w14:paraId="64D56A2C" w14:textId="77777777" w:rsidR="00B419CE" w:rsidRPr="00B419CE" w:rsidRDefault="00B419CE" w:rsidP="00B419CE">
            <w:r w:rsidRPr="00B419CE">
              <w:t>42</w:t>
            </w:r>
          </w:p>
        </w:tc>
        <w:tc>
          <w:tcPr>
            <w:tcW w:w="4080" w:type="dxa"/>
          </w:tcPr>
          <w:p w14:paraId="6A57116B" w14:textId="77777777" w:rsidR="00B419CE" w:rsidRPr="00B419CE" w:rsidRDefault="00B419CE" w:rsidP="00B419CE">
            <w:r w:rsidRPr="00B419CE">
              <w:t xml:space="preserve">Stortingets </w:t>
            </w:r>
            <w:proofErr w:type="spellStart"/>
            <w:r w:rsidRPr="00B419CE">
              <w:t>ombodsnemnd</w:t>
            </w:r>
            <w:proofErr w:type="spellEnd"/>
            <w:r w:rsidRPr="00B419CE">
              <w:t xml:space="preserve"> for </w:t>
            </w:r>
            <w:r w:rsidRPr="00B419CE">
              <w:br/>
              <w:t>Forsvaret</w:t>
            </w:r>
          </w:p>
        </w:tc>
        <w:tc>
          <w:tcPr>
            <w:tcW w:w="1020" w:type="dxa"/>
          </w:tcPr>
          <w:p w14:paraId="2944243E" w14:textId="77777777" w:rsidR="00B419CE" w:rsidRPr="00B419CE" w:rsidRDefault="00B419CE" w:rsidP="00B419CE">
            <w:pPr>
              <w:jc w:val="right"/>
            </w:pPr>
            <w:r w:rsidRPr="00B419CE">
              <w:t>7 128</w:t>
            </w:r>
          </w:p>
        </w:tc>
        <w:tc>
          <w:tcPr>
            <w:tcW w:w="1020" w:type="dxa"/>
          </w:tcPr>
          <w:p w14:paraId="362F275B" w14:textId="77777777" w:rsidR="00B419CE" w:rsidRPr="00B419CE" w:rsidRDefault="00B419CE" w:rsidP="00B419CE">
            <w:pPr>
              <w:jc w:val="right"/>
            </w:pPr>
            <w:r w:rsidRPr="00B419CE">
              <w:t>7 600</w:t>
            </w:r>
          </w:p>
        </w:tc>
        <w:tc>
          <w:tcPr>
            <w:tcW w:w="1020" w:type="dxa"/>
          </w:tcPr>
          <w:p w14:paraId="4A0596D0" w14:textId="77777777" w:rsidR="00B419CE" w:rsidRPr="00B419CE" w:rsidRDefault="00B419CE" w:rsidP="00B419CE">
            <w:pPr>
              <w:jc w:val="right"/>
            </w:pPr>
            <w:r w:rsidRPr="00B419CE">
              <w:t>7 766</w:t>
            </w:r>
          </w:p>
        </w:tc>
        <w:tc>
          <w:tcPr>
            <w:tcW w:w="1020" w:type="dxa"/>
          </w:tcPr>
          <w:p w14:paraId="537791B6" w14:textId="77777777" w:rsidR="00B419CE" w:rsidRPr="00B419CE" w:rsidRDefault="00B419CE" w:rsidP="00B419CE">
            <w:pPr>
              <w:jc w:val="right"/>
            </w:pPr>
            <w:r w:rsidRPr="00B419CE">
              <w:t>2,2</w:t>
            </w:r>
          </w:p>
        </w:tc>
      </w:tr>
      <w:tr w:rsidR="00B419CE" w:rsidRPr="00B419CE" w14:paraId="221EEB29" w14:textId="77777777" w:rsidTr="00B419CE">
        <w:trPr>
          <w:trHeight w:val="640"/>
        </w:trPr>
        <w:tc>
          <w:tcPr>
            <w:tcW w:w="1020" w:type="dxa"/>
          </w:tcPr>
          <w:p w14:paraId="6E0FC4DC" w14:textId="77777777" w:rsidR="00B419CE" w:rsidRPr="00B419CE" w:rsidRDefault="00B419CE" w:rsidP="00B419CE">
            <w:r w:rsidRPr="00B419CE">
              <w:t>43</w:t>
            </w:r>
          </w:p>
        </w:tc>
        <w:tc>
          <w:tcPr>
            <w:tcW w:w="4080" w:type="dxa"/>
          </w:tcPr>
          <w:p w14:paraId="6E001B56" w14:textId="77777777" w:rsidR="00B419CE" w:rsidRPr="00B419CE" w:rsidRDefault="00B419CE" w:rsidP="00B419CE">
            <w:r w:rsidRPr="00B419CE">
              <w:t xml:space="preserve">Stortingets </w:t>
            </w:r>
            <w:proofErr w:type="spellStart"/>
            <w:r w:rsidRPr="00B419CE">
              <w:t>ombod</w:t>
            </w:r>
            <w:proofErr w:type="spellEnd"/>
            <w:r w:rsidRPr="00B419CE">
              <w:t xml:space="preserve"> for kontroll med forvaltninga</w:t>
            </w:r>
          </w:p>
        </w:tc>
        <w:tc>
          <w:tcPr>
            <w:tcW w:w="1020" w:type="dxa"/>
          </w:tcPr>
          <w:p w14:paraId="1525B658" w14:textId="77777777" w:rsidR="00B419CE" w:rsidRPr="00B419CE" w:rsidRDefault="00B419CE" w:rsidP="00B419CE">
            <w:pPr>
              <w:jc w:val="right"/>
            </w:pPr>
            <w:r w:rsidRPr="00B419CE">
              <w:t>88 936</w:t>
            </w:r>
          </w:p>
        </w:tc>
        <w:tc>
          <w:tcPr>
            <w:tcW w:w="1020" w:type="dxa"/>
          </w:tcPr>
          <w:p w14:paraId="62D10A6F" w14:textId="77777777" w:rsidR="00B419CE" w:rsidRPr="00B419CE" w:rsidRDefault="00B419CE" w:rsidP="00B419CE">
            <w:pPr>
              <w:jc w:val="right"/>
            </w:pPr>
            <w:r w:rsidRPr="00B419CE">
              <w:t>92 511</w:t>
            </w:r>
          </w:p>
        </w:tc>
        <w:tc>
          <w:tcPr>
            <w:tcW w:w="1020" w:type="dxa"/>
          </w:tcPr>
          <w:p w14:paraId="088A3492" w14:textId="77777777" w:rsidR="00B419CE" w:rsidRPr="00B419CE" w:rsidRDefault="00B419CE" w:rsidP="00B419CE">
            <w:pPr>
              <w:jc w:val="right"/>
            </w:pPr>
            <w:r w:rsidRPr="00B419CE">
              <w:t>94 287</w:t>
            </w:r>
          </w:p>
        </w:tc>
        <w:tc>
          <w:tcPr>
            <w:tcW w:w="1020" w:type="dxa"/>
          </w:tcPr>
          <w:p w14:paraId="390F7C43" w14:textId="77777777" w:rsidR="00B419CE" w:rsidRPr="00B419CE" w:rsidRDefault="00B419CE" w:rsidP="00B419CE">
            <w:pPr>
              <w:jc w:val="right"/>
            </w:pPr>
            <w:r w:rsidRPr="00B419CE">
              <w:t>1,9</w:t>
            </w:r>
          </w:p>
        </w:tc>
      </w:tr>
      <w:tr w:rsidR="00B419CE" w:rsidRPr="00B419CE" w14:paraId="027DD156" w14:textId="77777777" w:rsidTr="00B419CE">
        <w:trPr>
          <w:trHeight w:val="880"/>
        </w:trPr>
        <w:tc>
          <w:tcPr>
            <w:tcW w:w="1020" w:type="dxa"/>
          </w:tcPr>
          <w:p w14:paraId="17304F0D" w14:textId="77777777" w:rsidR="00B419CE" w:rsidRPr="00B419CE" w:rsidRDefault="00B419CE" w:rsidP="00B419CE">
            <w:r w:rsidRPr="00B419CE">
              <w:t>44</w:t>
            </w:r>
          </w:p>
        </w:tc>
        <w:tc>
          <w:tcPr>
            <w:tcW w:w="4080" w:type="dxa"/>
          </w:tcPr>
          <w:p w14:paraId="33556051" w14:textId="77777777" w:rsidR="00B419CE" w:rsidRPr="00B419CE" w:rsidRDefault="00B419CE" w:rsidP="00B419CE">
            <w:r w:rsidRPr="00B419CE">
              <w:t xml:space="preserve">Stortingets </w:t>
            </w:r>
            <w:proofErr w:type="spellStart"/>
            <w:r w:rsidRPr="00B419CE">
              <w:t>kontrollutval</w:t>
            </w:r>
            <w:proofErr w:type="spellEnd"/>
            <w:r w:rsidRPr="00B419CE">
              <w:t xml:space="preserve"> for </w:t>
            </w:r>
            <w:r w:rsidRPr="00B419CE">
              <w:br/>
              <w:t xml:space="preserve">etterretnings-, </w:t>
            </w:r>
            <w:proofErr w:type="spellStart"/>
            <w:r w:rsidRPr="00B419CE">
              <w:t>overvakings</w:t>
            </w:r>
            <w:proofErr w:type="spellEnd"/>
            <w:r w:rsidRPr="00B419CE">
              <w:t xml:space="preserve">- </w:t>
            </w:r>
            <w:r w:rsidRPr="00B419CE">
              <w:br/>
              <w:t xml:space="preserve">og </w:t>
            </w:r>
            <w:proofErr w:type="spellStart"/>
            <w:r w:rsidRPr="00B419CE">
              <w:t>tryggingsteneste</w:t>
            </w:r>
            <w:proofErr w:type="spellEnd"/>
          </w:p>
        </w:tc>
        <w:tc>
          <w:tcPr>
            <w:tcW w:w="1020" w:type="dxa"/>
          </w:tcPr>
          <w:p w14:paraId="6D5CDEE9" w14:textId="77777777" w:rsidR="00B419CE" w:rsidRPr="00B419CE" w:rsidRDefault="00B419CE" w:rsidP="00B419CE">
            <w:pPr>
              <w:jc w:val="right"/>
            </w:pPr>
            <w:r w:rsidRPr="00B419CE">
              <w:t>25 174</w:t>
            </w:r>
          </w:p>
        </w:tc>
        <w:tc>
          <w:tcPr>
            <w:tcW w:w="1020" w:type="dxa"/>
          </w:tcPr>
          <w:p w14:paraId="1EE08888" w14:textId="77777777" w:rsidR="00B419CE" w:rsidRPr="00B419CE" w:rsidRDefault="00B419CE" w:rsidP="00B419CE">
            <w:pPr>
              <w:jc w:val="right"/>
            </w:pPr>
            <w:r w:rsidRPr="00B419CE">
              <w:t>34 600</w:t>
            </w:r>
          </w:p>
        </w:tc>
        <w:tc>
          <w:tcPr>
            <w:tcW w:w="1020" w:type="dxa"/>
          </w:tcPr>
          <w:p w14:paraId="26E294DC" w14:textId="77777777" w:rsidR="00B419CE" w:rsidRPr="00B419CE" w:rsidRDefault="00B419CE" w:rsidP="00B419CE">
            <w:pPr>
              <w:jc w:val="right"/>
            </w:pPr>
            <w:r w:rsidRPr="00B419CE">
              <w:t>35 105</w:t>
            </w:r>
          </w:p>
        </w:tc>
        <w:tc>
          <w:tcPr>
            <w:tcW w:w="1020" w:type="dxa"/>
          </w:tcPr>
          <w:p w14:paraId="5D759263" w14:textId="77777777" w:rsidR="00B419CE" w:rsidRPr="00B419CE" w:rsidRDefault="00B419CE" w:rsidP="00B419CE">
            <w:pPr>
              <w:jc w:val="right"/>
            </w:pPr>
            <w:r w:rsidRPr="00B419CE">
              <w:t>1,5</w:t>
            </w:r>
          </w:p>
        </w:tc>
      </w:tr>
      <w:tr w:rsidR="00B419CE" w:rsidRPr="00B419CE" w14:paraId="43B35D71" w14:textId="77777777" w:rsidTr="00B419CE">
        <w:trPr>
          <w:trHeight w:val="640"/>
        </w:trPr>
        <w:tc>
          <w:tcPr>
            <w:tcW w:w="1020" w:type="dxa"/>
          </w:tcPr>
          <w:p w14:paraId="2FD47CE7" w14:textId="77777777" w:rsidR="00B419CE" w:rsidRPr="00B419CE" w:rsidRDefault="00B419CE" w:rsidP="00B419CE">
            <w:r w:rsidRPr="00B419CE">
              <w:t>45</w:t>
            </w:r>
          </w:p>
        </w:tc>
        <w:tc>
          <w:tcPr>
            <w:tcW w:w="4080" w:type="dxa"/>
          </w:tcPr>
          <w:p w14:paraId="05C8674A" w14:textId="77777777" w:rsidR="00B419CE" w:rsidRPr="00B419CE" w:rsidRDefault="00B419CE" w:rsidP="00B419CE">
            <w:proofErr w:type="spellStart"/>
            <w:r w:rsidRPr="00B419CE">
              <w:t>Noregs</w:t>
            </w:r>
            <w:proofErr w:type="spellEnd"/>
            <w:r w:rsidRPr="00B419CE">
              <w:t xml:space="preserve"> institusjon for </w:t>
            </w:r>
            <w:proofErr w:type="spellStart"/>
            <w:r w:rsidRPr="00B419CE">
              <w:t>menneskerettar</w:t>
            </w:r>
            <w:proofErr w:type="spellEnd"/>
          </w:p>
        </w:tc>
        <w:tc>
          <w:tcPr>
            <w:tcW w:w="1020" w:type="dxa"/>
          </w:tcPr>
          <w:p w14:paraId="742F434B" w14:textId="77777777" w:rsidR="00B419CE" w:rsidRPr="00B419CE" w:rsidRDefault="00B419CE" w:rsidP="00B419CE">
            <w:pPr>
              <w:jc w:val="right"/>
            </w:pPr>
            <w:r w:rsidRPr="00B419CE">
              <w:t>26 665</w:t>
            </w:r>
          </w:p>
        </w:tc>
        <w:tc>
          <w:tcPr>
            <w:tcW w:w="1020" w:type="dxa"/>
          </w:tcPr>
          <w:p w14:paraId="5435840A" w14:textId="77777777" w:rsidR="00B419CE" w:rsidRPr="00B419CE" w:rsidRDefault="00B419CE" w:rsidP="00B419CE">
            <w:pPr>
              <w:jc w:val="right"/>
            </w:pPr>
            <w:r w:rsidRPr="00B419CE">
              <w:t>26 100</w:t>
            </w:r>
          </w:p>
        </w:tc>
        <w:tc>
          <w:tcPr>
            <w:tcW w:w="1020" w:type="dxa"/>
          </w:tcPr>
          <w:p w14:paraId="24174DC6" w14:textId="77777777" w:rsidR="00B419CE" w:rsidRPr="00B419CE" w:rsidRDefault="00B419CE" w:rsidP="00B419CE">
            <w:pPr>
              <w:jc w:val="right"/>
            </w:pPr>
            <w:r w:rsidRPr="00B419CE">
              <w:t>26 040</w:t>
            </w:r>
          </w:p>
        </w:tc>
        <w:tc>
          <w:tcPr>
            <w:tcW w:w="1020" w:type="dxa"/>
          </w:tcPr>
          <w:p w14:paraId="2D0F6C1D" w14:textId="77777777" w:rsidR="00B419CE" w:rsidRPr="00B419CE" w:rsidRDefault="00B419CE" w:rsidP="00B419CE">
            <w:pPr>
              <w:jc w:val="right"/>
            </w:pPr>
            <w:r w:rsidRPr="00B419CE">
              <w:t>-0,2</w:t>
            </w:r>
          </w:p>
        </w:tc>
      </w:tr>
      <w:tr w:rsidR="00B419CE" w:rsidRPr="00B419CE" w14:paraId="12E132AA" w14:textId="77777777" w:rsidTr="00B419CE">
        <w:trPr>
          <w:trHeight w:val="380"/>
        </w:trPr>
        <w:tc>
          <w:tcPr>
            <w:tcW w:w="1020" w:type="dxa"/>
          </w:tcPr>
          <w:p w14:paraId="531487C6" w14:textId="77777777" w:rsidR="00B419CE" w:rsidRPr="00B419CE" w:rsidRDefault="00B419CE" w:rsidP="00B419CE">
            <w:r w:rsidRPr="00B419CE">
              <w:t>51</w:t>
            </w:r>
          </w:p>
        </w:tc>
        <w:tc>
          <w:tcPr>
            <w:tcW w:w="4080" w:type="dxa"/>
          </w:tcPr>
          <w:p w14:paraId="55A99AF5" w14:textId="77777777" w:rsidR="00B419CE" w:rsidRPr="00B419CE" w:rsidRDefault="00B419CE" w:rsidP="00B419CE">
            <w:r w:rsidRPr="00B419CE">
              <w:t>Riksrevisjonen</w:t>
            </w:r>
          </w:p>
        </w:tc>
        <w:tc>
          <w:tcPr>
            <w:tcW w:w="1020" w:type="dxa"/>
          </w:tcPr>
          <w:p w14:paraId="66AA95A6" w14:textId="77777777" w:rsidR="00B419CE" w:rsidRPr="00B419CE" w:rsidRDefault="00B419CE" w:rsidP="00B419CE">
            <w:pPr>
              <w:jc w:val="right"/>
            </w:pPr>
            <w:r w:rsidRPr="00B419CE">
              <w:t>555 930</w:t>
            </w:r>
          </w:p>
        </w:tc>
        <w:tc>
          <w:tcPr>
            <w:tcW w:w="1020" w:type="dxa"/>
          </w:tcPr>
          <w:p w14:paraId="393BE9AE" w14:textId="77777777" w:rsidR="00B419CE" w:rsidRPr="00B419CE" w:rsidRDefault="00B419CE" w:rsidP="00B419CE">
            <w:pPr>
              <w:jc w:val="right"/>
            </w:pPr>
            <w:r w:rsidRPr="00B419CE">
              <w:t>580 391</w:t>
            </w:r>
          </w:p>
        </w:tc>
        <w:tc>
          <w:tcPr>
            <w:tcW w:w="1020" w:type="dxa"/>
          </w:tcPr>
          <w:p w14:paraId="4A809306" w14:textId="77777777" w:rsidR="00B419CE" w:rsidRPr="00B419CE" w:rsidRDefault="00B419CE" w:rsidP="00B419CE">
            <w:pPr>
              <w:jc w:val="right"/>
            </w:pPr>
            <w:r w:rsidRPr="00B419CE">
              <w:t>592 577</w:t>
            </w:r>
          </w:p>
        </w:tc>
        <w:tc>
          <w:tcPr>
            <w:tcW w:w="1020" w:type="dxa"/>
          </w:tcPr>
          <w:p w14:paraId="41952CB7" w14:textId="77777777" w:rsidR="00B419CE" w:rsidRPr="00B419CE" w:rsidRDefault="00B419CE" w:rsidP="00B419CE">
            <w:pPr>
              <w:jc w:val="right"/>
            </w:pPr>
            <w:r w:rsidRPr="00B419CE">
              <w:t>2,1</w:t>
            </w:r>
          </w:p>
        </w:tc>
      </w:tr>
      <w:tr w:rsidR="00B419CE" w:rsidRPr="00B419CE" w14:paraId="6ECD8B6A" w14:textId="77777777" w:rsidTr="00B419CE">
        <w:trPr>
          <w:trHeight w:val="380"/>
        </w:trPr>
        <w:tc>
          <w:tcPr>
            <w:tcW w:w="1020" w:type="dxa"/>
          </w:tcPr>
          <w:p w14:paraId="6461507D" w14:textId="77777777" w:rsidR="00B419CE" w:rsidRPr="00B419CE" w:rsidRDefault="00B419CE" w:rsidP="00B419CE"/>
        </w:tc>
        <w:tc>
          <w:tcPr>
            <w:tcW w:w="4080" w:type="dxa"/>
          </w:tcPr>
          <w:p w14:paraId="0459B61D" w14:textId="77777777" w:rsidR="00B419CE" w:rsidRPr="00B419CE" w:rsidRDefault="00B419CE" w:rsidP="00B419CE">
            <w:r w:rsidRPr="00B419CE">
              <w:t>Sum kategori 00.40</w:t>
            </w:r>
          </w:p>
        </w:tc>
        <w:tc>
          <w:tcPr>
            <w:tcW w:w="1020" w:type="dxa"/>
          </w:tcPr>
          <w:p w14:paraId="00AC1CD4" w14:textId="77777777" w:rsidR="00B419CE" w:rsidRPr="00B419CE" w:rsidRDefault="00B419CE" w:rsidP="00B419CE">
            <w:pPr>
              <w:jc w:val="right"/>
            </w:pPr>
            <w:r w:rsidRPr="00B419CE">
              <w:t>1 966 859</w:t>
            </w:r>
          </w:p>
        </w:tc>
        <w:tc>
          <w:tcPr>
            <w:tcW w:w="1020" w:type="dxa"/>
          </w:tcPr>
          <w:p w14:paraId="65DA9D85" w14:textId="77777777" w:rsidR="00B419CE" w:rsidRPr="00B419CE" w:rsidRDefault="00B419CE" w:rsidP="00B419CE">
            <w:pPr>
              <w:jc w:val="right"/>
            </w:pPr>
            <w:r w:rsidRPr="00B419CE">
              <w:t>2 110 002</w:t>
            </w:r>
          </w:p>
        </w:tc>
        <w:tc>
          <w:tcPr>
            <w:tcW w:w="1020" w:type="dxa"/>
          </w:tcPr>
          <w:p w14:paraId="0ED9F37A" w14:textId="77777777" w:rsidR="00B419CE" w:rsidRPr="00B419CE" w:rsidRDefault="00B419CE" w:rsidP="00B419CE">
            <w:pPr>
              <w:jc w:val="right"/>
            </w:pPr>
            <w:r w:rsidRPr="00B419CE">
              <w:t>2 172 060</w:t>
            </w:r>
          </w:p>
        </w:tc>
        <w:tc>
          <w:tcPr>
            <w:tcW w:w="1020" w:type="dxa"/>
          </w:tcPr>
          <w:p w14:paraId="5A5E4D6F" w14:textId="77777777" w:rsidR="00B419CE" w:rsidRPr="00B419CE" w:rsidRDefault="00B419CE" w:rsidP="00B419CE">
            <w:pPr>
              <w:jc w:val="right"/>
            </w:pPr>
            <w:r w:rsidRPr="00B419CE">
              <w:t>2,9</w:t>
            </w:r>
          </w:p>
        </w:tc>
      </w:tr>
    </w:tbl>
    <w:p w14:paraId="5E6A5785" w14:textId="77777777" w:rsidR="00B419CE" w:rsidRPr="00B419CE" w:rsidRDefault="00B419CE" w:rsidP="00B419CE">
      <w:pPr>
        <w:pStyle w:val="b-budkaptit"/>
      </w:pPr>
      <w:r w:rsidRPr="00B419CE">
        <w:t>Kap. 41 Stortinget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0488A0EC" w14:textId="77777777" w:rsidTr="00B419CE">
        <w:trPr>
          <w:trHeight w:val="640"/>
          <w:hidden/>
        </w:trPr>
        <w:tc>
          <w:tcPr>
            <w:tcW w:w="1140" w:type="dxa"/>
            <w:shd w:val="clear" w:color="auto" w:fill="FFFFFF"/>
          </w:tcPr>
          <w:p w14:paraId="30AC6674" w14:textId="77777777" w:rsidR="00B419CE" w:rsidRPr="00B419CE" w:rsidRDefault="00B419CE" w:rsidP="00B419CE">
            <w:pPr>
              <w:pStyle w:val="Tabellnavn"/>
            </w:pPr>
            <w:r w:rsidRPr="00B419CE">
              <w:t>KPAL</w:t>
            </w:r>
          </w:p>
        </w:tc>
        <w:tc>
          <w:tcPr>
            <w:tcW w:w="4560" w:type="dxa"/>
          </w:tcPr>
          <w:p w14:paraId="60E34183" w14:textId="77777777" w:rsidR="00B419CE" w:rsidRPr="00B419CE" w:rsidRDefault="00B419CE" w:rsidP="00B419CE"/>
        </w:tc>
        <w:tc>
          <w:tcPr>
            <w:tcW w:w="1140" w:type="dxa"/>
          </w:tcPr>
          <w:p w14:paraId="09552279" w14:textId="77777777" w:rsidR="00B419CE" w:rsidRPr="00B419CE" w:rsidRDefault="00B419CE" w:rsidP="00B419CE">
            <w:pPr>
              <w:jc w:val="right"/>
            </w:pPr>
          </w:p>
        </w:tc>
        <w:tc>
          <w:tcPr>
            <w:tcW w:w="1140" w:type="dxa"/>
          </w:tcPr>
          <w:p w14:paraId="2218344E" w14:textId="77777777" w:rsidR="00B419CE" w:rsidRPr="00B419CE" w:rsidRDefault="00B419CE" w:rsidP="00B419CE">
            <w:pPr>
              <w:jc w:val="right"/>
            </w:pPr>
          </w:p>
        </w:tc>
        <w:tc>
          <w:tcPr>
            <w:tcW w:w="1140" w:type="dxa"/>
          </w:tcPr>
          <w:p w14:paraId="159B5E98" w14:textId="77777777" w:rsidR="00B419CE" w:rsidRPr="00B419CE" w:rsidRDefault="00B419CE" w:rsidP="00B419CE">
            <w:pPr>
              <w:jc w:val="right"/>
            </w:pPr>
            <w:r w:rsidRPr="00B419CE">
              <w:t>(i 1 000 kr)</w:t>
            </w:r>
          </w:p>
        </w:tc>
      </w:tr>
      <w:tr w:rsidR="00B419CE" w:rsidRPr="00B419CE" w14:paraId="53BCE3ED" w14:textId="77777777" w:rsidTr="00B419CE">
        <w:trPr>
          <w:trHeight w:val="600"/>
        </w:trPr>
        <w:tc>
          <w:tcPr>
            <w:tcW w:w="1140" w:type="dxa"/>
          </w:tcPr>
          <w:p w14:paraId="08923DF4" w14:textId="77777777" w:rsidR="00B419CE" w:rsidRPr="00B419CE" w:rsidRDefault="00B419CE" w:rsidP="00B419CE">
            <w:r w:rsidRPr="00B419CE">
              <w:t>Post</w:t>
            </w:r>
          </w:p>
        </w:tc>
        <w:tc>
          <w:tcPr>
            <w:tcW w:w="4560" w:type="dxa"/>
          </w:tcPr>
          <w:p w14:paraId="6D5F604D" w14:textId="77777777" w:rsidR="00B419CE" w:rsidRPr="00B419CE" w:rsidRDefault="00B419CE" w:rsidP="00B419CE">
            <w:proofErr w:type="spellStart"/>
            <w:r w:rsidRPr="00B419CE">
              <w:t>Nemning</w:t>
            </w:r>
            <w:proofErr w:type="spellEnd"/>
          </w:p>
        </w:tc>
        <w:tc>
          <w:tcPr>
            <w:tcW w:w="1140" w:type="dxa"/>
          </w:tcPr>
          <w:p w14:paraId="7EFE5FAE"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7FA9A432" w14:textId="77777777" w:rsidR="00B419CE" w:rsidRPr="00B419CE" w:rsidRDefault="00B419CE" w:rsidP="00B419CE">
            <w:pPr>
              <w:jc w:val="right"/>
            </w:pPr>
            <w:r w:rsidRPr="00B419CE">
              <w:t>Saldert</w:t>
            </w:r>
            <w:r w:rsidRPr="00B419CE">
              <w:br/>
              <w:t xml:space="preserve"> budsjett 2021</w:t>
            </w:r>
          </w:p>
        </w:tc>
        <w:tc>
          <w:tcPr>
            <w:tcW w:w="1140" w:type="dxa"/>
          </w:tcPr>
          <w:p w14:paraId="2A0D1A76" w14:textId="77777777" w:rsidR="00B419CE" w:rsidRPr="00B419CE" w:rsidRDefault="00B419CE" w:rsidP="00B419CE">
            <w:pPr>
              <w:jc w:val="right"/>
            </w:pPr>
            <w:r w:rsidRPr="00B419CE">
              <w:t>Forslag</w:t>
            </w:r>
            <w:r w:rsidRPr="00B419CE">
              <w:br/>
              <w:t xml:space="preserve"> 2022</w:t>
            </w:r>
          </w:p>
        </w:tc>
      </w:tr>
      <w:tr w:rsidR="00B419CE" w:rsidRPr="00B419CE" w14:paraId="385F64F8" w14:textId="77777777" w:rsidTr="00B419CE">
        <w:trPr>
          <w:trHeight w:val="380"/>
        </w:trPr>
        <w:tc>
          <w:tcPr>
            <w:tcW w:w="1140" w:type="dxa"/>
          </w:tcPr>
          <w:p w14:paraId="1080EABE" w14:textId="77777777" w:rsidR="00B419CE" w:rsidRPr="00B419CE" w:rsidRDefault="00B419CE" w:rsidP="00B419CE">
            <w:r w:rsidRPr="00B419CE">
              <w:t>01</w:t>
            </w:r>
          </w:p>
        </w:tc>
        <w:tc>
          <w:tcPr>
            <w:tcW w:w="4560" w:type="dxa"/>
          </w:tcPr>
          <w:p w14:paraId="3CBA473A" w14:textId="77777777" w:rsidR="00B419CE" w:rsidRPr="00B419CE" w:rsidRDefault="00B419CE" w:rsidP="00B419CE">
            <w:r w:rsidRPr="00B419CE">
              <w:t>Driftsutgifter</w:t>
            </w:r>
          </w:p>
        </w:tc>
        <w:tc>
          <w:tcPr>
            <w:tcW w:w="1140" w:type="dxa"/>
          </w:tcPr>
          <w:p w14:paraId="514B4B7E" w14:textId="77777777" w:rsidR="00B419CE" w:rsidRPr="00B419CE" w:rsidRDefault="00B419CE" w:rsidP="00B419CE">
            <w:pPr>
              <w:jc w:val="right"/>
            </w:pPr>
            <w:r w:rsidRPr="00B419CE">
              <w:t>901 235</w:t>
            </w:r>
          </w:p>
        </w:tc>
        <w:tc>
          <w:tcPr>
            <w:tcW w:w="1140" w:type="dxa"/>
          </w:tcPr>
          <w:p w14:paraId="509C0F4B" w14:textId="77777777" w:rsidR="00B419CE" w:rsidRPr="00B419CE" w:rsidRDefault="00B419CE" w:rsidP="00B419CE">
            <w:pPr>
              <w:jc w:val="right"/>
            </w:pPr>
            <w:r w:rsidRPr="00B419CE">
              <w:t>990 900</w:t>
            </w:r>
          </w:p>
        </w:tc>
        <w:tc>
          <w:tcPr>
            <w:tcW w:w="1140" w:type="dxa"/>
          </w:tcPr>
          <w:p w14:paraId="0E038704" w14:textId="77777777" w:rsidR="00B419CE" w:rsidRPr="00B419CE" w:rsidRDefault="00B419CE" w:rsidP="00B419CE">
            <w:pPr>
              <w:jc w:val="right"/>
            </w:pPr>
            <w:r w:rsidRPr="00B419CE">
              <w:t>1 022 485</w:t>
            </w:r>
          </w:p>
        </w:tc>
      </w:tr>
      <w:tr w:rsidR="00B419CE" w:rsidRPr="00B419CE" w14:paraId="2354995E" w14:textId="77777777" w:rsidTr="00B419CE">
        <w:trPr>
          <w:trHeight w:val="380"/>
        </w:trPr>
        <w:tc>
          <w:tcPr>
            <w:tcW w:w="1140" w:type="dxa"/>
          </w:tcPr>
          <w:p w14:paraId="3EB140A1" w14:textId="77777777" w:rsidR="00B419CE" w:rsidRPr="00B419CE" w:rsidRDefault="00B419CE" w:rsidP="00B419CE">
            <w:r w:rsidRPr="00B419CE">
              <w:t>21</w:t>
            </w:r>
          </w:p>
        </w:tc>
        <w:tc>
          <w:tcPr>
            <w:tcW w:w="4560" w:type="dxa"/>
          </w:tcPr>
          <w:p w14:paraId="310945B8" w14:textId="77777777" w:rsidR="00B419CE" w:rsidRPr="00B419CE" w:rsidRDefault="00B419CE" w:rsidP="00B419CE">
            <w:r w:rsidRPr="00B419CE">
              <w:t>Spesielle driftsutgifter</w:t>
            </w:r>
            <w:r w:rsidRPr="00B419CE">
              <w:rPr>
                <w:rStyle w:val="kursiv"/>
              </w:rPr>
              <w:t xml:space="preserve">, kan </w:t>
            </w:r>
            <w:proofErr w:type="spellStart"/>
            <w:r w:rsidRPr="00B419CE">
              <w:rPr>
                <w:rStyle w:val="kursiv"/>
              </w:rPr>
              <w:t>overførast</w:t>
            </w:r>
            <w:proofErr w:type="spellEnd"/>
          </w:p>
        </w:tc>
        <w:tc>
          <w:tcPr>
            <w:tcW w:w="1140" w:type="dxa"/>
          </w:tcPr>
          <w:p w14:paraId="4BC46688" w14:textId="77777777" w:rsidR="00B419CE" w:rsidRPr="00B419CE" w:rsidRDefault="00B419CE" w:rsidP="00B419CE">
            <w:pPr>
              <w:jc w:val="right"/>
            </w:pPr>
            <w:r w:rsidRPr="00B419CE">
              <w:t>3 014</w:t>
            </w:r>
          </w:p>
        </w:tc>
        <w:tc>
          <w:tcPr>
            <w:tcW w:w="1140" w:type="dxa"/>
          </w:tcPr>
          <w:p w14:paraId="489E3C35" w14:textId="77777777" w:rsidR="00B419CE" w:rsidRPr="00B419CE" w:rsidRDefault="00B419CE" w:rsidP="00B419CE">
            <w:pPr>
              <w:jc w:val="right"/>
            </w:pPr>
            <w:r w:rsidRPr="00B419CE">
              <w:t>4 200</w:t>
            </w:r>
          </w:p>
        </w:tc>
        <w:tc>
          <w:tcPr>
            <w:tcW w:w="1140" w:type="dxa"/>
          </w:tcPr>
          <w:p w14:paraId="79789E0F" w14:textId="77777777" w:rsidR="00B419CE" w:rsidRPr="00B419CE" w:rsidRDefault="00B419CE" w:rsidP="00B419CE">
            <w:pPr>
              <w:jc w:val="right"/>
            </w:pPr>
            <w:r w:rsidRPr="00B419CE">
              <w:t>2 400</w:t>
            </w:r>
          </w:p>
        </w:tc>
      </w:tr>
      <w:tr w:rsidR="00B419CE" w:rsidRPr="00B419CE" w14:paraId="7F25AF9B" w14:textId="77777777" w:rsidTr="00B419CE">
        <w:trPr>
          <w:trHeight w:val="380"/>
        </w:trPr>
        <w:tc>
          <w:tcPr>
            <w:tcW w:w="1140" w:type="dxa"/>
          </w:tcPr>
          <w:p w14:paraId="7F8C5E9F" w14:textId="77777777" w:rsidR="00B419CE" w:rsidRPr="00B419CE" w:rsidRDefault="00B419CE" w:rsidP="00B419CE">
            <w:r w:rsidRPr="00B419CE">
              <w:t>45</w:t>
            </w:r>
          </w:p>
        </w:tc>
        <w:tc>
          <w:tcPr>
            <w:tcW w:w="4560" w:type="dxa"/>
          </w:tcPr>
          <w:p w14:paraId="4716F1CC" w14:textId="77777777" w:rsidR="00B419CE" w:rsidRPr="00B419CE" w:rsidRDefault="00B419CE" w:rsidP="00B419CE">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1140" w:type="dxa"/>
          </w:tcPr>
          <w:p w14:paraId="5646F8A6" w14:textId="77777777" w:rsidR="00B419CE" w:rsidRPr="00B419CE" w:rsidRDefault="00B419CE" w:rsidP="00B419CE">
            <w:pPr>
              <w:jc w:val="right"/>
            </w:pPr>
            <w:r w:rsidRPr="00B419CE">
              <w:t>130 911</w:t>
            </w:r>
          </w:p>
        </w:tc>
        <w:tc>
          <w:tcPr>
            <w:tcW w:w="1140" w:type="dxa"/>
          </w:tcPr>
          <w:p w14:paraId="7BBDD477" w14:textId="77777777" w:rsidR="00B419CE" w:rsidRPr="00B419CE" w:rsidRDefault="00B419CE" w:rsidP="00B419CE">
            <w:pPr>
              <w:jc w:val="right"/>
            </w:pPr>
            <w:r w:rsidRPr="00B419CE">
              <w:t>139 900</w:t>
            </w:r>
          </w:p>
        </w:tc>
        <w:tc>
          <w:tcPr>
            <w:tcW w:w="1140" w:type="dxa"/>
          </w:tcPr>
          <w:p w14:paraId="3C8CC31B" w14:textId="77777777" w:rsidR="00B419CE" w:rsidRPr="00B419CE" w:rsidRDefault="00B419CE" w:rsidP="00B419CE">
            <w:pPr>
              <w:jc w:val="right"/>
            </w:pPr>
            <w:r w:rsidRPr="00B419CE">
              <w:t>147 400</w:t>
            </w:r>
          </w:p>
        </w:tc>
      </w:tr>
      <w:tr w:rsidR="00B419CE" w:rsidRPr="00B419CE" w14:paraId="61ECB994" w14:textId="77777777" w:rsidTr="00B419CE">
        <w:trPr>
          <w:trHeight w:val="380"/>
        </w:trPr>
        <w:tc>
          <w:tcPr>
            <w:tcW w:w="1140" w:type="dxa"/>
          </w:tcPr>
          <w:p w14:paraId="63CED47A" w14:textId="77777777" w:rsidR="00B419CE" w:rsidRPr="00B419CE" w:rsidRDefault="00B419CE" w:rsidP="00B419CE">
            <w:r w:rsidRPr="00B419CE">
              <w:t>50</w:t>
            </w:r>
          </w:p>
        </w:tc>
        <w:tc>
          <w:tcPr>
            <w:tcW w:w="4560" w:type="dxa"/>
          </w:tcPr>
          <w:p w14:paraId="10BA403D" w14:textId="77777777" w:rsidR="00B419CE" w:rsidRPr="00B419CE" w:rsidRDefault="00B419CE" w:rsidP="00B419CE">
            <w:r w:rsidRPr="00B419CE">
              <w:t>Sannings- og forsoningskommisjonen</w:t>
            </w:r>
          </w:p>
        </w:tc>
        <w:tc>
          <w:tcPr>
            <w:tcW w:w="1140" w:type="dxa"/>
          </w:tcPr>
          <w:p w14:paraId="543F178F" w14:textId="77777777" w:rsidR="00B419CE" w:rsidRPr="00B419CE" w:rsidRDefault="00B419CE" w:rsidP="00B419CE">
            <w:pPr>
              <w:jc w:val="right"/>
            </w:pPr>
            <w:r w:rsidRPr="00B419CE">
              <w:t>10 000</w:t>
            </w:r>
          </w:p>
        </w:tc>
        <w:tc>
          <w:tcPr>
            <w:tcW w:w="1140" w:type="dxa"/>
          </w:tcPr>
          <w:p w14:paraId="1377BA05" w14:textId="77777777" w:rsidR="00B419CE" w:rsidRPr="00B419CE" w:rsidRDefault="00B419CE" w:rsidP="00B419CE">
            <w:pPr>
              <w:jc w:val="right"/>
            </w:pPr>
            <w:r w:rsidRPr="00B419CE">
              <w:t>10 000</w:t>
            </w:r>
          </w:p>
        </w:tc>
        <w:tc>
          <w:tcPr>
            <w:tcW w:w="1140" w:type="dxa"/>
          </w:tcPr>
          <w:p w14:paraId="732808F6" w14:textId="77777777" w:rsidR="00B419CE" w:rsidRPr="00B419CE" w:rsidRDefault="00B419CE" w:rsidP="00B419CE">
            <w:pPr>
              <w:jc w:val="right"/>
            </w:pPr>
            <w:r w:rsidRPr="00B419CE">
              <w:t>10 000</w:t>
            </w:r>
          </w:p>
        </w:tc>
      </w:tr>
      <w:tr w:rsidR="00B419CE" w:rsidRPr="00B419CE" w14:paraId="74C11DB2" w14:textId="77777777" w:rsidTr="00B419CE">
        <w:trPr>
          <w:trHeight w:val="380"/>
        </w:trPr>
        <w:tc>
          <w:tcPr>
            <w:tcW w:w="1140" w:type="dxa"/>
          </w:tcPr>
          <w:p w14:paraId="5198587A" w14:textId="77777777" w:rsidR="00B419CE" w:rsidRPr="00B419CE" w:rsidRDefault="00B419CE" w:rsidP="00B419CE">
            <w:r w:rsidRPr="00B419CE">
              <w:t>70</w:t>
            </w:r>
          </w:p>
        </w:tc>
        <w:tc>
          <w:tcPr>
            <w:tcW w:w="4560" w:type="dxa"/>
          </w:tcPr>
          <w:p w14:paraId="5C8727DF" w14:textId="77777777" w:rsidR="00B419CE" w:rsidRPr="00B419CE" w:rsidRDefault="00B419CE" w:rsidP="00B419CE">
            <w:proofErr w:type="spellStart"/>
            <w:r w:rsidRPr="00B419CE">
              <w:t>Tilskot</w:t>
            </w:r>
            <w:proofErr w:type="spellEnd"/>
            <w:r w:rsidRPr="00B419CE">
              <w:t xml:space="preserve"> til partigruppene</w:t>
            </w:r>
          </w:p>
        </w:tc>
        <w:tc>
          <w:tcPr>
            <w:tcW w:w="1140" w:type="dxa"/>
          </w:tcPr>
          <w:p w14:paraId="481170E6" w14:textId="77777777" w:rsidR="00B419CE" w:rsidRPr="00B419CE" w:rsidRDefault="00B419CE" w:rsidP="00B419CE">
            <w:pPr>
              <w:jc w:val="right"/>
            </w:pPr>
            <w:r w:rsidRPr="00B419CE">
              <w:t>198 629</w:t>
            </w:r>
          </w:p>
        </w:tc>
        <w:tc>
          <w:tcPr>
            <w:tcW w:w="1140" w:type="dxa"/>
          </w:tcPr>
          <w:p w14:paraId="60250E0E" w14:textId="77777777" w:rsidR="00B419CE" w:rsidRPr="00B419CE" w:rsidRDefault="00B419CE" w:rsidP="00B419CE">
            <w:pPr>
              <w:jc w:val="right"/>
            </w:pPr>
            <w:r w:rsidRPr="00B419CE">
              <w:t>200 300</w:t>
            </w:r>
          </w:p>
        </w:tc>
        <w:tc>
          <w:tcPr>
            <w:tcW w:w="1140" w:type="dxa"/>
          </w:tcPr>
          <w:p w14:paraId="08991B83" w14:textId="77777777" w:rsidR="00B419CE" w:rsidRPr="00B419CE" w:rsidRDefault="00B419CE" w:rsidP="00B419CE">
            <w:pPr>
              <w:jc w:val="right"/>
            </w:pPr>
            <w:r w:rsidRPr="00B419CE">
              <w:t>210 600</w:t>
            </w:r>
          </w:p>
        </w:tc>
      </w:tr>
      <w:tr w:rsidR="00B419CE" w:rsidRPr="00B419CE" w14:paraId="71924804" w14:textId="77777777" w:rsidTr="00B419CE">
        <w:trPr>
          <w:trHeight w:val="380"/>
        </w:trPr>
        <w:tc>
          <w:tcPr>
            <w:tcW w:w="1140" w:type="dxa"/>
          </w:tcPr>
          <w:p w14:paraId="2F9D1CD7" w14:textId="77777777" w:rsidR="00B419CE" w:rsidRPr="00B419CE" w:rsidRDefault="00B419CE" w:rsidP="00B419CE">
            <w:r w:rsidRPr="00B419CE">
              <w:t>72</w:t>
            </w:r>
          </w:p>
        </w:tc>
        <w:tc>
          <w:tcPr>
            <w:tcW w:w="4560" w:type="dxa"/>
          </w:tcPr>
          <w:p w14:paraId="39684297" w14:textId="77777777" w:rsidR="00B419CE" w:rsidRPr="00B419CE" w:rsidRDefault="00B419CE" w:rsidP="00B419CE">
            <w:proofErr w:type="spellStart"/>
            <w:r w:rsidRPr="00B419CE">
              <w:t>Tilskot</w:t>
            </w:r>
            <w:proofErr w:type="spellEnd"/>
            <w:r w:rsidRPr="00B419CE">
              <w:t xml:space="preserve"> til Det Norske Nobelinstitutts bibliotek</w:t>
            </w:r>
          </w:p>
        </w:tc>
        <w:tc>
          <w:tcPr>
            <w:tcW w:w="1140" w:type="dxa"/>
          </w:tcPr>
          <w:p w14:paraId="6FCF7691" w14:textId="77777777" w:rsidR="00B419CE" w:rsidRPr="00B419CE" w:rsidRDefault="00B419CE" w:rsidP="00B419CE">
            <w:pPr>
              <w:jc w:val="right"/>
            </w:pPr>
            <w:r w:rsidRPr="00B419CE">
              <w:t>1 500</w:t>
            </w:r>
          </w:p>
        </w:tc>
        <w:tc>
          <w:tcPr>
            <w:tcW w:w="1140" w:type="dxa"/>
          </w:tcPr>
          <w:p w14:paraId="05047F1B" w14:textId="77777777" w:rsidR="00B419CE" w:rsidRPr="00B419CE" w:rsidRDefault="00B419CE" w:rsidP="00B419CE">
            <w:pPr>
              <w:jc w:val="right"/>
            </w:pPr>
            <w:r w:rsidRPr="00B419CE">
              <w:t>1 500</w:t>
            </w:r>
          </w:p>
        </w:tc>
        <w:tc>
          <w:tcPr>
            <w:tcW w:w="1140" w:type="dxa"/>
          </w:tcPr>
          <w:p w14:paraId="188CEDFA" w14:textId="77777777" w:rsidR="00B419CE" w:rsidRPr="00B419CE" w:rsidRDefault="00B419CE" w:rsidP="00B419CE">
            <w:pPr>
              <w:jc w:val="right"/>
            </w:pPr>
            <w:r w:rsidRPr="00B419CE">
              <w:t>1 500</w:t>
            </w:r>
          </w:p>
        </w:tc>
      </w:tr>
      <w:tr w:rsidR="00B419CE" w:rsidRPr="00B419CE" w14:paraId="71017BEA" w14:textId="77777777" w:rsidTr="00B419CE">
        <w:trPr>
          <w:trHeight w:val="380"/>
        </w:trPr>
        <w:tc>
          <w:tcPr>
            <w:tcW w:w="1140" w:type="dxa"/>
          </w:tcPr>
          <w:p w14:paraId="13E1A423" w14:textId="77777777" w:rsidR="00B419CE" w:rsidRPr="00B419CE" w:rsidRDefault="00B419CE" w:rsidP="00B419CE">
            <w:r w:rsidRPr="00B419CE">
              <w:t>73</w:t>
            </w:r>
          </w:p>
        </w:tc>
        <w:tc>
          <w:tcPr>
            <w:tcW w:w="4560" w:type="dxa"/>
          </w:tcPr>
          <w:p w14:paraId="52628EBB" w14:textId="77777777" w:rsidR="00B419CE" w:rsidRPr="00B419CE" w:rsidRDefault="00B419CE" w:rsidP="00B419CE">
            <w:proofErr w:type="spellStart"/>
            <w:r w:rsidRPr="00B419CE">
              <w:t>Kontingentar</w:t>
            </w:r>
            <w:proofErr w:type="spellEnd"/>
            <w:r w:rsidRPr="00B419CE">
              <w:t xml:space="preserve">, internasjonale </w:t>
            </w:r>
            <w:proofErr w:type="spellStart"/>
            <w:r w:rsidRPr="00B419CE">
              <w:t>delegasjonar</w:t>
            </w:r>
            <w:proofErr w:type="spellEnd"/>
          </w:p>
        </w:tc>
        <w:tc>
          <w:tcPr>
            <w:tcW w:w="1140" w:type="dxa"/>
          </w:tcPr>
          <w:p w14:paraId="2A0A88BB" w14:textId="77777777" w:rsidR="00B419CE" w:rsidRPr="00B419CE" w:rsidRDefault="00B419CE" w:rsidP="00B419CE">
            <w:pPr>
              <w:jc w:val="right"/>
            </w:pPr>
            <w:r w:rsidRPr="00B419CE">
              <w:t>15 192</w:t>
            </w:r>
          </w:p>
        </w:tc>
        <w:tc>
          <w:tcPr>
            <w:tcW w:w="1140" w:type="dxa"/>
          </w:tcPr>
          <w:p w14:paraId="712C3DE1" w14:textId="77777777" w:rsidR="00B419CE" w:rsidRPr="00B419CE" w:rsidRDefault="00B419CE" w:rsidP="00B419CE">
            <w:pPr>
              <w:jc w:val="right"/>
            </w:pPr>
            <w:r w:rsidRPr="00B419CE">
              <w:t>16 500</w:t>
            </w:r>
          </w:p>
        </w:tc>
        <w:tc>
          <w:tcPr>
            <w:tcW w:w="1140" w:type="dxa"/>
          </w:tcPr>
          <w:p w14:paraId="494ED9AC" w14:textId="77777777" w:rsidR="00B419CE" w:rsidRPr="00B419CE" w:rsidRDefault="00B419CE" w:rsidP="00B419CE">
            <w:pPr>
              <w:jc w:val="right"/>
            </w:pPr>
            <w:r w:rsidRPr="00B419CE">
              <w:t>16 500</w:t>
            </w:r>
          </w:p>
        </w:tc>
      </w:tr>
      <w:tr w:rsidR="00B419CE" w:rsidRPr="00B419CE" w14:paraId="58CDA9AE" w14:textId="77777777" w:rsidTr="00B419CE">
        <w:trPr>
          <w:trHeight w:val="380"/>
        </w:trPr>
        <w:tc>
          <w:tcPr>
            <w:tcW w:w="1140" w:type="dxa"/>
          </w:tcPr>
          <w:p w14:paraId="60FBB771" w14:textId="77777777" w:rsidR="00B419CE" w:rsidRPr="00B419CE" w:rsidRDefault="00B419CE" w:rsidP="00B419CE">
            <w:r w:rsidRPr="00B419CE">
              <w:t>74</w:t>
            </w:r>
          </w:p>
        </w:tc>
        <w:tc>
          <w:tcPr>
            <w:tcW w:w="4560" w:type="dxa"/>
          </w:tcPr>
          <w:p w14:paraId="33B95892" w14:textId="77777777" w:rsidR="00B419CE" w:rsidRPr="00B419CE" w:rsidRDefault="00B419CE" w:rsidP="00B419CE">
            <w:proofErr w:type="spellStart"/>
            <w:r w:rsidRPr="00B419CE">
              <w:t>Reisetilskot</w:t>
            </w:r>
            <w:proofErr w:type="spellEnd"/>
            <w:r w:rsidRPr="00B419CE">
              <w:t xml:space="preserve"> til </w:t>
            </w:r>
            <w:proofErr w:type="spellStart"/>
            <w:r w:rsidRPr="00B419CE">
              <w:t>skular</w:t>
            </w:r>
            <w:proofErr w:type="spellEnd"/>
          </w:p>
        </w:tc>
        <w:tc>
          <w:tcPr>
            <w:tcW w:w="1140" w:type="dxa"/>
          </w:tcPr>
          <w:p w14:paraId="6887AFCE" w14:textId="77777777" w:rsidR="00B419CE" w:rsidRPr="00B419CE" w:rsidRDefault="00B419CE" w:rsidP="00B419CE">
            <w:pPr>
              <w:jc w:val="right"/>
            </w:pPr>
            <w:r w:rsidRPr="00B419CE">
              <w:t>2 545</w:t>
            </w:r>
          </w:p>
        </w:tc>
        <w:tc>
          <w:tcPr>
            <w:tcW w:w="1140" w:type="dxa"/>
          </w:tcPr>
          <w:p w14:paraId="387058B7" w14:textId="77777777" w:rsidR="00B419CE" w:rsidRPr="00B419CE" w:rsidRDefault="00B419CE" w:rsidP="00B419CE">
            <w:pPr>
              <w:jc w:val="right"/>
            </w:pPr>
            <w:r w:rsidRPr="00B419CE">
              <w:t>5 500</w:t>
            </w:r>
          </w:p>
        </w:tc>
        <w:tc>
          <w:tcPr>
            <w:tcW w:w="1140" w:type="dxa"/>
          </w:tcPr>
          <w:p w14:paraId="49082704" w14:textId="77777777" w:rsidR="00B419CE" w:rsidRPr="00B419CE" w:rsidRDefault="00B419CE" w:rsidP="00B419CE">
            <w:pPr>
              <w:jc w:val="right"/>
            </w:pPr>
            <w:r w:rsidRPr="00B419CE">
              <w:t>5 400</w:t>
            </w:r>
          </w:p>
        </w:tc>
      </w:tr>
      <w:tr w:rsidR="00B419CE" w:rsidRPr="00B419CE" w14:paraId="7DCD850B" w14:textId="77777777" w:rsidTr="00B419CE">
        <w:trPr>
          <w:trHeight w:val="380"/>
        </w:trPr>
        <w:tc>
          <w:tcPr>
            <w:tcW w:w="1140" w:type="dxa"/>
          </w:tcPr>
          <w:p w14:paraId="64F36142" w14:textId="77777777" w:rsidR="00B419CE" w:rsidRPr="00B419CE" w:rsidRDefault="00B419CE" w:rsidP="00B419CE"/>
        </w:tc>
        <w:tc>
          <w:tcPr>
            <w:tcW w:w="4560" w:type="dxa"/>
          </w:tcPr>
          <w:p w14:paraId="67E71424" w14:textId="77777777" w:rsidR="00B419CE" w:rsidRPr="00B419CE" w:rsidRDefault="00B419CE" w:rsidP="00B419CE">
            <w:r w:rsidRPr="00B419CE">
              <w:t>Sum kap. 41</w:t>
            </w:r>
          </w:p>
        </w:tc>
        <w:tc>
          <w:tcPr>
            <w:tcW w:w="1140" w:type="dxa"/>
          </w:tcPr>
          <w:p w14:paraId="26FC89E3" w14:textId="77777777" w:rsidR="00B419CE" w:rsidRPr="00B419CE" w:rsidRDefault="00B419CE" w:rsidP="00B419CE">
            <w:pPr>
              <w:jc w:val="right"/>
            </w:pPr>
            <w:r w:rsidRPr="00B419CE">
              <w:t>1 263 026</w:t>
            </w:r>
          </w:p>
        </w:tc>
        <w:tc>
          <w:tcPr>
            <w:tcW w:w="1140" w:type="dxa"/>
          </w:tcPr>
          <w:p w14:paraId="41429704" w14:textId="77777777" w:rsidR="00B419CE" w:rsidRPr="00B419CE" w:rsidRDefault="00B419CE" w:rsidP="00B419CE">
            <w:pPr>
              <w:jc w:val="right"/>
            </w:pPr>
            <w:r w:rsidRPr="00B419CE">
              <w:t>1 368 800</w:t>
            </w:r>
          </w:p>
        </w:tc>
        <w:tc>
          <w:tcPr>
            <w:tcW w:w="1140" w:type="dxa"/>
          </w:tcPr>
          <w:p w14:paraId="32A84E38" w14:textId="77777777" w:rsidR="00B419CE" w:rsidRPr="00B419CE" w:rsidRDefault="00B419CE" w:rsidP="00B419CE">
            <w:pPr>
              <w:jc w:val="right"/>
            </w:pPr>
            <w:r w:rsidRPr="00B419CE">
              <w:t>1 416 285</w:t>
            </w:r>
          </w:p>
        </w:tc>
      </w:tr>
    </w:tbl>
    <w:p w14:paraId="5075FADF" w14:textId="77777777" w:rsidR="00B419CE" w:rsidRPr="00B419CE" w:rsidRDefault="00B419CE" w:rsidP="00B419CE">
      <w:pPr>
        <w:pStyle w:val="Undertittel"/>
      </w:pPr>
      <w:r w:rsidRPr="00B419CE">
        <w:t xml:space="preserve">Samfunnsoppdrag, </w:t>
      </w:r>
      <w:proofErr w:type="spellStart"/>
      <w:r w:rsidRPr="00B419CE">
        <w:t>hovudoppgåver</w:t>
      </w:r>
      <w:proofErr w:type="spellEnd"/>
      <w:r w:rsidRPr="00B419CE">
        <w:t xml:space="preserve"> og organisering</w:t>
      </w:r>
    </w:p>
    <w:p w14:paraId="59260ADC" w14:textId="77777777" w:rsidR="00B419CE" w:rsidRPr="00B419CE" w:rsidRDefault="00B419CE" w:rsidP="00B419CE">
      <w:proofErr w:type="spellStart"/>
      <w:r w:rsidRPr="00B419CE">
        <w:t>Oppgåvene</w:t>
      </w:r>
      <w:proofErr w:type="spellEnd"/>
      <w:r w:rsidRPr="00B419CE">
        <w:t xml:space="preserve"> og arbeidsordninga til Stortinget som konstitusjonelt organ er nedfelte i Grunnlova, andre lover, stortingsvedtak og konstitusjonell praksis. Stortingets konstitusjonelle </w:t>
      </w:r>
      <w:proofErr w:type="spellStart"/>
      <w:r w:rsidRPr="00B419CE">
        <w:t>hovudoppgåver</w:t>
      </w:r>
      <w:proofErr w:type="spellEnd"/>
      <w:r w:rsidRPr="00B419CE">
        <w:t xml:space="preserve"> er å vedta lover, løyve </w:t>
      </w:r>
      <w:proofErr w:type="spellStart"/>
      <w:r w:rsidRPr="00B419CE">
        <w:t>pengar</w:t>
      </w:r>
      <w:proofErr w:type="spellEnd"/>
      <w:r w:rsidRPr="00B419CE">
        <w:t xml:space="preserve"> til rådvelde for regjeringa og føre kontroll med regjeringa og forvaltninga.</w:t>
      </w:r>
    </w:p>
    <w:p w14:paraId="237B8F90" w14:textId="77777777" w:rsidR="00B419CE" w:rsidRPr="00B419CE" w:rsidRDefault="00B419CE" w:rsidP="00B419CE">
      <w:proofErr w:type="spellStart"/>
      <w:r w:rsidRPr="00B419CE">
        <w:t>Eit</w:t>
      </w:r>
      <w:proofErr w:type="spellEnd"/>
      <w:r w:rsidRPr="00B419CE">
        <w:t xml:space="preserve"> folkestyre skal både bevare og fornye – bevare fordi det </w:t>
      </w:r>
      <w:proofErr w:type="spellStart"/>
      <w:r w:rsidRPr="00B419CE">
        <w:t>dannar</w:t>
      </w:r>
      <w:proofErr w:type="spellEnd"/>
      <w:r w:rsidRPr="00B419CE">
        <w:t xml:space="preserve"> ramma for </w:t>
      </w:r>
      <w:proofErr w:type="spellStart"/>
      <w:r w:rsidRPr="00B419CE">
        <w:t>fellesskapen</w:t>
      </w:r>
      <w:proofErr w:type="spellEnd"/>
      <w:r w:rsidRPr="00B419CE">
        <w:t xml:space="preserve"> vår, og fornye fordi det aldri må miste sin aktualitet. Men først og fremst må </w:t>
      </w:r>
      <w:proofErr w:type="spellStart"/>
      <w:r w:rsidRPr="00B419CE">
        <w:t>eit</w:t>
      </w:r>
      <w:proofErr w:type="spellEnd"/>
      <w:r w:rsidRPr="00B419CE">
        <w:t xml:space="preserve"> folkestyre </w:t>
      </w:r>
      <w:proofErr w:type="spellStart"/>
      <w:r w:rsidRPr="00B419CE">
        <w:t>vere</w:t>
      </w:r>
      <w:proofErr w:type="spellEnd"/>
      <w:r w:rsidRPr="00B419CE">
        <w:t xml:space="preserve"> </w:t>
      </w:r>
      <w:proofErr w:type="spellStart"/>
      <w:r w:rsidRPr="00B419CE">
        <w:t>levande</w:t>
      </w:r>
      <w:proofErr w:type="spellEnd"/>
      <w:r w:rsidRPr="00B419CE">
        <w:t xml:space="preserve">. </w:t>
      </w:r>
      <w:proofErr w:type="spellStart"/>
      <w:r w:rsidRPr="00B419CE">
        <w:t>Eit</w:t>
      </w:r>
      <w:proofErr w:type="spellEnd"/>
      <w:r w:rsidRPr="00B419CE">
        <w:t xml:space="preserve"> </w:t>
      </w:r>
      <w:proofErr w:type="spellStart"/>
      <w:r w:rsidRPr="00B419CE">
        <w:t>levande</w:t>
      </w:r>
      <w:proofErr w:type="spellEnd"/>
      <w:r w:rsidRPr="00B419CE">
        <w:t xml:space="preserve"> folkestyre er visjonen vår.</w:t>
      </w:r>
    </w:p>
    <w:p w14:paraId="563F4188" w14:textId="77777777" w:rsidR="00B419CE" w:rsidRPr="00B419CE" w:rsidRDefault="00B419CE" w:rsidP="00B419CE">
      <w:r w:rsidRPr="00B419CE">
        <w:t xml:space="preserve">Samfunnsoppdraget til Stortingets administrasjon er å organisere og utvikle det parlamentariske arbeidet og å legge til rette for at </w:t>
      </w:r>
      <w:proofErr w:type="spellStart"/>
      <w:r w:rsidRPr="00B419CE">
        <w:t>stortingsrepresentantane</w:t>
      </w:r>
      <w:proofErr w:type="spellEnd"/>
      <w:r w:rsidRPr="00B419CE">
        <w:t xml:space="preserve"> kan vareta verva sine. Det er </w:t>
      </w:r>
      <w:proofErr w:type="spellStart"/>
      <w:r w:rsidRPr="00B419CE">
        <w:t>vidare</w:t>
      </w:r>
      <w:proofErr w:type="spellEnd"/>
      <w:r w:rsidRPr="00B419CE">
        <w:t xml:space="preserve"> å formidle kunnskap om folkestyret og </w:t>
      </w:r>
      <w:proofErr w:type="spellStart"/>
      <w:r w:rsidRPr="00B419CE">
        <w:t>verksemda</w:t>
      </w:r>
      <w:proofErr w:type="spellEnd"/>
      <w:r w:rsidRPr="00B419CE">
        <w:t xml:space="preserve"> til Stortinget. Administrasjonen skal òg ta vare på Stortingets </w:t>
      </w:r>
      <w:proofErr w:type="spellStart"/>
      <w:r w:rsidRPr="00B419CE">
        <w:t>bygningar</w:t>
      </w:r>
      <w:proofErr w:type="spellEnd"/>
      <w:r w:rsidRPr="00B419CE">
        <w:t xml:space="preserve">, historiske </w:t>
      </w:r>
      <w:proofErr w:type="spellStart"/>
      <w:r w:rsidRPr="00B419CE">
        <w:t>verdiar</w:t>
      </w:r>
      <w:proofErr w:type="spellEnd"/>
      <w:r w:rsidRPr="00B419CE">
        <w:t xml:space="preserve"> og kunst.</w:t>
      </w:r>
    </w:p>
    <w:p w14:paraId="53C1DD6A" w14:textId="77777777" w:rsidR="00B419CE" w:rsidRPr="00B419CE" w:rsidRDefault="00B419CE" w:rsidP="00B419CE">
      <w:r w:rsidRPr="00B419CE">
        <w:t xml:space="preserve">Det administrative arbeidet skal </w:t>
      </w:r>
      <w:proofErr w:type="spellStart"/>
      <w:r w:rsidRPr="00B419CE">
        <w:t>utførast</w:t>
      </w:r>
      <w:proofErr w:type="spellEnd"/>
      <w:r w:rsidRPr="00B419CE">
        <w:t xml:space="preserve"> effektivt og med god kvalitet og slik at det </w:t>
      </w:r>
      <w:proofErr w:type="spellStart"/>
      <w:r w:rsidRPr="00B419CE">
        <w:t>sikrar</w:t>
      </w:r>
      <w:proofErr w:type="spellEnd"/>
      <w:r w:rsidRPr="00B419CE">
        <w:t xml:space="preserve"> Stortingets omdømme på best </w:t>
      </w:r>
      <w:proofErr w:type="spellStart"/>
      <w:r w:rsidRPr="00B419CE">
        <w:t>mogleg</w:t>
      </w:r>
      <w:proofErr w:type="spellEnd"/>
      <w:r w:rsidRPr="00B419CE">
        <w:t xml:space="preserve"> måte. Administrasjonen skal </w:t>
      </w:r>
      <w:proofErr w:type="spellStart"/>
      <w:r w:rsidRPr="00B419CE">
        <w:t>opplevast</w:t>
      </w:r>
      <w:proofErr w:type="spellEnd"/>
      <w:r w:rsidRPr="00B419CE">
        <w:t xml:space="preserve"> som </w:t>
      </w:r>
      <w:r w:rsidRPr="00B419CE">
        <w:lastRenderedPageBreak/>
        <w:t xml:space="preserve">relevant, profesjonell og samfunnsbevisst både av </w:t>
      </w:r>
      <w:proofErr w:type="spellStart"/>
      <w:r w:rsidRPr="00B419CE">
        <w:t>stortingsrepresentantane</w:t>
      </w:r>
      <w:proofErr w:type="spellEnd"/>
      <w:r w:rsidRPr="00B419CE">
        <w:t xml:space="preserve"> og av andre målgrupper.</w:t>
      </w:r>
    </w:p>
    <w:p w14:paraId="4F5811A2" w14:textId="77777777" w:rsidR="00B419CE" w:rsidRPr="00B419CE" w:rsidRDefault="00B419CE" w:rsidP="00B419CE">
      <w:pPr>
        <w:pStyle w:val="Undertittel"/>
      </w:pPr>
      <w:r w:rsidRPr="00B419CE">
        <w:t>Resultat i 2020</w:t>
      </w:r>
    </w:p>
    <w:p w14:paraId="00A963CC" w14:textId="77777777" w:rsidR="00B419CE" w:rsidRPr="00B419CE" w:rsidRDefault="00B419CE" w:rsidP="00B419CE">
      <w:r w:rsidRPr="00B419CE">
        <w:t xml:space="preserve">Koronapandemien har </w:t>
      </w:r>
      <w:proofErr w:type="spellStart"/>
      <w:r w:rsidRPr="00B419CE">
        <w:t>påverka</w:t>
      </w:r>
      <w:proofErr w:type="spellEnd"/>
      <w:r w:rsidRPr="00B419CE">
        <w:t xml:space="preserve"> drifta i administrasjonen i stor grad i 2020. Nye </w:t>
      </w:r>
      <w:proofErr w:type="spellStart"/>
      <w:r w:rsidRPr="00B419CE">
        <w:t>arbeidsmåtar</w:t>
      </w:r>
      <w:proofErr w:type="spellEnd"/>
      <w:r w:rsidRPr="00B419CE">
        <w:t xml:space="preserve"> og nye digitale </w:t>
      </w:r>
      <w:proofErr w:type="spellStart"/>
      <w:r w:rsidRPr="00B419CE">
        <w:t>løysingar</w:t>
      </w:r>
      <w:proofErr w:type="spellEnd"/>
      <w:r w:rsidRPr="00B419CE">
        <w:t xml:space="preserve"> er tatt i bruk. Enkelte </w:t>
      </w:r>
      <w:proofErr w:type="spellStart"/>
      <w:r w:rsidRPr="00B419CE">
        <w:t>løysingar</w:t>
      </w:r>
      <w:proofErr w:type="spellEnd"/>
      <w:r w:rsidRPr="00B419CE">
        <w:t xml:space="preserve"> har blitt annleis enn det som var planlagt, men i det store og heile har administrasjonen levert gode </w:t>
      </w:r>
      <w:proofErr w:type="spellStart"/>
      <w:r w:rsidRPr="00B419CE">
        <w:t>løysingar</w:t>
      </w:r>
      <w:proofErr w:type="spellEnd"/>
      <w:r w:rsidRPr="00B419CE">
        <w:t xml:space="preserve"> også i 2020.</w:t>
      </w:r>
    </w:p>
    <w:p w14:paraId="7D664AD1" w14:textId="77777777" w:rsidR="00B419CE" w:rsidRPr="00B419CE" w:rsidRDefault="00B419CE" w:rsidP="00B419CE">
      <w:r w:rsidRPr="00B419CE">
        <w:t xml:space="preserve">Beredskapsplanverket og kriseorganisasjonen blei endra for å kunne handtere koronapandemien. </w:t>
      </w:r>
      <w:proofErr w:type="spellStart"/>
      <w:r w:rsidRPr="00B419CE">
        <w:t>Hovudmålsettinga</w:t>
      </w:r>
      <w:proofErr w:type="spellEnd"/>
      <w:r w:rsidRPr="00B419CE">
        <w:t xml:space="preserve"> i krisehandteringa er å sikre den parlamentariske </w:t>
      </w:r>
      <w:proofErr w:type="spellStart"/>
      <w:r w:rsidRPr="00B419CE">
        <w:t>kjerneverksemda</w:t>
      </w:r>
      <w:proofErr w:type="spellEnd"/>
      <w:r w:rsidRPr="00B419CE">
        <w:t xml:space="preserve"> samtidig som koronasmitte </w:t>
      </w:r>
      <w:proofErr w:type="spellStart"/>
      <w:r w:rsidRPr="00B419CE">
        <w:t>ikkje</w:t>
      </w:r>
      <w:proofErr w:type="spellEnd"/>
      <w:r w:rsidRPr="00B419CE">
        <w:t xml:space="preserve"> skal inn på Stortinget. Kriseorganisasjonen har gjennom heile perioden hatt oversikt over smittesituasjonen og </w:t>
      </w:r>
      <w:proofErr w:type="spellStart"/>
      <w:r w:rsidRPr="00B419CE">
        <w:t>jamleg</w:t>
      </w:r>
      <w:proofErr w:type="spellEnd"/>
      <w:r w:rsidRPr="00B419CE">
        <w:t xml:space="preserve"> vurdert behovet for å justere eller innføre nye tiltak for å nå måla for krisehandteringa.</w:t>
      </w:r>
    </w:p>
    <w:p w14:paraId="58513F98" w14:textId="77777777" w:rsidR="00B419CE" w:rsidRPr="00B419CE" w:rsidRDefault="00B419CE" w:rsidP="00B419CE">
      <w:r w:rsidRPr="00B419CE">
        <w:t xml:space="preserve">Stortingets administrasjon har i 2020 jobba etter </w:t>
      </w:r>
      <w:proofErr w:type="spellStart"/>
      <w:r w:rsidRPr="00B419CE">
        <w:t>desse</w:t>
      </w:r>
      <w:proofErr w:type="spellEnd"/>
      <w:r w:rsidRPr="00B419CE">
        <w:t xml:space="preserve"> overordna </w:t>
      </w:r>
      <w:proofErr w:type="spellStart"/>
      <w:r w:rsidRPr="00B419CE">
        <w:t>prioriteringane</w:t>
      </w:r>
      <w:proofErr w:type="spellEnd"/>
      <w:r w:rsidRPr="00B419CE">
        <w:t>:</w:t>
      </w:r>
    </w:p>
    <w:p w14:paraId="40017F6A" w14:textId="77777777" w:rsidR="00B419CE" w:rsidRPr="00B419CE" w:rsidRDefault="00B419CE" w:rsidP="00B419CE">
      <w:pPr>
        <w:pStyle w:val="Liste"/>
      </w:pPr>
      <w:r w:rsidRPr="00B419CE">
        <w:t>gjennomføre drifta effektivt og med god kvalitet</w:t>
      </w:r>
    </w:p>
    <w:p w14:paraId="1481CD24" w14:textId="77777777" w:rsidR="00B419CE" w:rsidRPr="00B419CE" w:rsidRDefault="00B419CE" w:rsidP="00B419CE">
      <w:pPr>
        <w:pStyle w:val="Liste"/>
      </w:pPr>
      <w:r w:rsidRPr="00B419CE">
        <w:t xml:space="preserve">gjennomføre igangsette prosjekt og hente ut </w:t>
      </w:r>
      <w:proofErr w:type="spellStart"/>
      <w:r w:rsidRPr="00B419CE">
        <w:t>gevinstar</w:t>
      </w:r>
      <w:proofErr w:type="spellEnd"/>
      <w:r w:rsidRPr="00B419CE">
        <w:t xml:space="preserve"> av </w:t>
      </w:r>
      <w:proofErr w:type="spellStart"/>
      <w:r w:rsidRPr="00B419CE">
        <w:t>tidlegare</w:t>
      </w:r>
      <w:proofErr w:type="spellEnd"/>
      <w:r w:rsidRPr="00B419CE">
        <w:t xml:space="preserve"> og nye </w:t>
      </w:r>
      <w:proofErr w:type="spellStart"/>
      <w:r w:rsidRPr="00B419CE">
        <w:t>investeringar</w:t>
      </w:r>
      <w:proofErr w:type="spellEnd"/>
    </w:p>
    <w:p w14:paraId="52A7AA6E" w14:textId="77777777" w:rsidR="00B419CE" w:rsidRPr="00B419CE" w:rsidRDefault="00B419CE" w:rsidP="00B419CE">
      <w:pPr>
        <w:pStyle w:val="Liste"/>
      </w:pPr>
      <w:r w:rsidRPr="00B419CE">
        <w:t xml:space="preserve">styrke </w:t>
      </w:r>
      <w:proofErr w:type="spellStart"/>
      <w:r w:rsidRPr="00B419CE">
        <w:t>formidlingsverksemda</w:t>
      </w:r>
      <w:proofErr w:type="spellEnd"/>
      <w:r w:rsidRPr="00B419CE">
        <w:t xml:space="preserve"> overfor barn og unge</w:t>
      </w:r>
    </w:p>
    <w:p w14:paraId="05421B53" w14:textId="77777777" w:rsidR="00B419CE" w:rsidRPr="00B419CE" w:rsidRDefault="00B419CE" w:rsidP="00B419CE">
      <w:pPr>
        <w:pStyle w:val="Liste"/>
      </w:pPr>
      <w:r w:rsidRPr="00B419CE">
        <w:t xml:space="preserve">etablere og komme i gang med </w:t>
      </w:r>
      <w:proofErr w:type="spellStart"/>
      <w:r w:rsidRPr="00B419CE">
        <w:t>ein</w:t>
      </w:r>
      <w:proofErr w:type="spellEnd"/>
      <w:r w:rsidRPr="00B419CE">
        <w:t xml:space="preserve"> ny strategi for administrasjonen</w:t>
      </w:r>
    </w:p>
    <w:p w14:paraId="541EFF11" w14:textId="77777777" w:rsidR="00B419CE" w:rsidRPr="00B419CE" w:rsidRDefault="00B419CE" w:rsidP="00B419CE">
      <w:pPr>
        <w:pStyle w:val="Liste"/>
      </w:pPr>
      <w:r w:rsidRPr="00B419CE">
        <w:t xml:space="preserve">etablere </w:t>
      </w:r>
      <w:proofErr w:type="spellStart"/>
      <w:r w:rsidRPr="00B419CE">
        <w:t>eit</w:t>
      </w:r>
      <w:proofErr w:type="spellEnd"/>
      <w:r w:rsidRPr="00B419CE">
        <w:t xml:space="preserve"> program for modernisering og effektivisering som arbeidsform for større utviklingskraft</w:t>
      </w:r>
    </w:p>
    <w:p w14:paraId="442C06B1" w14:textId="77777777" w:rsidR="00B419CE" w:rsidRPr="00B419CE" w:rsidRDefault="00B419CE" w:rsidP="00B419CE">
      <w:pPr>
        <w:pStyle w:val="Liste"/>
      </w:pPr>
      <w:r w:rsidRPr="00B419CE">
        <w:t xml:space="preserve">utarbeide langsiktige planar for </w:t>
      </w:r>
      <w:proofErr w:type="spellStart"/>
      <w:r w:rsidRPr="00B419CE">
        <w:t>eigedom</w:t>
      </w:r>
      <w:proofErr w:type="spellEnd"/>
      <w:r w:rsidRPr="00B419CE">
        <w:t xml:space="preserve"> og IKT og prioritere tiltak i samsvar med </w:t>
      </w:r>
      <w:proofErr w:type="spellStart"/>
      <w:r w:rsidRPr="00B419CE">
        <w:t>dei</w:t>
      </w:r>
      <w:proofErr w:type="spellEnd"/>
    </w:p>
    <w:p w14:paraId="68099422" w14:textId="77777777" w:rsidR="00B419CE" w:rsidRPr="00B419CE" w:rsidRDefault="00B419CE" w:rsidP="00B419CE">
      <w:r w:rsidRPr="00B419CE">
        <w:t xml:space="preserve">Måla, </w:t>
      </w:r>
      <w:proofErr w:type="spellStart"/>
      <w:r w:rsidRPr="00B419CE">
        <w:t>prioriteringane</w:t>
      </w:r>
      <w:proofErr w:type="spellEnd"/>
      <w:r w:rsidRPr="00B419CE">
        <w:t xml:space="preserve"> og rapporteringa </w:t>
      </w:r>
      <w:proofErr w:type="spellStart"/>
      <w:r w:rsidRPr="00B419CE">
        <w:t>frå</w:t>
      </w:r>
      <w:proofErr w:type="spellEnd"/>
      <w:r w:rsidRPr="00B419CE">
        <w:t xml:space="preserve"> 2020 er innretta etter formåla i strategien til Stortingets administrasjon.</w:t>
      </w:r>
    </w:p>
    <w:p w14:paraId="5284C267" w14:textId="77777777" w:rsidR="00B419CE" w:rsidRPr="00B419CE" w:rsidRDefault="00B419CE" w:rsidP="00B419CE">
      <w:pPr>
        <w:pStyle w:val="avsnitt-tittel"/>
      </w:pPr>
      <w:r w:rsidRPr="00B419CE">
        <w:t>Formål 1: Organisere og utvikle det parlamentariske arbeidet</w:t>
      </w:r>
    </w:p>
    <w:p w14:paraId="4A22D264" w14:textId="77777777" w:rsidR="00B419CE" w:rsidRPr="00B419CE" w:rsidRDefault="00B419CE" w:rsidP="00B419CE">
      <w:r w:rsidRPr="00B419CE">
        <w:t xml:space="preserve">Stortingets administrasjon varetar alle </w:t>
      </w:r>
      <w:proofErr w:type="spellStart"/>
      <w:r w:rsidRPr="00B419CE">
        <w:t>funksjonar</w:t>
      </w:r>
      <w:proofErr w:type="spellEnd"/>
      <w:r w:rsidRPr="00B419CE">
        <w:t xml:space="preserve"> som knyter seg til </w:t>
      </w:r>
      <w:proofErr w:type="spellStart"/>
      <w:r w:rsidRPr="00B419CE">
        <w:t>verksemda</w:t>
      </w:r>
      <w:proofErr w:type="spellEnd"/>
      <w:r w:rsidRPr="00B419CE">
        <w:t xml:space="preserve"> Stortinget utøver som konstitusjonelt organ, </w:t>
      </w:r>
      <w:proofErr w:type="spellStart"/>
      <w:r w:rsidRPr="00B419CE">
        <w:t>medrekna</w:t>
      </w:r>
      <w:proofErr w:type="spellEnd"/>
      <w:r w:rsidRPr="00B419CE">
        <w:t xml:space="preserve"> Stortingets saksbehandling og arbeidsordning, forretningsorden, </w:t>
      </w:r>
      <w:proofErr w:type="spellStart"/>
      <w:r w:rsidRPr="00B419CE">
        <w:t>løyvingsreglement</w:t>
      </w:r>
      <w:proofErr w:type="spellEnd"/>
      <w:r w:rsidRPr="00B419CE">
        <w:t xml:space="preserve">, komitéreiser og formelle spørsmål i </w:t>
      </w:r>
      <w:proofErr w:type="spellStart"/>
      <w:r w:rsidRPr="00B419CE">
        <w:t>tilknyting</w:t>
      </w:r>
      <w:proofErr w:type="spellEnd"/>
      <w:r w:rsidRPr="00B419CE">
        <w:t xml:space="preserve"> til </w:t>
      </w:r>
      <w:proofErr w:type="spellStart"/>
      <w:r w:rsidRPr="00B419CE">
        <w:t>verksemda</w:t>
      </w:r>
      <w:proofErr w:type="spellEnd"/>
      <w:r w:rsidRPr="00B419CE">
        <w:t xml:space="preserve"> i </w:t>
      </w:r>
      <w:proofErr w:type="spellStart"/>
      <w:r w:rsidRPr="00B419CE">
        <w:t>komiteane</w:t>
      </w:r>
      <w:proofErr w:type="spellEnd"/>
      <w:r w:rsidRPr="00B419CE">
        <w:t xml:space="preserve"> og det internasjonale arbeidet. Administrasjonen </w:t>
      </w:r>
      <w:proofErr w:type="spellStart"/>
      <w:r w:rsidRPr="00B419CE">
        <w:t>hentar</w:t>
      </w:r>
      <w:proofErr w:type="spellEnd"/>
      <w:r w:rsidRPr="00B419CE">
        <w:t xml:space="preserve"> </w:t>
      </w:r>
      <w:proofErr w:type="spellStart"/>
      <w:r w:rsidRPr="00B419CE">
        <w:t>dessutan</w:t>
      </w:r>
      <w:proofErr w:type="spellEnd"/>
      <w:r w:rsidRPr="00B419CE">
        <w:t xml:space="preserve"> inn og </w:t>
      </w:r>
      <w:proofErr w:type="spellStart"/>
      <w:r w:rsidRPr="00B419CE">
        <w:t>legg</w:t>
      </w:r>
      <w:proofErr w:type="spellEnd"/>
      <w:r w:rsidRPr="00B419CE">
        <w:t xml:space="preserve"> til rette for faktagrunnlag til arbeidet i Stortinget og dokumenterer </w:t>
      </w:r>
      <w:proofErr w:type="spellStart"/>
      <w:r w:rsidRPr="00B419CE">
        <w:t>verksemda</w:t>
      </w:r>
      <w:proofErr w:type="spellEnd"/>
      <w:r w:rsidRPr="00B419CE">
        <w:t xml:space="preserve"> i Stortinget.</w:t>
      </w:r>
    </w:p>
    <w:p w14:paraId="34EE3287" w14:textId="77777777" w:rsidR="00B419CE" w:rsidRPr="00B419CE" w:rsidRDefault="00B419CE" w:rsidP="00B419CE">
      <w:proofErr w:type="spellStart"/>
      <w:r w:rsidRPr="00B419CE">
        <w:t>Eitt</w:t>
      </w:r>
      <w:proofErr w:type="spellEnd"/>
      <w:r w:rsidRPr="00B419CE">
        <w:t xml:space="preserve"> av to satsingsområde </w:t>
      </w:r>
      <w:proofErr w:type="spellStart"/>
      <w:r w:rsidRPr="00B419CE">
        <w:t>innanfor</w:t>
      </w:r>
      <w:proofErr w:type="spellEnd"/>
      <w:r w:rsidRPr="00B419CE">
        <w:t xml:space="preserve"> modernisering og effektivisering </w:t>
      </w:r>
      <w:proofErr w:type="spellStart"/>
      <w:r w:rsidRPr="00B419CE">
        <w:t>rettar</w:t>
      </w:r>
      <w:proofErr w:type="spellEnd"/>
      <w:r w:rsidRPr="00B419CE">
        <w:t xml:space="preserve"> seg mot den parlamentariske saksbehandlinga. I 2020 gjennomførte administrasjonen ei konseptutgreiing for digitalisering av den parlamentariske saksbehandlinga basert på </w:t>
      </w:r>
      <w:proofErr w:type="spellStart"/>
      <w:r w:rsidRPr="00B419CE">
        <w:t>eit</w:t>
      </w:r>
      <w:proofErr w:type="spellEnd"/>
      <w:r w:rsidRPr="00B419CE">
        <w:t xml:space="preserve"> </w:t>
      </w:r>
      <w:proofErr w:type="spellStart"/>
      <w:r w:rsidRPr="00B419CE">
        <w:t>målbilete</w:t>
      </w:r>
      <w:proofErr w:type="spellEnd"/>
      <w:r w:rsidRPr="00B419CE">
        <w:t xml:space="preserve"> som var greidd ut i 2019. Det er arbeidd fram </w:t>
      </w:r>
      <w:proofErr w:type="spellStart"/>
      <w:r w:rsidRPr="00B419CE">
        <w:t>eit</w:t>
      </w:r>
      <w:proofErr w:type="spellEnd"/>
      <w:r w:rsidRPr="00B419CE">
        <w:t xml:space="preserve"> vegkart for gjennomføringa over </w:t>
      </w:r>
      <w:proofErr w:type="spellStart"/>
      <w:r w:rsidRPr="00B419CE">
        <w:t>ein</w:t>
      </w:r>
      <w:proofErr w:type="spellEnd"/>
      <w:r w:rsidRPr="00B419CE">
        <w:t xml:space="preserve"> periode på tre–fire år og utarbeidd </w:t>
      </w:r>
      <w:proofErr w:type="spellStart"/>
      <w:r w:rsidRPr="00B419CE">
        <w:t>eit</w:t>
      </w:r>
      <w:proofErr w:type="spellEnd"/>
      <w:r w:rsidRPr="00B419CE">
        <w:t xml:space="preserve"> prosjektforslag for den første fasen med start i 2021. Det er venta at ei </w:t>
      </w:r>
      <w:proofErr w:type="spellStart"/>
      <w:r w:rsidRPr="00B419CE">
        <w:t>tydelegare</w:t>
      </w:r>
      <w:proofErr w:type="spellEnd"/>
      <w:r w:rsidRPr="00B419CE">
        <w:t xml:space="preserve"> oversikt over den parlamentariske saksgangen med </w:t>
      </w:r>
      <w:proofErr w:type="spellStart"/>
      <w:r w:rsidRPr="00B419CE">
        <w:t>oppgåver</w:t>
      </w:r>
      <w:proofErr w:type="spellEnd"/>
      <w:r w:rsidRPr="00B419CE">
        <w:t xml:space="preserve">, roller, automatiske </w:t>
      </w:r>
      <w:proofErr w:type="spellStart"/>
      <w:r w:rsidRPr="00B419CE">
        <w:t>handlingar</w:t>
      </w:r>
      <w:proofErr w:type="spellEnd"/>
      <w:r w:rsidRPr="00B419CE">
        <w:t xml:space="preserve"> og </w:t>
      </w:r>
      <w:proofErr w:type="spellStart"/>
      <w:r w:rsidRPr="00B419CE">
        <w:t>aktivitetar</w:t>
      </w:r>
      <w:proofErr w:type="spellEnd"/>
      <w:r w:rsidRPr="00B419CE">
        <w:t xml:space="preserve"> gir </w:t>
      </w:r>
      <w:proofErr w:type="spellStart"/>
      <w:r w:rsidRPr="00B419CE">
        <w:t>betydelege</w:t>
      </w:r>
      <w:proofErr w:type="spellEnd"/>
      <w:r w:rsidRPr="00B419CE">
        <w:t xml:space="preserve"> </w:t>
      </w:r>
      <w:proofErr w:type="spellStart"/>
      <w:r w:rsidRPr="00B419CE">
        <w:t>gevinstar</w:t>
      </w:r>
      <w:proofErr w:type="spellEnd"/>
      <w:r w:rsidRPr="00B419CE">
        <w:t xml:space="preserve"> for organisasjonen. Det blir lagt til rette for større </w:t>
      </w:r>
      <w:proofErr w:type="spellStart"/>
      <w:r w:rsidRPr="00B419CE">
        <w:t>openheit</w:t>
      </w:r>
      <w:proofErr w:type="spellEnd"/>
      <w:r w:rsidRPr="00B419CE">
        <w:t xml:space="preserve">, </w:t>
      </w:r>
      <w:proofErr w:type="spellStart"/>
      <w:r w:rsidRPr="00B419CE">
        <w:t>meir</w:t>
      </w:r>
      <w:proofErr w:type="spellEnd"/>
      <w:r w:rsidRPr="00B419CE">
        <w:t xml:space="preserve"> samarbeid og </w:t>
      </w:r>
      <w:proofErr w:type="spellStart"/>
      <w:r w:rsidRPr="00B419CE">
        <w:t>meir</w:t>
      </w:r>
      <w:proofErr w:type="spellEnd"/>
      <w:r w:rsidRPr="00B419CE">
        <w:t xml:space="preserve"> effektive </w:t>
      </w:r>
      <w:proofErr w:type="spellStart"/>
      <w:r w:rsidRPr="00B419CE">
        <w:lastRenderedPageBreak/>
        <w:t>arbeidsprosessar</w:t>
      </w:r>
      <w:proofErr w:type="spellEnd"/>
      <w:r w:rsidRPr="00B419CE">
        <w:t xml:space="preserve">, med ei smidig overlevering av </w:t>
      </w:r>
      <w:proofErr w:type="spellStart"/>
      <w:r w:rsidRPr="00B419CE">
        <w:t>oppgåver</w:t>
      </w:r>
      <w:proofErr w:type="spellEnd"/>
      <w:r w:rsidRPr="00B419CE">
        <w:t xml:space="preserve"> og automatisering av manuelle </w:t>
      </w:r>
      <w:proofErr w:type="spellStart"/>
      <w:r w:rsidRPr="00B419CE">
        <w:t>oppgåver</w:t>
      </w:r>
      <w:proofErr w:type="spellEnd"/>
      <w:r w:rsidRPr="00B419CE">
        <w:t>.</w:t>
      </w:r>
    </w:p>
    <w:p w14:paraId="3115239C" w14:textId="77777777" w:rsidR="00B419CE" w:rsidRPr="00B419CE" w:rsidRDefault="00B419CE" w:rsidP="00B419CE">
      <w:r w:rsidRPr="00B419CE">
        <w:t>Statens digitaliseringsråd har gitt råd til prosjektet.</w:t>
      </w:r>
    </w:p>
    <w:p w14:paraId="1303E4DA" w14:textId="77777777" w:rsidR="00B419CE" w:rsidRPr="00B419CE" w:rsidRDefault="00B419CE" w:rsidP="00B419CE">
      <w:proofErr w:type="spellStart"/>
      <w:r w:rsidRPr="00B419CE">
        <w:t>Eit</w:t>
      </w:r>
      <w:proofErr w:type="spellEnd"/>
      <w:r w:rsidRPr="00B419CE">
        <w:t xml:space="preserve"> nytt system for parlamentarisk saksbehandling blir utvikla i perioden 2021–2024. Prosjektet blir i 2022 i all </w:t>
      </w:r>
      <w:proofErr w:type="spellStart"/>
      <w:r w:rsidRPr="00B419CE">
        <w:t>hovudsak</w:t>
      </w:r>
      <w:proofErr w:type="spellEnd"/>
      <w:r w:rsidRPr="00B419CE">
        <w:t xml:space="preserve"> finansiert gjennom </w:t>
      </w:r>
      <w:proofErr w:type="spellStart"/>
      <w:r w:rsidRPr="00B419CE">
        <w:t>omprioriteringar</w:t>
      </w:r>
      <w:proofErr w:type="spellEnd"/>
      <w:r w:rsidRPr="00B419CE">
        <w:t xml:space="preserve"> </w:t>
      </w:r>
      <w:proofErr w:type="spellStart"/>
      <w:r w:rsidRPr="00B419CE">
        <w:t>innanfor</w:t>
      </w:r>
      <w:proofErr w:type="spellEnd"/>
      <w:r w:rsidRPr="00B419CE">
        <w:t xml:space="preserve"> normalnivået for </w:t>
      </w:r>
      <w:proofErr w:type="spellStart"/>
      <w:r w:rsidRPr="00B419CE">
        <w:t>vidareutvikling</w:t>
      </w:r>
      <w:proofErr w:type="spellEnd"/>
      <w:r w:rsidRPr="00B419CE">
        <w:t xml:space="preserve"> og </w:t>
      </w:r>
      <w:proofErr w:type="spellStart"/>
      <w:r w:rsidRPr="00B419CE">
        <w:t>nyinvesteringar</w:t>
      </w:r>
      <w:proofErr w:type="spellEnd"/>
      <w:r w:rsidRPr="00B419CE">
        <w:t>.</w:t>
      </w:r>
    </w:p>
    <w:p w14:paraId="176F361F" w14:textId="77777777" w:rsidR="00B419CE" w:rsidRPr="00B419CE" w:rsidRDefault="00B419CE" w:rsidP="00B419CE">
      <w:r w:rsidRPr="00B419CE">
        <w:t xml:space="preserve">Parallelt med prosjektet «Digitalisering av den parlamentariske saksbehandlinga» (DPS-prosjektet) er det gjennomført </w:t>
      </w:r>
      <w:proofErr w:type="spellStart"/>
      <w:r w:rsidRPr="00B419CE">
        <w:t>eit</w:t>
      </w:r>
      <w:proofErr w:type="spellEnd"/>
      <w:r w:rsidRPr="00B419CE">
        <w:t xml:space="preserve"> eige prosjekt for kompetanseutvikling og samhandling i den parlamentariske dokumentproduksjonsprosessen. Prosjektet involverte alle </w:t>
      </w:r>
      <w:proofErr w:type="spellStart"/>
      <w:r w:rsidRPr="00B419CE">
        <w:t>medarbeidarane</w:t>
      </w:r>
      <w:proofErr w:type="spellEnd"/>
      <w:r w:rsidRPr="00B419CE">
        <w:t xml:space="preserve"> som er knytte til den parlamentariske dokumentproduksjonen. </w:t>
      </w:r>
      <w:proofErr w:type="spellStart"/>
      <w:r w:rsidRPr="00B419CE">
        <w:t>Eit</w:t>
      </w:r>
      <w:proofErr w:type="spellEnd"/>
      <w:r w:rsidRPr="00B419CE">
        <w:t xml:space="preserve"> mål med dette arbeidet var å bidra til å realisere DPS-prosjektet. Arbeidet resulterte i </w:t>
      </w:r>
      <w:proofErr w:type="spellStart"/>
      <w:r w:rsidRPr="00B419CE">
        <w:t>ein</w:t>
      </w:r>
      <w:proofErr w:type="spellEnd"/>
      <w:r w:rsidRPr="00B419CE">
        <w:t xml:space="preserve"> plan for kurs og andre kompetansetiltak og større grad av samhandling mellom </w:t>
      </w:r>
      <w:proofErr w:type="spellStart"/>
      <w:r w:rsidRPr="00B419CE">
        <w:t>einingane</w:t>
      </w:r>
      <w:proofErr w:type="spellEnd"/>
      <w:r w:rsidRPr="00B419CE">
        <w:t xml:space="preserve">. </w:t>
      </w:r>
      <w:proofErr w:type="spellStart"/>
      <w:r w:rsidRPr="00B419CE">
        <w:t>Leiarar</w:t>
      </w:r>
      <w:proofErr w:type="spellEnd"/>
      <w:r w:rsidRPr="00B419CE">
        <w:t xml:space="preserve"> og </w:t>
      </w:r>
      <w:proofErr w:type="spellStart"/>
      <w:r w:rsidRPr="00B419CE">
        <w:t>medarbeidarar</w:t>
      </w:r>
      <w:proofErr w:type="spellEnd"/>
      <w:r w:rsidRPr="00B419CE">
        <w:t xml:space="preserve"> skal gjennom planen ta i bruk nye digitale verktøy, delta i automatiseringa av manuelle </w:t>
      </w:r>
      <w:proofErr w:type="spellStart"/>
      <w:r w:rsidRPr="00B419CE">
        <w:t>oppgåver</w:t>
      </w:r>
      <w:proofErr w:type="spellEnd"/>
      <w:r w:rsidRPr="00B419CE">
        <w:t xml:space="preserve"> og sikre </w:t>
      </w:r>
      <w:proofErr w:type="spellStart"/>
      <w:r w:rsidRPr="00B419CE">
        <w:t>eit</w:t>
      </w:r>
      <w:proofErr w:type="spellEnd"/>
      <w:r w:rsidRPr="00B419CE">
        <w:t xml:space="preserve"> kompetansegrunnlag for digital omstilling og samhandling. Prosjektet blei avslutta ved slutten av året, og arbeidet blir ført </w:t>
      </w:r>
      <w:proofErr w:type="spellStart"/>
      <w:r w:rsidRPr="00B419CE">
        <w:t>vidare</w:t>
      </w:r>
      <w:proofErr w:type="spellEnd"/>
      <w:r w:rsidRPr="00B419CE">
        <w:t xml:space="preserve"> som </w:t>
      </w:r>
      <w:proofErr w:type="spellStart"/>
      <w:r w:rsidRPr="00B419CE">
        <w:t>ein</w:t>
      </w:r>
      <w:proofErr w:type="spellEnd"/>
      <w:r w:rsidRPr="00B419CE">
        <w:t xml:space="preserve"> del av aktiviteten i linja.</w:t>
      </w:r>
    </w:p>
    <w:p w14:paraId="207BFC36" w14:textId="77777777" w:rsidR="00B419CE" w:rsidRPr="00B419CE" w:rsidRDefault="00B419CE" w:rsidP="00B419CE">
      <w:r w:rsidRPr="00B419CE">
        <w:t xml:space="preserve">Stortinget deltok i 2020 aktivt i det internasjonale parlamentariske samarbeidet trass i pandemien. Det interparlamentariske arbeidet, som tradisjonelt i stor grad er basert på fysiske møte og </w:t>
      </w:r>
      <w:proofErr w:type="spellStart"/>
      <w:r w:rsidRPr="00B419CE">
        <w:t>konferansar</w:t>
      </w:r>
      <w:proofErr w:type="spellEnd"/>
      <w:r w:rsidRPr="00B419CE">
        <w:t xml:space="preserve">, måtte raskt </w:t>
      </w:r>
      <w:proofErr w:type="spellStart"/>
      <w:r w:rsidRPr="00B419CE">
        <w:t>omstillast</w:t>
      </w:r>
      <w:proofErr w:type="spellEnd"/>
      <w:r w:rsidRPr="00B419CE">
        <w:t xml:space="preserve"> da reise- og </w:t>
      </w:r>
      <w:proofErr w:type="spellStart"/>
      <w:r w:rsidRPr="00B419CE">
        <w:t>forsamlingsrestriksjonane</w:t>
      </w:r>
      <w:proofErr w:type="spellEnd"/>
      <w:r w:rsidRPr="00B419CE">
        <w:t xml:space="preserve"> blei innførte i mars i 2020. Digitale plattformer blei tatt i bruk. Slik kunne Stortinget </w:t>
      </w:r>
      <w:proofErr w:type="spellStart"/>
      <w:r w:rsidRPr="00B419CE">
        <w:t>halde</w:t>
      </w:r>
      <w:proofErr w:type="spellEnd"/>
      <w:r w:rsidRPr="00B419CE">
        <w:t xml:space="preserve"> fram med arbeidet i </w:t>
      </w:r>
      <w:proofErr w:type="spellStart"/>
      <w:r w:rsidRPr="00B419CE">
        <w:t>dei</w:t>
      </w:r>
      <w:proofErr w:type="spellEnd"/>
      <w:r w:rsidRPr="00B419CE">
        <w:t xml:space="preserve"> interparlamentariske </w:t>
      </w:r>
      <w:proofErr w:type="spellStart"/>
      <w:r w:rsidRPr="00B419CE">
        <w:t>forsamlingane</w:t>
      </w:r>
      <w:proofErr w:type="spellEnd"/>
      <w:r w:rsidRPr="00B419CE">
        <w:t xml:space="preserve">. Offisielle besøk til og </w:t>
      </w:r>
      <w:proofErr w:type="spellStart"/>
      <w:r w:rsidRPr="00B419CE">
        <w:t>frå</w:t>
      </w:r>
      <w:proofErr w:type="spellEnd"/>
      <w:r w:rsidRPr="00B419CE">
        <w:t xml:space="preserve"> Stortinget har </w:t>
      </w:r>
      <w:proofErr w:type="spellStart"/>
      <w:r w:rsidRPr="00B419CE">
        <w:t>sidan</w:t>
      </w:r>
      <w:proofErr w:type="spellEnd"/>
      <w:r w:rsidRPr="00B419CE">
        <w:t xml:space="preserve"> mars 2020 i </w:t>
      </w:r>
      <w:proofErr w:type="spellStart"/>
      <w:r w:rsidRPr="00B419CE">
        <w:t>hovudsak</w:t>
      </w:r>
      <w:proofErr w:type="spellEnd"/>
      <w:r w:rsidRPr="00B419CE">
        <w:t xml:space="preserve"> </w:t>
      </w:r>
      <w:proofErr w:type="spellStart"/>
      <w:r w:rsidRPr="00B419CE">
        <w:t>vore</w:t>
      </w:r>
      <w:proofErr w:type="spellEnd"/>
      <w:r w:rsidRPr="00B419CE">
        <w:t xml:space="preserve"> erstatta av digitale møte. Stortinget skulle i løpet av 2020 </w:t>
      </w:r>
      <w:proofErr w:type="spellStart"/>
      <w:r w:rsidRPr="00B419CE">
        <w:t>vore</w:t>
      </w:r>
      <w:proofErr w:type="spellEnd"/>
      <w:r w:rsidRPr="00B419CE">
        <w:t xml:space="preserve"> vertskap for </w:t>
      </w:r>
      <w:proofErr w:type="spellStart"/>
      <w:r w:rsidRPr="00B419CE">
        <w:t>fleire</w:t>
      </w:r>
      <w:proofErr w:type="spellEnd"/>
      <w:r w:rsidRPr="00B419CE">
        <w:t xml:space="preserve"> internasjonale </w:t>
      </w:r>
      <w:proofErr w:type="spellStart"/>
      <w:r w:rsidRPr="00B419CE">
        <w:t>konferansar</w:t>
      </w:r>
      <w:proofErr w:type="spellEnd"/>
      <w:r w:rsidRPr="00B419CE">
        <w:t xml:space="preserve">, men </w:t>
      </w:r>
      <w:proofErr w:type="spellStart"/>
      <w:r w:rsidRPr="00B419CE">
        <w:t>dei</w:t>
      </w:r>
      <w:proofErr w:type="spellEnd"/>
      <w:r w:rsidRPr="00B419CE">
        <w:t xml:space="preserve"> blei avlyste. Septembermøtet i Nordisk råd blei gjennomført digitalt. Den 14. arktiske </w:t>
      </w:r>
      <w:proofErr w:type="spellStart"/>
      <w:r w:rsidRPr="00B419CE">
        <w:t>parlamentarikarkonferansen</w:t>
      </w:r>
      <w:proofErr w:type="spellEnd"/>
      <w:r w:rsidRPr="00B419CE">
        <w:t xml:space="preserve"> blei utsett til 2021, </w:t>
      </w:r>
      <w:proofErr w:type="spellStart"/>
      <w:r w:rsidRPr="00B419CE">
        <w:t>medan</w:t>
      </w:r>
      <w:proofErr w:type="spellEnd"/>
      <w:r w:rsidRPr="00B419CE">
        <w:t xml:space="preserve"> formannskapet for den europeiske interparlamentariske romfartskonferansen (EISC) blei gjennomført med </w:t>
      </w:r>
      <w:proofErr w:type="spellStart"/>
      <w:r w:rsidRPr="00B419CE">
        <w:t>eit</w:t>
      </w:r>
      <w:proofErr w:type="spellEnd"/>
      <w:r w:rsidRPr="00B419CE">
        <w:t xml:space="preserve"> digitalt møte i tillegg til at formannskapet blei utvida med </w:t>
      </w:r>
      <w:proofErr w:type="spellStart"/>
      <w:r w:rsidRPr="00B419CE">
        <w:t>eitt</w:t>
      </w:r>
      <w:proofErr w:type="spellEnd"/>
      <w:r w:rsidRPr="00B419CE">
        <w:t xml:space="preserve"> år til også å omfatte arrangement i 2021.</w:t>
      </w:r>
    </w:p>
    <w:p w14:paraId="4F8758E4" w14:textId="77777777" w:rsidR="00B419CE" w:rsidRPr="00B419CE" w:rsidRDefault="00B419CE" w:rsidP="00B419CE">
      <w:proofErr w:type="spellStart"/>
      <w:r w:rsidRPr="00B419CE">
        <w:t>Allereie</w:t>
      </w:r>
      <w:proofErr w:type="spellEnd"/>
      <w:r w:rsidRPr="00B419CE">
        <w:t xml:space="preserve"> før koronapandemien blei det vedtatt å legge til rette for å kunne gjennomføre </w:t>
      </w:r>
      <w:proofErr w:type="spellStart"/>
      <w:r w:rsidRPr="00B419CE">
        <w:t>komitéhøyringar</w:t>
      </w:r>
      <w:proofErr w:type="spellEnd"/>
      <w:r w:rsidRPr="00B419CE">
        <w:t xml:space="preserve"> ved hjelp av fjernmøteteknologi. Koronasituasjonen førte til at dette blei sett i verk </w:t>
      </w:r>
      <w:proofErr w:type="spellStart"/>
      <w:r w:rsidRPr="00B419CE">
        <w:t>tidlegare</w:t>
      </w:r>
      <w:proofErr w:type="spellEnd"/>
      <w:r w:rsidRPr="00B419CE">
        <w:t xml:space="preserve"> og i større omfang enn det som først var planlagt. I 2020 blei </w:t>
      </w:r>
      <w:proofErr w:type="spellStart"/>
      <w:r w:rsidRPr="00B419CE">
        <w:t>dei</w:t>
      </w:r>
      <w:proofErr w:type="spellEnd"/>
      <w:r w:rsidRPr="00B419CE">
        <w:t xml:space="preserve"> aller fleste </w:t>
      </w:r>
      <w:proofErr w:type="spellStart"/>
      <w:r w:rsidRPr="00B419CE">
        <w:t>komitéhøyringane</w:t>
      </w:r>
      <w:proofErr w:type="spellEnd"/>
      <w:r w:rsidRPr="00B419CE">
        <w:t xml:space="preserve"> </w:t>
      </w:r>
      <w:proofErr w:type="spellStart"/>
      <w:r w:rsidRPr="00B419CE">
        <w:t>haldne</w:t>
      </w:r>
      <w:proofErr w:type="spellEnd"/>
      <w:r w:rsidRPr="00B419CE">
        <w:t xml:space="preserve"> ved hjelp av fjernmøteteknologi og/eller </w:t>
      </w:r>
      <w:proofErr w:type="spellStart"/>
      <w:r w:rsidRPr="00B419CE">
        <w:t>skriftlege</w:t>
      </w:r>
      <w:proofErr w:type="spellEnd"/>
      <w:r w:rsidRPr="00B419CE">
        <w:t xml:space="preserve"> </w:t>
      </w:r>
      <w:proofErr w:type="spellStart"/>
      <w:r w:rsidRPr="00B419CE">
        <w:t>høyringar</w:t>
      </w:r>
      <w:proofErr w:type="spellEnd"/>
      <w:r w:rsidRPr="00B419CE">
        <w:t>. Også komitémøte er avvikla ved hjelp av fjernteknologi.</w:t>
      </w:r>
    </w:p>
    <w:p w14:paraId="166A024A" w14:textId="77777777" w:rsidR="00B419CE" w:rsidRPr="00B419CE" w:rsidRDefault="00B419CE" w:rsidP="00B419CE">
      <w:pPr>
        <w:pStyle w:val="avsnitt-tittel"/>
      </w:pPr>
      <w:r w:rsidRPr="00B419CE">
        <w:t xml:space="preserve">Formål 2: Legge til rette for at </w:t>
      </w:r>
      <w:proofErr w:type="spellStart"/>
      <w:r w:rsidRPr="00B419CE">
        <w:t>representantane</w:t>
      </w:r>
      <w:proofErr w:type="spellEnd"/>
      <w:r w:rsidRPr="00B419CE">
        <w:t xml:space="preserve"> kan vareta verva sine</w:t>
      </w:r>
    </w:p>
    <w:p w14:paraId="7BE69417" w14:textId="77777777" w:rsidR="00B419CE" w:rsidRPr="00B419CE" w:rsidRDefault="00B419CE" w:rsidP="00B419CE">
      <w:r w:rsidRPr="00B419CE">
        <w:t xml:space="preserve">Administrasjonen har levert </w:t>
      </w:r>
      <w:proofErr w:type="spellStart"/>
      <w:r w:rsidRPr="00B419CE">
        <w:t>tenester</w:t>
      </w:r>
      <w:proofErr w:type="spellEnd"/>
      <w:r w:rsidRPr="00B419CE">
        <w:t xml:space="preserve"> for å gi </w:t>
      </w:r>
      <w:proofErr w:type="spellStart"/>
      <w:r w:rsidRPr="00B419CE">
        <w:t>stortingsrepresentantane</w:t>
      </w:r>
      <w:proofErr w:type="spellEnd"/>
      <w:r w:rsidRPr="00B419CE">
        <w:t xml:space="preserve"> gode </w:t>
      </w:r>
      <w:proofErr w:type="spellStart"/>
      <w:r w:rsidRPr="00B419CE">
        <w:t>føresetnader</w:t>
      </w:r>
      <w:proofErr w:type="spellEnd"/>
      <w:r w:rsidRPr="00B419CE">
        <w:t xml:space="preserve"> for å vareta vervet sitt. </w:t>
      </w:r>
      <w:proofErr w:type="spellStart"/>
      <w:r w:rsidRPr="00B419CE">
        <w:t>Tenestene</w:t>
      </w:r>
      <w:proofErr w:type="spellEnd"/>
      <w:r w:rsidRPr="00B419CE">
        <w:t xml:space="preserve"> har i større grad blitt tilpassa aktivitetsnivået i Stortinget, slik at </w:t>
      </w:r>
      <w:proofErr w:type="spellStart"/>
      <w:r w:rsidRPr="00B419CE">
        <w:t>dei</w:t>
      </w:r>
      <w:proofErr w:type="spellEnd"/>
      <w:r w:rsidRPr="00B419CE">
        <w:t xml:space="preserve"> framstår som relevante og </w:t>
      </w:r>
      <w:proofErr w:type="spellStart"/>
      <w:r w:rsidRPr="00B419CE">
        <w:t>tilgjengelege</w:t>
      </w:r>
      <w:proofErr w:type="spellEnd"/>
      <w:r w:rsidRPr="00B419CE">
        <w:t xml:space="preserve"> for </w:t>
      </w:r>
      <w:proofErr w:type="spellStart"/>
      <w:r w:rsidRPr="00B419CE">
        <w:t>brukarane</w:t>
      </w:r>
      <w:proofErr w:type="spellEnd"/>
      <w:r w:rsidRPr="00B419CE">
        <w:t xml:space="preserve">, samtidig som ressursbruken er effektiv. Det blei levert ei rekke praktiske </w:t>
      </w:r>
      <w:proofErr w:type="spellStart"/>
      <w:r w:rsidRPr="00B419CE">
        <w:t>tenester</w:t>
      </w:r>
      <w:proofErr w:type="spellEnd"/>
      <w:r w:rsidRPr="00B419CE">
        <w:t xml:space="preserve">, og administrasjonen leverte også relevante fakta, </w:t>
      </w:r>
      <w:proofErr w:type="spellStart"/>
      <w:r w:rsidRPr="00B419CE">
        <w:t>analysar</w:t>
      </w:r>
      <w:proofErr w:type="spellEnd"/>
      <w:r w:rsidRPr="00B419CE">
        <w:t xml:space="preserve"> og </w:t>
      </w:r>
      <w:proofErr w:type="spellStart"/>
      <w:r w:rsidRPr="00B419CE">
        <w:t>drøftingar</w:t>
      </w:r>
      <w:proofErr w:type="spellEnd"/>
      <w:r w:rsidRPr="00B419CE">
        <w:t xml:space="preserve"> til </w:t>
      </w:r>
      <w:proofErr w:type="spellStart"/>
      <w:r w:rsidRPr="00B419CE">
        <w:t>stortingsrepresentantane</w:t>
      </w:r>
      <w:proofErr w:type="spellEnd"/>
      <w:r w:rsidRPr="00B419CE">
        <w:t xml:space="preserve">, slik at </w:t>
      </w:r>
      <w:proofErr w:type="spellStart"/>
      <w:r w:rsidRPr="00B419CE">
        <w:t>dei</w:t>
      </w:r>
      <w:proofErr w:type="spellEnd"/>
      <w:r w:rsidRPr="00B419CE">
        <w:t xml:space="preserve"> hadde </w:t>
      </w:r>
      <w:proofErr w:type="spellStart"/>
      <w:r w:rsidRPr="00B419CE">
        <w:t>eit</w:t>
      </w:r>
      <w:proofErr w:type="spellEnd"/>
      <w:r w:rsidRPr="00B419CE">
        <w:t xml:space="preserve"> </w:t>
      </w:r>
      <w:proofErr w:type="spellStart"/>
      <w:r w:rsidRPr="00B419CE">
        <w:t>fagleg</w:t>
      </w:r>
      <w:proofErr w:type="spellEnd"/>
      <w:r w:rsidRPr="00B419CE">
        <w:t xml:space="preserve"> grunnlag for sine politiske </w:t>
      </w:r>
      <w:proofErr w:type="spellStart"/>
      <w:r w:rsidRPr="00B419CE">
        <w:t>vurderingar</w:t>
      </w:r>
      <w:proofErr w:type="spellEnd"/>
      <w:r w:rsidRPr="00B419CE">
        <w:t xml:space="preserve">. </w:t>
      </w:r>
      <w:proofErr w:type="spellStart"/>
      <w:r w:rsidRPr="00B419CE">
        <w:t>Talet</w:t>
      </w:r>
      <w:proofErr w:type="spellEnd"/>
      <w:r w:rsidRPr="00B419CE">
        <w:t xml:space="preserve"> på utgreiingsoppdrag varierer over tid. I 2020 var det </w:t>
      </w:r>
      <w:proofErr w:type="spellStart"/>
      <w:r w:rsidRPr="00B419CE">
        <w:t>ein</w:t>
      </w:r>
      <w:proofErr w:type="spellEnd"/>
      <w:r w:rsidRPr="00B419CE">
        <w:t xml:space="preserve"> nedgang i </w:t>
      </w:r>
      <w:proofErr w:type="spellStart"/>
      <w:r w:rsidRPr="00B419CE">
        <w:t>talet</w:t>
      </w:r>
      <w:proofErr w:type="spellEnd"/>
      <w:r w:rsidRPr="00B419CE">
        <w:t xml:space="preserve"> på utgreiingsoppdrag </w:t>
      </w:r>
      <w:proofErr w:type="spellStart"/>
      <w:r w:rsidRPr="00B419CE">
        <w:t>frå</w:t>
      </w:r>
      <w:proofErr w:type="spellEnd"/>
      <w:r w:rsidRPr="00B419CE">
        <w:t xml:space="preserve"> partia og </w:t>
      </w:r>
      <w:proofErr w:type="spellStart"/>
      <w:r w:rsidRPr="00B419CE">
        <w:lastRenderedPageBreak/>
        <w:t>representantane</w:t>
      </w:r>
      <w:proofErr w:type="spellEnd"/>
      <w:r w:rsidRPr="00B419CE">
        <w:t xml:space="preserve"> på Stortinget og </w:t>
      </w:r>
      <w:proofErr w:type="spellStart"/>
      <w:r w:rsidRPr="00B419CE">
        <w:t>ein</w:t>
      </w:r>
      <w:proofErr w:type="spellEnd"/>
      <w:r w:rsidRPr="00B419CE">
        <w:t xml:space="preserve"> </w:t>
      </w:r>
      <w:proofErr w:type="spellStart"/>
      <w:r w:rsidRPr="00B419CE">
        <w:t>auke</w:t>
      </w:r>
      <w:proofErr w:type="spellEnd"/>
      <w:r w:rsidRPr="00B419CE">
        <w:t xml:space="preserve"> i </w:t>
      </w:r>
      <w:proofErr w:type="spellStart"/>
      <w:r w:rsidRPr="00B419CE">
        <w:t>talet</w:t>
      </w:r>
      <w:proofErr w:type="spellEnd"/>
      <w:r w:rsidRPr="00B419CE">
        <w:t xml:space="preserve"> på oppdrag </w:t>
      </w:r>
      <w:proofErr w:type="spellStart"/>
      <w:r w:rsidRPr="00B419CE">
        <w:t>frå</w:t>
      </w:r>
      <w:proofErr w:type="spellEnd"/>
      <w:r w:rsidRPr="00B419CE">
        <w:t xml:space="preserve"> parlament i andre land. Denne </w:t>
      </w:r>
      <w:proofErr w:type="spellStart"/>
      <w:r w:rsidRPr="00B419CE">
        <w:t>auken</w:t>
      </w:r>
      <w:proofErr w:type="spellEnd"/>
      <w:r w:rsidRPr="00B419CE">
        <w:t xml:space="preserve"> har mellom anna </w:t>
      </w:r>
      <w:proofErr w:type="spellStart"/>
      <w:r w:rsidRPr="00B419CE">
        <w:t>samanheng</w:t>
      </w:r>
      <w:proofErr w:type="spellEnd"/>
      <w:r w:rsidRPr="00B419CE">
        <w:t xml:space="preserve"> med at det kom mange spørsmål om koronatiltaka regjeringa og Stortinget sette i verk.</w:t>
      </w:r>
    </w:p>
    <w:p w14:paraId="57CC33EF" w14:textId="77777777" w:rsidR="00B419CE" w:rsidRPr="00B419CE" w:rsidRDefault="00B419CE" w:rsidP="00B419CE">
      <w:proofErr w:type="spellStart"/>
      <w:r w:rsidRPr="00B419CE">
        <w:t>Ein</w:t>
      </w:r>
      <w:proofErr w:type="spellEnd"/>
      <w:r w:rsidRPr="00B419CE">
        <w:t xml:space="preserve"> </w:t>
      </w:r>
      <w:proofErr w:type="spellStart"/>
      <w:r w:rsidRPr="00B419CE">
        <w:t>vesentleg</w:t>
      </w:r>
      <w:proofErr w:type="spellEnd"/>
      <w:r w:rsidRPr="00B419CE">
        <w:t xml:space="preserve"> del av oppdraget til administrasjonen er å formidle korrekt, </w:t>
      </w:r>
      <w:proofErr w:type="spellStart"/>
      <w:r w:rsidRPr="00B419CE">
        <w:t>utvitydig</w:t>
      </w:r>
      <w:proofErr w:type="spellEnd"/>
      <w:r w:rsidRPr="00B419CE">
        <w:t xml:space="preserve"> og </w:t>
      </w:r>
      <w:proofErr w:type="spellStart"/>
      <w:r w:rsidRPr="00B419CE">
        <w:t>lettfatteleg</w:t>
      </w:r>
      <w:proofErr w:type="spellEnd"/>
      <w:r w:rsidRPr="00B419CE">
        <w:t xml:space="preserve"> informasjon til </w:t>
      </w:r>
      <w:proofErr w:type="spellStart"/>
      <w:r w:rsidRPr="00B419CE">
        <w:t>stortingsrepresentantar</w:t>
      </w:r>
      <w:proofErr w:type="spellEnd"/>
      <w:r w:rsidRPr="00B419CE">
        <w:t xml:space="preserve"> og tilsette om </w:t>
      </w:r>
      <w:proofErr w:type="spellStart"/>
      <w:r w:rsidRPr="00B419CE">
        <w:t>tenestene</w:t>
      </w:r>
      <w:proofErr w:type="spellEnd"/>
      <w:r w:rsidRPr="00B419CE">
        <w:t xml:space="preserve"> </w:t>
      </w:r>
      <w:proofErr w:type="spellStart"/>
      <w:r w:rsidRPr="00B419CE">
        <w:t>dei</w:t>
      </w:r>
      <w:proofErr w:type="spellEnd"/>
      <w:r w:rsidRPr="00B419CE">
        <w:t xml:space="preserve"> tilbyr. Gjennom 2020 blei arbeidet med denne typen kommunikasjonstiltak styrkt.</w:t>
      </w:r>
    </w:p>
    <w:p w14:paraId="4FF14226" w14:textId="77777777" w:rsidR="00B419CE" w:rsidRPr="00B419CE" w:rsidRDefault="00B419CE" w:rsidP="00B419CE">
      <w:r w:rsidRPr="00B419CE">
        <w:t>Prosjektet «</w:t>
      </w:r>
      <w:r w:rsidRPr="00B419CE">
        <w:rPr>
          <w:rStyle w:val="kursiv"/>
        </w:rPr>
        <w:t>Helhetlig stortingstorg</w:t>
      </w:r>
      <w:r w:rsidRPr="00B419CE">
        <w:t xml:space="preserve">» blei sett i gang i 2019 og held fram gjennom 2022. Målet med prosjektet er betre </w:t>
      </w:r>
      <w:proofErr w:type="spellStart"/>
      <w:r w:rsidRPr="00B419CE">
        <w:t>tenester</w:t>
      </w:r>
      <w:proofErr w:type="spellEnd"/>
      <w:r w:rsidRPr="00B419CE">
        <w:t xml:space="preserve"> til </w:t>
      </w:r>
      <w:proofErr w:type="spellStart"/>
      <w:r w:rsidRPr="00B419CE">
        <w:t>representantane</w:t>
      </w:r>
      <w:proofErr w:type="spellEnd"/>
      <w:r w:rsidRPr="00B419CE">
        <w:t xml:space="preserve"> og </w:t>
      </w:r>
      <w:proofErr w:type="spellStart"/>
      <w:r w:rsidRPr="00B419CE">
        <w:t>meir</w:t>
      </w:r>
      <w:proofErr w:type="spellEnd"/>
      <w:r w:rsidRPr="00B419CE">
        <w:t xml:space="preserve"> effektiv ressursbruk i administrasjonen. Prosjektet utvikla i 2020 </w:t>
      </w:r>
      <w:proofErr w:type="spellStart"/>
      <w:r w:rsidRPr="00B419CE">
        <w:t>eit</w:t>
      </w:r>
      <w:proofErr w:type="spellEnd"/>
      <w:r w:rsidRPr="00B419CE">
        <w:t xml:space="preserve"> konsept med ny leveransemodell og nye, </w:t>
      </w:r>
      <w:proofErr w:type="spellStart"/>
      <w:r w:rsidRPr="00B419CE">
        <w:t>einskaplege</w:t>
      </w:r>
      <w:proofErr w:type="spellEnd"/>
      <w:r w:rsidRPr="00B419CE">
        <w:t xml:space="preserve"> arbeidsformer for </w:t>
      </w:r>
      <w:proofErr w:type="spellStart"/>
      <w:r w:rsidRPr="00B419CE">
        <w:t>tenesteleveransar</w:t>
      </w:r>
      <w:proofErr w:type="spellEnd"/>
      <w:r w:rsidRPr="00B419CE">
        <w:t xml:space="preserve"> </w:t>
      </w:r>
      <w:proofErr w:type="spellStart"/>
      <w:r w:rsidRPr="00B419CE">
        <w:t>frå</w:t>
      </w:r>
      <w:proofErr w:type="spellEnd"/>
      <w:r w:rsidRPr="00B419CE">
        <w:t xml:space="preserve"> administrasjonen. Implementering av konseptet vil bli gjennomført stegvis i åra framover. Forenkling for </w:t>
      </w:r>
      <w:proofErr w:type="spellStart"/>
      <w:r w:rsidRPr="00B419CE">
        <w:t>stortingsrepresentantane</w:t>
      </w:r>
      <w:proofErr w:type="spellEnd"/>
      <w:r w:rsidRPr="00B419CE">
        <w:t xml:space="preserve"> står sentralt, mellom anna betre digitale </w:t>
      </w:r>
      <w:proofErr w:type="spellStart"/>
      <w:r w:rsidRPr="00B419CE">
        <w:t>sjølvbeteningsløysingar</w:t>
      </w:r>
      <w:proofErr w:type="spellEnd"/>
      <w:r w:rsidRPr="00B419CE">
        <w:t>.</w:t>
      </w:r>
    </w:p>
    <w:p w14:paraId="75837BFA" w14:textId="77777777" w:rsidR="00B419CE" w:rsidRPr="00B419CE" w:rsidRDefault="00B419CE" w:rsidP="00B419CE">
      <w:proofErr w:type="spellStart"/>
      <w:r w:rsidRPr="00B419CE">
        <w:t>Sikkerheitslova</w:t>
      </w:r>
      <w:proofErr w:type="spellEnd"/>
      <w:r w:rsidRPr="00B419CE">
        <w:t xml:space="preserve"> er med </w:t>
      </w:r>
      <w:proofErr w:type="spellStart"/>
      <w:r w:rsidRPr="00B419CE">
        <w:t>nokre</w:t>
      </w:r>
      <w:proofErr w:type="spellEnd"/>
      <w:r w:rsidRPr="00B419CE">
        <w:t xml:space="preserve"> unntak gjord </w:t>
      </w:r>
      <w:proofErr w:type="spellStart"/>
      <w:r w:rsidRPr="00B419CE">
        <w:t>gjeldande</w:t>
      </w:r>
      <w:proofErr w:type="spellEnd"/>
      <w:r w:rsidRPr="00B419CE">
        <w:t xml:space="preserve"> for Stortingets administrasjon </w:t>
      </w:r>
      <w:proofErr w:type="spellStart"/>
      <w:r w:rsidRPr="00B419CE">
        <w:t>frå</w:t>
      </w:r>
      <w:proofErr w:type="spellEnd"/>
      <w:r w:rsidRPr="00B419CE">
        <w:t xml:space="preserve"> 2020. I 2020 blei det etablert </w:t>
      </w:r>
      <w:proofErr w:type="spellStart"/>
      <w:r w:rsidRPr="00B419CE">
        <w:t>ein</w:t>
      </w:r>
      <w:proofErr w:type="spellEnd"/>
      <w:r w:rsidRPr="00B419CE">
        <w:t xml:space="preserve"> eigen </w:t>
      </w:r>
      <w:proofErr w:type="spellStart"/>
      <w:r w:rsidRPr="00B419CE">
        <w:t>sikkerheitsstab</w:t>
      </w:r>
      <w:proofErr w:type="spellEnd"/>
      <w:r w:rsidRPr="00B419CE">
        <w:t xml:space="preserve"> direkte under direktøren. Det har </w:t>
      </w:r>
      <w:proofErr w:type="spellStart"/>
      <w:r w:rsidRPr="00B419CE">
        <w:t>vore</w:t>
      </w:r>
      <w:proofErr w:type="spellEnd"/>
      <w:r w:rsidRPr="00B419CE">
        <w:t xml:space="preserve"> arbeidd </w:t>
      </w:r>
      <w:proofErr w:type="spellStart"/>
      <w:r w:rsidRPr="00B419CE">
        <w:t>vidare</w:t>
      </w:r>
      <w:proofErr w:type="spellEnd"/>
      <w:r w:rsidRPr="00B419CE">
        <w:t xml:space="preserve"> med å utvikle </w:t>
      </w:r>
      <w:proofErr w:type="spellStart"/>
      <w:r w:rsidRPr="00B419CE">
        <w:t>eit</w:t>
      </w:r>
      <w:proofErr w:type="spellEnd"/>
      <w:r w:rsidRPr="00B419CE">
        <w:t xml:space="preserve"> </w:t>
      </w:r>
      <w:proofErr w:type="spellStart"/>
      <w:r w:rsidRPr="00B419CE">
        <w:t>heilskapleg</w:t>
      </w:r>
      <w:proofErr w:type="spellEnd"/>
      <w:r w:rsidRPr="00B419CE">
        <w:t xml:space="preserve"> system for </w:t>
      </w:r>
      <w:proofErr w:type="spellStart"/>
      <w:r w:rsidRPr="00B419CE">
        <w:t>sikkerheit</w:t>
      </w:r>
      <w:proofErr w:type="spellEnd"/>
      <w:r w:rsidRPr="00B419CE">
        <w:t xml:space="preserve"> og beredskap. Koronakrisa og to større IT-angrep (</w:t>
      </w:r>
      <w:proofErr w:type="spellStart"/>
      <w:r w:rsidRPr="00B419CE">
        <w:t>eitt</w:t>
      </w:r>
      <w:proofErr w:type="spellEnd"/>
      <w:r w:rsidRPr="00B419CE">
        <w:t xml:space="preserve"> i 2020 og </w:t>
      </w:r>
      <w:proofErr w:type="spellStart"/>
      <w:r w:rsidRPr="00B419CE">
        <w:t>eitt</w:t>
      </w:r>
      <w:proofErr w:type="spellEnd"/>
      <w:r w:rsidRPr="00B419CE">
        <w:t xml:space="preserve"> i 2021) har gitt viktig læring for det </w:t>
      </w:r>
      <w:proofErr w:type="spellStart"/>
      <w:r w:rsidRPr="00B419CE">
        <w:t>vidare</w:t>
      </w:r>
      <w:proofErr w:type="spellEnd"/>
      <w:r w:rsidRPr="00B419CE">
        <w:t xml:space="preserve"> arbeidet. Stortinget er </w:t>
      </w:r>
      <w:proofErr w:type="spellStart"/>
      <w:r w:rsidRPr="00B419CE">
        <w:t>no</w:t>
      </w:r>
      <w:proofErr w:type="spellEnd"/>
      <w:r w:rsidRPr="00B419CE">
        <w:t xml:space="preserve"> i gang med å </w:t>
      </w:r>
      <w:proofErr w:type="spellStart"/>
      <w:r w:rsidRPr="00B419CE">
        <w:t>auke</w:t>
      </w:r>
      <w:proofErr w:type="spellEnd"/>
      <w:r w:rsidRPr="00B419CE">
        <w:t xml:space="preserve"> den fysiske og digitale kapasiteten for behandling av gradert informasjon.</w:t>
      </w:r>
    </w:p>
    <w:p w14:paraId="50380D4C" w14:textId="77777777" w:rsidR="00B419CE" w:rsidRPr="00B419CE" w:rsidRDefault="00B419CE" w:rsidP="00B419CE">
      <w:proofErr w:type="spellStart"/>
      <w:r w:rsidRPr="00B419CE">
        <w:t>Hausten</w:t>
      </w:r>
      <w:proofErr w:type="spellEnd"/>
      <w:r w:rsidRPr="00B419CE">
        <w:t xml:space="preserve"> 2020 inngjekk administrasjonen </w:t>
      </w:r>
      <w:proofErr w:type="spellStart"/>
      <w:r w:rsidRPr="00B419CE">
        <w:t>ein</w:t>
      </w:r>
      <w:proofErr w:type="spellEnd"/>
      <w:r w:rsidRPr="00B419CE">
        <w:t xml:space="preserve"> avtale om ei teknologisk løysing for bruk av tale-til-tekst i stortingsreferatet. Dette er ei taleattkjenningsløysing som automatisk skriv ut </w:t>
      </w:r>
      <w:proofErr w:type="spellStart"/>
      <w:r w:rsidRPr="00B419CE">
        <w:t>ein</w:t>
      </w:r>
      <w:proofErr w:type="spellEnd"/>
      <w:r w:rsidRPr="00B419CE">
        <w:t xml:space="preserve"> første versjon av innlegga i stortingssalen, basert på ei lydfil. Den tekniske løysinga er installert og gjord klar for </w:t>
      </w:r>
      <w:proofErr w:type="spellStart"/>
      <w:r w:rsidRPr="00B419CE">
        <w:t>ein</w:t>
      </w:r>
      <w:proofErr w:type="spellEnd"/>
      <w:r w:rsidRPr="00B419CE">
        <w:t xml:space="preserve"> akseptansetest som skal </w:t>
      </w:r>
      <w:proofErr w:type="spellStart"/>
      <w:r w:rsidRPr="00B419CE">
        <w:t>gjennomførast</w:t>
      </w:r>
      <w:proofErr w:type="spellEnd"/>
      <w:r w:rsidRPr="00B419CE">
        <w:t xml:space="preserve"> i mars 2021.</w:t>
      </w:r>
    </w:p>
    <w:p w14:paraId="1162F09B" w14:textId="77777777" w:rsidR="00B419CE" w:rsidRPr="00B419CE" w:rsidRDefault="00B419CE" w:rsidP="00B419CE">
      <w:r w:rsidRPr="00B419CE">
        <w:t xml:space="preserve">Stortinget vedtok i mars ei mellombels lov om forskriftsheimel for å avhjelpe </w:t>
      </w:r>
      <w:proofErr w:type="spellStart"/>
      <w:r w:rsidRPr="00B419CE">
        <w:t>konsekvensane</w:t>
      </w:r>
      <w:proofErr w:type="spellEnd"/>
      <w:r w:rsidRPr="00B419CE">
        <w:t xml:space="preserve"> av </w:t>
      </w:r>
      <w:proofErr w:type="spellStart"/>
      <w:r w:rsidRPr="00B419CE">
        <w:t>utbrotet</w:t>
      </w:r>
      <w:proofErr w:type="spellEnd"/>
      <w:r w:rsidRPr="00B419CE">
        <w:t xml:space="preserve"> av covid-19 m.m. (koronalova). Lova gav regjeringa fullmakt til å fastsette forskrifter med </w:t>
      </w:r>
      <w:proofErr w:type="spellStart"/>
      <w:r w:rsidRPr="00B419CE">
        <w:t>lovgivingsmessig</w:t>
      </w:r>
      <w:proofErr w:type="spellEnd"/>
      <w:r w:rsidRPr="00B419CE">
        <w:t xml:space="preserve"> </w:t>
      </w:r>
      <w:proofErr w:type="spellStart"/>
      <w:r w:rsidRPr="00B419CE">
        <w:t>innhald</w:t>
      </w:r>
      <w:proofErr w:type="spellEnd"/>
      <w:r w:rsidRPr="00B419CE">
        <w:t xml:space="preserve"> for å avhjelpe </w:t>
      </w:r>
      <w:proofErr w:type="spellStart"/>
      <w:r w:rsidRPr="00B419CE">
        <w:t>konsekvensane</w:t>
      </w:r>
      <w:proofErr w:type="spellEnd"/>
      <w:r w:rsidRPr="00B419CE">
        <w:t xml:space="preserve"> av </w:t>
      </w:r>
      <w:proofErr w:type="spellStart"/>
      <w:r w:rsidRPr="00B419CE">
        <w:t>virusutbrotet</w:t>
      </w:r>
      <w:proofErr w:type="spellEnd"/>
      <w:r w:rsidRPr="00B419CE">
        <w:t xml:space="preserve">. Lova </w:t>
      </w:r>
      <w:proofErr w:type="spellStart"/>
      <w:r w:rsidRPr="00B419CE">
        <w:t>inneheldt</w:t>
      </w:r>
      <w:proofErr w:type="spellEnd"/>
      <w:r w:rsidRPr="00B419CE">
        <w:t xml:space="preserve"> </w:t>
      </w:r>
      <w:proofErr w:type="spellStart"/>
      <w:r w:rsidRPr="00B419CE">
        <w:t>ein</w:t>
      </w:r>
      <w:proofErr w:type="spellEnd"/>
      <w:r w:rsidRPr="00B419CE">
        <w:t xml:space="preserve"> </w:t>
      </w:r>
      <w:proofErr w:type="spellStart"/>
      <w:r w:rsidRPr="00B419CE">
        <w:t>særleg</w:t>
      </w:r>
      <w:proofErr w:type="spellEnd"/>
      <w:r w:rsidRPr="00B419CE">
        <w:t xml:space="preserve"> </w:t>
      </w:r>
      <w:proofErr w:type="spellStart"/>
      <w:r w:rsidRPr="00B419CE">
        <w:t>mindretalsrett</w:t>
      </w:r>
      <w:proofErr w:type="spellEnd"/>
      <w:r w:rsidRPr="00B419CE">
        <w:t xml:space="preserve"> som innebar at forskriftene måtte </w:t>
      </w:r>
      <w:proofErr w:type="spellStart"/>
      <w:r w:rsidRPr="00B419CE">
        <w:t>opphevast</w:t>
      </w:r>
      <w:proofErr w:type="spellEnd"/>
      <w:r w:rsidRPr="00B419CE">
        <w:t xml:space="preserve"> dersom minst </w:t>
      </w:r>
      <w:proofErr w:type="spellStart"/>
      <w:r w:rsidRPr="00B419CE">
        <w:t>ein</w:t>
      </w:r>
      <w:proofErr w:type="spellEnd"/>
      <w:r w:rsidRPr="00B419CE">
        <w:t xml:space="preserve"> tredel av </w:t>
      </w:r>
      <w:proofErr w:type="spellStart"/>
      <w:r w:rsidRPr="00B419CE">
        <w:t>representantane</w:t>
      </w:r>
      <w:proofErr w:type="spellEnd"/>
      <w:r w:rsidRPr="00B419CE">
        <w:t xml:space="preserve"> på Stortinget meddelte </w:t>
      </w:r>
      <w:proofErr w:type="spellStart"/>
      <w:r w:rsidRPr="00B419CE">
        <w:t>skriftleg</w:t>
      </w:r>
      <w:proofErr w:type="spellEnd"/>
      <w:r w:rsidRPr="00B419CE">
        <w:t xml:space="preserve"> til Stortingets presidentskap at </w:t>
      </w:r>
      <w:proofErr w:type="spellStart"/>
      <w:r w:rsidRPr="00B419CE">
        <w:t>dei</w:t>
      </w:r>
      <w:proofErr w:type="spellEnd"/>
      <w:r w:rsidRPr="00B419CE">
        <w:t xml:space="preserve"> </w:t>
      </w:r>
      <w:proofErr w:type="spellStart"/>
      <w:r w:rsidRPr="00B419CE">
        <w:t>ikkje</w:t>
      </w:r>
      <w:proofErr w:type="spellEnd"/>
      <w:r w:rsidRPr="00B419CE">
        <w:t xml:space="preserve"> støtta </w:t>
      </w:r>
      <w:proofErr w:type="spellStart"/>
      <w:r w:rsidRPr="00B419CE">
        <w:t>dei</w:t>
      </w:r>
      <w:proofErr w:type="spellEnd"/>
      <w:r w:rsidRPr="00B419CE">
        <w:t xml:space="preserve">. Dette innebar ei form for </w:t>
      </w:r>
      <w:proofErr w:type="spellStart"/>
      <w:r w:rsidRPr="00B419CE">
        <w:t>skriftleg</w:t>
      </w:r>
      <w:proofErr w:type="spellEnd"/>
      <w:r w:rsidRPr="00B419CE">
        <w:t xml:space="preserve"> saksbehandlingsprosedyre i Stortinget, og var ei konstitusjonell nyvinning. I perioden mars–mai meddelte regjeringa 32 forskrifter fastsette i </w:t>
      </w:r>
      <w:proofErr w:type="spellStart"/>
      <w:r w:rsidRPr="00B419CE">
        <w:t>medhald</w:t>
      </w:r>
      <w:proofErr w:type="spellEnd"/>
      <w:r w:rsidRPr="00B419CE">
        <w:t xml:space="preserve"> av den </w:t>
      </w:r>
      <w:proofErr w:type="spellStart"/>
      <w:r w:rsidRPr="00B419CE">
        <w:t>mellombelse</w:t>
      </w:r>
      <w:proofErr w:type="spellEnd"/>
      <w:r w:rsidRPr="00B419CE">
        <w:t xml:space="preserve"> lova. For fem av </w:t>
      </w:r>
      <w:proofErr w:type="spellStart"/>
      <w:r w:rsidRPr="00B419CE">
        <w:t>dei</w:t>
      </w:r>
      <w:proofErr w:type="spellEnd"/>
      <w:r w:rsidRPr="00B419CE">
        <w:t xml:space="preserve"> blei det fremma </w:t>
      </w:r>
      <w:proofErr w:type="spellStart"/>
      <w:r w:rsidRPr="00B419CE">
        <w:t>erklæringar</w:t>
      </w:r>
      <w:proofErr w:type="spellEnd"/>
      <w:r w:rsidRPr="00B419CE">
        <w:t xml:space="preserve"> </w:t>
      </w:r>
      <w:proofErr w:type="spellStart"/>
      <w:r w:rsidRPr="00B419CE">
        <w:t>frå</w:t>
      </w:r>
      <w:proofErr w:type="spellEnd"/>
      <w:r w:rsidRPr="00B419CE">
        <w:t xml:space="preserve"> </w:t>
      </w:r>
      <w:proofErr w:type="spellStart"/>
      <w:r w:rsidRPr="00B419CE">
        <w:t>eit</w:t>
      </w:r>
      <w:proofErr w:type="spellEnd"/>
      <w:r w:rsidRPr="00B419CE">
        <w:t xml:space="preserve"> </w:t>
      </w:r>
      <w:proofErr w:type="spellStart"/>
      <w:r w:rsidRPr="00B419CE">
        <w:t>tilstrekkeleg</w:t>
      </w:r>
      <w:proofErr w:type="spellEnd"/>
      <w:r w:rsidRPr="00B419CE">
        <w:t xml:space="preserve"> stort </w:t>
      </w:r>
      <w:proofErr w:type="spellStart"/>
      <w:r w:rsidRPr="00B419CE">
        <w:t>mindretal</w:t>
      </w:r>
      <w:proofErr w:type="spellEnd"/>
      <w:r w:rsidRPr="00B419CE">
        <w:t xml:space="preserve"> om at </w:t>
      </w:r>
      <w:proofErr w:type="spellStart"/>
      <w:r w:rsidRPr="00B419CE">
        <w:t>dei</w:t>
      </w:r>
      <w:proofErr w:type="spellEnd"/>
      <w:r w:rsidRPr="00B419CE">
        <w:t xml:space="preserve"> </w:t>
      </w:r>
      <w:proofErr w:type="spellStart"/>
      <w:r w:rsidRPr="00B419CE">
        <w:t>ikkje</w:t>
      </w:r>
      <w:proofErr w:type="spellEnd"/>
      <w:r w:rsidRPr="00B419CE">
        <w:t xml:space="preserve"> støtta </w:t>
      </w:r>
      <w:proofErr w:type="spellStart"/>
      <w:r w:rsidRPr="00B419CE">
        <w:t>delar</w:t>
      </w:r>
      <w:proofErr w:type="spellEnd"/>
      <w:r w:rsidRPr="00B419CE">
        <w:t xml:space="preserve"> av forskriftene, som da måtte </w:t>
      </w:r>
      <w:proofErr w:type="spellStart"/>
      <w:r w:rsidRPr="00B419CE">
        <w:t>opphevast</w:t>
      </w:r>
      <w:proofErr w:type="spellEnd"/>
      <w:r w:rsidRPr="00B419CE">
        <w:t>.</w:t>
      </w:r>
    </w:p>
    <w:p w14:paraId="1BB5358A" w14:textId="77777777" w:rsidR="00B419CE" w:rsidRPr="00B419CE" w:rsidRDefault="00B419CE" w:rsidP="00B419CE">
      <w:r w:rsidRPr="00B419CE">
        <w:t xml:space="preserve">Stortinget har behandla mange ekstraordinære saker i </w:t>
      </w:r>
      <w:proofErr w:type="spellStart"/>
      <w:r w:rsidRPr="00B419CE">
        <w:t>tilknyting</w:t>
      </w:r>
      <w:proofErr w:type="spellEnd"/>
      <w:r w:rsidRPr="00B419CE">
        <w:t xml:space="preserve"> til </w:t>
      </w:r>
      <w:proofErr w:type="spellStart"/>
      <w:r w:rsidRPr="00B419CE">
        <w:t>utbrotet</w:t>
      </w:r>
      <w:proofErr w:type="spellEnd"/>
      <w:r w:rsidRPr="00B419CE">
        <w:t xml:space="preserve"> av </w:t>
      </w:r>
      <w:proofErr w:type="spellStart"/>
      <w:r w:rsidRPr="00B419CE">
        <w:t>koronaviruset</w:t>
      </w:r>
      <w:proofErr w:type="spellEnd"/>
      <w:r w:rsidRPr="00B419CE">
        <w:t xml:space="preserve">. Det har </w:t>
      </w:r>
      <w:proofErr w:type="spellStart"/>
      <w:r w:rsidRPr="00B419CE">
        <w:t>vore</w:t>
      </w:r>
      <w:proofErr w:type="spellEnd"/>
      <w:r w:rsidRPr="00B419CE">
        <w:t xml:space="preserve"> både </w:t>
      </w:r>
      <w:proofErr w:type="spellStart"/>
      <w:r w:rsidRPr="00B419CE">
        <w:t>lovproposisjonar</w:t>
      </w:r>
      <w:proofErr w:type="spellEnd"/>
      <w:r w:rsidRPr="00B419CE">
        <w:t xml:space="preserve"> og budsjettsaker, mellom anna </w:t>
      </w:r>
      <w:proofErr w:type="spellStart"/>
      <w:r w:rsidRPr="00B419CE">
        <w:t>fleire</w:t>
      </w:r>
      <w:proofErr w:type="spellEnd"/>
      <w:r w:rsidRPr="00B419CE">
        <w:t xml:space="preserve"> </w:t>
      </w:r>
      <w:proofErr w:type="spellStart"/>
      <w:r w:rsidRPr="00B419CE">
        <w:t>omfattande</w:t>
      </w:r>
      <w:proofErr w:type="spellEnd"/>
      <w:r w:rsidRPr="00B419CE">
        <w:t xml:space="preserve"> økonomiske tiltakspakker. Arbeidet med </w:t>
      </w:r>
      <w:proofErr w:type="spellStart"/>
      <w:r w:rsidRPr="00B419CE">
        <w:t>desse</w:t>
      </w:r>
      <w:proofErr w:type="spellEnd"/>
      <w:r w:rsidRPr="00B419CE">
        <w:t xml:space="preserve"> sakene har til dels skjedd under stort tidspress.</w:t>
      </w:r>
    </w:p>
    <w:p w14:paraId="11D3B0B3" w14:textId="77777777" w:rsidR="00B419CE" w:rsidRPr="00B419CE" w:rsidRDefault="00B419CE" w:rsidP="00B419CE">
      <w:r w:rsidRPr="00B419CE">
        <w:t xml:space="preserve">Som </w:t>
      </w:r>
      <w:proofErr w:type="spellStart"/>
      <w:r w:rsidRPr="00B419CE">
        <w:t>ein</w:t>
      </w:r>
      <w:proofErr w:type="spellEnd"/>
      <w:r w:rsidRPr="00B419CE">
        <w:t xml:space="preserve"> del av arbeidet med å hindre smitte av covid-19 på Stortinget er det innført </w:t>
      </w:r>
      <w:proofErr w:type="spellStart"/>
      <w:r w:rsidRPr="00B419CE">
        <w:t>fleire</w:t>
      </w:r>
      <w:proofErr w:type="spellEnd"/>
      <w:r w:rsidRPr="00B419CE">
        <w:t xml:space="preserve"> tiltak som har </w:t>
      </w:r>
      <w:proofErr w:type="spellStart"/>
      <w:r w:rsidRPr="00B419CE">
        <w:t>påverka</w:t>
      </w:r>
      <w:proofErr w:type="spellEnd"/>
      <w:r w:rsidRPr="00B419CE">
        <w:t xml:space="preserve"> det parlamentariske arbeidet. Det har </w:t>
      </w:r>
      <w:proofErr w:type="spellStart"/>
      <w:r w:rsidRPr="00B419CE">
        <w:t>vore</w:t>
      </w:r>
      <w:proofErr w:type="spellEnd"/>
      <w:r w:rsidRPr="00B419CE">
        <w:t xml:space="preserve"> </w:t>
      </w:r>
      <w:proofErr w:type="spellStart"/>
      <w:r w:rsidRPr="00B419CE">
        <w:t>avgrensingar</w:t>
      </w:r>
      <w:proofErr w:type="spellEnd"/>
      <w:r w:rsidRPr="00B419CE">
        <w:t xml:space="preserve"> i kor mange </w:t>
      </w:r>
      <w:proofErr w:type="spellStart"/>
      <w:r w:rsidRPr="00B419CE">
        <w:t>representantar</w:t>
      </w:r>
      <w:proofErr w:type="spellEnd"/>
      <w:r w:rsidRPr="00B419CE">
        <w:t xml:space="preserve"> som har </w:t>
      </w:r>
      <w:proofErr w:type="spellStart"/>
      <w:r w:rsidRPr="00B419CE">
        <w:t>kunna</w:t>
      </w:r>
      <w:proofErr w:type="spellEnd"/>
      <w:r w:rsidRPr="00B419CE">
        <w:t xml:space="preserve"> </w:t>
      </w:r>
      <w:proofErr w:type="spellStart"/>
      <w:r w:rsidRPr="00B419CE">
        <w:t>vere</w:t>
      </w:r>
      <w:proofErr w:type="spellEnd"/>
      <w:r w:rsidRPr="00B419CE">
        <w:t xml:space="preserve"> til </w:t>
      </w:r>
      <w:proofErr w:type="spellStart"/>
      <w:r w:rsidRPr="00B419CE">
        <w:t>stades</w:t>
      </w:r>
      <w:proofErr w:type="spellEnd"/>
      <w:r w:rsidRPr="00B419CE">
        <w:t xml:space="preserve">, krav om digitale møte, montering av </w:t>
      </w:r>
      <w:proofErr w:type="spellStart"/>
      <w:r w:rsidRPr="00B419CE">
        <w:t>pleksiglas</w:t>
      </w:r>
      <w:proofErr w:type="spellEnd"/>
      <w:r w:rsidRPr="00B419CE">
        <w:t xml:space="preserve"> </w:t>
      </w:r>
      <w:proofErr w:type="spellStart"/>
      <w:r w:rsidRPr="00B419CE">
        <w:t>fleire</w:t>
      </w:r>
      <w:proofErr w:type="spellEnd"/>
      <w:r w:rsidRPr="00B419CE">
        <w:t xml:space="preserve"> </w:t>
      </w:r>
      <w:proofErr w:type="spellStart"/>
      <w:r w:rsidRPr="00B419CE">
        <w:t>stader</w:t>
      </w:r>
      <w:proofErr w:type="spellEnd"/>
      <w:r w:rsidRPr="00B419CE">
        <w:t xml:space="preserve"> og tilråding om bruk av munnbind der det </w:t>
      </w:r>
      <w:proofErr w:type="spellStart"/>
      <w:r w:rsidRPr="00B419CE">
        <w:t>ikkje</w:t>
      </w:r>
      <w:proofErr w:type="spellEnd"/>
      <w:r w:rsidRPr="00B419CE">
        <w:t xml:space="preserve"> har </w:t>
      </w:r>
      <w:proofErr w:type="spellStart"/>
      <w:r w:rsidRPr="00B419CE">
        <w:t>vore</w:t>
      </w:r>
      <w:proofErr w:type="spellEnd"/>
      <w:r w:rsidRPr="00B419CE">
        <w:t xml:space="preserve"> </w:t>
      </w:r>
      <w:proofErr w:type="spellStart"/>
      <w:r w:rsidRPr="00B419CE">
        <w:t>mogleg</w:t>
      </w:r>
      <w:proofErr w:type="spellEnd"/>
      <w:r w:rsidRPr="00B419CE">
        <w:t xml:space="preserve"> å </w:t>
      </w:r>
      <w:proofErr w:type="spellStart"/>
      <w:r w:rsidRPr="00B419CE">
        <w:t>oppretthalde</w:t>
      </w:r>
      <w:proofErr w:type="spellEnd"/>
      <w:r w:rsidRPr="00B419CE">
        <w:t xml:space="preserve"> </w:t>
      </w:r>
      <w:proofErr w:type="spellStart"/>
      <w:r w:rsidRPr="00B419CE">
        <w:t>ein</w:t>
      </w:r>
      <w:proofErr w:type="spellEnd"/>
      <w:r w:rsidRPr="00B419CE">
        <w:t xml:space="preserve"> meters avstand.</w:t>
      </w:r>
    </w:p>
    <w:p w14:paraId="012E7409" w14:textId="77777777" w:rsidR="00B419CE" w:rsidRPr="00B419CE" w:rsidRDefault="00B419CE" w:rsidP="00B419CE">
      <w:pPr>
        <w:pStyle w:val="avsnitt-tittel"/>
      </w:pPr>
      <w:r w:rsidRPr="00B419CE">
        <w:lastRenderedPageBreak/>
        <w:t xml:space="preserve">Formål 3: Formidle kunnskap om folkestyret og </w:t>
      </w:r>
      <w:proofErr w:type="spellStart"/>
      <w:r w:rsidRPr="00B419CE">
        <w:t>verksemda</w:t>
      </w:r>
      <w:proofErr w:type="spellEnd"/>
      <w:r w:rsidRPr="00B419CE">
        <w:t xml:space="preserve"> til Stortinget</w:t>
      </w:r>
    </w:p>
    <w:p w14:paraId="6E2628CD" w14:textId="77777777" w:rsidR="00B419CE" w:rsidRPr="00B419CE" w:rsidRDefault="00B419CE" w:rsidP="00B419CE">
      <w:r w:rsidRPr="00B419CE">
        <w:t xml:space="preserve">I 2020 var det nødvendig å utvikle </w:t>
      </w:r>
      <w:proofErr w:type="spellStart"/>
      <w:r w:rsidRPr="00B419CE">
        <w:t>vidare</w:t>
      </w:r>
      <w:proofErr w:type="spellEnd"/>
      <w:r w:rsidRPr="00B419CE">
        <w:t xml:space="preserve"> det digitale </w:t>
      </w:r>
      <w:proofErr w:type="spellStart"/>
      <w:r w:rsidRPr="00B419CE">
        <w:t>formidlingstilbodet</w:t>
      </w:r>
      <w:proofErr w:type="spellEnd"/>
      <w:r w:rsidRPr="00B419CE">
        <w:t xml:space="preserve">. Dette var </w:t>
      </w:r>
      <w:proofErr w:type="spellStart"/>
      <w:r w:rsidRPr="00B419CE">
        <w:t>ein</w:t>
      </w:r>
      <w:proofErr w:type="spellEnd"/>
      <w:r w:rsidRPr="00B419CE">
        <w:t xml:space="preserve"> konsekvens av at det fysiske </w:t>
      </w:r>
      <w:proofErr w:type="spellStart"/>
      <w:r w:rsidRPr="00B419CE">
        <w:t>besøkstilbodet</w:t>
      </w:r>
      <w:proofErr w:type="spellEnd"/>
      <w:r w:rsidRPr="00B419CE">
        <w:t xml:space="preserve"> til publikum, mellom anna </w:t>
      </w:r>
      <w:proofErr w:type="spellStart"/>
      <w:r w:rsidRPr="00B419CE">
        <w:t>omvisingar</w:t>
      </w:r>
      <w:proofErr w:type="spellEnd"/>
      <w:r w:rsidRPr="00B419CE">
        <w:t xml:space="preserve"> og besøk for å delta i </w:t>
      </w:r>
      <w:proofErr w:type="spellStart"/>
      <w:r w:rsidRPr="00B419CE">
        <w:t>læringsspel</w:t>
      </w:r>
      <w:proofErr w:type="spellEnd"/>
      <w:r w:rsidRPr="00B419CE">
        <w:t xml:space="preserve">, på grunn av koronapandemien blei stengt ned medio mars 2020. </w:t>
      </w:r>
      <w:proofErr w:type="spellStart"/>
      <w:r w:rsidRPr="00B419CE">
        <w:t>Eit</w:t>
      </w:r>
      <w:proofErr w:type="spellEnd"/>
      <w:r w:rsidRPr="00B419CE">
        <w:t xml:space="preserve"> eksempel er det nye </w:t>
      </w:r>
      <w:proofErr w:type="spellStart"/>
      <w:r w:rsidRPr="00B419CE">
        <w:t>læringsspelet</w:t>
      </w:r>
      <w:proofErr w:type="spellEnd"/>
      <w:r w:rsidRPr="00B419CE">
        <w:t xml:space="preserve"> for </w:t>
      </w:r>
      <w:proofErr w:type="spellStart"/>
      <w:r w:rsidRPr="00B419CE">
        <w:t>elevar</w:t>
      </w:r>
      <w:proofErr w:type="spellEnd"/>
      <w:r w:rsidRPr="00B419CE">
        <w:t xml:space="preserve"> i </w:t>
      </w:r>
      <w:proofErr w:type="spellStart"/>
      <w:r w:rsidRPr="00B419CE">
        <w:t>vidaregåande</w:t>
      </w:r>
      <w:proofErr w:type="spellEnd"/>
      <w:r w:rsidRPr="00B419CE">
        <w:t xml:space="preserve"> skole, Demo, som stod klart i desember 2019, men som måtte stenge ned medio mars 2020. Også publikumsgalleriet har i </w:t>
      </w:r>
      <w:proofErr w:type="spellStart"/>
      <w:r w:rsidRPr="00B419CE">
        <w:t>periodar</w:t>
      </w:r>
      <w:proofErr w:type="spellEnd"/>
      <w:r w:rsidRPr="00B419CE">
        <w:t xml:space="preserve"> </w:t>
      </w:r>
      <w:proofErr w:type="spellStart"/>
      <w:r w:rsidRPr="00B419CE">
        <w:t>vore</w:t>
      </w:r>
      <w:proofErr w:type="spellEnd"/>
      <w:r w:rsidRPr="00B419CE">
        <w:t xml:space="preserve"> stengt i 2020. Denne situasjonen understreka betydninga av digitale </w:t>
      </w:r>
      <w:proofErr w:type="spellStart"/>
      <w:r w:rsidRPr="00B419CE">
        <w:t>kanalar</w:t>
      </w:r>
      <w:proofErr w:type="spellEnd"/>
      <w:r w:rsidRPr="00B419CE">
        <w:t xml:space="preserve"> og sosiale medium. stortinget.no hadde </w:t>
      </w:r>
      <w:proofErr w:type="spellStart"/>
      <w:r w:rsidRPr="00B419CE">
        <w:t>ein</w:t>
      </w:r>
      <w:proofErr w:type="spellEnd"/>
      <w:r w:rsidRPr="00B419CE">
        <w:t xml:space="preserve"> markant trafikkvekst i 2020. Nettstaden er Stortingets </w:t>
      </w:r>
      <w:proofErr w:type="spellStart"/>
      <w:r w:rsidRPr="00B419CE">
        <w:t>viktigaste</w:t>
      </w:r>
      <w:proofErr w:type="spellEnd"/>
      <w:r w:rsidRPr="00B419CE">
        <w:t xml:space="preserve"> kanal for informasjon om arbeidet til </w:t>
      </w:r>
      <w:proofErr w:type="spellStart"/>
      <w:r w:rsidRPr="00B419CE">
        <w:t>dei</w:t>
      </w:r>
      <w:proofErr w:type="spellEnd"/>
      <w:r w:rsidRPr="00B419CE">
        <w:t xml:space="preserve"> </w:t>
      </w:r>
      <w:proofErr w:type="spellStart"/>
      <w:r w:rsidRPr="00B419CE">
        <w:t>folkevalde</w:t>
      </w:r>
      <w:proofErr w:type="spellEnd"/>
      <w:r w:rsidRPr="00B419CE">
        <w:t xml:space="preserve"> og sakene </w:t>
      </w:r>
      <w:proofErr w:type="spellStart"/>
      <w:r w:rsidRPr="00B419CE">
        <w:t>dei</w:t>
      </w:r>
      <w:proofErr w:type="spellEnd"/>
      <w:r w:rsidRPr="00B419CE">
        <w:t xml:space="preserve"> </w:t>
      </w:r>
      <w:proofErr w:type="spellStart"/>
      <w:r w:rsidRPr="00B419CE">
        <w:t>behandlar</w:t>
      </w:r>
      <w:proofErr w:type="spellEnd"/>
      <w:r w:rsidRPr="00B419CE">
        <w:t>.</w:t>
      </w:r>
    </w:p>
    <w:p w14:paraId="48F82EC5" w14:textId="77777777" w:rsidR="00B419CE" w:rsidRPr="00B419CE" w:rsidRDefault="00B419CE" w:rsidP="00B419CE">
      <w:r w:rsidRPr="00B419CE">
        <w:t xml:space="preserve">I løpet av 2020 lanserte Stortinget </w:t>
      </w:r>
      <w:proofErr w:type="spellStart"/>
      <w:r w:rsidRPr="00B419CE">
        <w:t>ein</w:t>
      </w:r>
      <w:proofErr w:type="spellEnd"/>
      <w:r w:rsidRPr="00B419CE">
        <w:t xml:space="preserve"> ny Instagram-kanal retta mot unge, Stortinget Ung, der målet er å engasjere unge med </w:t>
      </w:r>
      <w:proofErr w:type="spellStart"/>
      <w:r w:rsidRPr="00B419CE">
        <w:t>innhald</w:t>
      </w:r>
      <w:proofErr w:type="spellEnd"/>
      <w:r w:rsidRPr="00B419CE">
        <w:t xml:space="preserve"> om politiske </w:t>
      </w:r>
      <w:proofErr w:type="spellStart"/>
      <w:r w:rsidRPr="00B419CE">
        <w:t>prosessar</w:t>
      </w:r>
      <w:proofErr w:type="spellEnd"/>
      <w:r w:rsidRPr="00B419CE">
        <w:t xml:space="preserve"> og saker og demokratispørsmål. Det digitale </w:t>
      </w:r>
      <w:proofErr w:type="spellStart"/>
      <w:r w:rsidRPr="00B419CE">
        <w:t>formidlingstilbodet</w:t>
      </w:r>
      <w:proofErr w:type="spellEnd"/>
      <w:r w:rsidRPr="00B419CE">
        <w:t xml:space="preserve"> «</w:t>
      </w:r>
      <w:r w:rsidRPr="00B419CE">
        <w:rPr>
          <w:rStyle w:val="kursiv"/>
        </w:rPr>
        <w:t>Spør stortingspresidenten</w:t>
      </w:r>
      <w:r w:rsidRPr="00B419CE">
        <w:t xml:space="preserve">» blei </w:t>
      </w:r>
      <w:proofErr w:type="spellStart"/>
      <w:r w:rsidRPr="00B419CE">
        <w:t>vidareført</w:t>
      </w:r>
      <w:proofErr w:type="spellEnd"/>
      <w:r w:rsidRPr="00B419CE">
        <w:t xml:space="preserve"> i 2020 og trappa kraftig opp under nedstenginga. </w:t>
      </w:r>
      <w:proofErr w:type="spellStart"/>
      <w:r w:rsidRPr="00B419CE">
        <w:t>Hausten</w:t>
      </w:r>
      <w:proofErr w:type="spellEnd"/>
      <w:r w:rsidRPr="00B419CE">
        <w:t xml:space="preserve"> 2020 blei «Stortinget </w:t>
      </w:r>
      <w:proofErr w:type="spellStart"/>
      <w:r w:rsidRPr="00B419CE">
        <w:t>frå</w:t>
      </w:r>
      <w:proofErr w:type="spellEnd"/>
      <w:r w:rsidRPr="00B419CE">
        <w:t xml:space="preserve"> klasserommet» lansert. Her får </w:t>
      </w:r>
      <w:proofErr w:type="spellStart"/>
      <w:r w:rsidRPr="00B419CE">
        <w:t>elevar</w:t>
      </w:r>
      <w:proofErr w:type="spellEnd"/>
      <w:r w:rsidRPr="00B419CE">
        <w:t xml:space="preserve"> i </w:t>
      </w:r>
      <w:proofErr w:type="spellStart"/>
      <w:r w:rsidRPr="00B419CE">
        <w:t>vidaregåande</w:t>
      </w:r>
      <w:proofErr w:type="spellEnd"/>
      <w:r w:rsidRPr="00B419CE">
        <w:t xml:space="preserve"> skole </w:t>
      </w:r>
      <w:proofErr w:type="spellStart"/>
      <w:r w:rsidRPr="00B419CE">
        <w:t>ein</w:t>
      </w:r>
      <w:proofErr w:type="spellEnd"/>
      <w:r w:rsidRPr="00B419CE">
        <w:t xml:space="preserve"> annleis samfunnsfagtime, digitalt direkte </w:t>
      </w:r>
      <w:proofErr w:type="spellStart"/>
      <w:r w:rsidRPr="00B419CE">
        <w:t>frå</w:t>
      </w:r>
      <w:proofErr w:type="spellEnd"/>
      <w:r w:rsidRPr="00B419CE">
        <w:t xml:space="preserve"> stortingssalen, i møte med Stortingets </w:t>
      </w:r>
      <w:proofErr w:type="spellStart"/>
      <w:r w:rsidRPr="00B419CE">
        <w:t>formidlarar</w:t>
      </w:r>
      <w:proofErr w:type="spellEnd"/>
      <w:r w:rsidRPr="00B419CE">
        <w:t xml:space="preserve">. </w:t>
      </w:r>
      <w:proofErr w:type="spellStart"/>
      <w:r w:rsidRPr="00B419CE">
        <w:t>Seinhausten</w:t>
      </w:r>
      <w:proofErr w:type="spellEnd"/>
      <w:r w:rsidRPr="00B419CE">
        <w:t xml:space="preserve"> 2020 blei </w:t>
      </w:r>
      <w:proofErr w:type="spellStart"/>
      <w:r w:rsidRPr="00B419CE">
        <w:t>formidlingstilbodet</w:t>
      </w:r>
      <w:proofErr w:type="spellEnd"/>
      <w:r w:rsidRPr="00B419CE">
        <w:t xml:space="preserve"> «Demokratiet og deg», ei digital klasseromsundervisning </w:t>
      </w:r>
      <w:proofErr w:type="spellStart"/>
      <w:r w:rsidRPr="00B419CE">
        <w:t>frå</w:t>
      </w:r>
      <w:proofErr w:type="spellEnd"/>
      <w:r w:rsidRPr="00B419CE">
        <w:t xml:space="preserve"> stortingssalen tilpassa </w:t>
      </w:r>
      <w:proofErr w:type="spellStart"/>
      <w:r w:rsidRPr="00B419CE">
        <w:t>vaksenopplæring</w:t>
      </w:r>
      <w:proofErr w:type="spellEnd"/>
      <w:r w:rsidRPr="00B419CE">
        <w:t xml:space="preserve"> for </w:t>
      </w:r>
      <w:proofErr w:type="spellStart"/>
      <w:r w:rsidRPr="00B419CE">
        <w:t>innvandrarar</w:t>
      </w:r>
      <w:proofErr w:type="spellEnd"/>
      <w:r w:rsidRPr="00B419CE">
        <w:t xml:space="preserve">, utvikla. </w:t>
      </w:r>
      <w:proofErr w:type="spellStart"/>
      <w:r w:rsidRPr="00B419CE">
        <w:t>Tilbodet</w:t>
      </w:r>
      <w:proofErr w:type="spellEnd"/>
      <w:r w:rsidRPr="00B419CE">
        <w:t xml:space="preserve"> starta opp i februar 2021.</w:t>
      </w:r>
    </w:p>
    <w:p w14:paraId="742708F7" w14:textId="77777777" w:rsidR="00B419CE" w:rsidRPr="00B419CE" w:rsidRDefault="00B419CE" w:rsidP="00B419CE">
      <w:r w:rsidRPr="00B419CE">
        <w:t xml:space="preserve">Uteareala i </w:t>
      </w:r>
      <w:proofErr w:type="spellStart"/>
      <w:r w:rsidRPr="00B419CE">
        <w:t>tilknyting</w:t>
      </w:r>
      <w:proofErr w:type="spellEnd"/>
      <w:r w:rsidRPr="00B419CE">
        <w:t xml:space="preserve"> til stortingsbygningen har gjennom 2020 </w:t>
      </w:r>
      <w:proofErr w:type="spellStart"/>
      <w:r w:rsidRPr="00B419CE">
        <w:t>vore</w:t>
      </w:r>
      <w:proofErr w:type="spellEnd"/>
      <w:r w:rsidRPr="00B419CE">
        <w:t xml:space="preserve"> tatt i bruk til formidlingsformål på </w:t>
      </w:r>
      <w:proofErr w:type="spellStart"/>
      <w:r w:rsidRPr="00B419CE">
        <w:t>ein</w:t>
      </w:r>
      <w:proofErr w:type="spellEnd"/>
      <w:r w:rsidRPr="00B419CE">
        <w:t xml:space="preserve"> </w:t>
      </w:r>
      <w:proofErr w:type="spellStart"/>
      <w:r w:rsidRPr="00B419CE">
        <w:t>annan</w:t>
      </w:r>
      <w:proofErr w:type="spellEnd"/>
      <w:r w:rsidRPr="00B419CE">
        <w:t xml:space="preserve"> måte enn </w:t>
      </w:r>
      <w:proofErr w:type="spellStart"/>
      <w:r w:rsidRPr="00B419CE">
        <w:t>tidlegare</w:t>
      </w:r>
      <w:proofErr w:type="spellEnd"/>
      <w:r w:rsidRPr="00B419CE">
        <w:t xml:space="preserve">. Ei plakatutstilling gav publikum </w:t>
      </w:r>
      <w:proofErr w:type="spellStart"/>
      <w:r w:rsidRPr="00B419CE">
        <w:t>eit</w:t>
      </w:r>
      <w:proofErr w:type="spellEnd"/>
      <w:r w:rsidRPr="00B419CE">
        <w:t xml:space="preserve"> innblikk i </w:t>
      </w:r>
      <w:proofErr w:type="spellStart"/>
      <w:r w:rsidRPr="00B419CE">
        <w:t>kva</w:t>
      </w:r>
      <w:proofErr w:type="spellEnd"/>
      <w:r w:rsidRPr="00B419CE">
        <w:t xml:space="preserve"> Stortinget er og </w:t>
      </w:r>
      <w:proofErr w:type="spellStart"/>
      <w:r w:rsidRPr="00B419CE">
        <w:t>gjer</w:t>
      </w:r>
      <w:proofErr w:type="spellEnd"/>
      <w:r w:rsidRPr="00B419CE">
        <w:t xml:space="preserve">. Det blei også laga ei plakatutstilling som </w:t>
      </w:r>
      <w:proofErr w:type="spellStart"/>
      <w:r w:rsidRPr="00B419CE">
        <w:t>ein</w:t>
      </w:r>
      <w:proofErr w:type="spellEnd"/>
      <w:r w:rsidRPr="00B419CE">
        <w:t xml:space="preserve"> del av 100-årsjubileet til Stortingets presselosje.</w:t>
      </w:r>
    </w:p>
    <w:p w14:paraId="188FDDED" w14:textId="77777777" w:rsidR="00B419CE" w:rsidRPr="00B419CE" w:rsidRDefault="00B419CE" w:rsidP="00B419CE">
      <w:r w:rsidRPr="00B419CE">
        <w:t xml:space="preserve">Gjennom året har det </w:t>
      </w:r>
      <w:proofErr w:type="spellStart"/>
      <w:r w:rsidRPr="00B419CE">
        <w:t>vore</w:t>
      </w:r>
      <w:proofErr w:type="spellEnd"/>
      <w:r w:rsidRPr="00B419CE">
        <w:t xml:space="preserve"> jobba </w:t>
      </w:r>
      <w:proofErr w:type="spellStart"/>
      <w:r w:rsidRPr="00B419CE">
        <w:t>vidare</w:t>
      </w:r>
      <w:proofErr w:type="spellEnd"/>
      <w:r w:rsidRPr="00B419CE">
        <w:t xml:space="preserve"> med å legge til rette for og profesjonalisere arbeidet overfor media. Administrasjonen har sett i verk </w:t>
      </w:r>
      <w:proofErr w:type="spellStart"/>
      <w:r w:rsidRPr="00B419CE">
        <w:t>fleire</w:t>
      </w:r>
      <w:proofErr w:type="spellEnd"/>
      <w:r w:rsidRPr="00B419CE">
        <w:t xml:space="preserve"> tiltak for å legge til rette for at media skal få best </w:t>
      </w:r>
      <w:proofErr w:type="spellStart"/>
      <w:r w:rsidRPr="00B419CE">
        <w:t>moglege</w:t>
      </w:r>
      <w:proofErr w:type="spellEnd"/>
      <w:r w:rsidRPr="00B419CE">
        <w:t xml:space="preserve"> arbeidsvilkår </w:t>
      </w:r>
      <w:proofErr w:type="spellStart"/>
      <w:r w:rsidRPr="00B419CE">
        <w:t>innanfor</w:t>
      </w:r>
      <w:proofErr w:type="spellEnd"/>
      <w:r w:rsidRPr="00B419CE">
        <w:t xml:space="preserve"> </w:t>
      </w:r>
      <w:proofErr w:type="spellStart"/>
      <w:r w:rsidRPr="00B419CE">
        <w:t>smittevernreglane</w:t>
      </w:r>
      <w:proofErr w:type="spellEnd"/>
      <w:r w:rsidRPr="00B419CE">
        <w:t xml:space="preserve">, mellom anna avvikling av </w:t>
      </w:r>
      <w:proofErr w:type="spellStart"/>
      <w:r w:rsidRPr="00B419CE">
        <w:t>pressekonferansar</w:t>
      </w:r>
      <w:proofErr w:type="spellEnd"/>
      <w:r w:rsidRPr="00B419CE">
        <w:t>.</w:t>
      </w:r>
    </w:p>
    <w:p w14:paraId="624179AE" w14:textId="77777777" w:rsidR="00B419CE" w:rsidRPr="00B419CE" w:rsidRDefault="00B419CE" w:rsidP="00B419CE">
      <w:r w:rsidRPr="00B419CE">
        <w:t xml:space="preserve">I 2021 er det 100 år </w:t>
      </w:r>
      <w:proofErr w:type="spellStart"/>
      <w:r w:rsidRPr="00B419CE">
        <w:t>sidan</w:t>
      </w:r>
      <w:proofErr w:type="spellEnd"/>
      <w:r w:rsidRPr="00B419CE">
        <w:t xml:space="preserve"> Karen Platou som første kvinne blei vald til fast plass på Stortinget. Arbeidet med planlegging av ulike tiltak for å markere </w:t>
      </w:r>
      <w:proofErr w:type="spellStart"/>
      <w:r w:rsidRPr="00B419CE">
        <w:t>dei</w:t>
      </w:r>
      <w:proofErr w:type="spellEnd"/>
      <w:r w:rsidRPr="00B419CE">
        <w:t xml:space="preserve"> kvinnelege </w:t>
      </w:r>
      <w:proofErr w:type="spellStart"/>
      <w:r w:rsidRPr="00B419CE">
        <w:t>pionerane</w:t>
      </w:r>
      <w:proofErr w:type="spellEnd"/>
      <w:r w:rsidRPr="00B419CE">
        <w:t xml:space="preserve"> på Stortinget blei sett i gang i 2020.</w:t>
      </w:r>
    </w:p>
    <w:p w14:paraId="04E5E4FA" w14:textId="77777777" w:rsidR="00B419CE" w:rsidRPr="00B419CE" w:rsidRDefault="00B419CE" w:rsidP="00B419CE">
      <w:r w:rsidRPr="00B419CE">
        <w:t xml:space="preserve">Arbeidet med digital langtidsbevaring av dokumentasjon </w:t>
      </w:r>
      <w:proofErr w:type="spellStart"/>
      <w:r w:rsidRPr="00B419CE">
        <w:t>frå</w:t>
      </w:r>
      <w:proofErr w:type="spellEnd"/>
      <w:r w:rsidRPr="00B419CE">
        <w:t xml:space="preserve"> den parlamentariske og administrative </w:t>
      </w:r>
      <w:proofErr w:type="spellStart"/>
      <w:r w:rsidRPr="00B419CE">
        <w:t>verksemda</w:t>
      </w:r>
      <w:proofErr w:type="spellEnd"/>
      <w:r w:rsidRPr="00B419CE">
        <w:t xml:space="preserve"> </w:t>
      </w:r>
      <w:proofErr w:type="spellStart"/>
      <w:r w:rsidRPr="00B419CE">
        <w:t>heldt</w:t>
      </w:r>
      <w:proofErr w:type="spellEnd"/>
      <w:r w:rsidRPr="00B419CE">
        <w:t xml:space="preserve"> fram i 2020. Saman med </w:t>
      </w:r>
      <w:proofErr w:type="spellStart"/>
      <w:r w:rsidRPr="00B419CE">
        <w:t>fleire</w:t>
      </w:r>
      <w:proofErr w:type="spellEnd"/>
      <w:r w:rsidRPr="00B419CE">
        <w:t xml:space="preserve"> andre arkiv er Stortinget representert i Arkivverkets utviklingsarbeid for ei felles nasjonal løysing for digital langtidsbevaring.</w:t>
      </w:r>
    </w:p>
    <w:p w14:paraId="028DF95B" w14:textId="77777777" w:rsidR="00B419CE" w:rsidRPr="00B419CE" w:rsidRDefault="00B419CE" w:rsidP="00B419CE">
      <w:r w:rsidRPr="00B419CE">
        <w:t xml:space="preserve">Arbeidet med å legge til rette for innsyn og forsking basert på å </w:t>
      </w:r>
      <w:proofErr w:type="spellStart"/>
      <w:r w:rsidRPr="00B419CE">
        <w:t>gjere</w:t>
      </w:r>
      <w:proofErr w:type="spellEnd"/>
      <w:r w:rsidRPr="00B419CE">
        <w:t xml:space="preserve"> </w:t>
      </w:r>
      <w:proofErr w:type="spellStart"/>
      <w:r w:rsidRPr="00B419CE">
        <w:t>tilgjengeleg</w:t>
      </w:r>
      <w:proofErr w:type="spellEnd"/>
      <w:r w:rsidRPr="00B419CE">
        <w:t xml:space="preserve"> den upubliserte dokumentasjonen </w:t>
      </w:r>
      <w:proofErr w:type="spellStart"/>
      <w:r w:rsidRPr="00B419CE">
        <w:t>frå</w:t>
      </w:r>
      <w:proofErr w:type="spellEnd"/>
      <w:r w:rsidRPr="00B419CE">
        <w:t xml:space="preserve"> komitéarbeidet og </w:t>
      </w:r>
      <w:proofErr w:type="spellStart"/>
      <w:r w:rsidRPr="00B419CE">
        <w:t>administrasjonsverksemda</w:t>
      </w:r>
      <w:proofErr w:type="spellEnd"/>
      <w:r w:rsidRPr="00B419CE">
        <w:t xml:space="preserve"> held fram. Arbeidet krev fysisk kontakt med dokumentasjonen og er dermed </w:t>
      </w:r>
      <w:proofErr w:type="spellStart"/>
      <w:r w:rsidRPr="00B419CE">
        <w:t>noko</w:t>
      </w:r>
      <w:proofErr w:type="spellEnd"/>
      <w:r w:rsidRPr="00B419CE">
        <w:t xml:space="preserve"> </w:t>
      </w:r>
      <w:proofErr w:type="spellStart"/>
      <w:r w:rsidRPr="00B419CE">
        <w:t>forseinka</w:t>
      </w:r>
      <w:proofErr w:type="spellEnd"/>
      <w:r w:rsidRPr="00B419CE">
        <w:t>.</w:t>
      </w:r>
    </w:p>
    <w:p w14:paraId="1BA3C3D2" w14:textId="77777777" w:rsidR="00B419CE" w:rsidRPr="00B419CE" w:rsidRDefault="00B419CE" w:rsidP="00B419CE">
      <w:pPr>
        <w:pStyle w:val="avsnitt-tittel"/>
      </w:pPr>
      <w:r w:rsidRPr="00B419CE">
        <w:lastRenderedPageBreak/>
        <w:t xml:space="preserve">Formål 4: Ta vare på Stortingets </w:t>
      </w:r>
      <w:proofErr w:type="spellStart"/>
      <w:r w:rsidRPr="00B419CE">
        <w:t>bygningar</w:t>
      </w:r>
      <w:proofErr w:type="spellEnd"/>
      <w:r w:rsidRPr="00B419CE">
        <w:t xml:space="preserve">, historiske </w:t>
      </w:r>
      <w:proofErr w:type="spellStart"/>
      <w:r w:rsidRPr="00B419CE">
        <w:t>verdiar</w:t>
      </w:r>
      <w:proofErr w:type="spellEnd"/>
      <w:r w:rsidRPr="00B419CE">
        <w:t xml:space="preserve"> og kunst</w:t>
      </w:r>
    </w:p>
    <w:p w14:paraId="749C05C3" w14:textId="77777777" w:rsidR="00B419CE" w:rsidRPr="00B419CE" w:rsidRDefault="00B419CE" w:rsidP="00B419CE">
      <w:r w:rsidRPr="00B419CE">
        <w:t xml:space="preserve">God forvaltning, drift og </w:t>
      </w:r>
      <w:proofErr w:type="spellStart"/>
      <w:r w:rsidRPr="00B419CE">
        <w:t>vedlikehald</w:t>
      </w:r>
      <w:proofErr w:type="spellEnd"/>
      <w:r w:rsidRPr="00B419CE">
        <w:t xml:space="preserve"> av bygningsmassen er viktig for å sikre gode og trygge rammer for det parlamentariske arbeidet. Gjennomførte </w:t>
      </w:r>
      <w:proofErr w:type="spellStart"/>
      <w:r w:rsidRPr="00B419CE">
        <w:t>kartleggingar</w:t>
      </w:r>
      <w:proofErr w:type="spellEnd"/>
      <w:r w:rsidRPr="00B419CE">
        <w:t xml:space="preserve"> og </w:t>
      </w:r>
      <w:proofErr w:type="spellStart"/>
      <w:r w:rsidRPr="00B419CE">
        <w:t>analysar</w:t>
      </w:r>
      <w:proofErr w:type="spellEnd"/>
      <w:r w:rsidRPr="00B419CE">
        <w:t xml:space="preserve"> gir god oversikt over tilstanden til bygningsmassen og behova til </w:t>
      </w:r>
      <w:proofErr w:type="spellStart"/>
      <w:r w:rsidRPr="00B419CE">
        <w:t>brukarane</w:t>
      </w:r>
      <w:proofErr w:type="spellEnd"/>
      <w:r w:rsidRPr="00B419CE">
        <w:t>.</w:t>
      </w:r>
    </w:p>
    <w:p w14:paraId="2095FCB5" w14:textId="77777777" w:rsidR="00B419CE" w:rsidRPr="00B419CE" w:rsidRDefault="00B419CE" w:rsidP="00B419CE">
      <w:r w:rsidRPr="00B419CE">
        <w:t xml:space="preserve">I 2020 blei det sett i verk </w:t>
      </w:r>
      <w:proofErr w:type="spellStart"/>
      <w:r w:rsidRPr="00B419CE">
        <w:t>ein</w:t>
      </w:r>
      <w:proofErr w:type="spellEnd"/>
      <w:r w:rsidRPr="00B419CE">
        <w:t xml:space="preserve"> plan for strategiske avgjerder på </w:t>
      </w:r>
      <w:proofErr w:type="spellStart"/>
      <w:r w:rsidRPr="00B419CE">
        <w:t>eigedomsområdet</w:t>
      </w:r>
      <w:proofErr w:type="spellEnd"/>
      <w:r w:rsidRPr="00B419CE">
        <w:t xml:space="preserve"> som mellom anna skal danne grunnlaget for </w:t>
      </w:r>
      <w:proofErr w:type="spellStart"/>
      <w:r w:rsidRPr="00B419CE">
        <w:t>ein</w:t>
      </w:r>
      <w:proofErr w:type="spellEnd"/>
      <w:r w:rsidRPr="00B419CE">
        <w:t xml:space="preserve"> langtidsplan for </w:t>
      </w:r>
      <w:proofErr w:type="spellStart"/>
      <w:r w:rsidRPr="00B419CE">
        <w:t>investeringar</w:t>
      </w:r>
      <w:proofErr w:type="spellEnd"/>
      <w:r w:rsidRPr="00B419CE">
        <w:t xml:space="preserve"> i </w:t>
      </w:r>
      <w:proofErr w:type="spellStart"/>
      <w:r w:rsidRPr="00B419CE">
        <w:t>eigedom</w:t>
      </w:r>
      <w:proofErr w:type="spellEnd"/>
      <w:r w:rsidRPr="00B419CE">
        <w:t>, bygg og anlegg.</w:t>
      </w:r>
    </w:p>
    <w:p w14:paraId="350C70C4" w14:textId="77777777" w:rsidR="00B419CE" w:rsidRPr="00B419CE" w:rsidRDefault="00B419CE" w:rsidP="00B419CE">
      <w:r w:rsidRPr="00B419CE">
        <w:t xml:space="preserve">For å ta vare på </w:t>
      </w:r>
      <w:proofErr w:type="spellStart"/>
      <w:r w:rsidRPr="00B419CE">
        <w:t>dei</w:t>
      </w:r>
      <w:proofErr w:type="spellEnd"/>
      <w:r w:rsidRPr="00B419CE">
        <w:t xml:space="preserve"> arkitektoniske og kulturhistoriske </w:t>
      </w:r>
      <w:proofErr w:type="spellStart"/>
      <w:r w:rsidRPr="00B419CE">
        <w:t>verdiane</w:t>
      </w:r>
      <w:proofErr w:type="spellEnd"/>
      <w:r w:rsidRPr="00B419CE">
        <w:t xml:space="preserve"> er det utarbeidd </w:t>
      </w:r>
      <w:proofErr w:type="spellStart"/>
      <w:r w:rsidRPr="00B419CE">
        <w:t>verneplanar</w:t>
      </w:r>
      <w:proofErr w:type="spellEnd"/>
      <w:r w:rsidRPr="00B419CE">
        <w:t xml:space="preserve"> for framtidige </w:t>
      </w:r>
      <w:proofErr w:type="spellStart"/>
      <w:r w:rsidRPr="00B419CE">
        <w:t>endringar</w:t>
      </w:r>
      <w:proofErr w:type="spellEnd"/>
      <w:r w:rsidRPr="00B419CE">
        <w:t xml:space="preserve"> og </w:t>
      </w:r>
      <w:proofErr w:type="spellStart"/>
      <w:r w:rsidRPr="00B419CE">
        <w:t>ombyggingar</w:t>
      </w:r>
      <w:proofErr w:type="spellEnd"/>
      <w:r w:rsidRPr="00B419CE">
        <w:t xml:space="preserve">. Administrasjonen har også utvikla </w:t>
      </w:r>
      <w:proofErr w:type="spellStart"/>
      <w:r w:rsidRPr="00B419CE">
        <w:t>ein</w:t>
      </w:r>
      <w:proofErr w:type="spellEnd"/>
      <w:r w:rsidRPr="00B419CE">
        <w:t xml:space="preserve"> forvaltningsplan og </w:t>
      </w:r>
      <w:proofErr w:type="spellStart"/>
      <w:r w:rsidRPr="00B419CE">
        <w:t>ein</w:t>
      </w:r>
      <w:proofErr w:type="spellEnd"/>
      <w:r w:rsidRPr="00B419CE">
        <w:t xml:space="preserve"> evakueringsplan for kunst og historiske </w:t>
      </w:r>
      <w:proofErr w:type="spellStart"/>
      <w:r w:rsidRPr="00B419CE">
        <w:t>gjenstandar</w:t>
      </w:r>
      <w:proofErr w:type="spellEnd"/>
      <w:r w:rsidRPr="00B419CE">
        <w:t xml:space="preserve">. I 2020 ferdigstilte administrasjonen </w:t>
      </w:r>
      <w:proofErr w:type="spellStart"/>
      <w:r w:rsidRPr="00B419CE">
        <w:t>desse</w:t>
      </w:r>
      <w:proofErr w:type="spellEnd"/>
      <w:r w:rsidRPr="00B419CE">
        <w:t xml:space="preserve"> </w:t>
      </w:r>
      <w:proofErr w:type="spellStart"/>
      <w:r w:rsidRPr="00B419CE">
        <w:t>evakueringsplanane</w:t>
      </w:r>
      <w:proofErr w:type="spellEnd"/>
      <w:r w:rsidRPr="00B419CE">
        <w:t>.</w:t>
      </w:r>
    </w:p>
    <w:p w14:paraId="394ECDD8" w14:textId="77777777" w:rsidR="00B419CE" w:rsidRPr="00B419CE" w:rsidRDefault="00B419CE" w:rsidP="00B419CE">
      <w:r w:rsidRPr="00B419CE">
        <w:t xml:space="preserve">Reglementet for Stortingets bygge- og </w:t>
      </w:r>
      <w:proofErr w:type="spellStart"/>
      <w:r w:rsidRPr="00B419CE">
        <w:t>leigesaker</w:t>
      </w:r>
      <w:proofErr w:type="spellEnd"/>
      <w:r w:rsidRPr="00B419CE">
        <w:t xml:space="preserve"> legg </w:t>
      </w:r>
      <w:proofErr w:type="spellStart"/>
      <w:r w:rsidRPr="00B419CE">
        <w:t>føringar</w:t>
      </w:r>
      <w:proofErr w:type="spellEnd"/>
      <w:r w:rsidRPr="00B419CE">
        <w:t xml:space="preserve"> for planarbeidet. Stortingets administrasjon har i 2020, i tråd med føresegnene i reglementet, inngått </w:t>
      </w:r>
      <w:proofErr w:type="spellStart"/>
      <w:r w:rsidRPr="00B419CE">
        <w:t>ein</w:t>
      </w:r>
      <w:proofErr w:type="spellEnd"/>
      <w:r w:rsidRPr="00B419CE">
        <w:t xml:space="preserve"> avtale med Statsbygg om </w:t>
      </w:r>
      <w:proofErr w:type="spellStart"/>
      <w:r w:rsidRPr="00B419CE">
        <w:t>rådgivingsoppdrag</w:t>
      </w:r>
      <w:proofErr w:type="spellEnd"/>
      <w:r w:rsidRPr="00B419CE">
        <w:t xml:space="preserve">. Statsbygg skal </w:t>
      </w:r>
      <w:proofErr w:type="spellStart"/>
      <w:r w:rsidRPr="00B419CE">
        <w:t>engasjerast</w:t>
      </w:r>
      <w:proofErr w:type="spellEnd"/>
      <w:r w:rsidRPr="00B419CE">
        <w:t xml:space="preserve"> i </w:t>
      </w:r>
      <w:proofErr w:type="spellStart"/>
      <w:r w:rsidRPr="00B419CE">
        <w:t>ein</w:t>
      </w:r>
      <w:proofErr w:type="spellEnd"/>
      <w:r w:rsidRPr="00B419CE">
        <w:t xml:space="preserve"> </w:t>
      </w:r>
      <w:proofErr w:type="spellStart"/>
      <w:r w:rsidRPr="00B419CE">
        <w:t>tidleg</w:t>
      </w:r>
      <w:proofErr w:type="spellEnd"/>
      <w:r w:rsidRPr="00B419CE">
        <w:t xml:space="preserve"> fase for </w:t>
      </w:r>
      <w:proofErr w:type="spellStart"/>
      <w:r w:rsidRPr="00B419CE">
        <w:t>moglege</w:t>
      </w:r>
      <w:proofErr w:type="spellEnd"/>
      <w:r w:rsidRPr="00B419CE">
        <w:t xml:space="preserve"> framtidige byggeprosjekt.</w:t>
      </w:r>
    </w:p>
    <w:p w14:paraId="1F3BAB9E" w14:textId="77777777" w:rsidR="00B419CE" w:rsidRPr="00B419CE" w:rsidRDefault="00B419CE" w:rsidP="00B419CE">
      <w:r w:rsidRPr="00B419CE">
        <w:t xml:space="preserve">Stortinget </w:t>
      </w:r>
      <w:proofErr w:type="spellStart"/>
      <w:r w:rsidRPr="00B419CE">
        <w:t>eig</w:t>
      </w:r>
      <w:proofErr w:type="spellEnd"/>
      <w:r w:rsidRPr="00B419CE">
        <w:t xml:space="preserve"> 143 </w:t>
      </w:r>
      <w:proofErr w:type="spellStart"/>
      <w:r w:rsidRPr="00B419CE">
        <w:t>pendlarleilegheiter</w:t>
      </w:r>
      <w:proofErr w:type="spellEnd"/>
      <w:r w:rsidRPr="00B419CE">
        <w:t xml:space="preserve"> for </w:t>
      </w:r>
      <w:proofErr w:type="spellStart"/>
      <w:r w:rsidRPr="00B419CE">
        <w:t>stortingsrepresentantar</w:t>
      </w:r>
      <w:proofErr w:type="spellEnd"/>
      <w:r w:rsidRPr="00B419CE">
        <w:t xml:space="preserve">. Det har i løpet av </w:t>
      </w:r>
      <w:proofErr w:type="spellStart"/>
      <w:r w:rsidRPr="00B419CE">
        <w:t>dei</w:t>
      </w:r>
      <w:proofErr w:type="spellEnd"/>
      <w:r w:rsidRPr="00B419CE">
        <w:t xml:space="preserve"> siste åra </w:t>
      </w:r>
      <w:proofErr w:type="spellStart"/>
      <w:r w:rsidRPr="00B419CE">
        <w:t>vore</w:t>
      </w:r>
      <w:proofErr w:type="spellEnd"/>
      <w:r w:rsidRPr="00B419CE">
        <w:t xml:space="preserve"> gjennomført </w:t>
      </w:r>
      <w:proofErr w:type="spellStart"/>
      <w:r w:rsidRPr="00B419CE">
        <w:t>eit</w:t>
      </w:r>
      <w:proofErr w:type="spellEnd"/>
      <w:r w:rsidRPr="00B419CE">
        <w:t xml:space="preserve"> </w:t>
      </w:r>
      <w:proofErr w:type="spellStart"/>
      <w:r w:rsidRPr="00B419CE">
        <w:t>vedlikehaldsprogram</w:t>
      </w:r>
      <w:proofErr w:type="spellEnd"/>
      <w:r w:rsidRPr="00B419CE">
        <w:t xml:space="preserve"> for </w:t>
      </w:r>
      <w:proofErr w:type="spellStart"/>
      <w:r w:rsidRPr="00B419CE">
        <w:t>desse</w:t>
      </w:r>
      <w:proofErr w:type="spellEnd"/>
      <w:r w:rsidRPr="00B419CE">
        <w:t xml:space="preserve"> </w:t>
      </w:r>
      <w:proofErr w:type="spellStart"/>
      <w:r w:rsidRPr="00B419CE">
        <w:t>leilegheitene</w:t>
      </w:r>
      <w:proofErr w:type="spellEnd"/>
      <w:r w:rsidRPr="00B419CE">
        <w:t xml:space="preserve">. I 2020 blei fire </w:t>
      </w:r>
      <w:proofErr w:type="spellStart"/>
      <w:r w:rsidRPr="00B419CE">
        <w:t>leilegheiter</w:t>
      </w:r>
      <w:proofErr w:type="spellEnd"/>
      <w:r w:rsidRPr="00B419CE">
        <w:t xml:space="preserve"> ferdig oppgraderte, og </w:t>
      </w:r>
      <w:proofErr w:type="spellStart"/>
      <w:r w:rsidRPr="00B419CE">
        <w:t>éi</w:t>
      </w:r>
      <w:proofErr w:type="spellEnd"/>
      <w:r w:rsidRPr="00B419CE">
        <w:t xml:space="preserve"> skal </w:t>
      </w:r>
      <w:proofErr w:type="spellStart"/>
      <w:r w:rsidRPr="00B419CE">
        <w:t>oppgraderast</w:t>
      </w:r>
      <w:proofErr w:type="spellEnd"/>
      <w:r w:rsidRPr="00B419CE">
        <w:t xml:space="preserve"> i 2021. Alle </w:t>
      </w:r>
      <w:proofErr w:type="spellStart"/>
      <w:r w:rsidRPr="00B419CE">
        <w:t>leilegheitene</w:t>
      </w:r>
      <w:proofErr w:type="spellEnd"/>
      <w:r w:rsidRPr="00B419CE">
        <w:t xml:space="preserve"> har </w:t>
      </w:r>
      <w:proofErr w:type="spellStart"/>
      <w:r w:rsidRPr="00B419CE">
        <w:t>no</w:t>
      </w:r>
      <w:proofErr w:type="spellEnd"/>
      <w:r w:rsidRPr="00B419CE">
        <w:t xml:space="preserve"> </w:t>
      </w:r>
      <w:proofErr w:type="spellStart"/>
      <w:r w:rsidRPr="00B419CE">
        <w:t>ein</w:t>
      </w:r>
      <w:proofErr w:type="spellEnd"/>
      <w:r w:rsidRPr="00B419CE">
        <w:t xml:space="preserve"> </w:t>
      </w:r>
      <w:proofErr w:type="spellStart"/>
      <w:r w:rsidRPr="00B419CE">
        <w:t>einskapleg</w:t>
      </w:r>
      <w:proofErr w:type="spellEnd"/>
      <w:r w:rsidRPr="00B419CE">
        <w:t xml:space="preserve">, nøktern standard og er funksjonelt tilpassa behova til </w:t>
      </w:r>
      <w:proofErr w:type="spellStart"/>
      <w:r w:rsidRPr="00B419CE">
        <w:t>representantane</w:t>
      </w:r>
      <w:proofErr w:type="spellEnd"/>
      <w:r w:rsidRPr="00B419CE">
        <w:t>.</w:t>
      </w:r>
    </w:p>
    <w:p w14:paraId="4F337F33" w14:textId="77777777" w:rsidR="00B419CE" w:rsidRPr="00B419CE" w:rsidRDefault="00B419CE" w:rsidP="00B419CE">
      <w:pPr>
        <w:pStyle w:val="Undertittel"/>
      </w:pPr>
      <w:r w:rsidRPr="00B419CE">
        <w:t xml:space="preserve">Viktige </w:t>
      </w:r>
      <w:proofErr w:type="spellStart"/>
      <w:r w:rsidRPr="00B419CE">
        <w:t>utfordringar</w:t>
      </w:r>
      <w:proofErr w:type="spellEnd"/>
    </w:p>
    <w:p w14:paraId="05A3A737" w14:textId="77777777" w:rsidR="00B419CE" w:rsidRPr="00B419CE" w:rsidRDefault="00B419CE" w:rsidP="00B419CE">
      <w:r w:rsidRPr="00B419CE">
        <w:t xml:space="preserve">Stortingets administrasjon søker å svare på samfunnsoppdraget gjennom å prioritere gode og effektive </w:t>
      </w:r>
      <w:proofErr w:type="spellStart"/>
      <w:r w:rsidRPr="00B419CE">
        <w:t>leveransar</w:t>
      </w:r>
      <w:proofErr w:type="spellEnd"/>
      <w:r w:rsidRPr="00B419CE">
        <w:t xml:space="preserve">. Det er samtidig viktig å ha </w:t>
      </w:r>
      <w:proofErr w:type="spellStart"/>
      <w:r w:rsidRPr="00B419CE">
        <w:t>ressursar</w:t>
      </w:r>
      <w:proofErr w:type="spellEnd"/>
      <w:r w:rsidRPr="00B419CE">
        <w:t xml:space="preserve"> til å utvikle drifta. Administrasjonen har </w:t>
      </w:r>
      <w:proofErr w:type="spellStart"/>
      <w:r w:rsidRPr="00B419CE">
        <w:t>ein</w:t>
      </w:r>
      <w:proofErr w:type="spellEnd"/>
      <w:r w:rsidRPr="00B419CE">
        <w:t xml:space="preserve"> strategi som gir retning for det </w:t>
      </w:r>
      <w:proofErr w:type="spellStart"/>
      <w:r w:rsidRPr="00B419CE">
        <w:t>vidare</w:t>
      </w:r>
      <w:proofErr w:type="spellEnd"/>
      <w:r w:rsidRPr="00B419CE">
        <w:t xml:space="preserve"> utviklingsarbeidet og legg </w:t>
      </w:r>
      <w:proofErr w:type="spellStart"/>
      <w:r w:rsidRPr="00B419CE">
        <w:t>føringar</w:t>
      </w:r>
      <w:proofErr w:type="spellEnd"/>
      <w:r w:rsidRPr="00B419CE">
        <w:t xml:space="preserve"> for planlegginga av </w:t>
      </w:r>
      <w:proofErr w:type="spellStart"/>
      <w:r w:rsidRPr="00B419CE">
        <w:t>verksemda</w:t>
      </w:r>
      <w:proofErr w:type="spellEnd"/>
      <w:r w:rsidRPr="00B419CE">
        <w:t xml:space="preserve"> for åra framover. </w:t>
      </w:r>
      <w:proofErr w:type="gramStart"/>
      <w:r w:rsidRPr="00B419CE">
        <w:t>Tre satsingsområde</w:t>
      </w:r>
      <w:proofErr w:type="gramEnd"/>
      <w:r w:rsidRPr="00B419CE">
        <w:t xml:space="preserve"> er prioriterte i strategien:</w:t>
      </w:r>
    </w:p>
    <w:p w14:paraId="72529ABB" w14:textId="77777777" w:rsidR="00B419CE" w:rsidRPr="00B419CE" w:rsidRDefault="00B419CE" w:rsidP="00B419CE">
      <w:pPr>
        <w:pStyle w:val="Liste"/>
      </w:pPr>
      <w:r w:rsidRPr="00B419CE">
        <w:t xml:space="preserve">Moderne arbeidsplass: Vi er </w:t>
      </w:r>
      <w:proofErr w:type="spellStart"/>
      <w:r w:rsidRPr="00B419CE">
        <w:t>éin</w:t>
      </w:r>
      <w:proofErr w:type="spellEnd"/>
      <w:r w:rsidRPr="00B419CE">
        <w:t xml:space="preserve"> administrasjon som står </w:t>
      </w:r>
      <w:proofErr w:type="spellStart"/>
      <w:r w:rsidRPr="00B419CE">
        <w:t>saman</w:t>
      </w:r>
      <w:proofErr w:type="spellEnd"/>
      <w:r w:rsidRPr="00B419CE">
        <w:t xml:space="preserve"> om </w:t>
      </w:r>
      <w:proofErr w:type="spellStart"/>
      <w:r w:rsidRPr="00B419CE">
        <w:t>leveransane</w:t>
      </w:r>
      <w:proofErr w:type="spellEnd"/>
      <w:r w:rsidRPr="00B419CE">
        <w:t xml:space="preserve">, feila og </w:t>
      </w:r>
      <w:proofErr w:type="spellStart"/>
      <w:r w:rsidRPr="00B419CE">
        <w:t>suksessane</w:t>
      </w:r>
      <w:proofErr w:type="spellEnd"/>
      <w:r w:rsidRPr="00B419CE">
        <w:t xml:space="preserve"> våre.</w:t>
      </w:r>
    </w:p>
    <w:p w14:paraId="6606E926" w14:textId="77777777" w:rsidR="00B419CE" w:rsidRPr="00B419CE" w:rsidRDefault="00B419CE" w:rsidP="00B419CE">
      <w:pPr>
        <w:pStyle w:val="Liste"/>
      </w:pPr>
      <w:proofErr w:type="spellStart"/>
      <w:r w:rsidRPr="00B419CE">
        <w:t>Brukarorientert</w:t>
      </w:r>
      <w:proofErr w:type="spellEnd"/>
      <w:r w:rsidRPr="00B419CE">
        <w:t xml:space="preserve"> </w:t>
      </w:r>
      <w:proofErr w:type="spellStart"/>
      <w:r w:rsidRPr="00B419CE">
        <w:t>oppgåveløysing</w:t>
      </w:r>
      <w:proofErr w:type="spellEnd"/>
      <w:r w:rsidRPr="00B419CE">
        <w:t xml:space="preserve">: Saman jobbar vi effektivt og profesjonelt for å skape gode </w:t>
      </w:r>
      <w:proofErr w:type="spellStart"/>
      <w:r w:rsidRPr="00B419CE">
        <w:t>brukaropplevingar</w:t>
      </w:r>
      <w:proofErr w:type="spellEnd"/>
      <w:r w:rsidRPr="00B419CE">
        <w:t>.</w:t>
      </w:r>
    </w:p>
    <w:p w14:paraId="322B4254" w14:textId="77777777" w:rsidR="00B419CE" w:rsidRPr="00B419CE" w:rsidRDefault="00B419CE" w:rsidP="00B419CE">
      <w:pPr>
        <w:pStyle w:val="Liste"/>
      </w:pPr>
      <w:proofErr w:type="spellStart"/>
      <w:r w:rsidRPr="00B419CE">
        <w:t>Ansvarleg</w:t>
      </w:r>
      <w:proofErr w:type="spellEnd"/>
      <w:r w:rsidRPr="00B419CE">
        <w:t xml:space="preserve"> </w:t>
      </w:r>
      <w:proofErr w:type="spellStart"/>
      <w:r w:rsidRPr="00B419CE">
        <w:t>institusjonsforvaltar</w:t>
      </w:r>
      <w:proofErr w:type="spellEnd"/>
      <w:r w:rsidRPr="00B419CE">
        <w:t>: Vi bidrar til å fornye og bevare folkestyret og tilliten til Stortinget.</w:t>
      </w:r>
    </w:p>
    <w:p w14:paraId="409C5D18" w14:textId="77777777" w:rsidR="00B419CE" w:rsidRPr="00B419CE" w:rsidRDefault="00B419CE" w:rsidP="00B419CE">
      <w:r w:rsidRPr="00B419CE">
        <w:t xml:space="preserve">Arbeidet med modernisering og effektivisering skal </w:t>
      </w:r>
      <w:proofErr w:type="spellStart"/>
      <w:r w:rsidRPr="00B419CE">
        <w:t>prioriterast</w:t>
      </w:r>
      <w:proofErr w:type="spellEnd"/>
      <w:r w:rsidRPr="00B419CE">
        <w:t xml:space="preserve"> også i 2022, mellom anna skal gjennomføringa av strategiske utviklingstiltak gi ei betre samla brukaroppleving med mindre ressursbruk. Koronakrisa i 2020 har ført til </w:t>
      </w:r>
      <w:proofErr w:type="spellStart"/>
      <w:r w:rsidRPr="00B419CE">
        <w:t>eit</w:t>
      </w:r>
      <w:proofErr w:type="spellEnd"/>
      <w:r w:rsidRPr="00B419CE">
        <w:t xml:space="preserve"> læringsløft i bruken av digitale verktøy. Det blir viktig å vurdere korleis denne læringa kan </w:t>
      </w:r>
      <w:proofErr w:type="spellStart"/>
      <w:r w:rsidRPr="00B419CE">
        <w:t>takast</w:t>
      </w:r>
      <w:proofErr w:type="spellEnd"/>
      <w:r w:rsidRPr="00B419CE">
        <w:t xml:space="preserve"> med </w:t>
      </w:r>
      <w:proofErr w:type="spellStart"/>
      <w:r w:rsidRPr="00B419CE">
        <w:t>vidare</w:t>
      </w:r>
      <w:proofErr w:type="spellEnd"/>
      <w:r w:rsidRPr="00B419CE">
        <w:t xml:space="preserve"> i drifta og i </w:t>
      </w:r>
      <w:proofErr w:type="spellStart"/>
      <w:r w:rsidRPr="00B419CE">
        <w:t>utviklingsprosessar</w:t>
      </w:r>
      <w:proofErr w:type="spellEnd"/>
      <w:r w:rsidRPr="00B419CE">
        <w:t xml:space="preserve">. Administrasjonen vil i 2022 </w:t>
      </w:r>
      <w:proofErr w:type="spellStart"/>
      <w:r w:rsidRPr="00B419CE">
        <w:t>særleg</w:t>
      </w:r>
      <w:proofErr w:type="spellEnd"/>
      <w:r w:rsidRPr="00B419CE">
        <w:t xml:space="preserve"> </w:t>
      </w:r>
      <w:proofErr w:type="gramStart"/>
      <w:r w:rsidRPr="00B419CE">
        <w:t>fokusere</w:t>
      </w:r>
      <w:proofErr w:type="gramEnd"/>
      <w:r w:rsidRPr="00B419CE">
        <w:t xml:space="preserve"> på kompetansetiltak som </w:t>
      </w:r>
      <w:proofErr w:type="spellStart"/>
      <w:r w:rsidRPr="00B419CE">
        <w:t>legg</w:t>
      </w:r>
      <w:proofErr w:type="spellEnd"/>
      <w:r w:rsidRPr="00B419CE">
        <w:t xml:space="preserve"> til rette for nye </w:t>
      </w:r>
      <w:proofErr w:type="spellStart"/>
      <w:r w:rsidRPr="00B419CE">
        <w:t>arbeidsprosessar</w:t>
      </w:r>
      <w:proofErr w:type="spellEnd"/>
      <w:r w:rsidRPr="00B419CE">
        <w:t xml:space="preserve"> som følge av moderniseringsprosjekta som er sette i verk.</w:t>
      </w:r>
    </w:p>
    <w:p w14:paraId="49AC2D9F" w14:textId="77777777" w:rsidR="00B419CE" w:rsidRPr="00B419CE" w:rsidRDefault="00B419CE" w:rsidP="00B419CE">
      <w:r w:rsidRPr="00B419CE">
        <w:t xml:space="preserve">Visjonen vår er </w:t>
      </w:r>
      <w:proofErr w:type="spellStart"/>
      <w:r w:rsidRPr="00B419CE">
        <w:t>eit</w:t>
      </w:r>
      <w:proofErr w:type="spellEnd"/>
      <w:r w:rsidRPr="00B419CE">
        <w:t xml:space="preserve"> </w:t>
      </w:r>
      <w:proofErr w:type="spellStart"/>
      <w:r w:rsidRPr="00B419CE">
        <w:t>levande</w:t>
      </w:r>
      <w:proofErr w:type="spellEnd"/>
      <w:r w:rsidRPr="00B419CE">
        <w:t xml:space="preserve"> folkestyre. Kunnskap om Stortingets arbeid og rolle i demokratiet er </w:t>
      </w:r>
      <w:proofErr w:type="spellStart"/>
      <w:r w:rsidRPr="00B419CE">
        <w:t>eit</w:t>
      </w:r>
      <w:proofErr w:type="spellEnd"/>
      <w:r w:rsidRPr="00B419CE">
        <w:t xml:space="preserve"> viktig grunnlag for politisk engasjement og demokratisk deltaking. </w:t>
      </w:r>
      <w:proofErr w:type="spellStart"/>
      <w:r w:rsidRPr="00B419CE">
        <w:lastRenderedPageBreak/>
        <w:t>Formidlingsaktivitetane</w:t>
      </w:r>
      <w:proofErr w:type="spellEnd"/>
      <w:r w:rsidRPr="00B419CE">
        <w:t xml:space="preserve"> må </w:t>
      </w:r>
      <w:proofErr w:type="spellStart"/>
      <w:r w:rsidRPr="00B419CE">
        <w:t>utviklast</w:t>
      </w:r>
      <w:proofErr w:type="spellEnd"/>
      <w:r w:rsidRPr="00B419CE">
        <w:t xml:space="preserve"> </w:t>
      </w:r>
      <w:proofErr w:type="spellStart"/>
      <w:r w:rsidRPr="00B419CE">
        <w:t>vidare</w:t>
      </w:r>
      <w:proofErr w:type="spellEnd"/>
      <w:r w:rsidRPr="00B419CE">
        <w:t xml:space="preserve"> for å nå målgruppene i takt med teknologiske og samfunnsmessige </w:t>
      </w:r>
      <w:proofErr w:type="spellStart"/>
      <w:r w:rsidRPr="00B419CE">
        <w:t>endringar</w:t>
      </w:r>
      <w:proofErr w:type="spellEnd"/>
      <w:r w:rsidRPr="00B419CE">
        <w:t xml:space="preserve">. I sum skal formidlings- og kommunikasjonsarbeidet vårt bidra til at demokratiet lever og </w:t>
      </w:r>
      <w:proofErr w:type="spellStart"/>
      <w:r w:rsidRPr="00B419CE">
        <w:t>utviklar</w:t>
      </w:r>
      <w:proofErr w:type="spellEnd"/>
      <w:r w:rsidRPr="00B419CE">
        <w:t xml:space="preserve"> seg, og slik bidra til å oppfylle visjonen.</w:t>
      </w:r>
    </w:p>
    <w:p w14:paraId="6D5F06AC" w14:textId="77777777" w:rsidR="00B419CE" w:rsidRPr="00B419CE" w:rsidRDefault="00B419CE" w:rsidP="00B419CE">
      <w:r w:rsidRPr="00B419CE">
        <w:t xml:space="preserve">Verneplanen for stortingsbygningen skal </w:t>
      </w:r>
      <w:proofErr w:type="spellStart"/>
      <w:r w:rsidRPr="00B419CE">
        <w:t>følgast</w:t>
      </w:r>
      <w:proofErr w:type="spellEnd"/>
      <w:r w:rsidRPr="00B419CE">
        <w:t xml:space="preserve"> opp for å sikre at administrasjonen oppfyller samfunnsoppdraget som består i å ta vare på Stortingets </w:t>
      </w:r>
      <w:proofErr w:type="spellStart"/>
      <w:r w:rsidRPr="00B419CE">
        <w:t>bygningar</w:t>
      </w:r>
      <w:proofErr w:type="spellEnd"/>
      <w:r w:rsidRPr="00B419CE">
        <w:t xml:space="preserve"> og historiske </w:t>
      </w:r>
      <w:proofErr w:type="spellStart"/>
      <w:r w:rsidRPr="00B419CE">
        <w:t>verdiar</w:t>
      </w:r>
      <w:proofErr w:type="spellEnd"/>
      <w:r w:rsidRPr="00B419CE">
        <w:t>.</w:t>
      </w:r>
    </w:p>
    <w:p w14:paraId="718FF37C" w14:textId="77777777" w:rsidR="00B419CE" w:rsidRPr="00B419CE" w:rsidRDefault="00B419CE" w:rsidP="00B419CE">
      <w:proofErr w:type="spellStart"/>
      <w:r w:rsidRPr="00B419CE">
        <w:t>Eit</w:t>
      </w:r>
      <w:proofErr w:type="spellEnd"/>
      <w:r w:rsidRPr="00B419CE">
        <w:t xml:space="preserve"> </w:t>
      </w:r>
      <w:proofErr w:type="spellStart"/>
      <w:r w:rsidRPr="00B419CE">
        <w:t>omskifteleg</w:t>
      </w:r>
      <w:proofErr w:type="spellEnd"/>
      <w:r w:rsidRPr="00B419CE">
        <w:t xml:space="preserve"> og langt </w:t>
      </w:r>
      <w:proofErr w:type="spellStart"/>
      <w:r w:rsidRPr="00B419CE">
        <w:t>meir</w:t>
      </w:r>
      <w:proofErr w:type="spellEnd"/>
      <w:r w:rsidRPr="00B419CE">
        <w:t xml:space="preserve"> samansett </w:t>
      </w:r>
      <w:proofErr w:type="spellStart"/>
      <w:r w:rsidRPr="00B419CE">
        <w:t>trusselbilete</w:t>
      </w:r>
      <w:proofErr w:type="spellEnd"/>
      <w:r w:rsidRPr="00B419CE">
        <w:t xml:space="preserve">, der </w:t>
      </w:r>
      <w:proofErr w:type="spellStart"/>
      <w:r w:rsidRPr="00B419CE">
        <w:t>truslar</w:t>
      </w:r>
      <w:proofErr w:type="spellEnd"/>
      <w:r w:rsidRPr="00B419CE">
        <w:t xml:space="preserve"> kan komme både </w:t>
      </w:r>
      <w:proofErr w:type="spellStart"/>
      <w:r w:rsidRPr="00B419CE">
        <w:t>innanfrå</w:t>
      </w:r>
      <w:proofErr w:type="spellEnd"/>
      <w:r w:rsidRPr="00B419CE">
        <w:t xml:space="preserve"> og </w:t>
      </w:r>
      <w:proofErr w:type="spellStart"/>
      <w:r w:rsidRPr="00B419CE">
        <w:t>utanfrå</w:t>
      </w:r>
      <w:proofErr w:type="spellEnd"/>
      <w:r w:rsidRPr="00B419CE">
        <w:t xml:space="preserve">, krev at </w:t>
      </w:r>
      <w:proofErr w:type="spellStart"/>
      <w:r w:rsidRPr="00B419CE">
        <w:t>ein</w:t>
      </w:r>
      <w:proofErr w:type="spellEnd"/>
      <w:r w:rsidRPr="00B419CE">
        <w:t xml:space="preserve"> er </w:t>
      </w:r>
      <w:proofErr w:type="spellStart"/>
      <w:r w:rsidRPr="00B419CE">
        <w:t>årvaken</w:t>
      </w:r>
      <w:proofErr w:type="spellEnd"/>
      <w:r w:rsidRPr="00B419CE">
        <w:t xml:space="preserve"> på vegner av demokratiet. Arbeidet som er knytt til </w:t>
      </w:r>
      <w:proofErr w:type="spellStart"/>
      <w:r w:rsidRPr="00B419CE">
        <w:t>sikkerheit</w:t>
      </w:r>
      <w:proofErr w:type="spellEnd"/>
      <w:r w:rsidRPr="00B419CE">
        <w:t xml:space="preserve"> og beredskap ved Stortinget, er i utvikling og vil </w:t>
      </w:r>
      <w:proofErr w:type="spellStart"/>
      <w:r w:rsidRPr="00B419CE">
        <w:t>vere</w:t>
      </w:r>
      <w:proofErr w:type="spellEnd"/>
      <w:r w:rsidRPr="00B419CE">
        <w:t xml:space="preserve"> </w:t>
      </w:r>
      <w:proofErr w:type="spellStart"/>
      <w:r w:rsidRPr="00B419CE">
        <w:t>eit</w:t>
      </w:r>
      <w:proofErr w:type="spellEnd"/>
      <w:r w:rsidRPr="00B419CE">
        <w:t xml:space="preserve"> prioritert område også i framtida.</w:t>
      </w:r>
    </w:p>
    <w:p w14:paraId="3A7CD7C1"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i 2022</w:t>
      </w:r>
    </w:p>
    <w:p w14:paraId="626DDCC1" w14:textId="77777777" w:rsidR="00B419CE" w:rsidRPr="00B419CE" w:rsidRDefault="00B419CE" w:rsidP="00B419CE">
      <w:r w:rsidRPr="00B419CE">
        <w:t xml:space="preserve">Stortingets administrasjon jobbar etter </w:t>
      </w:r>
      <w:proofErr w:type="spellStart"/>
      <w:r w:rsidRPr="00B419CE">
        <w:t>desse</w:t>
      </w:r>
      <w:proofErr w:type="spellEnd"/>
      <w:r w:rsidRPr="00B419CE">
        <w:t xml:space="preserve"> overordna </w:t>
      </w:r>
      <w:proofErr w:type="spellStart"/>
      <w:r w:rsidRPr="00B419CE">
        <w:t>prioriteringane</w:t>
      </w:r>
      <w:proofErr w:type="spellEnd"/>
      <w:r w:rsidRPr="00B419CE">
        <w:t xml:space="preserve"> for 2022:</w:t>
      </w:r>
    </w:p>
    <w:p w14:paraId="2BBAC98E" w14:textId="77777777" w:rsidR="00B419CE" w:rsidRPr="00B419CE" w:rsidRDefault="00B419CE" w:rsidP="00B419CE">
      <w:pPr>
        <w:pStyle w:val="Liste"/>
      </w:pPr>
      <w:r w:rsidRPr="00B419CE">
        <w:t xml:space="preserve">levere på samfunnsoppdraget (formålet) med </w:t>
      </w:r>
      <w:proofErr w:type="spellStart"/>
      <w:r w:rsidRPr="00B419CE">
        <w:t>høg</w:t>
      </w:r>
      <w:proofErr w:type="spellEnd"/>
      <w:r w:rsidRPr="00B419CE">
        <w:t xml:space="preserve"> kvalitet og effektivitet</w:t>
      </w:r>
    </w:p>
    <w:p w14:paraId="37D32693" w14:textId="77777777" w:rsidR="00B419CE" w:rsidRPr="00B419CE" w:rsidRDefault="00B419CE" w:rsidP="00B419CE">
      <w:pPr>
        <w:pStyle w:val="Liste"/>
      </w:pPr>
      <w:proofErr w:type="spellStart"/>
      <w:r w:rsidRPr="00B419CE">
        <w:t>halde</w:t>
      </w:r>
      <w:proofErr w:type="spellEnd"/>
      <w:r w:rsidRPr="00B419CE">
        <w:t xml:space="preserve"> fram med å hente ut </w:t>
      </w:r>
      <w:proofErr w:type="spellStart"/>
      <w:r w:rsidRPr="00B419CE">
        <w:t>effektar</w:t>
      </w:r>
      <w:proofErr w:type="spellEnd"/>
      <w:r w:rsidRPr="00B419CE">
        <w:t xml:space="preserve"> </w:t>
      </w:r>
      <w:proofErr w:type="spellStart"/>
      <w:r w:rsidRPr="00B419CE">
        <w:t>frå</w:t>
      </w:r>
      <w:proofErr w:type="spellEnd"/>
      <w:r w:rsidRPr="00B419CE">
        <w:t xml:space="preserve"> strategiske tiltak som skal gi ei betre samla brukaroppleving med mindre ressursbruk (program for modernisering og effektivisering)</w:t>
      </w:r>
    </w:p>
    <w:p w14:paraId="3A7BB503" w14:textId="77777777" w:rsidR="00B419CE" w:rsidRPr="00B419CE" w:rsidRDefault="00B419CE" w:rsidP="00B419CE">
      <w:pPr>
        <w:pStyle w:val="Liste"/>
      </w:pPr>
      <w:r w:rsidRPr="00B419CE">
        <w:t xml:space="preserve">sikre god planlegging og forankring for store byggeprosjekt, mellom anna </w:t>
      </w:r>
      <w:proofErr w:type="spellStart"/>
      <w:r w:rsidRPr="00B419CE">
        <w:t>brukarinvolvering</w:t>
      </w:r>
      <w:proofErr w:type="spellEnd"/>
    </w:p>
    <w:p w14:paraId="36DC053D" w14:textId="77777777" w:rsidR="00B419CE" w:rsidRPr="00B419CE" w:rsidRDefault="00B419CE" w:rsidP="00B419CE">
      <w:pPr>
        <w:pStyle w:val="Liste"/>
      </w:pPr>
      <w:r w:rsidRPr="00B419CE">
        <w:t xml:space="preserve">utvikle </w:t>
      </w:r>
      <w:proofErr w:type="spellStart"/>
      <w:r w:rsidRPr="00B419CE">
        <w:t>vidare</w:t>
      </w:r>
      <w:proofErr w:type="spellEnd"/>
      <w:r w:rsidRPr="00B419CE">
        <w:t xml:space="preserve"> </w:t>
      </w:r>
      <w:proofErr w:type="spellStart"/>
      <w:r w:rsidRPr="00B419CE">
        <w:t>formidlingsaktivitetane</w:t>
      </w:r>
      <w:proofErr w:type="spellEnd"/>
      <w:r w:rsidRPr="00B419CE">
        <w:t xml:space="preserve"> om folkestyret gjennom fysisk formidling i lokala til Stortinget og gjennom digitale format på ulike plattformer</w:t>
      </w:r>
    </w:p>
    <w:p w14:paraId="31C1C423" w14:textId="77777777" w:rsidR="00B419CE" w:rsidRPr="00B419CE" w:rsidRDefault="00B419CE" w:rsidP="00B419CE">
      <w:pPr>
        <w:pStyle w:val="avsnitt-tittel"/>
      </w:pPr>
      <w:r w:rsidRPr="00B419CE">
        <w:t>Formål 1: Organisere og utvikle det parlamentariske arbeidet</w:t>
      </w:r>
    </w:p>
    <w:p w14:paraId="718E376C" w14:textId="77777777" w:rsidR="00B419CE" w:rsidRPr="00B419CE" w:rsidRDefault="00B419CE" w:rsidP="00B419CE">
      <w:r w:rsidRPr="00B419CE">
        <w:t xml:space="preserve">Stortingets administrasjon varetar alle </w:t>
      </w:r>
      <w:proofErr w:type="spellStart"/>
      <w:r w:rsidRPr="00B419CE">
        <w:t>funksjonar</w:t>
      </w:r>
      <w:proofErr w:type="spellEnd"/>
      <w:r w:rsidRPr="00B419CE">
        <w:t xml:space="preserve"> som knyter seg til </w:t>
      </w:r>
      <w:proofErr w:type="spellStart"/>
      <w:r w:rsidRPr="00B419CE">
        <w:t>verksemda</w:t>
      </w:r>
      <w:proofErr w:type="spellEnd"/>
      <w:r w:rsidRPr="00B419CE">
        <w:t xml:space="preserve"> Stortinget utøver som konstitusjonelt organ, </w:t>
      </w:r>
      <w:proofErr w:type="spellStart"/>
      <w:r w:rsidRPr="00B419CE">
        <w:t>medrekna</w:t>
      </w:r>
      <w:proofErr w:type="spellEnd"/>
      <w:r w:rsidRPr="00B419CE">
        <w:t xml:space="preserve"> Stortingets saksbehandling og arbeidsordning, forretningsorden og </w:t>
      </w:r>
      <w:proofErr w:type="spellStart"/>
      <w:r w:rsidRPr="00B419CE">
        <w:t>løyvingsreglement</w:t>
      </w:r>
      <w:proofErr w:type="spellEnd"/>
      <w:r w:rsidRPr="00B419CE">
        <w:t xml:space="preserve">, komitéreiser og formelle spørsmål i </w:t>
      </w:r>
      <w:proofErr w:type="spellStart"/>
      <w:r w:rsidRPr="00B419CE">
        <w:t>tilknyting</w:t>
      </w:r>
      <w:proofErr w:type="spellEnd"/>
      <w:r w:rsidRPr="00B419CE">
        <w:t xml:space="preserve"> til </w:t>
      </w:r>
      <w:proofErr w:type="spellStart"/>
      <w:r w:rsidRPr="00B419CE">
        <w:t>verksemda</w:t>
      </w:r>
      <w:proofErr w:type="spellEnd"/>
      <w:r w:rsidRPr="00B419CE">
        <w:t xml:space="preserve"> i </w:t>
      </w:r>
      <w:proofErr w:type="spellStart"/>
      <w:r w:rsidRPr="00B419CE">
        <w:t>komiteane</w:t>
      </w:r>
      <w:proofErr w:type="spellEnd"/>
      <w:r w:rsidRPr="00B419CE">
        <w:t xml:space="preserve"> og til det internasjonale arbeidet. </w:t>
      </w:r>
      <w:proofErr w:type="spellStart"/>
      <w:r w:rsidRPr="00B419CE">
        <w:t>Dessutan</w:t>
      </w:r>
      <w:proofErr w:type="spellEnd"/>
      <w:r w:rsidRPr="00B419CE">
        <w:t xml:space="preserve"> </w:t>
      </w:r>
      <w:proofErr w:type="spellStart"/>
      <w:r w:rsidRPr="00B419CE">
        <w:t>hentar</w:t>
      </w:r>
      <w:proofErr w:type="spellEnd"/>
      <w:r w:rsidRPr="00B419CE">
        <w:t xml:space="preserve"> administrasjonen inn og </w:t>
      </w:r>
      <w:proofErr w:type="spellStart"/>
      <w:r w:rsidRPr="00B419CE">
        <w:t>legg</w:t>
      </w:r>
      <w:proofErr w:type="spellEnd"/>
      <w:r w:rsidRPr="00B419CE">
        <w:t xml:space="preserve"> til rette for faktagrunnlag til arbeidet i Stortinget og dokumenterer </w:t>
      </w:r>
      <w:proofErr w:type="spellStart"/>
      <w:r w:rsidRPr="00B419CE">
        <w:t>verksemda</w:t>
      </w:r>
      <w:proofErr w:type="spellEnd"/>
      <w:r w:rsidRPr="00B419CE">
        <w:t xml:space="preserve"> til Stortinget.</w:t>
      </w:r>
    </w:p>
    <w:p w14:paraId="77F119B9" w14:textId="77777777" w:rsidR="00B419CE" w:rsidRPr="00B419CE" w:rsidRDefault="00B419CE" w:rsidP="00B419CE">
      <w:r w:rsidRPr="00B419CE">
        <w:t xml:space="preserve">I 2022 vil planen for </w:t>
      </w:r>
      <w:proofErr w:type="spellStart"/>
      <w:r w:rsidRPr="00B419CE">
        <w:t>auka</w:t>
      </w:r>
      <w:proofErr w:type="spellEnd"/>
      <w:r w:rsidRPr="00B419CE">
        <w:t xml:space="preserve"> samhandling og kompetanse for </w:t>
      </w:r>
      <w:proofErr w:type="gramStart"/>
      <w:r w:rsidRPr="00B419CE">
        <w:t>tilsette</w:t>
      </w:r>
      <w:proofErr w:type="gramEnd"/>
      <w:r w:rsidRPr="00B419CE">
        <w:t xml:space="preserve"> som arbeider med den parlamentariske saksbehandlinga, </w:t>
      </w:r>
      <w:proofErr w:type="spellStart"/>
      <w:r w:rsidRPr="00B419CE">
        <w:t>vere</w:t>
      </w:r>
      <w:proofErr w:type="spellEnd"/>
      <w:r w:rsidRPr="00B419CE">
        <w:t xml:space="preserve"> godt etablert som </w:t>
      </w:r>
      <w:proofErr w:type="spellStart"/>
      <w:r w:rsidRPr="00B419CE">
        <w:t>ein</w:t>
      </w:r>
      <w:proofErr w:type="spellEnd"/>
      <w:r w:rsidRPr="00B419CE">
        <w:t xml:space="preserve"> del av den ordinære drifta. Administrasjonen vil </w:t>
      </w:r>
      <w:proofErr w:type="spellStart"/>
      <w:r w:rsidRPr="00B419CE">
        <w:t>halde</w:t>
      </w:r>
      <w:proofErr w:type="spellEnd"/>
      <w:r w:rsidRPr="00B419CE">
        <w:t xml:space="preserve"> fram med å hente ut </w:t>
      </w:r>
      <w:proofErr w:type="spellStart"/>
      <w:r w:rsidRPr="00B419CE">
        <w:t>effektar</w:t>
      </w:r>
      <w:proofErr w:type="spellEnd"/>
      <w:r w:rsidRPr="00B419CE">
        <w:t xml:space="preserve"> i form av større digital kompetanse, større forståing for </w:t>
      </w:r>
      <w:proofErr w:type="spellStart"/>
      <w:r w:rsidRPr="00B419CE">
        <w:t>aktivitetane</w:t>
      </w:r>
      <w:proofErr w:type="spellEnd"/>
      <w:r w:rsidRPr="00B419CE">
        <w:t xml:space="preserve"> i dokumentproduksjonen, </w:t>
      </w:r>
      <w:proofErr w:type="spellStart"/>
      <w:r w:rsidRPr="00B419CE">
        <w:t>meir</w:t>
      </w:r>
      <w:proofErr w:type="spellEnd"/>
      <w:r w:rsidRPr="00B419CE">
        <w:t xml:space="preserve"> effektiv arbeidsflyt og </w:t>
      </w:r>
      <w:proofErr w:type="spellStart"/>
      <w:r w:rsidRPr="00B419CE">
        <w:t>meir</w:t>
      </w:r>
      <w:proofErr w:type="spellEnd"/>
      <w:r w:rsidRPr="00B419CE">
        <w:t xml:space="preserve"> effektiv bruk av </w:t>
      </w:r>
      <w:proofErr w:type="spellStart"/>
      <w:r w:rsidRPr="00B419CE">
        <w:t>ressursar</w:t>
      </w:r>
      <w:proofErr w:type="spellEnd"/>
      <w:r w:rsidRPr="00B419CE">
        <w:t>.</w:t>
      </w:r>
    </w:p>
    <w:p w14:paraId="7774D932" w14:textId="77777777" w:rsidR="00B419CE" w:rsidRPr="00B419CE" w:rsidRDefault="00B419CE" w:rsidP="00B419CE">
      <w:r w:rsidRPr="00B419CE">
        <w:t xml:space="preserve">Arbeidet med digitalisering av den parlamentariske saksbehandlinga har </w:t>
      </w:r>
      <w:proofErr w:type="spellStart"/>
      <w:r w:rsidRPr="00B419CE">
        <w:t>høg</w:t>
      </w:r>
      <w:proofErr w:type="spellEnd"/>
      <w:r w:rsidRPr="00B419CE">
        <w:t xml:space="preserve"> prioritet i 2022 som ledd i satsinga på modernisering og effektivisering. Gjennomføringsprosjektet er venta å </w:t>
      </w:r>
      <w:proofErr w:type="spellStart"/>
      <w:r w:rsidRPr="00B419CE">
        <w:t>vere</w:t>
      </w:r>
      <w:proofErr w:type="spellEnd"/>
      <w:r w:rsidRPr="00B419CE">
        <w:t xml:space="preserve"> godt i gang, dvs. den første fasen i </w:t>
      </w:r>
      <w:proofErr w:type="spellStart"/>
      <w:r w:rsidRPr="00B419CE">
        <w:t>eit</w:t>
      </w:r>
      <w:proofErr w:type="spellEnd"/>
      <w:r w:rsidRPr="00B419CE">
        <w:t xml:space="preserve"> prosjekt med ei </w:t>
      </w:r>
      <w:proofErr w:type="spellStart"/>
      <w:r w:rsidRPr="00B419CE">
        <w:t>varigheit</w:t>
      </w:r>
      <w:proofErr w:type="spellEnd"/>
      <w:r w:rsidRPr="00B419CE">
        <w:t xml:space="preserve"> på tre–fire år. </w:t>
      </w:r>
      <w:proofErr w:type="spellStart"/>
      <w:r w:rsidRPr="00B419CE">
        <w:t>Eit</w:t>
      </w:r>
      <w:proofErr w:type="spellEnd"/>
      <w:r w:rsidRPr="00B419CE">
        <w:t xml:space="preserve"> samarbeid om effektiv og sikker informasjonsutveksling mellom regjeringa og Stortinget inngår også i denne satsinga.</w:t>
      </w:r>
    </w:p>
    <w:p w14:paraId="58BD5144" w14:textId="77777777" w:rsidR="00B419CE" w:rsidRPr="00B419CE" w:rsidRDefault="00B419CE" w:rsidP="00B419CE">
      <w:proofErr w:type="spellStart"/>
      <w:r w:rsidRPr="00B419CE">
        <w:t>Effektane</w:t>
      </w:r>
      <w:proofErr w:type="spellEnd"/>
      <w:r w:rsidRPr="00B419CE">
        <w:t xml:space="preserve"> av prosjekta skal </w:t>
      </w:r>
      <w:proofErr w:type="spellStart"/>
      <w:r w:rsidRPr="00B419CE">
        <w:t>vere</w:t>
      </w:r>
      <w:proofErr w:type="spellEnd"/>
      <w:r w:rsidRPr="00B419CE">
        <w:t xml:space="preserve"> at Stortinget blir </w:t>
      </w:r>
      <w:proofErr w:type="spellStart"/>
      <w:r w:rsidRPr="00B419CE">
        <w:t>ein</w:t>
      </w:r>
      <w:proofErr w:type="spellEnd"/>
      <w:r w:rsidRPr="00B419CE">
        <w:t xml:space="preserve"> </w:t>
      </w:r>
      <w:proofErr w:type="spellStart"/>
      <w:r w:rsidRPr="00B419CE">
        <w:t>meir</w:t>
      </w:r>
      <w:proofErr w:type="spellEnd"/>
      <w:r w:rsidRPr="00B419CE">
        <w:t xml:space="preserve"> moderne arbeidsplass, får ei </w:t>
      </w:r>
      <w:proofErr w:type="spellStart"/>
      <w:r w:rsidRPr="00B419CE">
        <w:t>meir</w:t>
      </w:r>
      <w:proofErr w:type="spellEnd"/>
      <w:r w:rsidRPr="00B419CE">
        <w:t xml:space="preserve"> </w:t>
      </w:r>
      <w:proofErr w:type="spellStart"/>
      <w:r w:rsidRPr="00B419CE">
        <w:t>brukarorientert</w:t>
      </w:r>
      <w:proofErr w:type="spellEnd"/>
      <w:r w:rsidRPr="00B419CE">
        <w:t xml:space="preserve"> </w:t>
      </w:r>
      <w:proofErr w:type="spellStart"/>
      <w:r w:rsidRPr="00B419CE">
        <w:t>oppgåveløysing</w:t>
      </w:r>
      <w:proofErr w:type="spellEnd"/>
      <w:r w:rsidRPr="00B419CE">
        <w:t xml:space="preserve"> og oppfyller ansvaret som </w:t>
      </w:r>
      <w:proofErr w:type="spellStart"/>
      <w:r w:rsidRPr="00B419CE">
        <w:t>institusjonsforvaltar</w:t>
      </w:r>
      <w:proofErr w:type="spellEnd"/>
      <w:r w:rsidRPr="00B419CE">
        <w:t xml:space="preserve"> betre. </w:t>
      </w:r>
      <w:r w:rsidRPr="00B419CE">
        <w:lastRenderedPageBreak/>
        <w:t xml:space="preserve">Administrasjonen blir </w:t>
      </w:r>
      <w:proofErr w:type="spellStart"/>
      <w:r w:rsidRPr="00B419CE">
        <w:t>meir</w:t>
      </w:r>
      <w:proofErr w:type="spellEnd"/>
      <w:r w:rsidRPr="00B419CE">
        <w:t xml:space="preserve"> moderne med betre samarbeid og betre utveksling gjennom bruk av </w:t>
      </w:r>
      <w:proofErr w:type="spellStart"/>
      <w:r w:rsidRPr="00B419CE">
        <w:t>strukturar</w:t>
      </w:r>
      <w:proofErr w:type="spellEnd"/>
      <w:r w:rsidRPr="00B419CE">
        <w:t xml:space="preserve"> og </w:t>
      </w:r>
      <w:proofErr w:type="spellStart"/>
      <w:r w:rsidRPr="00B419CE">
        <w:t>standardar</w:t>
      </w:r>
      <w:proofErr w:type="spellEnd"/>
      <w:r w:rsidRPr="00B419CE">
        <w:t xml:space="preserve">. </w:t>
      </w:r>
      <w:proofErr w:type="spellStart"/>
      <w:r w:rsidRPr="00B419CE">
        <w:t>Tekstinnhaldet</w:t>
      </w:r>
      <w:proofErr w:type="spellEnd"/>
      <w:r w:rsidRPr="00B419CE">
        <w:t xml:space="preserve"> skal gå mest </w:t>
      </w:r>
      <w:proofErr w:type="spellStart"/>
      <w:r w:rsidRPr="00B419CE">
        <w:t>mogleg</w:t>
      </w:r>
      <w:proofErr w:type="spellEnd"/>
      <w:r w:rsidRPr="00B419CE">
        <w:t xml:space="preserve"> direkte </w:t>
      </w:r>
      <w:proofErr w:type="spellStart"/>
      <w:r w:rsidRPr="00B419CE">
        <w:t>frå</w:t>
      </w:r>
      <w:proofErr w:type="spellEnd"/>
      <w:r w:rsidRPr="00B419CE">
        <w:t xml:space="preserve"> produksjon til </w:t>
      </w:r>
      <w:proofErr w:type="spellStart"/>
      <w:r w:rsidRPr="00B419CE">
        <w:t>offentleggjering</w:t>
      </w:r>
      <w:proofErr w:type="spellEnd"/>
      <w:r w:rsidRPr="00B419CE">
        <w:t xml:space="preserve">, med </w:t>
      </w:r>
      <w:proofErr w:type="spellStart"/>
      <w:r w:rsidRPr="00B419CE">
        <w:t>raskare</w:t>
      </w:r>
      <w:proofErr w:type="spellEnd"/>
      <w:r w:rsidRPr="00B419CE">
        <w:t xml:space="preserve"> og </w:t>
      </w:r>
      <w:proofErr w:type="spellStart"/>
      <w:r w:rsidRPr="00B419CE">
        <w:t>sikrare</w:t>
      </w:r>
      <w:proofErr w:type="spellEnd"/>
      <w:r w:rsidRPr="00B419CE">
        <w:t xml:space="preserve"> behandling av informasjonselement og metadata og </w:t>
      </w:r>
      <w:proofErr w:type="spellStart"/>
      <w:r w:rsidRPr="00B419CE">
        <w:t>meir</w:t>
      </w:r>
      <w:proofErr w:type="spellEnd"/>
      <w:r w:rsidRPr="00B419CE">
        <w:t xml:space="preserve"> effektiv kvalitetssikring.</w:t>
      </w:r>
    </w:p>
    <w:p w14:paraId="71E39283" w14:textId="77777777" w:rsidR="00B419CE" w:rsidRPr="00B419CE" w:rsidRDefault="00B419CE" w:rsidP="00B419CE">
      <w:r w:rsidRPr="00B419CE">
        <w:t xml:space="preserve">Vi får ei </w:t>
      </w:r>
      <w:proofErr w:type="spellStart"/>
      <w:r w:rsidRPr="00B419CE">
        <w:t>meir</w:t>
      </w:r>
      <w:proofErr w:type="spellEnd"/>
      <w:r w:rsidRPr="00B419CE">
        <w:t xml:space="preserve"> </w:t>
      </w:r>
      <w:proofErr w:type="spellStart"/>
      <w:r w:rsidRPr="00B419CE">
        <w:t>brukarorientert</w:t>
      </w:r>
      <w:proofErr w:type="spellEnd"/>
      <w:r w:rsidRPr="00B419CE">
        <w:t xml:space="preserve"> </w:t>
      </w:r>
      <w:proofErr w:type="spellStart"/>
      <w:r w:rsidRPr="00B419CE">
        <w:t>oppgåveløysing</w:t>
      </w:r>
      <w:proofErr w:type="spellEnd"/>
      <w:r w:rsidRPr="00B419CE">
        <w:t xml:space="preserve"> med ei </w:t>
      </w:r>
      <w:proofErr w:type="spellStart"/>
      <w:r w:rsidRPr="00B419CE">
        <w:t>enklare</w:t>
      </w:r>
      <w:proofErr w:type="spellEnd"/>
      <w:r w:rsidRPr="00B419CE">
        <w:t xml:space="preserve"> og </w:t>
      </w:r>
      <w:proofErr w:type="spellStart"/>
      <w:r w:rsidRPr="00B419CE">
        <w:t>meir</w:t>
      </w:r>
      <w:proofErr w:type="spellEnd"/>
      <w:r w:rsidRPr="00B419CE">
        <w:t xml:space="preserve"> effektiv løysing for arbeidet med merknader i </w:t>
      </w:r>
      <w:proofErr w:type="spellStart"/>
      <w:r w:rsidRPr="00B419CE">
        <w:t>innstillingar</w:t>
      </w:r>
      <w:proofErr w:type="spellEnd"/>
      <w:r w:rsidRPr="00B419CE">
        <w:t>, utarbeiding av spørsmål og utveksling av innlegg og merknader til referat.</w:t>
      </w:r>
    </w:p>
    <w:p w14:paraId="4278B29C" w14:textId="77777777" w:rsidR="00B419CE" w:rsidRPr="00B419CE" w:rsidRDefault="00B419CE" w:rsidP="00B419CE">
      <w:r w:rsidRPr="00B419CE">
        <w:t xml:space="preserve">Som </w:t>
      </w:r>
      <w:proofErr w:type="spellStart"/>
      <w:r w:rsidRPr="00B419CE">
        <w:t>ansvarleg</w:t>
      </w:r>
      <w:proofErr w:type="spellEnd"/>
      <w:r w:rsidRPr="00B419CE">
        <w:t xml:space="preserve"> </w:t>
      </w:r>
      <w:proofErr w:type="spellStart"/>
      <w:r w:rsidRPr="00B419CE">
        <w:t>institusjonsforvaltar</w:t>
      </w:r>
      <w:proofErr w:type="spellEnd"/>
      <w:r w:rsidRPr="00B419CE">
        <w:t xml:space="preserve"> skal vi få betre sporbar informasjon, </w:t>
      </w:r>
      <w:proofErr w:type="spellStart"/>
      <w:r w:rsidRPr="00B419CE">
        <w:t>meir</w:t>
      </w:r>
      <w:proofErr w:type="spellEnd"/>
      <w:r w:rsidRPr="00B419CE">
        <w:t xml:space="preserve"> effektiv </w:t>
      </w:r>
      <w:proofErr w:type="spellStart"/>
      <w:r w:rsidRPr="00B419CE">
        <w:t>attfinning</w:t>
      </w:r>
      <w:proofErr w:type="spellEnd"/>
      <w:r w:rsidRPr="00B419CE">
        <w:t xml:space="preserve"> på alle digitale flater og større fleksibilitet når det </w:t>
      </w:r>
      <w:proofErr w:type="spellStart"/>
      <w:r w:rsidRPr="00B419CE">
        <w:t>gjeld</w:t>
      </w:r>
      <w:proofErr w:type="spellEnd"/>
      <w:r w:rsidRPr="00B419CE">
        <w:t xml:space="preserve"> å sørge for riktig parlamentarisk saksgang. </w:t>
      </w:r>
    </w:p>
    <w:p w14:paraId="2B68F0CD" w14:textId="77777777" w:rsidR="00B419CE" w:rsidRPr="00B419CE" w:rsidRDefault="00B419CE" w:rsidP="00B419CE">
      <w:pPr>
        <w:pStyle w:val="avsnitt-tittel"/>
      </w:pPr>
      <w:r w:rsidRPr="00B419CE">
        <w:t xml:space="preserve">Formål 2: Legge til rette for at </w:t>
      </w:r>
      <w:proofErr w:type="spellStart"/>
      <w:r w:rsidRPr="00B419CE">
        <w:t>representantane</w:t>
      </w:r>
      <w:proofErr w:type="spellEnd"/>
      <w:r w:rsidRPr="00B419CE">
        <w:t xml:space="preserve"> kan vareta verva sine</w:t>
      </w:r>
    </w:p>
    <w:p w14:paraId="73EAB20D" w14:textId="77777777" w:rsidR="00B419CE" w:rsidRPr="00B419CE" w:rsidRDefault="00B419CE" w:rsidP="00B419CE">
      <w:r w:rsidRPr="00B419CE">
        <w:t xml:space="preserve">Administrasjonen skal levere gode </w:t>
      </w:r>
      <w:proofErr w:type="spellStart"/>
      <w:r w:rsidRPr="00B419CE">
        <w:t>tenester</w:t>
      </w:r>
      <w:proofErr w:type="spellEnd"/>
      <w:r w:rsidRPr="00B419CE">
        <w:t xml:space="preserve">, slik at </w:t>
      </w:r>
      <w:proofErr w:type="spellStart"/>
      <w:r w:rsidRPr="00B419CE">
        <w:t>stortingsrepresentantane</w:t>
      </w:r>
      <w:proofErr w:type="spellEnd"/>
      <w:r w:rsidRPr="00B419CE">
        <w:t xml:space="preserve"> har </w:t>
      </w:r>
      <w:proofErr w:type="spellStart"/>
      <w:r w:rsidRPr="00B419CE">
        <w:t>dei</w:t>
      </w:r>
      <w:proofErr w:type="spellEnd"/>
      <w:r w:rsidRPr="00B419CE">
        <w:t xml:space="preserve"> beste </w:t>
      </w:r>
      <w:proofErr w:type="spellStart"/>
      <w:r w:rsidRPr="00B419CE">
        <w:t>føresetnadene</w:t>
      </w:r>
      <w:proofErr w:type="spellEnd"/>
      <w:r w:rsidRPr="00B419CE">
        <w:t xml:space="preserve"> for å vareta verva sine. Det blir levert ei rekke praktiske </w:t>
      </w:r>
      <w:proofErr w:type="spellStart"/>
      <w:r w:rsidRPr="00B419CE">
        <w:t>tenester</w:t>
      </w:r>
      <w:proofErr w:type="spellEnd"/>
      <w:r w:rsidRPr="00B419CE">
        <w:t>.</w:t>
      </w:r>
    </w:p>
    <w:p w14:paraId="0DBD84CD" w14:textId="77777777" w:rsidR="00B419CE" w:rsidRPr="00B419CE" w:rsidRDefault="00B419CE" w:rsidP="00B419CE">
      <w:r w:rsidRPr="00B419CE">
        <w:t xml:space="preserve">I 2022 vil administrasjonen </w:t>
      </w:r>
      <w:proofErr w:type="spellStart"/>
      <w:r w:rsidRPr="00B419CE">
        <w:t>halde</w:t>
      </w:r>
      <w:proofErr w:type="spellEnd"/>
      <w:r w:rsidRPr="00B419CE">
        <w:t xml:space="preserve"> fram arbeidet med å greie ut om </w:t>
      </w:r>
      <w:proofErr w:type="spellStart"/>
      <w:r w:rsidRPr="00B419CE">
        <w:t>dei</w:t>
      </w:r>
      <w:proofErr w:type="spellEnd"/>
      <w:r w:rsidRPr="00B419CE">
        <w:t xml:space="preserve"> </w:t>
      </w:r>
      <w:proofErr w:type="spellStart"/>
      <w:r w:rsidRPr="00B419CE">
        <w:t>faglege</w:t>
      </w:r>
      <w:proofErr w:type="spellEnd"/>
      <w:r w:rsidRPr="00B419CE">
        <w:t xml:space="preserve"> spørsmåla Stortinget ønsker klargjorde. Administrasjonen vil levere relevante fakta, </w:t>
      </w:r>
      <w:proofErr w:type="spellStart"/>
      <w:r w:rsidRPr="00B419CE">
        <w:t>analysar</w:t>
      </w:r>
      <w:proofErr w:type="spellEnd"/>
      <w:r w:rsidRPr="00B419CE">
        <w:t xml:space="preserve"> og </w:t>
      </w:r>
      <w:proofErr w:type="spellStart"/>
      <w:r w:rsidRPr="00B419CE">
        <w:t>drøftingar</w:t>
      </w:r>
      <w:proofErr w:type="spellEnd"/>
      <w:r w:rsidRPr="00B419CE">
        <w:t xml:space="preserve"> til </w:t>
      </w:r>
      <w:proofErr w:type="spellStart"/>
      <w:r w:rsidRPr="00B419CE">
        <w:t>stortingsrepresentantane</w:t>
      </w:r>
      <w:proofErr w:type="spellEnd"/>
      <w:r w:rsidRPr="00B419CE">
        <w:t xml:space="preserve"> som </w:t>
      </w:r>
      <w:proofErr w:type="spellStart"/>
      <w:r w:rsidRPr="00B419CE">
        <w:t>eit</w:t>
      </w:r>
      <w:proofErr w:type="spellEnd"/>
      <w:r w:rsidRPr="00B419CE">
        <w:t xml:space="preserve"> </w:t>
      </w:r>
      <w:proofErr w:type="spellStart"/>
      <w:r w:rsidRPr="00B419CE">
        <w:t>fagleg</w:t>
      </w:r>
      <w:proofErr w:type="spellEnd"/>
      <w:r w:rsidRPr="00B419CE">
        <w:t xml:space="preserve"> grunnlag for politiske </w:t>
      </w:r>
      <w:proofErr w:type="spellStart"/>
      <w:r w:rsidRPr="00B419CE">
        <w:t>vurderingar</w:t>
      </w:r>
      <w:proofErr w:type="spellEnd"/>
      <w:r w:rsidRPr="00B419CE">
        <w:t xml:space="preserve">. Informasjonskjelder som blir stilte til rådvelde, skal i størst </w:t>
      </w:r>
      <w:proofErr w:type="spellStart"/>
      <w:r w:rsidRPr="00B419CE">
        <w:t>mogleg</w:t>
      </w:r>
      <w:proofErr w:type="spellEnd"/>
      <w:r w:rsidRPr="00B419CE">
        <w:t xml:space="preserve"> grad </w:t>
      </w:r>
      <w:proofErr w:type="spellStart"/>
      <w:r w:rsidRPr="00B419CE">
        <w:t>vere</w:t>
      </w:r>
      <w:proofErr w:type="spellEnd"/>
      <w:r w:rsidRPr="00B419CE">
        <w:t xml:space="preserve"> </w:t>
      </w:r>
      <w:proofErr w:type="spellStart"/>
      <w:r w:rsidRPr="00B419CE">
        <w:t>tilgjengelege</w:t>
      </w:r>
      <w:proofErr w:type="spellEnd"/>
      <w:r w:rsidRPr="00B419CE">
        <w:t xml:space="preserve"> på digitale </w:t>
      </w:r>
      <w:proofErr w:type="spellStart"/>
      <w:r w:rsidRPr="00B419CE">
        <w:t>einingar</w:t>
      </w:r>
      <w:proofErr w:type="spellEnd"/>
      <w:r w:rsidRPr="00B419CE">
        <w:t xml:space="preserve">, uavhengig av kvar </w:t>
      </w:r>
      <w:proofErr w:type="spellStart"/>
      <w:r w:rsidRPr="00B419CE">
        <w:t>stortingsrepresentantane</w:t>
      </w:r>
      <w:proofErr w:type="spellEnd"/>
      <w:r w:rsidRPr="00B419CE">
        <w:t xml:space="preserve"> </w:t>
      </w:r>
      <w:proofErr w:type="spellStart"/>
      <w:r w:rsidRPr="00B419CE">
        <w:t>oppheld</w:t>
      </w:r>
      <w:proofErr w:type="spellEnd"/>
      <w:r w:rsidRPr="00B419CE">
        <w:t xml:space="preserve"> seg.</w:t>
      </w:r>
    </w:p>
    <w:p w14:paraId="3A9C6B7D" w14:textId="77777777" w:rsidR="00B419CE" w:rsidRPr="00B419CE" w:rsidRDefault="00B419CE" w:rsidP="00B419CE">
      <w:r w:rsidRPr="00B419CE">
        <w:t xml:space="preserve">EØS-avtalen og andre internasjonale </w:t>
      </w:r>
      <w:proofErr w:type="spellStart"/>
      <w:r w:rsidRPr="00B419CE">
        <w:t>avtalar</w:t>
      </w:r>
      <w:proofErr w:type="spellEnd"/>
      <w:r w:rsidRPr="00B419CE">
        <w:t xml:space="preserve"> påverkar norsk politikk. Arbeidet med </w:t>
      </w:r>
      <w:proofErr w:type="spellStart"/>
      <w:r w:rsidRPr="00B419CE">
        <w:t>kunnskapstenester</w:t>
      </w:r>
      <w:proofErr w:type="spellEnd"/>
      <w:r w:rsidRPr="00B419CE">
        <w:t xml:space="preserve"> på det internasjonale området må </w:t>
      </w:r>
      <w:proofErr w:type="spellStart"/>
      <w:r w:rsidRPr="00B419CE">
        <w:t>vere</w:t>
      </w:r>
      <w:proofErr w:type="spellEnd"/>
      <w:r w:rsidRPr="00B419CE">
        <w:t xml:space="preserve"> </w:t>
      </w:r>
      <w:proofErr w:type="gramStart"/>
      <w:r w:rsidRPr="00B419CE">
        <w:t>robust</w:t>
      </w:r>
      <w:proofErr w:type="gramEnd"/>
      <w:r w:rsidRPr="00B419CE">
        <w:t xml:space="preserve"> og fleksibelt nok til å møte framtidige behov.</w:t>
      </w:r>
    </w:p>
    <w:p w14:paraId="1DD46B09" w14:textId="77777777" w:rsidR="00B419CE" w:rsidRPr="00B419CE" w:rsidRDefault="00B419CE" w:rsidP="00B419CE">
      <w:r w:rsidRPr="00B419CE">
        <w:t xml:space="preserve">Administrasjonen skal profesjonalisere kommunikasjonen med </w:t>
      </w:r>
      <w:proofErr w:type="spellStart"/>
      <w:r w:rsidRPr="00B419CE">
        <w:t>representantar</w:t>
      </w:r>
      <w:proofErr w:type="spellEnd"/>
      <w:r w:rsidRPr="00B419CE">
        <w:t xml:space="preserve"> og tilsette </w:t>
      </w:r>
      <w:proofErr w:type="spellStart"/>
      <w:r w:rsidRPr="00B419CE">
        <w:t>ytterlegare</w:t>
      </w:r>
      <w:proofErr w:type="spellEnd"/>
      <w:r w:rsidRPr="00B419CE">
        <w:t xml:space="preserve">. Relevant informasjon skal </w:t>
      </w:r>
      <w:proofErr w:type="spellStart"/>
      <w:r w:rsidRPr="00B419CE">
        <w:t>vere</w:t>
      </w:r>
      <w:proofErr w:type="spellEnd"/>
      <w:r w:rsidRPr="00B419CE">
        <w:t xml:space="preserve"> lett å finne, og det skal </w:t>
      </w:r>
      <w:proofErr w:type="spellStart"/>
      <w:r w:rsidRPr="00B419CE">
        <w:t>vere</w:t>
      </w:r>
      <w:proofErr w:type="spellEnd"/>
      <w:r w:rsidRPr="00B419CE">
        <w:t xml:space="preserve"> enkelt å </w:t>
      </w:r>
      <w:proofErr w:type="spellStart"/>
      <w:r w:rsidRPr="00B419CE">
        <w:t>halde</w:t>
      </w:r>
      <w:proofErr w:type="spellEnd"/>
      <w:r w:rsidRPr="00B419CE">
        <w:t xml:space="preserve"> seg oppdatert på </w:t>
      </w:r>
      <w:proofErr w:type="spellStart"/>
      <w:r w:rsidRPr="00B419CE">
        <w:t>endringar</w:t>
      </w:r>
      <w:proofErr w:type="spellEnd"/>
      <w:r w:rsidRPr="00B419CE">
        <w:t xml:space="preserve"> og </w:t>
      </w:r>
      <w:proofErr w:type="spellStart"/>
      <w:r w:rsidRPr="00B419CE">
        <w:t>hendingar</w:t>
      </w:r>
      <w:proofErr w:type="spellEnd"/>
      <w:r w:rsidRPr="00B419CE">
        <w:t>.</w:t>
      </w:r>
    </w:p>
    <w:p w14:paraId="791AFCD3" w14:textId="77777777" w:rsidR="00B419CE" w:rsidRPr="00B419CE" w:rsidRDefault="00B419CE" w:rsidP="00B419CE">
      <w:proofErr w:type="spellStart"/>
      <w:r w:rsidRPr="00B419CE">
        <w:t>Sikkerheitslova</w:t>
      </w:r>
      <w:proofErr w:type="spellEnd"/>
      <w:r w:rsidRPr="00B419CE">
        <w:t xml:space="preserve"> er med </w:t>
      </w:r>
      <w:proofErr w:type="spellStart"/>
      <w:r w:rsidRPr="00B419CE">
        <w:t>nokre</w:t>
      </w:r>
      <w:proofErr w:type="spellEnd"/>
      <w:r w:rsidRPr="00B419CE">
        <w:t xml:space="preserve"> unntak gjord </w:t>
      </w:r>
      <w:proofErr w:type="spellStart"/>
      <w:r w:rsidRPr="00B419CE">
        <w:t>gjeldande</w:t>
      </w:r>
      <w:proofErr w:type="spellEnd"/>
      <w:r w:rsidRPr="00B419CE">
        <w:t xml:space="preserve"> for Stortinget </w:t>
      </w:r>
      <w:proofErr w:type="spellStart"/>
      <w:r w:rsidRPr="00B419CE">
        <w:t>frå</w:t>
      </w:r>
      <w:proofErr w:type="spellEnd"/>
      <w:r w:rsidRPr="00B419CE">
        <w:t xml:space="preserve"> 2020. Stortingets administrasjon vil arbeide </w:t>
      </w:r>
      <w:proofErr w:type="spellStart"/>
      <w:r w:rsidRPr="00B419CE">
        <w:t>vidare</w:t>
      </w:r>
      <w:proofErr w:type="spellEnd"/>
      <w:r w:rsidRPr="00B419CE">
        <w:t xml:space="preserve"> med å sørge for at </w:t>
      </w:r>
      <w:proofErr w:type="spellStart"/>
      <w:r w:rsidRPr="00B419CE">
        <w:t>politikarane</w:t>
      </w:r>
      <w:proofErr w:type="spellEnd"/>
      <w:r w:rsidRPr="00B419CE">
        <w:t xml:space="preserve"> får betre </w:t>
      </w:r>
      <w:proofErr w:type="spellStart"/>
      <w:r w:rsidRPr="00B419CE">
        <w:t>møteromskapasitet</w:t>
      </w:r>
      <w:proofErr w:type="spellEnd"/>
      <w:r w:rsidRPr="00B419CE">
        <w:t xml:space="preserve"> og </w:t>
      </w:r>
      <w:proofErr w:type="spellStart"/>
      <w:r w:rsidRPr="00B419CE">
        <w:t>kommunikasjonsmoglegheiter</w:t>
      </w:r>
      <w:proofErr w:type="spellEnd"/>
      <w:r w:rsidRPr="00B419CE">
        <w:t xml:space="preserve"> som tar vare på </w:t>
      </w:r>
      <w:proofErr w:type="spellStart"/>
      <w:r w:rsidRPr="00B419CE">
        <w:t>lovpålagde</w:t>
      </w:r>
      <w:proofErr w:type="spellEnd"/>
      <w:r w:rsidRPr="00B419CE">
        <w:t xml:space="preserve"> krav, slik at </w:t>
      </w:r>
      <w:proofErr w:type="spellStart"/>
      <w:r w:rsidRPr="00B419CE">
        <w:t>behandlinga</w:t>
      </w:r>
      <w:proofErr w:type="spellEnd"/>
      <w:r w:rsidRPr="00B419CE">
        <w:t xml:space="preserve"> av gradert informasjon blir varetatt på </w:t>
      </w:r>
      <w:proofErr w:type="spellStart"/>
      <w:r w:rsidRPr="00B419CE">
        <w:t>ein</w:t>
      </w:r>
      <w:proofErr w:type="spellEnd"/>
      <w:r w:rsidRPr="00B419CE">
        <w:t xml:space="preserve"> trygg måte.</w:t>
      </w:r>
    </w:p>
    <w:p w14:paraId="1B623293" w14:textId="77777777" w:rsidR="00B419CE" w:rsidRPr="00B419CE" w:rsidRDefault="00B419CE" w:rsidP="00B419CE">
      <w:r w:rsidRPr="00B419CE">
        <w:t>Prosjektet «</w:t>
      </w:r>
      <w:proofErr w:type="spellStart"/>
      <w:r w:rsidRPr="00B419CE">
        <w:t>Heilskapleg</w:t>
      </w:r>
      <w:proofErr w:type="spellEnd"/>
      <w:r w:rsidRPr="00B419CE">
        <w:t xml:space="preserve"> stortingstorg» blei sett i gang i 2019 og held fram gjennom 2022. Målet med prosjektet er betre </w:t>
      </w:r>
      <w:proofErr w:type="spellStart"/>
      <w:r w:rsidRPr="00B419CE">
        <w:t>tenester</w:t>
      </w:r>
      <w:proofErr w:type="spellEnd"/>
      <w:r w:rsidRPr="00B419CE">
        <w:t xml:space="preserve"> til </w:t>
      </w:r>
      <w:proofErr w:type="spellStart"/>
      <w:r w:rsidRPr="00B419CE">
        <w:t>representantane</w:t>
      </w:r>
      <w:proofErr w:type="spellEnd"/>
      <w:r w:rsidRPr="00B419CE">
        <w:t xml:space="preserve"> og </w:t>
      </w:r>
      <w:proofErr w:type="spellStart"/>
      <w:r w:rsidRPr="00B419CE">
        <w:t>meir</w:t>
      </w:r>
      <w:proofErr w:type="spellEnd"/>
      <w:r w:rsidRPr="00B419CE">
        <w:t xml:space="preserve"> effektiv ressursbruk i administrasjonen. Prosjektet vil i 2022 prioritere ei </w:t>
      </w:r>
      <w:proofErr w:type="spellStart"/>
      <w:r w:rsidRPr="00B419CE">
        <w:t>vidare</w:t>
      </w:r>
      <w:proofErr w:type="spellEnd"/>
      <w:r w:rsidRPr="00B419CE">
        <w:t xml:space="preserve"> utvikling av </w:t>
      </w:r>
      <w:proofErr w:type="spellStart"/>
      <w:r w:rsidRPr="00B419CE">
        <w:t>eit</w:t>
      </w:r>
      <w:proofErr w:type="spellEnd"/>
      <w:r w:rsidRPr="00B419CE">
        <w:t xml:space="preserve"> felles kontaktpunkt for å </w:t>
      </w:r>
      <w:proofErr w:type="spellStart"/>
      <w:r w:rsidRPr="00B419CE">
        <w:t>auke</w:t>
      </w:r>
      <w:proofErr w:type="spellEnd"/>
      <w:r w:rsidRPr="00B419CE">
        <w:t xml:space="preserve"> effektiviteten både for </w:t>
      </w:r>
      <w:proofErr w:type="spellStart"/>
      <w:r w:rsidRPr="00B419CE">
        <w:t>stortingsrepresentantane</w:t>
      </w:r>
      <w:proofErr w:type="spellEnd"/>
      <w:r w:rsidRPr="00B419CE">
        <w:t xml:space="preserve"> og for administrasjonen. </w:t>
      </w:r>
      <w:proofErr w:type="spellStart"/>
      <w:r w:rsidRPr="00B419CE">
        <w:t>Vidare</w:t>
      </w:r>
      <w:proofErr w:type="spellEnd"/>
      <w:r w:rsidRPr="00B419CE">
        <w:t xml:space="preserve"> vil det bli </w:t>
      </w:r>
      <w:proofErr w:type="spellStart"/>
      <w:r w:rsidRPr="00B419CE">
        <w:t>arbeidd</w:t>
      </w:r>
      <w:proofErr w:type="spellEnd"/>
      <w:r w:rsidRPr="00B419CE">
        <w:t xml:space="preserve"> med å utvikle digitale </w:t>
      </w:r>
      <w:proofErr w:type="spellStart"/>
      <w:r w:rsidRPr="00B419CE">
        <w:t>sjølvhjelpsløysingar</w:t>
      </w:r>
      <w:proofErr w:type="spellEnd"/>
      <w:r w:rsidRPr="00B419CE">
        <w:t xml:space="preserve"> som vil gi </w:t>
      </w:r>
      <w:proofErr w:type="spellStart"/>
      <w:r w:rsidRPr="00B419CE">
        <w:t>stortingsrepresentantane</w:t>
      </w:r>
      <w:proofErr w:type="spellEnd"/>
      <w:r w:rsidRPr="00B419CE">
        <w:t xml:space="preserve"> tilgang til </w:t>
      </w:r>
      <w:proofErr w:type="spellStart"/>
      <w:r w:rsidRPr="00B419CE">
        <w:t>tenestene</w:t>
      </w:r>
      <w:proofErr w:type="spellEnd"/>
      <w:r w:rsidRPr="00B419CE">
        <w:t xml:space="preserve"> </w:t>
      </w:r>
      <w:proofErr w:type="spellStart"/>
      <w:r w:rsidRPr="00B419CE">
        <w:t>frå</w:t>
      </w:r>
      <w:proofErr w:type="spellEnd"/>
      <w:r w:rsidRPr="00B419CE">
        <w:t xml:space="preserve"> administrasjonen på </w:t>
      </w:r>
      <w:proofErr w:type="spellStart"/>
      <w:r w:rsidRPr="00B419CE">
        <w:t>ein</w:t>
      </w:r>
      <w:proofErr w:type="spellEnd"/>
      <w:r w:rsidRPr="00B419CE">
        <w:t xml:space="preserve"> </w:t>
      </w:r>
      <w:proofErr w:type="spellStart"/>
      <w:r w:rsidRPr="00B419CE">
        <w:t>meir</w:t>
      </w:r>
      <w:proofErr w:type="spellEnd"/>
      <w:r w:rsidRPr="00B419CE">
        <w:t xml:space="preserve"> effektiv måte. Forenkling for </w:t>
      </w:r>
      <w:proofErr w:type="spellStart"/>
      <w:r w:rsidRPr="00B419CE">
        <w:t>stortingsrepresentantane</w:t>
      </w:r>
      <w:proofErr w:type="spellEnd"/>
      <w:r w:rsidRPr="00B419CE">
        <w:t xml:space="preserve"> står, </w:t>
      </w:r>
      <w:proofErr w:type="spellStart"/>
      <w:r w:rsidRPr="00B419CE">
        <w:t>saman</w:t>
      </w:r>
      <w:proofErr w:type="spellEnd"/>
      <w:r w:rsidRPr="00B419CE">
        <w:t xml:space="preserve"> med større grad av digitalisering, sentralt.</w:t>
      </w:r>
    </w:p>
    <w:p w14:paraId="213AF810" w14:textId="77777777" w:rsidR="00B419CE" w:rsidRPr="00B419CE" w:rsidRDefault="00B419CE" w:rsidP="00B419CE">
      <w:r w:rsidRPr="00B419CE">
        <w:t xml:space="preserve">Våren 2022 er det planlagt implementering av </w:t>
      </w:r>
      <w:proofErr w:type="gramStart"/>
      <w:r w:rsidRPr="00B419CE">
        <w:t>ei fullskala</w:t>
      </w:r>
      <w:proofErr w:type="gramEnd"/>
      <w:r w:rsidRPr="00B419CE">
        <w:t xml:space="preserve"> løysing for bruk av tale-til-tekst i stortingsreferatet. Løysinga vil </w:t>
      </w:r>
      <w:proofErr w:type="spellStart"/>
      <w:r w:rsidRPr="00B419CE">
        <w:t>vere</w:t>
      </w:r>
      <w:proofErr w:type="spellEnd"/>
      <w:r w:rsidRPr="00B419CE">
        <w:t xml:space="preserve"> lagd til rette for nynorsk og bokmål. Formålet er at </w:t>
      </w:r>
      <w:r w:rsidRPr="00B419CE">
        <w:lastRenderedPageBreak/>
        <w:t xml:space="preserve">stortingsreferatet skal produserast </w:t>
      </w:r>
      <w:proofErr w:type="spellStart"/>
      <w:r w:rsidRPr="00B419CE">
        <w:t>raskare</w:t>
      </w:r>
      <w:proofErr w:type="spellEnd"/>
      <w:r w:rsidRPr="00B419CE">
        <w:t xml:space="preserve">, med same kvalitet og med mindre </w:t>
      </w:r>
      <w:proofErr w:type="spellStart"/>
      <w:r w:rsidRPr="00B419CE">
        <w:t>ressursar</w:t>
      </w:r>
      <w:proofErr w:type="spellEnd"/>
      <w:r w:rsidRPr="00B419CE">
        <w:t xml:space="preserve">. I tillegg har prosjektet </w:t>
      </w:r>
      <w:proofErr w:type="spellStart"/>
      <w:r w:rsidRPr="00B419CE">
        <w:t>eit</w:t>
      </w:r>
      <w:proofErr w:type="spellEnd"/>
      <w:r w:rsidRPr="00B419CE">
        <w:t xml:space="preserve"> samfunnsmål: Kjeldematerialet som blir utvikla, skal kunne </w:t>
      </w:r>
      <w:proofErr w:type="spellStart"/>
      <w:r w:rsidRPr="00B419CE">
        <w:t>delast</w:t>
      </w:r>
      <w:proofErr w:type="spellEnd"/>
      <w:r w:rsidRPr="00B419CE">
        <w:t xml:space="preserve"> med Språkbanken, slik at det fritt kan brukast av alle som ønsker å utvikle språkteknologiske </w:t>
      </w:r>
      <w:proofErr w:type="spellStart"/>
      <w:r w:rsidRPr="00B419CE">
        <w:t>ressursar</w:t>
      </w:r>
      <w:proofErr w:type="spellEnd"/>
      <w:r w:rsidRPr="00B419CE">
        <w:t xml:space="preserve"> for norsk.</w:t>
      </w:r>
    </w:p>
    <w:p w14:paraId="6E4B3C4D" w14:textId="77777777" w:rsidR="00B419CE" w:rsidRPr="00B419CE" w:rsidRDefault="00B419CE" w:rsidP="00B419CE">
      <w:pPr>
        <w:pStyle w:val="avsnitt-tittel"/>
      </w:pPr>
      <w:r w:rsidRPr="00B419CE">
        <w:t xml:space="preserve">Formål 3: Formidle kunnskap om folkestyret og </w:t>
      </w:r>
      <w:proofErr w:type="spellStart"/>
      <w:r w:rsidRPr="00B419CE">
        <w:t>verksemda</w:t>
      </w:r>
      <w:proofErr w:type="spellEnd"/>
      <w:r w:rsidRPr="00B419CE">
        <w:t xml:space="preserve"> til Stortinget</w:t>
      </w:r>
    </w:p>
    <w:p w14:paraId="5755428B" w14:textId="77777777" w:rsidR="00B419CE" w:rsidRPr="00B419CE" w:rsidRDefault="00B419CE" w:rsidP="00B419CE">
      <w:r w:rsidRPr="00B419CE">
        <w:t>Stortingets kommunikasjons- og formidlingsarbeid skal bidra til å bygge tillit til, forståing for og oppslutning om Stortingets rolle i demokratiet.</w:t>
      </w:r>
    </w:p>
    <w:p w14:paraId="7CE6AFF9" w14:textId="77777777" w:rsidR="00B419CE" w:rsidRPr="00B419CE" w:rsidRDefault="00B419CE" w:rsidP="00B419CE">
      <w:r w:rsidRPr="00B419CE">
        <w:t xml:space="preserve">Kommunikasjonen med </w:t>
      </w:r>
      <w:proofErr w:type="spellStart"/>
      <w:r w:rsidRPr="00B419CE">
        <w:t>omverda</w:t>
      </w:r>
      <w:proofErr w:type="spellEnd"/>
      <w:r w:rsidRPr="00B419CE">
        <w:t xml:space="preserve"> skal </w:t>
      </w:r>
      <w:proofErr w:type="spellStart"/>
      <w:r w:rsidRPr="00B419CE">
        <w:t>vere</w:t>
      </w:r>
      <w:proofErr w:type="spellEnd"/>
      <w:r w:rsidRPr="00B419CE">
        <w:t xml:space="preserve"> aktiv og relevant og </w:t>
      </w:r>
      <w:proofErr w:type="spellStart"/>
      <w:r w:rsidRPr="00B419CE">
        <w:t>opne</w:t>
      </w:r>
      <w:proofErr w:type="spellEnd"/>
      <w:r w:rsidRPr="00B419CE">
        <w:t xml:space="preserve"> for samhandling mellom folket og </w:t>
      </w:r>
      <w:proofErr w:type="spellStart"/>
      <w:r w:rsidRPr="00B419CE">
        <w:t>dei</w:t>
      </w:r>
      <w:proofErr w:type="spellEnd"/>
      <w:r w:rsidRPr="00B419CE">
        <w:t xml:space="preserve"> </w:t>
      </w:r>
      <w:proofErr w:type="spellStart"/>
      <w:r w:rsidRPr="00B419CE">
        <w:t>folkevalde</w:t>
      </w:r>
      <w:proofErr w:type="spellEnd"/>
      <w:r w:rsidRPr="00B419CE">
        <w:t xml:space="preserve"> og </w:t>
      </w:r>
      <w:proofErr w:type="spellStart"/>
      <w:r w:rsidRPr="00B419CE">
        <w:t>vere</w:t>
      </w:r>
      <w:proofErr w:type="spellEnd"/>
      <w:r w:rsidRPr="00B419CE">
        <w:t xml:space="preserve"> </w:t>
      </w:r>
      <w:proofErr w:type="spellStart"/>
      <w:r w:rsidRPr="00B419CE">
        <w:t>særleg</w:t>
      </w:r>
      <w:proofErr w:type="spellEnd"/>
      <w:r w:rsidRPr="00B419CE">
        <w:t xml:space="preserve"> retta mot barn og unge, </w:t>
      </w:r>
      <w:proofErr w:type="spellStart"/>
      <w:r w:rsidRPr="00B419CE">
        <w:t>vaksne</w:t>
      </w:r>
      <w:proofErr w:type="spellEnd"/>
      <w:r w:rsidRPr="00B419CE">
        <w:t xml:space="preserve"> med låg demokratisk deltaking og </w:t>
      </w:r>
      <w:proofErr w:type="spellStart"/>
      <w:r w:rsidRPr="00B419CE">
        <w:t>personar</w:t>
      </w:r>
      <w:proofErr w:type="spellEnd"/>
      <w:r w:rsidRPr="00B419CE">
        <w:t xml:space="preserve"> som i arbeidet sitt er i kontakt med Stortinget.</w:t>
      </w:r>
    </w:p>
    <w:p w14:paraId="38F9EFB9" w14:textId="77777777" w:rsidR="00B419CE" w:rsidRPr="00B419CE" w:rsidRDefault="00B419CE" w:rsidP="00B419CE">
      <w:r w:rsidRPr="00B419CE">
        <w:t xml:space="preserve">Gjennom ulike </w:t>
      </w:r>
      <w:proofErr w:type="spellStart"/>
      <w:r w:rsidRPr="00B419CE">
        <w:t>kanalar</w:t>
      </w:r>
      <w:proofErr w:type="spellEnd"/>
      <w:r w:rsidRPr="00B419CE">
        <w:t xml:space="preserve"> kommuniserer Stortinget </w:t>
      </w:r>
      <w:proofErr w:type="spellStart"/>
      <w:r w:rsidRPr="00B419CE">
        <w:t>fortløpande</w:t>
      </w:r>
      <w:proofErr w:type="spellEnd"/>
      <w:r w:rsidRPr="00B419CE">
        <w:t xml:space="preserve"> om arbeidet </w:t>
      </w:r>
      <w:proofErr w:type="spellStart"/>
      <w:r w:rsidRPr="00B419CE">
        <w:t>dei</w:t>
      </w:r>
      <w:proofErr w:type="spellEnd"/>
      <w:r w:rsidRPr="00B419CE">
        <w:t xml:space="preserve"> </w:t>
      </w:r>
      <w:proofErr w:type="spellStart"/>
      <w:r w:rsidRPr="00B419CE">
        <w:t>folkevalde</w:t>
      </w:r>
      <w:proofErr w:type="spellEnd"/>
      <w:r w:rsidRPr="00B419CE">
        <w:t xml:space="preserve"> </w:t>
      </w:r>
      <w:proofErr w:type="spellStart"/>
      <w:r w:rsidRPr="00B419CE">
        <w:t>gjer</w:t>
      </w:r>
      <w:proofErr w:type="spellEnd"/>
      <w:r w:rsidRPr="00B419CE">
        <w:t xml:space="preserve">, om sakene som blir behandla, og om Stortinget som institusjon og betydninga det har for det norske demokratiet. Nettstaden gir </w:t>
      </w:r>
      <w:proofErr w:type="spellStart"/>
      <w:r w:rsidRPr="00B419CE">
        <w:t>brukarane</w:t>
      </w:r>
      <w:proofErr w:type="spellEnd"/>
      <w:r w:rsidRPr="00B419CE">
        <w:t xml:space="preserve"> tilgang til all informasjon om sakene som blir behandla i Stortinget, møte og </w:t>
      </w:r>
      <w:proofErr w:type="spellStart"/>
      <w:r w:rsidRPr="00B419CE">
        <w:t>høyringar</w:t>
      </w:r>
      <w:proofErr w:type="spellEnd"/>
      <w:r w:rsidRPr="00B419CE">
        <w:t xml:space="preserve">, og </w:t>
      </w:r>
      <w:proofErr w:type="spellStart"/>
      <w:r w:rsidRPr="00B419CE">
        <w:t>utgjer</w:t>
      </w:r>
      <w:proofErr w:type="spellEnd"/>
      <w:r w:rsidRPr="00B419CE">
        <w:t xml:space="preserve"> kjerneinformasjonen om det parlamentariske arbeidet. Gjennom sosiale medium, </w:t>
      </w:r>
      <w:proofErr w:type="spellStart"/>
      <w:r w:rsidRPr="00B419CE">
        <w:t>filmar</w:t>
      </w:r>
      <w:proofErr w:type="spellEnd"/>
      <w:r w:rsidRPr="00B419CE">
        <w:t xml:space="preserve"> og arrangement kan alle sette seg inn i og lære om kva </w:t>
      </w:r>
      <w:proofErr w:type="spellStart"/>
      <w:r w:rsidRPr="00B419CE">
        <w:t>oppgåver</w:t>
      </w:r>
      <w:proofErr w:type="spellEnd"/>
      <w:r w:rsidRPr="00B419CE">
        <w:t xml:space="preserve"> Stortinget har, og arbeidet som blir utført. For å bidra til større </w:t>
      </w:r>
      <w:proofErr w:type="spellStart"/>
      <w:r w:rsidRPr="00B419CE">
        <w:t>openheit</w:t>
      </w:r>
      <w:proofErr w:type="spellEnd"/>
      <w:r w:rsidRPr="00B419CE">
        <w:t xml:space="preserve"> og ei brei </w:t>
      </w:r>
      <w:proofErr w:type="spellStart"/>
      <w:r w:rsidRPr="00B419CE">
        <w:t>offentlegheit</w:t>
      </w:r>
      <w:proofErr w:type="spellEnd"/>
      <w:r w:rsidRPr="00B419CE">
        <w:t xml:space="preserve"> om det som skjer i Stortinget, jobbar Stortinget kontinuerlig med å legge til rette for at pressa kan vareta samfunnsoppdraget sitt på best </w:t>
      </w:r>
      <w:proofErr w:type="spellStart"/>
      <w:r w:rsidRPr="00B419CE">
        <w:t>mogleg</w:t>
      </w:r>
      <w:proofErr w:type="spellEnd"/>
      <w:r w:rsidRPr="00B419CE">
        <w:t xml:space="preserve"> måte.</w:t>
      </w:r>
    </w:p>
    <w:p w14:paraId="676E673E" w14:textId="77777777" w:rsidR="00B419CE" w:rsidRPr="00B419CE" w:rsidRDefault="00B419CE" w:rsidP="00B419CE">
      <w:r w:rsidRPr="00B419CE">
        <w:t xml:space="preserve">I 2022 skal </w:t>
      </w:r>
      <w:proofErr w:type="spellStart"/>
      <w:r w:rsidRPr="00B419CE">
        <w:t>formidlingsaktivitetane</w:t>
      </w:r>
      <w:proofErr w:type="spellEnd"/>
      <w:r w:rsidRPr="00B419CE">
        <w:t xml:space="preserve"> </w:t>
      </w:r>
      <w:proofErr w:type="spellStart"/>
      <w:r w:rsidRPr="00B419CE">
        <w:t>utviklast</w:t>
      </w:r>
      <w:proofErr w:type="spellEnd"/>
      <w:r w:rsidRPr="00B419CE">
        <w:t xml:space="preserve"> </w:t>
      </w:r>
      <w:proofErr w:type="spellStart"/>
      <w:r w:rsidRPr="00B419CE">
        <w:t>vidare</w:t>
      </w:r>
      <w:proofErr w:type="spellEnd"/>
      <w:r w:rsidRPr="00B419CE">
        <w:t xml:space="preserve">. Det vil skje både gjennom fysisk formidling i form av </w:t>
      </w:r>
      <w:proofErr w:type="spellStart"/>
      <w:r w:rsidRPr="00B419CE">
        <w:t>omvisingar</w:t>
      </w:r>
      <w:proofErr w:type="spellEnd"/>
      <w:r w:rsidRPr="00B419CE">
        <w:t xml:space="preserve">, </w:t>
      </w:r>
      <w:proofErr w:type="spellStart"/>
      <w:r w:rsidRPr="00B419CE">
        <w:t>utstillingar</w:t>
      </w:r>
      <w:proofErr w:type="spellEnd"/>
      <w:r w:rsidRPr="00B419CE">
        <w:t xml:space="preserve"> og interaktive </w:t>
      </w:r>
      <w:proofErr w:type="spellStart"/>
      <w:r w:rsidRPr="00B419CE">
        <w:t>læringsspel</w:t>
      </w:r>
      <w:proofErr w:type="spellEnd"/>
      <w:r w:rsidRPr="00B419CE">
        <w:t xml:space="preserve"> i Stortinget, og gjennom det </w:t>
      </w:r>
      <w:proofErr w:type="spellStart"/>
      <w:r w:rsidRPr="00B419CE">
        <w:t>vidare</w:t>
      </w:r>
      <w:proofErr w:type="spellEnd"/>
      <w:r w:rsidRPr="00B419CE">
        <w:t xml:space="preserve"> arbeidet med å fornye det digitale </w:t>
      </w:r>
      <w:proofErr w:type="spellStart"/>
      <w:r w:rsidRPr="00B419CE">
        <w:t>formidlingstilbodet</w:t>
      </w:r>
      <w:proofErr w:type="spellEnd"/>
      <w:r w:rsidRPr="00B419CE">
        <w:t>.</w:t>
      </w:r>
    </w:p>
    <w:p w14:paraId="117BA9F7" w14:textId="77777777" w:rsidR="00B419CE" w:rsidRPr="00B419CE" w:rsidRDefault="00B419CE" w:rsidP="00B419CE">
      <w:r w:rsidRPr="00B419CE">
        <w:t xml:space="preserve">I 2021 markerer Stortinget 100 år med fast </w:t>
      </w:r>
      <w:proofErr w:type="spellStart"/>
      <w:r w:rsidRPr="00B419CE">
        <w:t>valde</w:t>
      </w:r>
      <w:proofErr w:type="spellEnd"/>
      <w:r w:rsidRPr="00B419CE">
        <w:t xml:space="preserve"> kvinnelege </w:t>
      </w:r>
      <w:proofErr w:type="spellStart"/>
      <w:r w:rsidRPr="00B419CE">
        <w:t>stortingsrepresentantar</w:t>
      </w:r>
      <w:proofErr w:type="spellEnd"/>
      <w:r w:rsidRPr="00B419CE">
        <w:t xml:space="preserve">. I samband med det skal det på oppdrag </w:t>
      </w:r>
      <w:proofErr w:type="spellStart"/>
      <w:r w:rsidRPr="00B419CE">
        <w:t>frå</w:t>
      </w:r>
      <w:proofErr w:type="spellEnd"/>
      <w:r w:rsidRPr="00B419CE">
        <w:t xml:space="preserve"> presidentskapet </w:t>
      </w:r>
      <w:proofErr w:type="spellStart"/>
      <w:r w:rsidRPr="00B419CE">
        <w:t>lagast</w:t>
      </w:r>
      <w:proofErr w:type="spellEnd"/>
      <w:r w:rsidRPr="00B419CE">
        <w:t xml:space="preserve"> </w:t>
      </w:r>
      <w:proofErr w:type="spellStart"/>
      <w:r w:rsidRPr="00B419CE">
        <w:t>eit</w:t>
      </w:r>
      <w:proofErr w:type="spellEnd"/>
      <w:r w:rsidRPr="00B419CE">
        <w:t xml:space="preserve"> portrett av Karen Platou, som var den første fast </w:t>
      </w:r>
      <w:proofErr w:type="spellStart"/>
      <w:r w:rsidRPr="00B419CE">
        <w:t>valde</w:t>
      </w:r>
      <w:proofErr w:type="spellEnd"/>
      <w:r w:rsidRPr="00B419CE">
        <w:t xml:space="preserve"> kvinnelege stortingsrepresentanten. Portrettet skal etter planen </w:t>
      </w:r>
      <w:proofErr w:type="spellStart"/>
      <w:r w:rsidRPr="00B419CE">
        <w:t>avdukast</w:t>
      </w:r>
      <w:proofErr w:type="spellEnd"/>
      <w:r w:rsidRPr="00B419CE">
        <w:t xml:space="preserve"> </w:t>
      </w:r>
      <w:proofErr w:type="spellStart"/>
      <w:r w:rsidRPr="00B419CE">
        <w:t>tidleg</w:t>
      </w:r>
      <w:proofErr w:type="spellEnd"/>
      <w:r w:rsidRPr="00B419CE">
        <w:t xml:space="preserve"> i 2022. Det skal </w:t>
      </w:r>
      <w:proofErr w:type="spellStart"/>
      <w:r w:rsidRPr="00B419CE">
        <w:t>vidare</w:t>
      </w:r>
      <w:proofErr w:type="spellEnd"/>
      <w:r w:rsidRPr="00B419CE">
        <w:t xml:space="preserve"> </w:t>
      </w:r>
      <w:proofErr w:type="spellStart"/>
      <w:r w:rsidRPr="00B419CE">
        <w:t>lagast</w:t>
      </w:r>
      <w:proofErr w:type="spellEnd"/>
      <w:r w:rsidRPr="00B419CE">
        <w:t xml:space="preserve"> </w:t>
      </w:r>
      <w:proofErr w:type="spellStart"/>
      <w:r w:rsidRPr="00B419CE">
        <w:t>ein</w:t>
      </w:r>
      <w:proofErr w:type="spellEnd"/>
      <w:r w:rsidRPr="00B419CE">
        <w:t xml:space="preserve"> skulptur av Anna Rogstad som skal </w:t>
      </w:r>
      <w:proofErr w:type="spellStart"/>
      <w:r w:rsidRPr="00B419CE">
        <w:t>oppførast</w:t>
      </w:r>
      <w:proofErr w:type="spellEnd"/>
      <w:r w:rsidRPr="00B419CE">
        <w:t xml:space="preserve"> på Eidsvolls plass. Anna Rogstad var den første kvinna som møtte på Stortinget – som vararepresentant i 1911. Skulpturen skal etter planen </w:t>
      </w:r>
      <w:proofErr w:type="spellStart"/>
      <w:r w:rsidRPr="00B419CE">
        <w:t>avdukast</w:t>
      </w:r>
      <w:proofErr w:type="spellEnd"/>
      <w:r w:rsidRPr="00B419CE">
        <w:t xml:space="preserve"> i 2023. I samband med markeringa blir det også gjennomført </w:t>
      </w:r>
      <w:proofErr w:type="spellStart"/>
      <w:r w:rsidRPr="00B419CE">
        <w:t>eit</w:t>
      </w:r>
      <w:proofErr w:type="spellEnd"/>
      <w:r w:rsidRPr="00B419CE">
        <w:t xml:space="preserve"> pilotprosjekt der </w:t>
      </w:r>
      <w:proofErr w:type="spellStart"/>
      <w:r w:rsidRPr="00B419CE">
        <w:t>tidlegare</w:t>
      </w:r>
      <w:proofErr w:type="spellEnd"/>
      <w:r w:rsidRPr="00B419CE">
        <w:t xml:space="preserve"> kvinnelege </w:t>
      </w:r>
      <w:proofErr w:type="spellStart"/>
      <w:r w:rsidRPr="00B419CE">
        <w:t>stortingsrepresentantar</w:t>
      </w:r>
      <w:proofErr w:type="spellEnd"/>
      <w:r w:rsidRPr="00B419CE">
        <w:t xml:space="preserve"> blir intervjua. Formålet er å dokumentere </w:t>
      </w:r>
      <w:proofErr w:type="spellStart"/>
      <w:r w:rsidRPr="00B419CE">
        <w:t>erfaringane</w:t>
      </w:r>
      <w:proofErr w:type="spellEnd"/>
      <w:r w:rsidRPr="00B419CE">
        <w:t xml:space="preserve"> </w:t>
      </w:r>
      <w:proofErr w:type="spellStart"/>
      <w:r w:rsidRPr="00B419CE">
        <w:t>deira</w:t>
      </w:r>
      <w:proofErr w:type="spellEnd"/>
      <w:r w:rsidRPr="00B419CE">
        <w:t xml:space="preserve"> </w:t>
      </w:r>
      <w:proofErr w:type="spellStart"/>
      <w:r w:rsidRPr="00B419CE">
        <w:t>frå</w:t>
      </w:r>
      <w:proofErr w:type="spellEnd"/>
      <w:r w:rsidRPr="00B419CE">
        <w:t xml:space="preserve"> arbeidet i Stortinget. Dette arbeidet </w:t>
      </w:r>
      <w:proofErr w:type="spellStart"/>
      <w:r w:rsidRPr="00B419CE">
        <w:t>startar</w:t>
      </w:r>
      <w:proofErr w:type="spellEnd"/>
      <w:r w:rsidRPr="00B419CE">
        <w:t xml:space="preserve"> </w:t>
      </w:r>
      <w:proofErr w:type="spellStart"/>
      <w:r w:rsidRPr="00B419CE">
        <w:t>hausten</w:t>
      </w:r>
      <w:proofErr w:type="spellEnd"/>
      <w:r w:rsidRPr="00B419CE">
        <w:t xml:space="preserve"> 2021 og blir ført </w:t>
      </w:r>
      <w:proofErr w:type="spellStart"/>
      <w:r w:rsidRPr="00B419CE">
        <w:t>vidare</w:t>
      </w:r>
      <w:proofErr w:type="spellEnd"/>
      <w:r w:rsidRPr="00B419CE">
        <w:t xml:space="preserve"> i 2022.</w:t>
      </w:r>
    </w:p>
    <w:p w14:paraId="5034268C" w14:textId="77777777" w:rsidR="00B419CE" w:rsidRPr="00B419CE" w:rsidRDefault="00B419CE" w:rsidP="00B419CE">
      <w:r w:rsidRPr="00B419CE">
        <w:t xml:space="preserve">For å nå alle målgruppene i formidlingsarbeidet vil administrasjonen arbeide med universell utforming i samsvar med generelle retningslinjer og krav. I digitaliseringa av den parlamentariske saksbehandlinga er dette aktuelt på </w:t>
      </w:r>
      <w:proofErr w:type="spellStart"/>
      <w:r w:rsidRPr="00B419CE">
        <w:t>fleire</w:t>
      </w:r>
      <w:proofErr w:type="spellEnd"/>
      <w:r w:rsidRPr="00B419CE">
        <w:t xml:space="preserve"> område. Arbeidet vil </w:t>
      </w:r>
      <w:proofErr w:type="spellStart"/>
      <w:r w:rsidRPr="00B419CE">
        <w:t>halde</w:t>
      </w:r>
      <w:proofErr w:type="spellEnd"/>
      <w:r w:rsidRPr="00B419CE">
        <w:t xml:space="preserve"> fram i 2022.</w:t>
      </w:r>
    </w:p>
    <w:p w14:paraId="7BB79D13" w14:textId="77777777" w:rsidR="00B419CE" w:rsidRPr="00B419CE" w:rsidRDefault="00B419CE" w:rsidP="00B419CE">
      <w:r w:rsidRPr="00B419CE">
        <w:t xml:space="preserve">Eidsvolls plass er </w:t>
      </w:r>
      <w:proofErr w:type="spellStart"/>
      <w:r w:rsidRPr="00B419CE">
        <w:t>ein</w:t>
      </w:r>
      <w:proofErr w:type="spellEnd"/>
      <w:r w:rsidRPr="00B419CE">
        <w:t xml:space="preserve"> av </w:t>
      </w:r>
      <w:proofErr w:type="spellStart"/>
      <w:r w:rsidRPr="00B419CE">
        <w:t>Noregs</w:t>
      </w:r>
      <w:proofErr w:type="spellEnd"/>
      <w:r w:rsidRPr="00B419CE">
        <w:t xml:space="preserve"> </w:t>
      </w:r>
      <w:proofErr w:type="spellStart"/>
      <w:r w:rsidRPr="00B419CE">
        <w:t>viktigaste</w:t>
      </w:r>
      <w:proofErr w:type="spellEnd"/>
      <w:r w:rsidRPr="00B419CE">
        <w:t xml:space="preserve"> arenaer for ytringsfridom og engasjement. Stortingets administrasjon </w:t>
      </w:r>
      <w:proofErr w:type="spellStart"/>
      <w:r w:rsidRPr="00B419CE">
        <w:t>forvaltar</w:t>
      </w:r>
      <w:proofErr w:type="spellEnd"/>
      <w:r w:rsidRPr="00B419CE">
        <w:t xml:space="preserve"> bruken av plassen og </w:t>
      </w:r>
      <w:proofErr w:type="spellStart"/>
      <w:r w:rsidRPr="00B419CE">
        <w:t>legg</w:t>
      </w:r>
      <w:proofErr w:type="spellEnd"/>
      <w:r w:rsidRPr="00B419CE">
        <w:t xml:space="preserve"> til rette for at det kan </w:t>
      </w:r>
      <w:proofErr w:type="spellStart"/>
      <w:r w:rsidRPr="00B419CE">
        <w:t>haldast</w:t>
      </w:r>
      <w:proofErr w:type="spellEnd"/>
      <w:r w:rsidRPr="00B419CE">
        <w:t xml:space="preserve"> </w:t>
      </w:r>
      <w:proofErr w:type="spellStart"/>
      <w:r w:rsidRPr="00B419CE">
        <w:t>demonstrasjonar</w:t>
      </w:r>
      <w:proofErr w:type="spellEnd"/>
      <w:r w:rsidRPr="00B419CE">
        <w:t xml:space="preserve"> og </w:t>
      </w:r>
      <w:proofErr w:type="spellStart"/>
      <w:r w:rsidRPr="00B419CE">
        <w:t>markeringar</w:t>
      </w:r>
      <w:proofErr w:type="spellEnd"/>
      <w:r w:rsidRPr="00B419CE">
        <w:t xml:space="preserve">. </w:t>
      </w:r>
      <w:proofErr w:type="spellStart"/>
      <w:r w:rsidRPr="00B419CE">
        <w:t>Frå</w:t>
      </w:r>
      <w:proofErr w:type="spellEnd"/>
      <w:r w:rsidRPr="00B419CE">
        <w:t xml:space="preserve"> 2022 vil administrasjonen jobbe </w:t>
      </w:r>
      <w:proofErr w:type="spellStart"/>
      <w:r w:rsidRPr="00B419CE">
        <w:t>vidare</w:t>
      </w:r>
      <w:proofErr w:type="spellEnd"/>
      <w:r w:rsidRPr="00B419CE">
        <w:t xml:space="preserve"> med å forenkle bestillinga av Eidsvolls plass.</w:t>
      </w:r>
    </w:p>
    <w:p w14:paraId="4E11E866" w14:textId="77777777" w:rsidR="00B419CE" w:rsidRPr="00B419CE" w:rsidRDefault="00B419CE" w:rsidP="00B419CE">
      <w:pPr>
        <w:pStyle w:val="avsnitt-tittel"/>
      </w:pPr>
      <w:r w:rsidRPr="00B419CE">
        <w:lastRenderedPageBreak/>
        <w:t xml:space="preserve">Formål 4: Ta vare på Stortingets </w:t>
      </w:r>
      <w:proofErr w:type="spellStart"/>
      <w:r w:rsidRPr="00B419CE">
        <w:t>bygningar</w:t>
      </w:r>
      <w:proofErr w:type="spellEnd"/>
      <w:r w:rsidRPr="00B419CE">
        <w:t xml:space="preserve">, historiske </w:t>
      </w:r>
      <w:proofErr w:type="spellStart"/>
      <w:r w:rsidRPr="00B419CE">
        <w:t>verdiar</w:t>
      </w:r>
      <w:proofErr w:type="spellEnd"/>
      <w:r w:rsidRPr="00B419CE">
        <w:t xml:space="preserve"> og kunst</w:t>
      </w:r>
    </w:p>
    <w:p w14:paraId="200D6CB2" w14:textId="77777777" w:rsidR="00B419CE" w:rsidRPr="00B419CE" w:rsidRDefault="00B419CE" w:rsidP="00B419CE">
      <w:r w:rsidRPr="00B419CE">
        <w:t xml:space="preserve">Reglementet for Stortingets bygge- og </w:t>
      </w:r>
      <w:proofErr w:type="spellStart"/>
      <w:r w:rsidRPr="00B419CE">
        <w:t>leigesaker</w:t>
      </w:r>
      <w:proofErr w:type="spellEnd"/>
      <w:r w:rsidRPr="00B419CE">
        <w:t xml:space="preserve"> skal sikre god saksførebuing og forankring og styring av store byggeprosjekt. Statsbygg skal </w:t>
      </w:r>
      <w:proofErr w:type="spellStart"/>
      <w:r w:rsidRPr="00B419CE">
        <w:t>engasjerast</w:t>
      </w:r>
      <w:proofErr w:type="spellEnd"/>
      <w:r w:rsidRPr="00B419CE">
        <w:t xml:space="preserve"> som </w:t>
      </w:r>
      <w:proofErr w:type="spellStart"/>
      <w:r w:rsidRPr="00B419CE">
        <w:t>rådgivar</w:t>
      </w:r>
      <w:proofErr w:type="spellEnd"/>
      <w:r w:rsidRPr="00B419CE">
        <w:t xml:space="preserve"> i </w:t>
      </w:r>
      <w:proofErr w:type="spellStart"/>
      <w:r w:rsidRPr="00B419CE">
        <w:t>ein</w:t>
      </w:r>
      <w:proofErr w:type="spellEnd"/>
      <w:r w:rsidRPr="00B419CE">
        <w:t xml:space="preserve"> </w:t>
      </w:r>
      <w:proofErr w:type="spellStart"/>
      <w:r w:rsidRPr="00B419CE">
        <w:t>tidleg</w:t>
      </w:r>
      <w:proofErr w:type="spellEnd"/>
      <w:r w:rsidRPr="00B419CE">
        <w:t xml:space="preserve"> fase for </w:t>
      </w:r>
      <w:proofErr w:type="spellStart"/>
      <w:r w:rsidRPr="00B419CE">
        <w:t>moglege</w:t>
      </w:r>
      <w:proofErr w:type="spellEnd"/>
      <w:r w:rsidRPr="00B419CE">
        <w:t xml:space="preserve"> nye prosjekt i 2022.</w:t>
      </w:r>
    </w:p>
    <w:p w14:paraId="3E0FA1C3" w14:textId="77777777" w:rsidR="00B419CE" w:rsidRPr="00B419CE" w:rsidRDefault="00B419CE" w:rsidP="00B419CE">
      <w:proofErr w:type="spellStart"/>
      <w:r w:rsidRPr="00B419CE">
        <w:t>Ein</w:t>
      </w:r>
      <w:proofErr w:type="spellEnd"/>
      <w:r w:rsidRPr="00B419CE">
        <w:t xml:space="preserve"> evalueringsrapport om byggeprosjektet Prinsens gate 26 med læringspunkt for </w:t>
      </w:r>
      <w:proofErr w:type="spellStart"/>
      <w:r w:rsidRPr="00B419CE">
        <w:t>seinare</w:t>
      </w:r>
      <w:proofErr w:type="spellEnd"/>
      <w:r w:rsidRPr="00B419CE">
        <w:t xml:space="preserve"> byggeprosjekt blei lagd fram for Stortinget i 2020. </w:t>
      </w:r>
      <w:proofErr w:type="spellStart"/>
      <w:r w:rsidRPr="00B419CE">
        <w:t>Forbetringspunkta</w:t>
      </w:r>
      <w:proofErr w:type="spellEnd"/>
      <w:r w:rsidRPr="00B419CE">
        <w:t xml:space="preserve"> som </w:t>
      </w:r>
      <w:proofErr w:type="spellStart"/>
      <w:r w:rsidRPr="00B419CE">
        <w:t>ikkje</w:t>
      </w:r>
      <w:proofErr w:type="spellEnd"/>
      <w:r w:rsidRPr="00B419CE">
        <w:t xml:space="preserve"> </w:t>
      </w:r>
      <w:proofErr w:type="spellStart"/>
      <w:r w:rsidRPr="00B419CE">
        <w:t>allereie</w:t>
      </w:r>
      <w:proofErr w:type="spellEnd"/>
      <w:r w:rsidRPr="00B419CE">
        <w:t xml:space="preserve"> er sette i verk, blir </w:t>
      </w:r>
      <w:proofErr w:type="spellStart"/>
      <w:r w:rsidRPr="00B419CE">
        <w:t>følgde</w:t>
      </w:r>
      <w:proofErr w:type="spellEnd"/>
      <w:r w:rsidRPr="00B419CE">
        <w:t xml:space="preserve"> opp </w:t>
      </w:r>
      <w:proofErr w:type="spellStart"/>
      <w:r w:rsidRPr="00B419CE">
        <w:t>vidare</w:t>
      </w:r>
      <w:proofErr w:type="spellEnd"/>
      <w:r w:rsidRPr="00B419CE">
        <w:t xml:space="preserve"> i 2022. Utgreiingsinstruksen og </w:t>
      </w:r>
      <w:proofErr w:type="spellStart"/>
      <w:r w:rsidRPr="00B419CE">
        <w:t>rettleiaren</w:t>
      </w:r>
      <w:proofErr w:type="spellEnd"/>
      <w:r w:rsidRPr="00B419CE">
        <w:t xml:space="preserve"> for store </w:t>
      </w:r>
      <w:proofErr w:type="spellStart"/>
      <w:r w:rsidRPr="00B419CE">
        <w:t>statlege</w:t>
      </w:r>
      <w:proofErr w:type="spellEnd"/>
      <w:r w:rsidRPr="00B419CE">
        <w:t xml:space="preserve"> byggeprosjekt i </w:t>
      </w:r>
      <w:proofErr w:type="spellStart"/>
      <w:r w:rsidRPr="00B419CE">
        <w:t>tidleg</w:t>
      </w:r>
      <w:proofErr w:type="spellEnd"/>
      <w:r w:rsidRPr="00B419CE">
        <w:t xml:space="preserve"> fase skal </w:t>
      </w:r>
      <w:proofErr w:type="spellStart"/>
      <w:r w:rsidRPr="00B419CE">
        <w:t>leggast</w:t>
      </w:r>
      <w:proofErr w:type="spellEnd"/>
      <w:r w:rsidRPr="00B419CE">
        <w:t xml:space="preserve"> til grunn i </w:t>
      </w:r>
      <w:proofErr w:type="spellStart"/>
      <w:r w:rsidRPr="00B419CE">
        <w:t>utgreiingar</w:t>
      </w:r>
      <w:proofErr w:type="spellEnd"/>
      <w:r w:rsidRPr="00B419CE">
        <w:t xml:space="preserve"> i 2022 for å sikre </w:t>
      </w:r>
      <w:proofErr w:type="spellStart"/>
      <w:r w:rsidRPr="00B419CE">
        <w:t>brukarinvolvering</w:t>
      </w:r>
      <w:proofErr w:type="spellEnd"/>
      <w:r w:rsidRPr="00B419CE">
        <w:t xml:space="preserve"> og </w:t>
      </w:r>
      <w:proofErr w:type="spellStart"/>
      <w:r w:rsidRPr="00B419CE">
        <w:t>tilstrekkeleg</w:t>
      </w:r>
      <w:proofErr w:type="spellEnd"/>
      <w:r w:rsidRPr="00B419CE">
        <w:t xml:space="preserve"> </w:t>
      </w:r>
      <w:proofErr w:type="spellStart"/>
      <w:r w:rsidRPr="00B419CE">
        <w:t>modenheit</w:t>
      </w:r>
      <w:proofErr w:type="spellEnd"/>
      <w:r w:rsidRPr="00B419CE">
        <w:t xml:space="preserve"> i byggeprosjekta. Dette </w:t>
      </w:r>
      <w:proofErr w:type="spellStart"/>
      <w:r w:rsidRPr="00B419CE">
        <w:t>gjeld</w:t>
      </w:r>
      <w:proofErr w:type="spellEnd"/>
      <w:r w:rsidRPr="00B419CE">
        <w:t xml:space="preserve"> mellom anna for prosjekt som er knytte til ei </w:t>
      </w:r>
      <w:proofErr w:type="spellStart"/>
      <w:r w:rsidRPr="00B419CE">
        <w:t>mogleg</w:t>
      </w:r>
      <w:proofErr w:type="spellEnd"/>
      <w:r w:rsidRPr="00B419CE">
        <w:t xml:space="preserve"> oppgradering av tilbygget mot Akersgata, og større prosjekt for utskifting av ventilasjon og </w:t>
      </w:r>
      <w:proofErr w:type="spellStart"/>
      <w:r w:rsidRPr="00B419CE">
        <w:t>annan</w:t>
      </w:r>
      <w:proofErr w:type="spellEnd"/>
      <w:r w:rsidRPr="00B419CE">
        <w:t xml:space="preserve"> teknisk infrastruktur i stortingsbygningen og andre </w:t>
      </w:r>
      <w:proofErr w:type="spellStart"/>
      <w:r w:rsidRPr="00B419CE">
        <w:t>bygningar</w:t>
      </w:r>
      <w:proofErr w:type="spellEnd"/>
      <w:r w:rsidRPr="00B419CE">
        <w:t xml:space="preserve">. </w:t>
      </w:r>
      <w:proofErr w:type="spellStart"/>
      <w:r w:rsidRPr="00B419CE">
        <w:t>Eit</w:t>
      </w:r>
      <w:proofErr w:type="spellEnd"/>
      <w:r w:rsidRPr="00B419CE">
        <w:t xml:space="preserve"> arbeid med ombygging av Akersgata 21 for å oppnå moderne og funksjonelle areal er i gang. Arbeidet med å utvikle </w:t>
      </w:r>
      <w:proofErr w:type="spellStart"/>
      <w:r w:rsidRPr="00B419CE">
        <w:t>vidare</w:t>
      </w:r>
      <w:proofErr w:type="spellEnd"/>
      <w:r w:rsidRPr="00B419CE">
        <w:t xml:space="preserve"> Stortingets prosjektmodell og etablering av </w:t>
      </w:r>
      <w:proofErr w:type="spellStart"/>
      <w:r w:rsidRPr="00B419CE">
        <w:t>ein</w:t>
      </w:r>
      <w:proofErr w:type="spellEnd"/>
      <w:r w:rsidRPr="00B419CE">
        <w:t xml:space="preserve"> samarbeidsavtale med Statsbygg når Statsbygg skal </w:t>
      </w:r>
      <w:proofErr w:type="spellStart"/>
      <w:r w:rsidRPr="00B419CE">
        <w:t>vere</w:t>
      </w:r>
      <w:proofErr w:type="spellEnd"/>
      <w:r w:rsidRPr="00B419CE">
        <w:t xml:space="preserve"> byggherre, vil bidra til </w:t>
      </w:r>
      <w:proofErr w:type="spellStart"/>
      <w:r w:rsidRPr="00B419CE">
        <w:t>ytterlegare</w:t>
      </w:r>
      <w:proofErr w:type="spellEnd"/>
      <w:r w:rsidRPr="00B419CE">
        <w:t xml:space="preserve"> å sikre at prosjekt når </w:t>
      </w:r>
      <w:proofErr w:type="spellStart"/>
      <w:r w:rsidRPr="00B419CE">
        <w:t>dei</w:t>
      </w:r>
      <w:proofErr w:type="spellEnd"/>
      <w:r w:rsidRPr="00B419CE">
        <w:t xml:space="preserve"> strategiske måla og blir styrte i samsvar med beste praksis.</w:t>
      </w:r>
    </w:p>
    <w:p w14:paraId="78BD790C" w14:textId="77777777" w:rsidR="00B419CE" w:rsidRPr="00B419CE" w:rsidRDefault="00B419CE" w:rsidP="00B419CE">
      <w:r w:rsidRPr="00B419CE">
        <w:t xml:space="preserve">Utviklinga av den parlamentariske </w:t>
      </w:r>
      <w:proofErr w:type="spellStart"/>
      <w:r w:rsidRPr="00B419CE">
        <w:t>verksemda</w:t>
      </w:r>
      <w:proofErr w:type="spellEnd"/>
      <w:r w:rsidRPr="00B419CE">
        <w:t xml:space="preserve"> med endra arbeidsformer og større grad av digitalisering kan </w:t>
      </w:r>
      <w:proofErr w:type="spellStart"/>
      <w:r w:rsidRPr="00B419CE">
        <w:t>påverke</w:t>
      </w:r>
      <w:proofErr w:type="spellEnd"/>
      <w:r w:rsidRPr="00B419CE">
        <w:t xml:space="preserve"> arealbehovet. Dette blir </w:t>
      </w:r>
      <w:proofErr w:type="spellStart"/>
      <w:r w:rsidRPr="00B419CE">
        <w:t>vidare</w:t>
      </w:r>
      <w:proofErr w:type="spellEnd"/>
      <w:r w:rsidRPr="00B419CE">
        <w:t xml:space="preserve"> greidd ut i 2022. Bruken av det samla arealet sett opp mot behovet skal </w:t>
      </w:r>
      <w:proofErr w:type="spellStart"/>
      <w:r w:rsidRPr="00B419CE">
        <w:t>kartleggast</w:t>
      </w:r>
      <w:proofErr w:type="spellEnd"/>
      <w:r w:rsidRPr="00B419CE">
        <w:t xml:space="preserve"> for å sikre at lokala </w:t>
      </w:r>
      <w:proofErr w:type="spellStart"/>
      <w:r w:rsidRPr="00B419CE">
        <w:t>støttar</w:t>
      </w:r>
      <w:proofErr w:type="spellEnd"/>
      <w:r w:rsidRPr="00B419CE">
        <w:t xml:space="preserve"> opp under </w:t>
      </w:r>
      <w:proofErr w:type="spellStart"/>
      <w:r w:rsidRPr="00B419CE">
        <w:t>verksemda</w:t>
      </w:r>
      <w:proofErr w:type="spellEnd"/>
      <w:r w:rsidRPr="00B419CE">
        <w:t xml:space="preserve"> framover. Behova blir lagde til grunn i </w:t>
      </w:r>
      <w:proofErr w:type="spellStart"/>
      <w:r w:rsidRPr="00B419CE">
        <w:t>dei</w:t>
      </w:r>
      <w:proofErr w:type="spellEnd"/>
      <w:r w:rsidRPr="00B419CE">
        <w:t xml:space="preserve"> langsiktige </w:t>
      </w:r>
      <w:proofErr w:type="spellStart"/>
      <w:r w:rsidRPr="00B419CE">
        <w:t>planane</w:t>
      </w:r>
      <w:proofErr w:type="spellEnd"/>
      <w:r w:rsidRPr="00B419CE">
        <w:t xml:space="preserve"> for </w:t>
      </w:r>
      <w:proofErr w:type="spellStart"/>
      <w:r w:rsidRPr="00B419CE">
        <w:t>investeringar</w:t>
      </w:r>
      <w:proofErr w:type="spellEnd"/>
      <w:r w:rsidRPr="00B419CE">
        <w:t xml:space="preserve"> og </w:t>
      </w:r>
      <w:proofErr w:type="spellStart"/>
      <w:r w:rsidRPr="00B419CE">
        <w:t>vedlikehald</w:t>
      </w:r>
      <w:proofErr w:type="spellEnd"/>
      <w:r w:rsidRPr="00B419CE">
        <w:t>.</w:t>
      </w:r>
    </w:p>
    <w:p w14:paraId="17D9BEF1" w14:textId="77777777" w:rsidR="00B419CE" w:rsidRPr="00B419CE" w:rsidRDefault="00B419CE" w:rsidP="00B419CE">
      <w:r w:rsidRPr="00B419CE">
        <w:t xml:space="preserve">Planverket for forvaltning og evakuering av kunst og historiske </w:t>
      </w:r>
      <w:proofErr w:type="spellStart"/>
      <w:r w:rsidRPr="00B419CE">
        <w:t>gjenstandar</w:t>
      </w:r>
      <w:proofErr w:type="spellEnd"/>
      <w:r w:rsidRPr="00B419CE">
        <w:t xml:space="preserve"> blir </w:t>
      </w:r>
      <w:proofErr w:type="spellStart"/>
      <w:r w:rsidRPr="00B419CE">
        <w:t>løpande</w:t>
      </w:r>
      <w:proofErr w:type="spellEnd"/>
      <w:r w:rsidRPr="00B419CE">
        <w:t xml:space="preserve"> oppdatert og utvikla </w:t>
      </w:r>
      <w:proofErr w:type="spellStart"/>
      <w:r w:rsidRPr="00B419CE">
        <w:t>vidare</w:t>
      </w:r>
      <w:proofErr w:type="spellEnd"/>
      <w:r w:rsidRPr="00B419CE">
        <w:t xml:space="preserve">. Det er i 2022 lagt opp til ei systematisk vurdering av kunstsamlinga med tanke på behovet for konservering og </w:t>
      </w:r>
      <w:proofErr w:type="spellStart"/>
      <w:r w:rsidRPr="00B419CE">
        <w:t>vedlikehald</w:t>
      </w:r>
      <w:proofErr w:type="spellEnd"/>
      <w:r w:rsidRPr="00B419CE">
        <w:t>.</w:t>
      </w:r>
    </w:p>
    <w:p w14:paraId="177EE783" w14:textId="77777777" w:rsidR="00B419CE" w:rsidRPr="00B419CE" w:rsidRDefault="00B419CE" w:rsidP="00B419CE">
      <w:pPr>
        <w:pStyle w:val="Undertittel"/>
      </w:pPr>
      <w:r w:rsidRPr="00B419CE">
        <w:t>Budsjett for 2022</w:t>
      </w:r>
    </w:p>
    <w:p w14:paraId="7A845CC3" w14:textId="77777777" w:rsidR="00B419CE" w:rsidRPr="00B419CE" w:rsidRDefault="00B419CE" w:rsidP="00B419CE">
      <w:r w:rsidRPr="00B419CE">
        <w:t xml:space="preserve">Stortingets administrasjon jobbar aktivt med effektivisering og betre kostnadskontroll, </w:t>
      </w:r>
      <w:proofErr w:type="spellStart"/>
      <w:r w:rsidRPr="00B419CE">
        <w:t>noko</w:t>
      </w:r>
      <w:proofErr w:type="spellEnd"/>
      <w:r w:rsidRPr="00B419CE">
        <w:t xml:space="preserve"> som vil prege budsjettet og ressursbruken òg i 2022. Stortinget held fram med å gjennomføre effektiviseringskutta på driftsposten sin som statsforvaltninga </w:t>
      </w:r>
      <w:proofErr w:type="spellStart"/>
      <w:r w:rsidRPr="00B419CE">
        <w:t>gjer</w:t>
      </w:r>
      <w:proofErr w:type="spellEnd"/>
      <w:r w:rsidRPr="00B419CE">
        <w:t xml:space="preserve">. Løyvinga skal brukast i samsvar med måla og </w:t>
      </w:r>
      <w:proofErr w:type="spellStart"/>
      <w:r w:rsidRPr="00B419CE">
        <w:t>prioriteringane</w:t>
      </w:r>
      <w:proofErr w:type="spellEnd"/>
      <w:r w:rsidRPr="00B419CE">
        <w:t xml:space="preserve"> som er omtalte over, jf. Mål og </w:t>
      </w:r>
      <w:proofErr w:type="spellStart"/>
      <w:r w:rsidRPr="00B419CE">
        <w:t>prioriteringar</w:t>
      </w:r>
      <w:proofErr w:type="spellEnd"/>
      <w:r w:rsidRPr="00B419CE">
        <w:t xml:space="preserve"> i 2022. Løyvinga blir fordelt på </w:t>
      </w:r>
      <w:proofErr w:type="spellStart"/>
      <w:r w:rsidRPr="00B419CE">
        <w:t>desse</w:t>
      </w:r>
      <w:proofErr w:type="spellEnd"/>
      <w:r w:rsidRPr="00B419CE">
        <w:t xml:space="preserve"> </w:t>
      </w:r>
      <w:proofErr w:type="spellStart"/>
      <w:r w:rsidRPr="00B419CE">
        <w:t>postane</w:t>
      </w:r>
      <w:proofErr w:type="spellEnd"/>
      <w:r w:rsidRPr="00B419CE">
        <w:t>:</w:t>
      </w:r>
    </w:p>
    <w:p w14:paraId="42E78C51" w14:textId="77777777" w:rsidR="00B419CE" w:rsidRPr="00B419CE" w:rsidRDefault="00B419CE" w:rsidP="00B419CE">
      <w:pPr>
        <w:pStyle w:val="b-post"/>
      </w:pPr>
      <w:r w:rsidRPr="00B419CE">
        <w:t>Post 01 Driftsutgifter</w:t>
      </w:r>
    </w:p>
    <w:p w14:paraId="47FED36C"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godtgjersler</w:t>
      </w:r>
      <w:proofErr w:type="spellEnd"/>
      <w:r w:rsidRPr="00B419CE">
        <w:t xml:space="preserve"> for </w:t>
      </w:r>
      <w:proofErr w:type="spellStart"/>
      <w:r w:rsidRPr="00B419CE">
        <w:t>stortingsrepresentantar</w:t>
      </w:r>
      <w:proofErr w:type="spellEnd"/>
      <w:r w:rsidRPr="00B419CE">
        <w:t xml:space="preserve">, lønn for </w:t>
      </w:r>
      <w:proofErr w:type="gramStart"/>
      <w:r w:rsidRPr="00B419CE">
        <w:t>tilsette</w:t>
      </w:r>
      <w:proofErr w:type="gramEnd"/>
      <w:r w:rsidRPr="00B419CE">
        <w:t xml:space="preserve"> og utgifter til kjøp av varer og </w:t>
      </w:r>
      <w:proofErr w:type="spellStart"/>
      <w:r w:rsidRPr="00B419CE">
        <w:t>tenester</w:t>
      </w:r>
      <w:proofErr w:type="spellEnd"/>
      <w:r w:rsidRPr="00B419CE">
        <w:t xml:space="preserve">. Stortingets administrasjon har lagt til grunn </w:t>
      </w:r>
      <w:proofErr w:type="spellStart"/>
      <w:r w:rsidRPr="00B419CE">
        <w:t>ein</w:t>
      </w:r>
      <w:proofErr w:type="spellEnd"/>
      <w:r w:rsidRPr="00B419CE">
        <w:t xml:space="preserve"> vekst i lønn og </w:t>
      </w:r>
      <w:proofErr w:type="spellStart"/>
      <w:r w:rsidRPr="00B419CE">
        <w:t>godtgjersle</w:t>
      </w:r>
      <w:proofErr w:type="spellEnd"/>
      <w:r w:rsidRPr="00B419CE">
        <w:t xml:space="preserve"> på 2,7 prosent i 2022. For 2022 er det lagt inn 0,6 prosent i effektiviseringskutt. I tillegg vil kuttet på 10 </w:t>
      </w:r>
      <w:proofErr w:type="spellStart"/>
      <w:r w:rsidRPr="00B419CE">
        <w:t>millionar</w:t>
      </w:r>
      <w:proofErr w:type="spellEnd"/>
      <w:r w:rsidRPr="00B419CE">
        <w:t xml:space="preserve"> kroner i 2021 </w:t>
      </w:r>
      <w:proofErr w:type="spellStart"/>
      <w:r w:rsidRPr="00B419CE">
        <w:t>vidareførast</w:t>
      </w:r>
      <w:proofErr w:type="spellEnd"/>
      <w:r w:rsidRPr="00B419CE">
        <w:t>.</w:t>
      </w:r>
    </w:p>
    <w:p w14:paraId="1601A177" w14:textId="77777777" w:rsidR="00B419CE" w:rsidRPr="00B419CE" w:rsidRDefault="00B419CE" w:rsidP="00B419CE">
      <w:r w:rsidRPr="00B419CE">
        <w:t xml:space="preserve">For 2022 ber </w:t>
      </w:r>
      <w:proofErr w:type="spellStart"/>
      <w:r w:rsidRPr="00B419CE">
        <w:t>ein</w:t>
      </w:r>
      <w:proofErr w:type="spellEnd"/>
      <w:r w:rsidRPr="00B419CE">
        <w:t xml:space="preserve"> om fullmakt til å overskride løyvinga under kap. 41, post 01 </w:t>
      </w:r>
      <w:r w:rsidRPr="00B419CE">
        <w:rPr>
          <w:rStyle w:val="kursiv"/>
        </w:rPr>
        <w:t>Driftsutgifter,</w:t>
      </w:r>
      <w:r w:rsidRPr="00B419CE">
        <w:t xml:space="preserve"> mot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3041, post 01 </w:t>
      </w:r>
      <w:proofErr w:type="spellStart"/>
      <w:r w:rsidRPr="00B419CE">
        <w:rPr>
          <w:rStyle w:val="kursiv"/>
        </w:rPr>
        <w:t>Salsinntekter</w:t>
      </w:r>
      <w:proofErr w:type="spellEnd"/>
      <w:r w:rsidRPr="00B419CE">
        <w:t xml:space="preserve">, jf. framlegg til </w:t>
      </w:r>
      <w:proofErr w:type="spellStart"/>
      <w:r w:rsidRPr="00B419CE">
        <w:t>romartalsvedtak</w:t>
      </w:r>
      <w:proofErr w:type="spellEnd"/>
      <w:r w:rsidRPr="00B419CE">
        <w:t xml:space="preserve"> II.1.</w:t>
      </w:r>
    </w:p>
    <w:p w14:paraId="579C13CB" w14:textId="618531A1" w:rsidR="00B419CE" w:rsidRPr="00B419CE" w:rsidRDefault="00B419CE" w:rsidP="00B419CE">
      <w:pPr>
        <w:pStyle w:val="b-post"/>
      </w:pPr>
      <w:r w:rsidRPr="00B419CE">
        <w:lastRenderedPageBreak/>
        <w:t xml:space="preserve">Post 21 Spesielle driftsutgifter, kan </w:t>
      </w:r>
      <w:proofErr w:type="spellStart"/>
      <w:r w:rsidRPr="00B419CE">
        <w:t>overførast</w:t>
      </w:r>
      <w:proofErr w:type="spellEnd"/>
    </w:p>
    <w:p w14:paraId="19B02A1D" w14:textId="77777777" w:rsidR="00B419CE" w:rsidRPr="00B419CE" w:rsidRDefault="00B419CE" w:rsidP="00B419CE">
      <w:r w:rsidRPr="00B419CE">
        <w:t xml:space="preserve">I </w:t>
      </w:r>
      <w:proofErr w:type="spellStart"/>
      <w:r w:rsidRPr="00B419CE">
        <w:t>Innst</w:t>
      </w:r>
      <w:proofErr w:type="spellEnd"/>
      <w:r w:rsidRPr="00B419CE">
        <w:t xml:space="preserve">. 271 S (2018–2019) blei det varsla at det skulle </w:t>
      </w:r>
      <w:proofErr w:type="spellStart"/>
      <w:r w:rsidRPr="00B419CE">
        <w:t>settast</w:t>
      </w:r>
      <w:proofErr w:type="spellEnd"/>
      <w:r w:rsidRPr="00B419CE">
        <w:t xml:space="preserve"> ned </w:t>
      </w:r>
      <w:proofErr w:type="spellStart"/>
      <w:r w:rsidRPr="00B419CE">
        <w:t>eit</w:t>
      </w:r>
      <w:proofErr w:type="spellEnd"/>
      <w:r w:rsidRPr="00B419CE">
        <w:t xml:space="preserve"> </w:t>
      </w:r>
      <w:proofErr w:type="spellStart"/>
      <w:r w:rsidRPr="00B419CE">
        <w:t>utval</w:t>
      </w:r>
      <w:proofErr w:type="spellEnd"/>
      <w:r w:rsidRPr="00B419CE">
        <w:t xml:space="preserve"> som skulle evaluere lov om Riksrevisjonen og </w:t>
      </w:r>
      <w:proofErr w:type="spellStart"/>
      <w:r w:rsidRPr="00B419CE">
        <w:t>verksemda</w:t>
      </w:r>
      <w:proofErr w:type="spellEnd"/>
      <w:r w:rsidRPr="00B419CE">
        <w:t xml:space="preserve"> til Riksrevisjonen. Til </w:t>
      </w:r>
      <w:proofErr w:type="spellStart"/>
      <w:r w:rsidRPr="00B419CE">
        <w:t>utvalsarbeidet</w:t>
      </w:r>
      <w:proofErr w:type="spellEnd"/>
      <w:r w:rsidRPr="00B419CE">
        <w:t xml:space="preserve"> blei det foreslått ei løyving på 3,6 </w:t>
      </w:r>
      <w:proofErr w:type="spellStart"/>
      <w:r w:rsidRPr="00B419CE">
        <w:t>millionar</w:t>
      </w:r>
      <w:proofErr w:type="spellEnd"/>
      <w:r w:rsidRPr="00B419CE">
        <w:t xml:space="preserve"> kroner for 2021. Nedsettinga av </w:t>
      </w:r>
      <w:proofErr w:type="spellStart"/>
      <w:r w:rsidRPr="00B419CE">
        <w:t>utvalet</w:t>
      </w:r>
      <w:proofErr w:type="spellEnd"/>
      <w:r w:rsidRPr="00B419CE">
        <w:t xml:space="preserve"> blei utsett til etter at rapporten </w:t>
      </w:r>
      <w:proofErr w:type="spellStart"/>
      <w:r w:rsidRPr="00B419CE">
        <w:t>frå</w:t>
      </w:r>
      <w:proofErr w:type="spellEnd"/>
      <w:r w:rsidRPr="00B419CE">
        <w:t xml:space="preserve"> </w:t>
      </w:r>
      <w:proofErr w:type="spellStart"/>
      <w:r w:rsidRPr="00B419CE">
        <w:t>utvalet</w:t>
      </w:r>
      <w:proofErr w:type="spellEnd"/>
      <w:r w:rsidRPr="00B419CE">
        <w:t xml:space="preserve"> for å greie ut Stortingets kontrollfunksjon, om spørsmål som </w:t>
      </w:r>
      <w:proofErr w:type="spellStart"/>
      <w:r w:rsidRPr="00B419CE">
        <w:t>gjeld</w:t>
      </w:r>
      <w:proofErr w:type="spellEnd"/>
      <w:r w:rsidRPr="00B419CE">
        <w:t xml:space="preserve"> Riksrevisjonen (</w:t>
      </w:r>
      <w:proofErr w:type="spellStart"/>
      <w:r w:rsidRPr="00B419CE">
        <w:t>Harberg-utvalet</w:t>
      </w:r>
      <w:proofErr w:type="spellEnd"/>
      <w:r w:rsidRPr="00B419CE">
        <w:t xml:space="preserve">), blei lagd fram, og </w:t>
      </w:r>
      <w:proofErr w:type="spellStart"/>
      <w:r w:rsidRPr="00B419CE">
        <w:t>utvalet</w:t>
      </w:r>
      <w:proofErr w:type="spellEnd"/>
      <w:r w:rsidRPr="00B419CE">
        <w:t xml:space="preserve"> blei først </w:t>
      </w:r>
      <w:proofErr w:type="spellStart"/>
      <w:r w:rsidRPr="00B419CE">
        <w:t>oppnemnt</w:t>
      </w:r>
      <w:proofErr w:type="spellEnd"/>
      <w:r w:rsidRPr="00B419CE">
        <w:t xml:space="preserve"> våren 2021, jf. </w:t>
      </w:r>
      <w:proofErr w:type="spellStart"/>
      <w:r w:rsidRPr="00B419CE">
        <w:t>Innst</w:t>
      </w:r>
      <w:proofErr w:type="spellEnd"/>
      <w:r w:rsidRPr="00B419CE">
        <w:t xml:space="preserve">. 341 S (2020–2021). </w:t>
      </w:r>
      <w:proofErr w:type="spellStart"/>
      <w:r w:rsidRPr="00B419CE">
        <w:t>Utvalet</w:t>
      </w:r>
      <w:proofErr w:type="spellEnd"/>
      <w:r w:rsidRPr="00B419CE">
        <w:t xml:space="preserve"> skal starte arbeidet </w:t>
      </w:r>
      <w:proofErr w:type="spellStart"/>
      <w:r w:rsidRPr="00B419CE">
        <w:t>hausten</w:t>
      </w:r>
      <w:proofErr w:type="spellEnd"/>
      <w:r w:rsidRPr="00B419CE">
        <w:t xml:space="preserve"> 2021 og levere rapport </w:t>
      </w:r>
      <w:proofErr w:type="spellStart"/>
      <w:r w:rsidRPr="00B419CE">
        <w:t>innan</w:t>
      </w:r>
      <w:proofErr w:type="spellEnd"/>
      <w:r w:rsidRPr="00B419CE">
        <w:t xml:space="preserve"> 1. september 2023. Den ubrukte løyvinga for 2021 blir overført til 2022. For 2022 er det ført opp ei løyving på 2,4 </w:t>
      </w:r>
      <w:proofErr w:type="spellStart"/>
      <w:r w:rsidRPr="00B419CE">
        <w:t>millionar</w:t>
      </w:r>
      <w:proofErr w:type="spellEnd"/>
      <w:r w:rsidRPr="00B419CE">
        <w:t xml:space="preserve"> kroner. Samla sett er det lagt til grunn </w:t>
      </w:r>
      <w:proofErr w:type="spellStart"/>
      <w:r w:rsidRPr="00B419CE">
        <w:t>eit</w:t>
      </w:r>
      <w:proofErr w:type="spellEnd"/>
      <w:r w:rsidRPr="00B419CE">
        <w:t xml:space="preserve"> budsjett på 8,5 </w:t>
      </w:r>
      <w:proofErr w:type="spellStart"/>
      <w:r w:rsidRPr="00B419CE">
        <w:t>millionar</w:t>
      </w:r>
      <w:proofErr w:type="spellEnd"/>
      <w:r w:rsidRPr="00B419CE">
        <w:t xml:space="preserve"> kroner for </w:t>
      </w:r>
      <w:proofErr w:type="spellStart"/>
      <w:r w:rsidRPr="00B419CE">
        <w:t>utvalet</w:t>
      </w:r>
      <w:proofErr w:type="spellEnd"/>
      <w:r w:rsidRPr="00B419CE">
        <w:t>.</w:t>
      </w:r>
    </w:p>
    <w:p w14:paraId="164C6C6F" w14:textId="77777777" w:rsidR="00B419CE" w:rsidRPr="00B419CE" w:rsidRDefault="00B419CE" w:rsidP="00B419CE">
      <w:pPr>
        <w:pStyle w:val="b-post"/>
      </w:pPr>
      <w:r w:rsidRPr="00B419CE">
        <w:t xml:space="preserve">Post 45 Større utstyrskjøp og </w:t>
      </w:r>
      <w:proofErr w:type="spellStart"/>
      <w:r w:rsidRPr="00B419CE">
        <w:t>vedlikehald</w:t>
      </w:r>
      <w:proofErr w:type="spellEnd"/>
      <w:r w:rsidRPr="00B419CE">
        <w:t xml:space="preserve">, kan </w:t>
      </w:r>
      <w:proofErr w:type="spellStart"/>
      <w:r w:rsidRPr="00B419CE">
        <w:t>overførast</w:t>
      </w:r>
      <w:proofErr w:type="spellEnd"/>
    </w:p>
    <w:p w14:paraId="0CE8A642" w14:textId="77777777" w:rsidR="00B419CE" w:rsidRPr="00B419CE" w:rsidRDefault="00B419CE" w:rsidP="00B419CE">
      <w:r w:rsidRPr="00B419CE">
        <w:t xml:space="preserve">Løyvinga over posten er knytt til forvaltning, drift, </w:t>
      </w:r>
      <w:proofErr w:type="spellStart"/>
      <w:r w:rsidRPr="00B419CE">
        <w:t>vedlikehald</w:t>
      </w:r>
      <w:proofErr w:type="spellEnd"/>
      <w:r w:rsidRPr="00B419CE">
        <w:t xml:space="preserve"> og utvikling av bygningsmassen, </w:t>
      </w:r>
      <w:proofErr w:type="spellStart"/>
      <w:r w:rsidRPr="00B419CE">
        <w:t>investeringar</w:t>
      </w:r>
      <w:proofErr w:type="spellEnd"/>
      <w:r w:rsidRPr="00B419CE">
        <w:t xml:space="preserve"> </w:t>
      </w:r>
      <w:proofErr w:type="spellStart"/>
      <w:r w:rsidRPr="00B419CE">
        <w:t>innan</w:t>
      </w:r>
      <w:proofErr w:type="spellEnd"/>
      <w:r w:rsidRPr="00B419CE">
        <w:t xml:space="preserve"> IT og andre </w:t>
      </w:r>
      <w:proofErr w:type="spellStart"/>
      <w:r w:rsidRPr="00B419CE">
        <w:t>investeringar</w:t>
      </w:r>
      <w:proofErr w:type="spellEnd"/>
      <w:r w:rsidRPr="00B419CE">
        <w:t xml:space="preserve"> i utviklingstiltak. </w:t>
      </w:r>
      <w:proofErr w:type="spellStart"/>
      <w:r w:rsidRPr="00B419CE">
        <w:t>Ein</w:t>
      </w:r>
      <w:proofErr w:type="spellEnd"/>
      <w:r w:rsidRPr="00B419CE">
        <w:t xml:space="preserve"> langsiktig plan for </w:t>
      </w:r>
      <w:proofErr w:type="spellStart"/>
      <w:r w:rsidRPr="00B419CE">
        <w:t>investeringar</w:t>
      </w:r>
      <w:proofErr w:type="spellEnd"/>
      <w:r w:rsidRPr="00B419CE">
        <w:t xml:space="preserve"> og </w:t>
      </w:r>
      <w:proofErr w:type="spellStart"/>
      <w:r w:rsidRPr="00B419CE">
        <w:t>vedlikehald</w:t>
      </w:r>
      <w:proofErr w:type="spellEnd"/>
      <w:r w:rsidRPr="00B419CE">
        <w:t xml:space="preserve"> i bygningsmassen skal </w:t>
      </w:r>
      <w:proofErr w:type="spellStart"/>
      <w:r w:rsidRPr="00B419CE">
        <w:t>utviklast</w:t>
      </w:r>
      <w:proofErr w:type="spellEnd"/>
      <w:r w:rsidRPr="00B419CE">
        <w:t xml:space="preserve"> </w:t>
      </w:r>
      <w:proofErr w:type="spellStart"/>
      <w:r w:rsidRPr="00B419CE">
        <w:t>vidare</w:t>
      </w:r>
      <w:proofErr w:type="spellEnd"/>
      <w:r w:rsidRPr="00B419CE">
        <w:t xml:space="preserve"> på bakgrunn av endra behov og </w:t>
      </w:r>
      <w:proofErr w:type="spellStart"/>
      <w:r w:rsidRPr="00B419CE">
        <w:t>dannar</w:t>
      </w:r>
      <w:proofErr w:type="spellEnd"/>
      <w:r w:rsidRPr="00B419CE">
        <w:t xml:space="preserve"> grunnlag for prioritering av bygningsmessige tiltak </w:t>
      </w:r>
      <w:proofErr w:type="spellStart"/>
      <w:r w:rsidRPr="00B419CE">
        <w:t>innanfor</w:t>
      </w:r>
      <w:proofErr w:type="spellEnd"/>
      <w:r w:rsidRPr="00B419CE">
        <w:t xml:space="preserve"> </w:t>
      </w:r>
      <w:proofErr w:type="spellStart"/>
      <w:r w:rsidRPr="00B419CE">
        <w:t>dei</w:t>
      </w:r>
      <w:proofErr w:type="spellEnd"/>
      <w:r w:rsidRPr="00B419CE">
        <w:t xml:space="preserve"> </w:t>
      </w:r>
      <w:proofErr w:type="spellStart"/>
      <w:r w:rsidRPr="00B419CE">
        <w:t>gjeldande</w:t>
      </w:r>
      <w:proofErr w:type="spellEnd"/>
      <w:r w:rsidRPr="00B419CE">
        <w:t xml:space="preserve"> budsjettrammene i 2022.</w:t>
      </w:r>
    </w:p>
    <w:p w14:paraId="543EF3D6" w14:textId="77777777" w:rsidR="00B419CE" w:rsidRPr="00B419CE" w:rsidRDefault="00B419CE" w:rsidP="00B419CE">
      <w:r w:rsidRPr="00B419CE">
        <w:t xml:space="preserve">På IT-området er </w:t>
      </w:r>
      <w:proofErr w:type="spellStart"/>
      <w:r w:rsidRPr="00B419CE">
        <w:t>investeringane</w:t>
      </w:r>
      <w:proofErr w:type="spellEnd"/>
      <w:r w:rsidRPr="00B419CE">
        <w:t xml:space="preserve"> delte inn i </w:t>
      </w:r>
      <w:proofErr w:type="spellStart"/>
      <w:r w:rsidRPr="00B419CE">
        <w:t>basisaktivitetar</w:t>
      </w:r>
      <w:proofErr w:type="spellEnd"/>
      <w:r w:rsidRPr="00B419CE">
        <w:t xml:space="preserve"> som blir utførte </w:t>
      </w:r>
      <w:proofErr w:type="spellStart"/>
      <w:r w:rsidRPr="00B419CE">
        <w:t>årleg</w:t>
      </w:r>
      <w:proofErr w:type="spellEnd"/>
      <w:r w:rsidRPr="00B419CE">
        <w:t xml:space="preserve">, og større </w:t>
      </w:r>
      <w:proofErr w:type="spellStart"/>
      <w:r w:rsidRPr="00B419CE">
        <w:t>aktivitetar</w:t>
      </w:r>
      <w:proofErr w:type="spellEnd"/>
      <w:r w:rsidRPr="00B419CE">
        <w:t xml:space="preserve"> som blir utførte med sykliske mellomrom. Av større </w:t>
      </w:r>
      <w:proofErr w:type="spellStart"/>
      <w:r w:rsidRPr="00B419CE">
        <w:t>aktivitetar</w:t>
      </w:r>
      <w:proofErr w:type="spellEnd"/>
      <w:r w:rsidRPr="00B419CE">
        <w:t xml:space="preserve"> kan prosjektet for digitalisering av den parlamentariske saksbehandlinga </w:t>
      </w:r>
      <w:proofErr w:type="spellStart"/>
      <w:r w:rsidRPr="00B419CE">
        <w:t>nemnast</w:t>
      </w:r>
      <w:proofErr w:type="spellEnd"/>
      <w:r w:rsidRPr="00B419CE">
        <w:t xml:space="preserve">. For 2022 </w:t>
      </w:r>
      <w:proofErr w:type="spellStart"/>
      <w:r w:rsidRPr="00B419CE">
        <w:t>utgjer</w:t>
      </w:r>
      <w:proofErr w:type="spellEnd"/>
      <w:r w:rsidRPr="00B419CE">
        <w:t xml:space="preserve"> dette prosjektet om lag 30 </w:t>
      </w:r>
      <w:proofErr w:type="spellStart"/>
      <w:r w:rsidRPr="00B419CE">
        <w:t>millionar</w:t>
      </w:r>
      <w:proofErr w:type="spellEnd"/>
      <w:r w:rsidRPr="00B419CE">
        <w:t xml:space="preserve"> kroner.</w:t>
      </w:r>
    </w:p>
    <w:p w14:paraId="0E1D4BFC" w14:textId="77777777" w:rsidR="00B419CE" w:rsidRPr="00B419CE" w:rsidRDefault="00B419CE" w:rsidP="00B419CE">
      <w:pPr>
        <w:pStyle w:val="b-post"/>
      </w:pPr>
      <w:r w:rsidRPr="00B419CE">
        <w:t>Post 50 Sannings- og forsoningskommisjonen</w:t>
      </w:r>
    </w:p>
    <w:p w14:paraId="14F8C3F6" w14:textId="77777777" w:rsidR="00B419CE" w:rsidRPr="00B419CE" w:rsidRDefault="00B419CE" w:rsidP="00B419CE">
      <w:r w:rsidRPr="00B419CE">
        <w:t xml:space="preserve">Kommisjonen som skal granske fornorskingspolitikken og uretten overfor </w:t>
      </w:r>
      <w:proofErr w:type="spellStart"/>
      <w:r w:rsidRPr="00B419CE">
        <w:t>samar</w:t>
      </w:r>
      <w:proofErr w:type="spellEnd"/>
      <w:r w:rsidRPr="00B419CE">
        <w:t xml:space="preserve">, </w:t>
      </w:r>
      <w:proofErr w:type="spellStart"/>
      <w:r w:rsidRPr="00B419CE">
        <w:t>kvenar</w:t>
      </w:r>
      <w:proofErr w:type="spellEnd"/>
      <w:r w:rsidRPr="00B419CE">
        <w:t xml:space="preserve"> og </w:t>
      </w:r>
      <w:proofErr w:type="spellStart"/>
      <w:r w:rsidRPr="00B419CE">
        <w:t>norskfinnar</w:t>
      </w:r>
      <w:proofErr w:type="spellEnd"/>
      <w:r w:rsidRPr="00B419CE">
        <w:t xml:space="preserve"> (sannings- og forsoningskommisjonen), blei nemnd opp ved </w:t>
      </w:r>
      <w:proofErr w:type="spellStart"/>
      <w:r w:rsidRPr="00B419CE">
        <w:t>eit</w:t>
      </w:r>
      <w:proofErr w:type="spellEnd"/>
      <w:r w:rsidRPr="00B419CE">
        <w:t xml:space="preserve"> stortingsvedtak 14. juni 2018. Kommisjonen skal </w:t>
      </w:r>
      <w:proofErr w:type="spellStart"/>
      <w:r w:rsidRPr="00B419CE">
        <w:t>vere</w:t>
      </w:r>
      <w:proofErr w:type="spellEnd"/>
      <w:r w:rsidRPr="00B419CE">
        <w:t xml:space="preserve"> ferdig med arbeidet sitt </w:t>
      </w:r>
      <w:proofErr w:type="spellStart"/>
      <w:r w:rsidRPr="00B419CE">
        <w:t>innan</w:t>
      </w:r>
      <w:proofErr w:type="spellEnd"/>
      <w:r w:rsidRPr="00B419CE">
        <w:t xml:space="preserve"> 1.  juni 2023 og overlevere rapporten til Stortingets presidentskap.</w:t>
      </w:r>
    </w:p>
    <w:p w14:paraId="26827DCC" w14:textId="77777777" w:rsidR="00B419CE" w:rsidRPr="00B419CE" w:rsidRDefault="00B419CE" w:rsidP="00B419CE">
      <w:r w:rsidRPr="00B419CE">
        <w:t xml:space="preserve">Kommisjonen er sett </w:t>
      </w:r>
      <w:proofErr w:type="spellStart"/>
      <w:r w:rsidRPr="00B419CE">
        <w:t>saman</w:t>
      </w:r>
      <w:proofErr w:type="spellEnd"/>
      <w:r w:rsidRPr="00B419CE">
        <w:t xml:space="preserve"> av tolv medlemmer og har </w:t>
      </w:r>
      <w:proofErr w:type="spellStart"/>
      <w:r w:rsidRPr="00B419CE">
        <w:t>eit</w:t>
      </w:r>
      <w:proofErr w:type="spellEnd"/>
      <w:r w:rsidRPr="00B419CE">
        <w:t xml:space="preserve"> </w:t>
      </w:r>
      <w:proofErr w:type="spellStart"/>
      <w:r w:rsidRPr="00B419CE">
        <w:t>fagleg</w:t>
      </w:r>
      <w:proofErr w:type="spellEnd"/>
      <w:r w:rsidRPr="00B419CE">
        <w:t xml:space="preserve"> kompetent sekretariat som for tida består av fire årsverk. Sekretariatet </w:t>
      </w:r>
      <w:proofErr w:type="spellStart"/>
      <w:r w:rsidRPr="00B419CE">
        <w:t>fekk</w:t>
      </w:r>
      <w:proofErr w:type="spellEnd"/>
      <w:r w:rsidRPr="00B419CE">
        <w:t xml:space="preserve"> </w:t>
      </w:r>
      <w:proofErr w:type="spellStart"/>
      <w:r w:rsidRPr="00B419CE">
        <w:t>ytterlegare</w:t>
      </w:r>
      <w:proofErr w:type="spellEnd"/>
      <w:r w:rsidRPr="00B419CE">
        <w:t xml:space="preserve"> to årsverk i 2020. Det er </w:t>
      </w:r>
      <w:proofErr w:type="spellStart"/>
      <w:r w:rsidRPr="00B419CE">
        <w:t>ein</w:t>
      </w:r>
      <w:proofErr w:type="spellEnd"/>
      <w:r w:rsidRPr="00B419CE">
        <w:t xml:space="preserve"> </w:t>
      </w:r>
      <w:proofErr w:type="spellStart"/>
      <w:r w:rsidRPr="00B419CE">
        <w:t>føresetnad</w:t>
      </w:r>
      <w:proofErr w:type="spellEnd"/>
      <w:r w:rsidRPr="00B419CE">
        <w:t xml:space="preserve"> at kommisjonen </w:t>
      </w:r>
      <w:proofErr w:type="spellStart"/>
      <w:r w:rsidRPr="00B419CE">
        <w:t>innhentar</w:t>
      </w:r>
      <w:proofErr w:type="spellEnd"/>
      <w:r w:rsidRPr="00B419CE">
        <w:t xml:space="preserve"> </w:t>
      </w:r>
      <w:proofErr w:type="spellStart"/>
      <w:r w:rsidRPr="00B419CE">
        <w:t>personlege</w:t>
      </w:r>
      <w:proofErr w:type="spellEnd"/>
      <w:r w:rsidRPr="00B419CE">
        <w:t xml:space="preserve"> </w:t>
      </w:r>
      <w:proofErr w:type="spellStart"/>
      <w:r w:rsidRPr="00B419CE">
        <w:t>erfaringar</w:t>
      </w:r>
      <w:proofErr w:type="spellEnd"/>
      <w:r w:rsidRPr="00B419CE">
        <w:t xml:space="preserve"> ved at </w:t>
      </w:r>
      <w:proofErr w:type="spellStart"/>
      <w:r w:rsidRPr="00B419CE">
        <w:t>dei</w:t>
      </w:r>
      <w:proofErr w:type="spellEnd"/>
      <w:r w:rsidRPr="00B419CE">
        <w:t xml:space="preserve"> oppsøker samiske og kvenske/norsk-finske miljø i </w:t>
      </w:r>
      <w:proofErr w:type="spellStart"/>
      <w:r w:rsidRPr="00B419CE">
        <w:t>dei</w:t>
      </w:r>
      <w:proofErr w:type="spellEnd"/>
      <w:r w:rsidRPr="00B419CE">
        <w:t xml:space="preserve"> aktuelle distrikta.</w:t>
      </w:r>
    </w:p>
    <w:p w14:paraId="7720D53F" w14:textId="77777777" w:rsidR="00B419CE" w:rsidRPr="00B419CE" w:rsidRDefault="00B419CE" w:rsidP="00B419CE">
      <w:proofErr w:type="spellStart"/>
      <w:r w:rsidRPr="00B419CE">
        <w:t>Kostnadane</w:t>
      </w:r>
      <w:proofErr w:type="spellEnd"/>
      <w:r w:rsidRPr="00B419CE">
        <w:t xml:space="preserve"> i samband med </w:t>
      </w:r>
      <w:proofErr w:type="spellStart"/>
      <w:r w:rsidRPr="00B419CE">
        <w:t>verksemda</w:t>
      </w:r>
      <w:proofErr w:type="spellEnd"/>
      <w:r w:rsidRPr="00B419CE">
        <w:t xml:space="preserve"> til kommisjonen i 2022 er berekna til 10 </w:t>
      </w:r>
      <w:proofErr w:type="spellStart"/>
      <w:r w:rsidRPr="00B419CE">
        <w:t>millionar</w:t>
      </w:r>
      <w:proofErr w:type="spellEnd"/>
      <w:r w:rsidRPr="00B419CE">
        <w:t xml:space="preserve"> kroner. Sekretariatet for kommisjonen er lokalisert ved UiT (</w:t>
      </w:r>
      <w:proofErr w:type="spellStart"/>
      <w:r w:rsidRPr="00B419CE">
        <w:t>Noregs</w:t>
      </w:r>
      <w:proofErr w:type="spellEnd"/>
      <w:r w:rsidRPr="00B419CE">
        <w:t xml:space="preserve"> arktiske universitet i Tromsø), og </w:t>
      </w:r>
      <w:proofErr w:type="spellStart"/>
      <w:r w:rsidRPr="00B419CE">
        <w:t>medarbeidarane</w:t>
      </w:r>
      <w:proofErr w:type="spellEnd"/>
      <w:r w:rsidRPr="00B419CE">
        <w:t xml:space="preserve"> er tilsette ved UiT. </w:t>
      </w:r>
      <w:proofErr w:type="spellStart"/>
      <w:r w:rsidRPr="00B419CE">
        <w:t>Midlar</w:t>
      </w:r>
      <w:proofErr w:type="spellEnd"/>
      <w:r w:rsidRPr="00B419CE">
        <w:t xml:space="preserve"> til drift av kommisjonen og sekretariatet vil bli tildelte UiT, med </w:t>
      </w:r>
      <w:proofErr w:type="spellStart"/>
      <w:r w:rsidRPr="00B419CE">
        <w:t>rekneskaps</w:t>
      </w:r>
      <w:proofErr w:type="spellEnd"/>
      <w:r w:rsidRPr="00B419CE">
        <w:t>- og rapporteringsplikt til Stortinget.</w:t>
      </w:r>
    </w:p>
    <w:p w14:paraId="41A1BF6F" w14:textId="77777777" w:rsidR="00B419CE" w:rsidRPr="00B419CE" w:rsidRDefault="00B419CE" w:rsidP="00B419CE">
      <w:pPr>
        <w:pStyle w:val="b-post"/>
      </w:pPr>
      <w:r w:rsidRPr="00B419CE">
        <w:t xml:space="preserve">Post 70 </w:t>
      </w:r>
      <w:proofErr w:type="spellStart"/>
      <w:r w:rsidRPr="00B419CE">
        <w:t>Tilskot</w:t>
      </w:r>
      <w:proofErr w:type="spellEnd"/>
      <w:r w:rsidRPr="00B419CE">
        <w:t xml:space="preserve"> til partigruppene</w:t>
      </w:r>
    </w:p>
    <w:p w14:paraId="7539CE60"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tilskot</w:t>
      </w:r>
      <w:proofErr w:type="spellEnd"/>
      <w:r w:rsidRPr="00B419CE">
        <w:t xml:space="preserve"> </w:t>
      </w:r>
      <w:proofErr w:type="spellStart"/>
      <w:r w:rsidRPr="00B419CE">
        <w:t>frå</w:t>
      </w:r>
      <w:proofErr w:type="spellEnd"/>
      <w:r w:rsidRPr="00B419CE">
        <w:t xml:space="preserve"> Stortinget til gruppesekretariata i partia og uavhengige </w:t>
      </w:r>
      <w:proofErr w:type="spellStart"/>
      <w:r w:rsidRPr="00B419CE">
        <w:t>representantar</w:t>
      </w:r>
      <w:proofErr w:type="spellEnd"/>
      <w:r w:rsidRPr="00B419CE">
        <w:t xml:space="preserve">. </w:t>
      </w:r>
      <w:proofErr w:type="spellStart"/>
      <w:r w:rsidRPr="00B419CE">
        <w:t>Tilskotet</w:t>
      </w:r>
      <w:proofErr w:type="spellEnd"/>
      <w:r w:rsidRPr="00B419CE">
        <w:t xml:space="preserve"> til kvar av stortingsgruppene er avhengig av representasjonen til partiet på Stortinget.</w:t>
      </w:r>
    </w:p>
    <w:p w14:paraId="45AF3CE6" w14:textId="77777777" w:rsidR="00B419CE" w:rsidRPr="00B419CE" w:rsidRDefault="00B419CE" w:rsidP="00B419CE">
      <w:pPr>
        <w:pStyle w:val="b-post"/>
      </w:pPr>
      <w:r w:rsidRPr="00B419CE">
        <w:lastRenderedPageBreak/>
        <w:t xml:space="preserve">Post 72 </w:t>
      </w:r>
      <w:proofErr w:type="spellStart"/>
      <w:r w:rsidRPr="00B419CE">
        <w:t>Tilskot</w:t>
      </w:r>
      <w:proofErr w:type="spellEnd"/>
      <w:r w:rsidRPr="00B419CE">
        <w:t xml:space="preserve"> til Det Norske Nobelinstitutts bibliotek</w:t>
      </w:r>
    </w:p>
    <w:p w14:paraId="6EC01F7D"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tilskot</w:t>
      </w:r>
      <w:proofErr w:type="spellEnd"/>
      <w:r w:rsidRPr="00B419CE">
        <w:t xml:space="preserve"> til biblioteket ved Nobelinstituttet.</w:t>
      </w:r>
    </w:p>
    <w:p w14:paraId="5B84F9BE" w14:textId="77777777" w:rsidR="00B419CE" w:rsidRPr="00B419CE" w:rsidRDefault="00B419CE" w:rsidP="00B419CE">
      <w:pPr>
        <w:pStyle w:val="b-post"/>
      </w:pPr>
      <w:r w:rsidRPr="00B419CE">
        <w:t xml:space="preserve">Post 73 </w:t>
      </w:r>
      <w:proofErr w:type="spellStart"/>
      <w:r w:rsidRPr="00B419CE">
        <w:t>Kontingentar</w:t>
      </w:r>
      <w:proofErr w:type="spellEnd"/>
      <w:r w:rsidRPr="00B419CE">
        <w:t xml:space="preserve"> til internasjonale </w:t>
      </w:r>
      <w:proofErr w:type="spellStart"/>
      <w:r w:rsidRPr="00B419CE">
        <w:t>delegasjonar</w:t>
      </w:r>
      <w:proofErr w:type="spellEnd"/>
    </w:p>
    <w:p w14:paraId="176DC744"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kontingentane</w:t>
      </w:r>
      <w:proofErr w:type="spellEnd"/>
      <w:r w:rsidRPr="00B419CE">
        <w:t xml:space="preserve"> til Nordisk råd, OSSEPA og IPU.</w:t>
      </w:r>
    </w:p>
    <w:p w14:paraId="69823BFD" w14:textId="77777777" w:rsidR="00B419CE" w:rsidRPr="00B419CE" w:rsidRDefault="00B419CE" w:rsidP="00B419CE">
      <w:pPr>
        <w:pStyle w:val="b-post"/>
      </w:pPr>
      <w:r w:rsidRPr="00B419CE">
        <w:t xml:space="preserve">Post 74 </w:t>
      </w:r>
      <w:proofErr w:type="spellStart"/>
      <w:r w:rsidRPr="00B419CE">
        <w:t>Reisetilskot</w:t>
      </w:r>
      <w:proofErr w:type="spellEnd"/>
      <w:r w:rsidRPr="00B419CE">
        <w:t xml:space="preserve"> til </w:t>
      </w:r>
      <w:proofErr w:type="spellStart"/>
      <w:r w:rsidRPr="00B419CE">
        <w:t>skolar</w:t>
      </w:r>
      <w:proofErr w:type="spellEnd"/>
    </w:p>
    <w:p w14:paraId="44445345" w14:textId="77777777" w:rsidR="00B419CE" w:rsidRPr="00B419CE" w:rsidRDefault="00B419CE" w:rsidP="00B419CE">
      <w:r w:rsidRPr="00B419CE">
        <w:t xml:space="preserve">Posten </w:t>
      </w:r>
      <w:proofErr w:type="spellStart"/>
      <w:r w:rsidRPr="00B419CE">
        <w:t>omfattar</w:t>
      </w:r>
      <w:proofErr w:type="spellEnd"/>
      <w:r w:rsidRPr="00B419CE">
        <w:t xml:space="preserve"> støtte til </w:t>
      </w:r>
      <w:proofErr w:type="spellStart"/>
      <w:r w:rsidRPr="00B419CE">
        <w:t>søkarar</w:t>
      </w:r>
      <w:proofErr w:type="spellEnd"/>
      <w:r w:rsidRPr="00B419CE">
        <w:t xml:space="preserve"> </w:t>
      </w:r>
      <w:proofErr w:type="spellStart"/>
      <w:r w:rsidRPr="00B419CE">
        <w:t>frå</w:t>
      </w:r>
      <w:proofErr w:type="spellEnd"/>
      <w:r w:rsidRPr="00B419CE">
        <w:t xml:space="preserve"> </w:t>
      </w:r>
      <w:proofErr w:type="spellStart"/>
      <w:r w:rsidRPr="00B419CE">
        <w:t>skolar</w:t>
      </w:r>
      <w:proofErr w:type="spellEnd"/>
      <w:r w:rsidRPr="00B419CE">
        <w:t xml:space="preserve"> som besøker Stortinget.</w:t>
      </w:r>
    </w:p>
    <w:p w14:paraId="0C3B494C" w14:textId="77777777" w:rsidR="00B419CE" w:rsidRPr="00B419CE" w:rsidRDefault="00B419CE" w:rsidP="00B419CE">
      <w:pPr>
        <w:pStyle w:val="b-budkaptit"/>
      </w:pPr>
      <w:r w:rsidRPr="00B419CE">
        <w:t>Kap. 3041 Stortinget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FC4BFC8" w14:textId="77777777" w:rsidTr="00B419CE">
        <w:trPr>
          <w:trHeight w:val="640"/>
          <w:hidden/>
        </w:trPr>
        <w:tc>
          <w:tcPr>
            <w:tcW w:w="1140" w:type="dxa"/>
            <w:shd w:val="clear" w:color="auto" w:fill="FFFFFF"/>
          </w:tcPr>
          <w:p w14:paraId="5977AA2C" w14:textId="77777777" w:rsidR="00B419CE" w:rsidRPr="00B419CE" w:rsidRDefault="00B419CE" w:rsidP="00B419CE">
            <w:pPr>
              <w:pStyle w:val="Tabellnavn"/>
            </w:pPr>
            <w:r w:rsidRPr="00B419CE">
              <w:t>KPAL</w:t>
            </w:r>
          </w:p>
        </w:tc>
        <w:tc>
          <w:tcPr>
            <w:tcW w:w="4560" w:type="dxa"/>
          </w:tcPr>
          <w:p w14:paraId="5EC83159" w14:textId="77777777" w:rsidR="00B419CE" w:rsidRPr="00B419CE" w:rsidRDefault="00B419CE" w:rsidP="00B419CE"/>
        </w:tc>
        <w:tc>
          <w:tcPr>
            <w:tcW w:w="1140" w:type="dxa"/>
          </w:tcPr>
          <w:p w14:paraId="411A1B98" w14:textId="77777777" w:rsidR="00B419CE" w:rsidRPr="00B419CE" w:rsidRDefault="00B419CE" w:rsidP="00B419CE">
            <w:pPr>
              <w:jc w:val="right"/>
            </w:pPr>
          </w:p>
        </w:tc>
        <w:tc>
          <w:tcPr>
            <w:tcW w:w="1140" w:type="dxa"/>
          </w:tcPr>
          <w:p w14:paraId="21A15E27" w14:textId="77777777" w:rsidR="00B419CE" w:rsidRPr="00B419CE" w:rsidRDefault="00B419CE" w:rsidP="00B419CE">
            <w:pPr>
              <w:jc w:val="right"/>
            </w:pPr>
          </w:p>
        </w:tc>
        <w:tc>
          <w:tcPr>
            <w:tcW w:w="1140" w:type="dxa"/>
          </w:tcPr>
          <w:p w14:paraId="46A5C008" w14:textId="77777777" w:rsidR="00B419CE" w:rsidRPr="00B419CE" w:rsidRDefault="00B419CE" w:rsidP="00B419CE">
            <w:pPr>
              <w:jc w:val="right"/>
            </w:pPr>
            <w:r w:rsidRPr="00B419CE">
              <w:t>(i 1 000 kr)</w:t>
            </w:r>
          </w:p>
        </w:tc>
      </w:tr>
      <w:tr w:rsidR="00B419CE" w:rsidRPr="00B419CE" w14:paraId="52A11BEB" w14:textId="77777777" w:rsidTr="00B419CE">
        <w:trPr>
          <w:trHeight w:val="600"/>
        </w:trPr>
        <w:tc>
          <w:tcPr>
            <w:tcW w:w="1140" w:type="dxa"/>
          </w:tcPr>
          <w:p w14:paraId="19FE436F" w14:textId="77777777" w:rsidR="00B419CE" w:rsidRPr="00B419CE" w:rsidRDefault="00B419CE" w:rsidP="00B419CE">
            <w:r w:rsidRPr="00B419CE">
              <w:t>Post</w:t>
            </w:r>
          </w:p>
        </w:tc>
        <w:tc>
          <w:tcPr>
            <w:tcW w:w="4560" w:type="dxa"/>
          </w:tcPr>
          <w:p w14:paraId="4A6DC2C1" w14:textId="77777777" w:rsidR="00B419CE" w:rsidRPr="00B419CE" w:rsidRDefault="00B419CE" w:rsidP="00B419CE">
            <w:proofErr w:type="spellStart"/>
            <w:r w:rsidRPr="00B419CE">
              <w:t>Nemning</w:t>
            </w:r>
            <w:proofErr w:type="spellEnd"/>
          </w:p>
        </w:tc>
        <w:tc>
          <w:tcPr>
            <w:tcW w:w="1140" w:type="dxa"/>
          </w:tcPr>
          <w:p w14:paraId="6FD54040"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30EC4CB" w14:textId="77777777" w:rsidR="00B419CE" w:rsidRPr="00B419CE" w:rsidRDefault="00B419CE" w:rsidP="00B419CE">
            <w:pPr>
              <w:jc w:val="right"/>
            </w:pPr>
            <w:r w:rsidRPr="00B419CE">
              <w:t>Saldert</w:t>
            </w:r>
            <w:r w:rsidRPr="00B419CE">
              <w:br/>
              <w:t xml:space="preserve"> budsjett 2021</w:t>
            </w:r>
          </w:p>
        </w:tc>
        <w:tc>
          <w:tcPr>
            <w:tcW w:w="1140" w:type="dxa"/>
          </w:tcPr>
          <w:p w14:paraId="48A08F2A" w14:textId="77777777" w:rsidR="00B419CE" w:rsidRPr="00B419CE" w:rsidRDefault="00B419CE" w:rsidP="00B419CE">
            <w:pPr>
              <w:jc w:val="right"/>
            </w:pPr>
            <w:r w:rsidRPr="00B419CE">
              <w:t>Forslag</w:t>
            </w:r>
            <w:r w:rsidRPr="00B419CE">
              <w:br/>
              <w:t xml:space="preserve"> 2022</w:t>
            </w:r>
          </w:p>
        </w:tc>
      </w:tr>
      <w:tr w:rsidR="00B419CE" w:rsidRPr="00B419CE" w14:paraId="1747BA4F" w14:textId="77777777" w:rsidTr="00B419CE">
        <w:trPr>
          <w:trHeight w:val="380"/>
        </w:trPr>
        <w:tc>
          <w:tcPr>
            <w:tcW w:w="1140" w:type="dxa"/>
          </w:tcPr>
          <w:p w14:paraId="09B8E229" w14:textId="77777777" w:rsidR="00B419CE" w:rsidRPr="00B419CE" w:rsidRDefault="00B419CE" w:rsidP="00B419CE">
            <w:r w:rsidRPr="00B419CE">
              <w:t>01</w:t>
            </w:r>
          </w:p>
        </w:tc>
        <w:tc>
          <w:tcPr>
            <w:tcW w:w="4560" w:type="dxa"/>
          </w:tcPr>
          <w:p w14:paraId="14C905EE" w14:textId="77777777" w:rsidR="00B419CE" w:rsidRPr="00B419CE" w:rsidRDefault="00B419CE" w:rsidP="00B419CE">
            <w:proofErr w:type="spellStart"/>
            <w:r w:rsidRPr="00B419CE">
              <w:t>Salsinntekter</w:t>
            </w:r>
            <w:proofErr w:type="spellEnd"/>
          </w:p>
        </w:tc>
        <w:tc>
          <w:tcPr>
            <w:tcW w:w="1140" w:type="dxa"/>
          </w:tcPr>
          <w:p w14:paraId="7EF5366D" w14:textId="77777777" w:rsidR="00B419CE" w:rsidRPr="00B419CE" w:rsidRDefault="00B419CE" w:rsidP="00B419CE">
            <w:pPr>
              <w:jc w:val="right"/>
            </w:pPr>
            <w:r w:rsidRPr="00B419CE">
              <w:t>4 306</w:t>
            </w:r>
          </w:p>
        </w:tc>
        <w:tc>
          <w:tcPr>
            <w:tcW w:w="1140" w:type="dxa"/>
          </w:tcPr>
          <w:p w14:paraId="2035F1EE" w14:textId="77777777" w:rsidR="00B419CE" w:rsidRPr="00B419CE" w:rsidRDefault="00B419CE" w:rsidP="00B419CE">
            <w:pPr>
              <w:jc w:val="right"/>
            </w:pPr>
            <w:r w:rsidRPr="00B419CE">
              <w:t>6 000</w:t>
            </w:r>
          </w:p>
        </w:tc>
        <w:tc>
          <w:tcPr>
            <w:tcW w:w="1140" w:type="dxa"/>
          </w:tcPr>
          <w:p w14:paraId="508EF487" w14:textId="77777777" w:rsidR="00B419CE" w:rsidRPr="00B419CE" w:rsidRDefault="00B419CE" w:rsidP="00B419CE">
            <w:pPr>
              <w:jc w:val="right"/>
            </w:pPr>
            <w:r w:rsidRPr="00B419CE">
              <w:t>5 700</w:t>
            </w:r>
          </w:p>
        </w:tc>
      </w:tr>
      <w:tr w:rsidR="00B419CE" w:rsidRPr="00B419CE" w14:paraId="7FFFF93F" w14:textId="77777777" w:rsidTr="00B419CE">
        <w:trPr>
          <w:trHeight w:val="380"/>
        </w:trPr>
        <w:tc>
          <w:tcPr>
            <w:tcW w:w="1140" w:type="dxa"/>
          </w:tcPr>
          <w:p w14:paraId="35C32551" w14:textId="77777777" w:rsidR="00B419CE" w:rsidRPr="00B419CE" w:rsidRDefault="00B419CE" w:rsidP="00B419CE">
            <w:r w:rsidRPr="00B419CE">
              <w:t>03</w:t>
            </w:r>
          </w:p>
        </w:tc>
        <w:tc>
          <w:tcPr>
            <w:tcW w:w="4560" w:type="dxa"/>
          </w:tcPr>
          <w:p w14:paraId="1A7B6C3F" w14:textId="77777777" w:rsidR="00B419CE" w:rsidRPr="00B419CE" w:rsidRDefault="00B419CE" w:rsidP="00B419CE">
            <w:proofErr w:type="spellStart"/>
            <w:r w:rsidRPr="00B419CE">
              <w:t>Leigeinntekter</w:t>
            </w:r>
            <w:proofErr w:type="spellEnd"/>
          </w:p>
        </w:tc>
        <w:tc>
          <w:tcPr>
            <w:tcW w:w="1140" w:type="dxa"/>
          </w:tcPr>
          <w:p w14:paraId="0BF45BDF" w14:textId="77777777" w:rsidR="00B419CE" w:rsidRPr="00B419CE" w:rsidRDefault="00B419CE" w:rsidP="00B419CE">
            <w:pPr>
              <w:jc w:val="right"/>
            </w:pPr>
            <w:r w:rsidRPr="00B419CE">
              <w:t>2 440</w:t>
            </w:r>
          </w:p>
        </w:tc>
        <w:tc>
          <w:tcPr>
            <w:tcW w:w="1140" w:type="dxa"/>
          </w:tcPr>
          <w:p w14:paraId="38752938" w14:textId="77777777" w:rsidR="00B419CE" w:rsidRPr="00B419CE" w:rsidRDefault="00B419CE" w:rsidP="00B419CE">
            <w:pPr>
              <w:jc w:val="right"/>
            </w:pPr>
            <w:r w:rsidRPr="00B419CE">
              <w:t>1 100</w:t>
            </w:r>
          </w:p>
        </w:tc>
        <w:tc>
          <w:tcPr>
            <w:tcW w:w="1140" w:type="dxa"/>
          </w:tcPr>
          <w:p w14:paraId="01BB0D75" w14:textId="77777777" w:rsidR="00B419CE" w:rsidRPr="00B419CE" w:rsidRDefault="00B419CE" w:rsidP="00B419CE">
            <w:pPr>
              <w:jc w:val="right"/>
            </w:pPr>
            <w:r w:rsidRPr="00B419CE">
              <w:t>2 300</w:t>
            </w:r>
          </w:p>
        </w:tc>
      </w:tr>
      <w:tr w:rsidR="00B419CE" w:rsidRPr="00B419CE" w14:paraId="47C5F3FE" w14:textId="77777777" w:rsidTr="00B419CE">
        <w:trPr>
          <w:trHeight w:val="380"/>
        </w:trPr>
        <w:tc>
          <w:tcPr>
            <w:tcW w:w="1140" w:type="dxa"/>
          </w:tcPr>
          <w:p w14:paraId="1A09EB7D" w14:textId="77777777" w:rsidR="00B419CE" w:rsidRPr="00B419CE" w:rsidRDefault="00B419CE" w:rsidP="00B419CE"/>
        </w:tc>
        <w:tc>
          <w:tcPr>
            <w:tcW w:w="4560" w:type="dxa"/>
          </w:tcPr>
          <w:p w14:paraId="099BDFB9" w14:textId="77777777" w:rsidR="00B419CE" w:rsidRPr="00B419CE" w:rsidRDefault="00B419CE" w:rsidP="00B419CE">
            <w:r w:rsidRPr="00B419CE">
              <w:t>Sum kap. 3041</w:t>
            </w:r>
          </w:p>
        </w:tc>
        <w:tc>
          <w:tcPr>
            <w:tcW w:w="1140" w:type="dxa"/>
          </w:tcPr>
          <w:p w14:paraId="3BE2705C" w14:textId="77777777" w:rsidR="00B419CE" w:rsidRPr="00B419CE" w:rsidRDefault="00B419CE" w:rsidP="00B419CE">
            <w:pPr>
              <w:jc w:val="right"/>
            </w:pPr>
            <w:r w:rsidRPr="00B419CE">
              <w:t>6 746</w:t>
            </w:r>
          </w:p>
        </w:tc>
        <w:tc>
          <w:tcPr>
            <w:tcW w:w="1140" w:type="dxa"/>
          </w:tcPr>
          <w:p w14:paraId="78FD3D14" w14:textId="77777777" w:rsidR="00B419CE" w:rsidRPr="00B419CE" w:rsidRDefault="00B419CE" w:rsidP="00B419CE">
            <w:pPr>
              <w:jc w:val="right"/>
            </w:pPr>
            <w:r w:rsidRPr="00B419CE">
              <w:t>7 100</w:t>
            </w:r>
          </w:p>
        </w:tc>
        <w:tc>
          <w:tcPr>
            <w:tcW w:w="1140" w:type="dxa"/>
          </w:tcPr>
          <w:p w14:paraId="261D294B" w14:textId="77777777" w:rsidR="00B419CE" w:rsidRPr="00B419CE" w:rsidRDefault="00B419CE" w:rsidP="00B419CE">
            <w:pPr>
              <w:jc w:val="right"/>
            </w:pPr>
            <w:r w:rsidRPr="00B419CE">
              <w:t>8 000</w:t>
            </w:r>
          </w:p>
        </w:tc>
      </w:tr>
    </w:tbl>
    <w:p w14:paraId="102E37A2" w14:textId="77777777" w:rsidR="00B419CE" w:rsidRPr="00B419CE" w:rsidRDefault="00B419CE" w:rsidP="00B419CE">
      <w:r w:rsidRPr="00B419CE">
        <w:t xml:space="preserve">På kap. 3040 </w:t>
      </w:r>
      <w:proofErr w:type="spellStart"/>
      <w:r w:rsidRPr="00B419CE">
        <w:t>omfattar</w:t>
      </w:r>
      <w:proofErr w:type="spellEnd"/>
      <w:r w:rsidRPr="00B419CE">
        <w:t xml:space="preserve"> post 01 </w:t>
      </w:r>
      <w:proofErr w:type="spellStart"/>
      <w:r w:rsidRPr="00B419CE">
        <w:t>hovudsakleg</w:t>
      </w:r>
      <w:proofErr w:type="spellEnd"/>
      <w:r w:rsidRPr="00B419CE">
        <w:t xml:space="preserve"> </w:t>
      </w:r>
      <w:proofErr w:type="spellStart"/>
      <w:r w:rsidRPr="00B419CE">
        <w:t>salsinntekter</w:t>
      </w:r>
      <w:proofErr w:type="spellEnd"/>
      <w:r w:rsidRPr="00B419CE">
        <w:t xml:space="preserve"> </w:t>
      </w:r>
      <w:proofErr w:type="spellStart"/>
      <w:r w:rsidRPr="00B419CE">
        <w:t>frå</w:t>
      </w:r>
      <w:proofErr w:type="spellEnd"/>
      <w:r w:rsidRPr="00B419CE">
        <w:t xml:space="preserve"> kantiner, og post 03 </w:t>
      </w:r>
      <w:proofErr w:type="spellStart"/>
      <w:r w:rsidRPr="00B419CE">
        <w:t>omfattar</w:t>
      </w:r>
      <w:proofErr w:type="spellEnd"/>
      <w:r w:rsidRPr="00B419CE">
        <w:t xml:space="preserve"> </w:t>
      </w:r>
      <w:proofErr w:type="spellStart"/>
      <w:r w:rsidRPr="00B419CE">
        <w:t>hovudsakleg</w:t>
      </w:r>
      <w:proofErr w:type="spellEnd"/>
      <w:r w:rsidRPr="00B419CE">
        <w:t xml:space="preserve"> </w:t>
      </w:r>
      <w:proofErr w:type="spellStart"/>
      <w:r w:rsidRPr="00B419CE">
        <w:t>leigeinntekter</w:t>
      </w:r>
      <w:proofErr w:type="spellEnd"/>
      <w:r w:rsidRPr="00B419CE">
        <w:t xml:space="preserve"> </w:t>
      </w:r>
      <w:proofErr w:type="spellStart"/>
      <w:r w:rsidRPr="00B419CE">
        <w:t>frå</w:t>
      </w:r>
      <w:proofErr w:type="spellEnd"/>
      <w:r w:rsidRPr="00B419CE">
        <w:t xml:space="preserve"> næringslokale.</w:t>
      </w:r>
    </w:p>
    <w:p w14:paraId="58190BF4" w14:textId="77777777" w:rsidR="00B419CE" w:rsidRPr="00B419CE" w:rsidRDefault="00B419CE" w:rsidP="00B419CE">
      <w:pPr>
        <w:pStyle w:val="b-budkaptit"/>
      </w:pPr>
      <w:r w:rsidRPr="00B419CE">
        <w:t xml:space="preserve">Kap. 42 Stortingets </w:t>
      </w:r>
      <w:proofErr w:type="spellStart"/>
      <w:r w:rsidRPr="00B419CE">
        <w:t>ombodsnemnd</w:t>
      </w:r>
      <w:proofErr w:type="spellEnd"/>
      <w:r w:rsidRPr="00B419CE">
        <w:t xml:space="preserve"> for 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24B5EC19" w14:textId="77777777" w:rsidTr="00B419CE">
        <w:trPr>
          <w:trHeight w:val="640"/>
          <w:hidden/>
        </w:trPr>
        <w:tc>
          <w:tcPr>
            <w:tcW w:w="1140" w:type="dxa"/>
            <w:shd w:val="clear" w:color="auto" w:fill="FFFFFF"/>
          </w:tcPr>
          <w:p w14:paraId="53EC8221" w14:textId="77777777" w:rsidR="00B419CE" w:rsidRPr="00B419CE" w:rsidRDefault="00B419CE" w:rsidP="00B419CE">
            <w:pPr>
              <w:pStyle w:val="Tabellnavn"/>
            </w:pPr>
            <w:r w:rsidRPr="00B419CE">
              <w:t>KPAL</w:t>
            </w:r>
          </w:p>
        </w:tc>
        <w:tc>
          <w:tcPr>
            <w:tcW w:w="4560" w:type="dxa"/>
          </w:tcPr>
          <w:p w14:paraId="33491ACF" w14:textId="77777777" w:rsidR="00B419CE" w:rsidRPr="00B419CE" w:rsidRDefault="00B419CE" w:rsidP="00B419CE"/>
        </w:tc>
        <w:tc>
          <w:tcPr>
            <w:tcW w:w="1140" w:type="dxa"/>
          </w:tcPr>
          <w:p w14:paraId="1696437B" w14:textId="77777777" w:rsidR="00B419CE" w:rsidRPr="00B419CE" w:rsidRDefault="00B419CE" w:rsidP="00B419CE">
            <w:pPr>
              <w:jc w:val="right"/>
            </w:pPr>
          </w:p>
        </w:tc>
        <w:tc>
          <w:tcPr>
            <w:tcW w:w="1140" w:type="dxa"/>
          </w:tcPr>
          <w:p w14:paraId="1DA775B7" w14:textId="77777777" w:rsidR="00B419CE" w:rsidRPr="00B419CE" w:rsidRDefault="00B419CE" w:rsidP="00B419CE">
            <w:pPr>
              <w:jc w:val="right"/>
            </w:pPr>
          </w:p>
        </w:tc>
        <w:tc>
          <w:tcPr>
            <w:tcW w:w="1140" w:type="dxa"/>
          </w:tcPr>
          <w:p w14:paraId="3C5BB184" w14:textId="77777777" w:rsidR="00B419CE" w:rsidRPr="00B419CE" w:rsidRDefault="00B419CE" w:rsidP="00B419CE">
            <w:pPr>
              <w:jc w:val="right"/>
            </w:pPr>
            <w:r w:rsidRPr="00B419CE">
              <w:t>(i 1 000 kr)</w:t>
            </w:r>
          </w:p>
        </w:tc>
      </w:tr>
      <w:tr w:rsidR="00B419CE" w:rsidRPr="00B419CE" w14:paraId="1B7494B7" w14:textId="77777777" w:rsidTr="00B419CE">
        <w:trPr>
          <w:trHeight w:val="600"/>
        </w:trPr>
        <w:tc>
          <w:tcPr>
            <w:tcW w:w="1140" w:type="dxa"/>
          </w:tcPr>
          <w:p w14:paraId="722F3812" w14:textId="77777777" w:rsidR="00B419CE" w:rsidRPr="00B419CE" w:rsidRDefault="00B419CE" w:rsidP="00B419CE">
            <w:r w:rsidRPr="00B419CE">
              <w:t>Post</w:t>
            </w:r>
          </w:p>
        </w:tc>
        <w:tc>
          <w:tcPr>
            <w:tcW w:w="4560" w:type="dxa"/>
          </w:tcPr>
          <w:p w14:paraId="18870533" w14:textId="77777777" w:rsidR="00B419CE" w:rsidRPr="00B419CE" w:rsidRDefault="00B419CE" w:rsidP="00B419CE">
            <w:proofErr w:type="spellStart"/>
            <w:r w:rsidRPr="00B419CE">
              <w:t>Nemning</w:t>
            </w:r>
            <w:proofErr w:type="spellEnd"/>
          </w:p>
        </w:tc>
        <w:tc>
          <w:tcPr>
            <w:tcW w:w="1140" w:type="dxa"/>
          </w:tcPr>
          <w:p w14:paraId="0EDF3658"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24348604" w14:textId="77777777" w:rsidR="00B419CE" w:rsidRPr="00B419CE" w:rsidRDefault="00B419CE" w:rsidP="00B419CE">
            <w:pPr>
              <w:jc w:val="right"/>
            </w:pPr>
            <w:r w:rsidRPr="00B419CE">
              <w:t>Saldert</w:t>
            </w:r>
            <w:r w:rsidRPr="00B419CE">
              <w:br/>
              <w:t xml:space="preserve"> budsjett 2021</w:t>
            </w:r>
          </w:p>
        </w:tc>
        <w:tc>
          <w:tcPr>
            <w:tcW w:w="1140" w:type="dxa"/>
          </w:tcPr>
          <w:p w14:paraId="0E061C33" w14:textId="77777777" w:rsidR="00B419CE" w:rsidRPr="00B419CE" w:rsidRDefault="00B419CE" w:rsidP="00B419CE">
            <w:pPr>
              <w:jc w:val="right"/>
            </w:pPr>
            <w:r w:rsidRPr="00B419CE">
              <w:t>Forslag</w:t>
            </w:r>
            <w:r w:rsidRPr="00B419CE">
              <w:br/>
              <w:t xml:space="preserve"> 2022</w:t>
            </w:r>
          </w:p>
        </w:tc>
      </w:tr>
      <w:tr w:rsidR="00B419CE" w:rsidRPr="00B419CE" w14:paraId="0B5388AE" w14:textId="77777777" w:rsidTr="00B419CE">
        <w:trPr>
          <w:trHeight w:val="380"/>
        </w:trPr>
        <w:tc>
          <w:tcPr>
            <w:tcW w:w="1140" w:type="dxa"/>
          </w:tcPr>
          <w:p w14:paraId="6279EF32" w14:textId="77777777" w:rsidR="00B419CE" w:rsidRPr="00B419CE" w:rsidRDefault="00B419CE" w:rsidP="00B419CE">
            <w:r w:rsidRPr="00B419CE">
              <w:t>01</w:t>
            </w:r>
          </w:p>
        </w:tc>
        <w:tc>
          <w:tcPr>
            <w:tcW w:w="4560" w:type="dxa"/>
          </w:tcPr>
          <w:p w14:paraId="7ADA2C46" w14:textId="77777777" w:rsidR="00B419CE" w:rsidRPr="00B419CE" w:rsidRDefault="00B419CE" w:rsidP="00B419CE">
            <w:r w:rsidRPr="00B419CE">
              <w:t>Driftsutgifter</w:t>
            </w:r>
          </w:p>
        </w:tc>
        <w:tc>
          <w:tcPr>
            <w:tcW w:w="1140" w:type="dxa"/>
          </w:tcPr>
          <w:p w14:paraId="1EE174D7" w14:textId="77777777" w:rsidR="00B419CE" w:rsidRPr="00B419CE" w:rsidRDefault="00B419CE" w:rsidP="00B419CE">
            <w:pPr>
              <w:jc w:val="right"/>
            </w:pPr>
            <w:r w:rsidRPr="00B419CE">
              <w:t>7 128</w:t>
            </w:r>
          </w:p>
        </w:tc>
        <w:tc>
          <w:tcPr>
            <w:tcW w:w="1140" w:type="dxa"/>
          </w:tcPr>
          <w:p w14:paraId="4A4C15E0" w14:textId="77777777" w:rsidR="00B419CE" w:rsidRPr="00B419CE" w:rsidRDefault="00B419CE" w:rsidP="00B419CE">
            <w:pPr>
              <w:jc w:val="right"/>
            </w:pPr>
            <w:r w:rsidRPr="00B419CE">
              <w:t>7 600</w:t>
            </w:r>
          </w:p>
        </w:tc>
        <w:tc>
          <w:tcPr>
            <w:tcW w:w="1140" w:type="dxa"/>
          </w:tcPr>
          <w:p w14:paraId="63F00DEF" w14:textId="77777777" w:rsidR="00B419CE" w:rsidRPr="00B419CE" w:rsidRDefault="00B419CE" w:rsidP="00B419CE">
            <w:pPr>
              <w:jc w:val="right"/>
            </w:pPr>
            <w:r w:rsidRPr="00B419CE">
              <w:t>7 766</w:t>
            </w:r>
          </w:p>
        </w:tc>
      </w:tr>
      <w:tr w:rsidR="00B419CE" w:rsidRPr="00B419CE" w14:paraId="494EB026" w14:textId="77777777" w:rsidTr="00B419CE">
        <w:trPr>
          <w:trHeight w:val="380"/>
        </w:trPr>
        <w:tc>
          <w:tcPr>
            <w:tcW w:w="1140" w:type="dxa"/>
          </w:tcPr>
          <w:p w14:paraId="1EAF428C" w14:textId="77777777" w:rsidR="00B419CE" w:rsidRPr="00B419CE" w:rsidRDefault="00B419CE" w:rsidP="00B419CE"/>
        </w:tc>
        <w:tc>
          <w:tcPr>
            <w:tcW w:w="4560" w:type="dxa"/>
          </w:tcPr>
          <w:p w14:paraId="4498A557" w14:textId="77777777" w:rsidR="00B419CE" w:rsidRPr="00B419CE" w:rsidRDefault="00B419CE" w:rsidP="00B419CE">
            <w:r w:rsidRPr="00B419CE">
              <w:t>Sum kap. 42</w:t>
            </w:r>
          </w:p>
        </w:tc>
        <w:tc>
          <w:tcPr>
            <w:tcW w:w="1140" w:type="dxa"/>
          </w:tcPr>
          <w:p w14:paraId="2F0BC217" w14:textId="77777777" w:rsidR="00B419CE" w:rsidRPr="00B419CE" w:rsidRDefault="00B419CE" w:rsidP="00B419CE">
            <w:pPr>
              <w:jc w:val="right"/>
            </w:pPr>
            <w:r w:rsidRPr="00B419CE">
              <w:t>7 128</w:t>
            </w:r>
          </w:p>
        </w:tc>
        <w:tc>
          <w:tcPr>
            <w:tcW w:w="1140" w:type="dxa"/>
          </w:tcPr>
          <w:p w14:paraId="7121AAC5" w14:textId="77777777" w:rsidR="00B419CE" w:rsidRPr="00B419CE" w:rsidRDefault="00B419CE" w:rsidP="00B419CE">
            <w:pPr>
              <w:jc w:val="right"/>
            </w:pPr>
            <w:r w:rsidRPr="00B419CE">
              <w:t>7 600</w:t>
            </w:r>
          </w:p>
        </w:tc>
        <w:tc>
          <w:tcPr>
            <w:tcW w:w="1140" w:type="dxa"/>
          </w:tcPr>
          <w:p w14:paraId="33A12D2C" w14:textId="77777777" w:rsidR="00B419CE" w:rsidRPr="00B419CE" w:rsidRDefault="00B419CE" w:rsidP="00B419CE">
            <w:pPr>
              <w:jc w:val="right"/>
            </w:pPr>
            <w:r w:rsidRPr="00B419CE">
              <w:t>7 766</w:t>
            </w:r>
          </w:p>
        </w:tc>
      </w:tr>
    </w:tbl>
    <w:p w14:paraId="6AC8805D" w14:textId="77777777" w:rsidR="00B419CE" w:rsidRPr="00B419CE" w:rsidRDefault="00B419CE" w:rsidP="00B419CE">
      <w:pPr>
        <w:pStyle w:val="Undertittel"/>
      </w:pPr>
      <w:proofErr w:type="spellStart"/>
      <w:r w:rsidRPr="00B419CE">
        <w:t>Hovudoppgåver</w:t>
      </w:r>
      <w:proofErr w:type="spellEnd"/>
      <w:r w:rsidRPr="00B419CE">
        <w:t xml:space="preserve"> og organisering</w:t>
      </w:r>
    </w:p>
    <w:p w14:paraId="28F15278" w14:textId="77777777" w:rsidR="00B419CE" w:rsidRPr="00B419CE" w:rsidRDefault="00B419CE" w:rsidP="00B419CE">
      <w:proofErr w:type="spellStart"/>
      <w:r w:rsidRPr="00B419CE">
        <w:t>Ombodsmannsnemnda</w:t>
      </w:r>
      <w:proofErr w:type="spellEnd"/>
      <w:r w:rsidRPr="00B419CE">
        <w:t xml:space="preserve"> for Forsvaret er evaluert og vurdert i rapporten </w:t>
      </w:r>
      <w:proofErr w:type="spellStart"/>
      <w:r w:rsidRPr="00B419CE">
        <w:t>frå</w:t>
      </w:r>
      <w:proofErr w:type="spellEnd"/>
      <w:r w:rsidRPr="00B419CE">
        <w:t xml:space="preserve"> </w:t>
      </w:r>
      <w:proofErr w:type="spellStart"/>
      <w:r w:rsidRPr="00B419CE">
        <w:t>Harberg-utvalet</w:t>
      </w:r>
      <w:proofErr w:type="spellEnd"/>
      <w:r w:rsidRPr="00B419CE">
        <w:t xml:space="preserve">, som blei overlevert presidentskapet i januar 2021. </w:t>
      </w:r>
      <w:proofErr w:type="spellStart"/>
      <w:r w:rsidRPr="00B419CE">
        <w:t>Harberg-utvalet</w:t>
      </w:r>
      <w:proofErr w:type="spellEnd"/>
      <w:r w:rsidRPr="00B419CE">
        <w:t xml:space="preserve"> foreslår ei ny, formell lov som skal erstatte den </w:t>
      </w:r>
      <w:proofErr w:type="spellStart"/>
      <w:r w:rsidRPr="00B419CE">
        <w:t>gjeldande</w:t>
      </w:r>
      <w:proofErr w:type="spellEnd"/>
      <w:r w:rsidRPr="00B419CE">
        <w:t xml:space="preserve"> instruksen av 1952. I budsjettforslaget for 2022 er det tatt omsyn til forventa </w:t>
      </w:r>
      <w:proofErr w:type="spellStart"/>
      <w:r w:rsidRPr="00B419CE">
        <w:t>endringar</w:t>
      </w:r>
      <w:proofErr w:type="spellEnd"/>
      <w:r w:rsidRPr="00B419CE">
        <w:t xml:space="preserve"> som </w:t>
      </w:r>
      <w:proofErr w:type="spellStart"/>
      <w:r w:rsidRPr="00B419CE">
        <w:t>ein</w:t>
      </w:r>
      <w:proofErr w:type="spellEnd"/>
      <w:r w:rsidRPr="00B419CE">
        <w:t xml:space="preserve"> konsekvens av denne evalueringa, rapporten og lovforslaget. Lova blei vedtatt av Stortinget 31. mai 2021 og trer i kraft 1. oktober 2021.</w:t>
      </w:r>
    </w:p>
    <w:p w14:paraId="4CF5819C" w14:textId="77777777" w:rsidR="00B419CE" w:rsidRPr="00B419CE" w:rsidRDefault="00B419CE" w:rsidP="00B419CE">
      <w:r w:rsidRPr="00B419CE">
        <w:lastRenderedPageBreak/>
        <w:t xml:space="preserve">Samtidig </w:t>
      </w:r>
      <w:proofErr w:type="spellStart"/>
      <w:r w:rsidRPr="00B419CE">
        <w:t>endrar</w:t>
      </w:r>
      <w:proofErr w:type="spellEnd"/>
      <w:r w:rsidRPr="00B419CE">
        <w:t xml:space="preserve"> nemnda </w:t>
      </w:r>
      <w:proofErr w:type="spellStart"/>
      <w:r w:rsidRPr="00B419CE">
        <w:t>namn</w:t>
      </w:r>
      <w:proofErr w:type="spellEnd"/>
      <w:r w:rsidRPr="00B419CE">
        <w:t xml:space="preserve"> til «Stortingets </w:t>
      </w:r>
      <w:proofErr w:type="spellStart"/>
      <w:r w:rsidRPr="00B419CE">
        <w:t>ombodsnemnd</w:t>
      </w:r>
      <w:proofErr w:type="spellEnd"/>
      <w:r w:rsidRPr="00B419CE">
        <w:t xml:space="preserve"> for Forsvaret», forkorta «</w:t>
      </w:r>
      <w:proofErr w:type="spellStart"/>
      <w:r w:rsidRPr="00B419CE">
        <w:t>Ombodsnemnda</w:t>
      </w:r>
      <w:proofErr w:type="spellEnd"/>
      <w:r w:rsidRPr="00B419CE">
        <w:t>».</w:t>
      </w:r>
    </w:p>
    <w:p w14:paraId="017A2A79" w14:textId="77777777" w:rsidR="00B419CE" w:rsidRPr="00B419CE" w:rsidRDefault="00B419CE" w:rsidP="00B419CE">
      <w:r w:rsidRPr="00B419CE">
        <w:t xml:space="preserve">Etter den vedtatte lova består </w:t>
      </w:r>
      <w:proofErr w:type="spellStart"/>
      <w:r w:rsidRPr="00B419CE">
        <w:t>Ombodsnemnda</w:t>
      </w:r>
      <w:proofErr w:type="spellEnd"/>
      <w:r w:rsidRPr="00B419CE">
        <w:t xml:space="preserve">, som i dag, av sju medlemmer som blir </w:t>
      </w:r>
      <w:proofErr w:type="spellStart"/>
      <w:r w:rsidRPr="00B419CE">
        <w:t>valde</w:t>
      </w:r>
      <w:proofErr w:type="spellEnd"/>
      <w:r w:rsidRPr="00B419CE">
        <w:t xml:space="preserve"> av Stortinget for fire år om gongen. </w:t>
      </w:r>
      <w:proofErr w:type="spellStart"/>
      <w:r w:rsidRPr="00B419CE">
        <w:t>Leiaren</w:t>
      </w:r>
      <w:proofErr w:type="spellEnd"/>
      <w:r w:rsidRPr="00B419CE">
        <w:t xml:space="preserve"> av nemnda skal etter at lova har tredd i kraft, ha tittelen «</w:t>
      </w:r>
      <w:proofErr w:type="spellStart"/>
      <w:r w:rsidRPr="00B419CE">
        <w:t>forsvarsombodet</w:t>
      </w:r>
      <w:proofErr w:type="spellEnd"/>
      <w:r w:rsidRPr="00B419CE">
        <w:t xml:space="preserve">». Kontoret til </w:t>
      </w:r>
      <w:proofErr w:type="spellStart"/>
      <w:r w:rsidRPr="00B419CE">
        <w:t>Ombodsnemnda</w:t>
      </w:r>
      <w:proofErr w:type="spellEnd"/>
      <w:r w:rsidRPr="00B419CE">
        <w:t xml:space="preserve"> består av 3,6 årsverk, fordelte på fire </w:t>
      </w:r>
      <w:proofErr w:type="spellStart"/>
      <w:r w:rsidRPr="00B419CE">
        <w:t>personar</w:t>
      </w:r>
      <w:proofErr w:type="spellEnd"/>
      <w:r w:rsidRPr="00B419CE">
        <w:t>.</w:t>
      </w:r>
    </w:p>
    <w:p w14:paraId="46BC0D8B" w14:textId="77777777" w:rsidR="00B419CE" w:rsidRPr="00B419CE" w:rsidRDefault="00B419CE" w:rsidP="00B419CE">
      <w:r w:rsidRPr="00B419CE">
        <w:t xml:space="preserve">For å møte krava til utvikling og varetaking av større og nye </w:t>
      </w:r>
      <w:proofErr w:type="spellStart"/>
      <w:r w:rsidRPr="00B419CE">
        <w:t>oppgåver</w:t>
      </w:r>
      <w:proofErr w:type="spellEnd"/>
      <w:r w:rsidRPr="00B419CE">
        <w:t xml:space="preserve">, mellom anna </w:t>
      </w:r>
      <w:proofErr w:type="spellStart"/>
      <w:r w:rsidRPr="00B419CE">
        <w:t>ombodsrolla</w:t>
      </w:r>
      <w:proofErr w:type="spellEnd"/>
      <w:r w:rsidRPr="00B419CE">
        <w:t xml:space="preserve"> for </w:t>
      </w:r>
      <w:proofErr w:type="spellStart"/>
      <w:r w:rsidRPr="00B419CE">
        <w:t>veteranane</w:t>
      </w:r>
      <w:proofErr w:type="spellEnd"/>
      <w:r w:rsidRPr="00B419CE">
        <w:t xml:space="preserve"> i Forsvaret og </w:t>
      </w:r>
      <w:proofErr w:type="spellStart"/>
      <w:r w:rsidRPr="00B419CE">
        <w:t>eit</w:t>
      </w:r>
      <w:proofErr w:type="spellEnd"/>
      <w:r w:rsidRPr="00B419CE">
        <w:t xml:space="preserve"> større internasjonalt engasjement, meiner nemnda at kontoret må </w:t>
      </w:r>
      <w:proofErr w:type="spellStart"/>
      <w:r w:rsidRPr="00B419CE">
        <w:t>styrkast</w:t>
      </w:r>
      <w:proofErr w:type="spellEnd"/>
      <w:r w:rsidRPr="00B419CE">
        <w:t xml:space="preserve"> med ei fagstilling. Etter den vedtatte lova skal nemnda fungere som </w:t>
      </w:r>
      <w:proofErr w:type="spellStart"/>
      <w:r w:rsidRPr="00B419CE">
        <w:t>eit</w:t>
      </w:r>
      <w:proofErr w:type="spellEnd"/>
      <w:r w:rsidRPr="00B419CE">
        <w:t xml:space="preserve"> styre, dvs. med overordna ansvar for </w:t>
      </w:r>
      <w:proofErr w:type="spellStart"/>
      <w:r w:rsidRPr="00B419CE">
        <w:t>verksemda</w:t>
      </w:r>
      <w:proofErr w:type="spellEnd"/>
      <w:r w:rsidRPr="00B419CE">
        <w:t xml:space="preserve"> når det </w:t>
      </w:r>
      <w:proofErr w:type="spellStart"/>
      <w:r w:rsidRPr="00B419CE">
        <w:t>gjeld</w:t>
      </w:r>
      <w:proofErr w:type="spellEnd"/>
      <w:r w:rsidRPr="00B419CE">
        <w:t xml:space="preserve"> både økonomi og saksbehandling. Det er venta at dette vil </w:t>
      </w:r>
      <w:proofErr w:type="spellStart"/>
      <w:r w:rsidRPr="00B419CE">
        <w:t>auke</w:t>
      </w:r>
      <w:proofErr w:type="spellEnd"/>
      <w:r w:rsidRPr="00B419CE">
        <w:t xml:space="preserve"> behovet for nemndsmøte, og at presset på administrasjonen og saksførebuinga vil </w:t>
      </w:r>
      <w:proofErr w:type="spellStart"/>
      <w:r w:rsidRPr="00B419CE">
        <w:t>auke</w:t>
      </w:r>
      <w:proofErr w:type="spellEnd"/>
      <w:r w:rsidRPr="00B419CE">
        <w:t xml:space="preserve"> </w:t>
      </w:r>
      <w:proofErr w:type="spellStart"/>
      <w:r w:rsidRPr="00B419CE">
        <w:t>tilsvarande</w:t>
      </w:r>
      <w:proofErr w:type="spellEnd"/>
      <w:r w:rsidRPr="00B419CE">
        <w:t xml:space="preserve">. I tillegg er det ei uttalt målsetting at </w:t>
      </w:r>
      <w:proofErr w:type="spellStart"/>
      <w:r w:rsidRPr="00B419CE">
        <w:t>synfaringar</w:t>
      </w:r>
      <w:proofErr w:type="spellEnd"/>
      <w:r w:rsidRPr="00B419CE">
        <w:t xml:space="preserve"> og besøk på militære </w:t>
      </w:r>
      <w:proofErr w:type="spellStart"/>
      <w:r w:rsidRPr="00B419CE">
        <w:t>avdelingar</w:t>
      </w:r>
      <w:proofErr w:type="spellEnd"/>
      <w:r w:rsidRPr="00B419CE">
        <w:t xml:space="preserve"> og til militært personell skal </w:t>
      </w:r>
      <w:proofErr w:type="spellStart"/>
      <w:r w:rsidRPr="00B419CE">
        <w:t>prioriterast</w:t>
      </w:r>
      <w:proofErr w:type="spellEnd"/>
      <w:r w:rsidRPr="00B419CE">
        <w:t>.</w:t>
      </w:r>
    </w:p>
    <w:p w14:paraId="37606012" w14:textId="77777777" w:rsidR="00B419CE" w:rsidRPr="00B419CE" w:rsidRDefault="00B419CE" w:rsidP="00B419CE">
      <w:r w:rsidRPr="00B419CE">
        <w:t xml:space="preserve">Nemnda samarbeider nært med TVO-ordninga i Forsvaret og med </w:t>
      </w:r>
      <w:proofErr w:type="spellStart"/>
      <w:r w:rsidRPr="00B419CE">
        <w:t>organisasjonane</w:t>
      </w:r>
      <w:proofErr w:type="spellEnd"/>
      <w:r w:rsidRPr="00B419CE">
        <w:t xml:space="preserve"> til </w:t>
      </w:r>
      <w:proofErr w:type="spellStart"/>
      <w:r w:rsidRPr="00B419CE">
        <w:t>dei</w:t>
      </w:r>
      <w:proofErr w:type="spellEnd"/>
      <w:r w:rsidRPr="00B419CE">
        <w:t xml:space="preserve"> tilsette. </w:t>
      </w:r>
      <w:proofErr w:type="spellStart"/>
      <w:r w:rsidRPr="00B419CE">
        <w:t>Vidare</w:t>
      </w:r>
      <w:proofErr w:type="spellEnd"/>
      <w:r w:rsidRPr="00B419CE">
        <w:t xml:space="preserve"> har nemnda </w:t>
      </w:r>
      <w:proofErr w:type="spellStart"/>
      <w:r w:rsidRPr="00B419CE">
        <w:t>eit</w:t>
      </w:r>
      <w:proofErr w:type="spellEnd"/>
      <w:r w:rsidRPr="00B419CE">
        <w:t xml:space="preserve"> </w:t>
      </w:r>
      <w:proofErr w:type="spellStart"/>
      <w:r w:rsidRPr="00B419CE">
        <w:t>aukande</w:t>
      </w:r>
      <w:proofErr w:type="spellEnd"/>
      <w:r w:rsidRPr="00B419CE">
        <w:t xml:space="preserve"> samarbeid med </w:t>
      </w:r>
      <w:proofErr w:type="spellStart"/>
      <w:r w:rsidRPr="00B419CE">
        <w:t>dei</w:t>
      </w:r>
      <w:proofErr w:type="spellEnd"/>
      <w:r w:rsidRPr="00B419CE">
        <w:t xml:space="preserve"> ulike </w:t>
      </w:r>
      <w:proofErr w:type="spellStart"/>
      <w:r w:rsidRPr="00B419CE">
        <w:t>veteranorganisasjonane</w:t>
      </w:r>
      <w:proofErr w:type="spellEnd"/>
      <w:r w:rsidRPr="00B419CE">
        <w:t xml:space="preserve"> i Forsvaret.</w:t>
      </w:r>
    </w:p>
    <w:p w14:paraId="075257ED" w14:textId="77777777" w:rsidR="00B419CE" w:rsidRPr="00B419CE" w:rsidRDefault="00B419CE" w:rsidP="00B419CE">
      <w:proofErr w:type="spellStart"/>
      <w:r w:rsidRPr="00B419CE">
        <w:t>Ombodsmannen</w:t>
      </w:r>
      <w:proofErr w:type="spellEnd"/>
      <w:r w:rsidRPr="00B419CE">
        <w:t xml:space="preserve"> deltar i internasjonalt arbeid i regi av DCAF (</w:t>
      </w:r>
      <w:proofErr w:type="spellStart"/>
      <w:r w:rsidRPr="00B419CE">
        <w:t>Democratic</w:t>
      </w:r>
      <w:proofErr w:type="spellEnd"/>
      <w:r w:rsidRPr="00B419CE">
        <w:t xml:space="preserve"> Control </w:t>
      </w:r>
      <w:proofErr w:type="spellStart"/>
      <w:r w:rsidRPr="00B419CE">
        <w:t>of</w:t>
      </w:r>
      <w:proofErr w:type="spellEnd"/>
      <w:r w:rsidRPr="00B419CE">
        <w:t xml:space="preserve"> </w:t>
      </w:r>
      <w:proofErr w:type="spellStart"/>
      <w:r w:rsidRPr="00B419CE">
        <w:t>Armed</w:t>
      </w:r>
      <w:proofErr w:type="spellEnd"/>
      <w:r w:rsidRPr="00B419CE">
        <w:t xml:space="preserve"> Forces), ICOAF (International Conference </w:t>
      </w:r>
      <w:proofErr w:type="spellStart"/>
      <w:r w:rsidRPr="00B419CE">
        <w:t>of</w:t>
      </w:r>
      <w:proofErr w:type="spellEnd"/>
      <w:r w:rsidRPr="00B419CE">
        <w:t xml:space="preserve"> Ombuds </w:t>
      </w:r>
      <w:proofErr w:type="spellStart"/>
      <w:r w:rsidRPr="00B419CE">
        <w:t>Institutions</w:t>
      </w:r>
      <w:proofErr w:type="spellEnd"/>
      <w:r w:rsidRPr="00B419CE">
        <w:t xml:space="preserve"> for </w:t>
      </w:r>
      <w:proofErr w:type="spellStart"/>
      <w:r w:rsidRPr="00B419CE">
        <w:t>the</w:t>
      </w:r>
      <w:proofErr w:type="spellEnd"/>
      <w:r w:rsidRPr="00B419CE">
        <w:t xml:space="preserve"> </w:t>
      </w:r>
      <w:proofErr w:type="spellStart"/>
      <w:r w:rsidRPr="00B419CE">
        <w:t>Armed</w:t>
      </w:r>
      <w:proofErr w:type="spellEnd"/>
      <w:r w:rsidRPr="00B419CE">
        <w:t xml:space="preserve"> Forces). </w:t>
      </w:r>
      <w:proofErr w:type="spellStart"/>
      <w:r w:rsidRPr="00B419CE">
        <w:t>Ombodsmannen</w:t>
      </w:r>
      <w:proofErr w:type="spellEnd"/>
      <w:r w:rsidRPr="00B419CE">
        <w:t xml:space="preserve"> blir stadig invitert for å orientere og presentere den norske modellen i ei rekke land som ønsker å innføre demokratiske </w:t>
      </w:r>
      <w:proofErr w:type="spellStart"/>
      <w:r w:rsidRPr="00B419CE">
        <w:t>institusjonar</w:t>
      </w:r>
      <w:proofErr w:type="spellEnd"/>
      <w:r w:rsidRPr="00B419CE">
        <w:t xml:space="preserve"> til kontroll av væpna </w:t>
      </w:r>
      <w:proofErr w:type="spellStart"/>
      <w:r w:rsidRPr="00B419CE">
        <w:t>styrkar</w:t>
      </w:r>
      <w:proofErr w:type="spellEnd"/>
      <w:r w:rsidRPr="00B419CE">
        <w:t>.</w:t>
      </w:r>
    </w:p>
    <w:p w14:paraId="7D03DA36" w14:textId="77777777" w:rsidR="00B419CE" w:rsidRPr="00B419CE" w:rsidRDefault="00B419CE" w:rsidP="00B419CE">
      <w:pPr>
        <w:pStyle w:val="Undertittel"/>
      </w:pPr>
      <w:r w:rsidRPr="00B419CE">
        <w:t>Melding til Stortinget</w:t>
      </w:r>
    </w:p>
    <w:p w14:paraId="17D755E3" w14:textId="77777777" w:rsidR="00B419CE" w:rsidRPr="00B419CE" w:rsidRDefault="00B419CE" w:rsidP="00B419CE">
      <w:proofErr w:type="spellStart"/>
      <w:r w:rsidRPr="00B419CE">
        <w:t>Ombodsmannsnemnda</w:t>
      </w:r>
      <w:proofErr w:type="spellEnd"/>
      <w:r w:rsidRPr="00B419CE">
        <w:t xml:space="preserve"> sender </w:t>
      </w:r>
      <w:proofErr w:type="spellStart"/>
      <w:r w:rsidRPr="00B419CE">
        <w:t>årleg</w:t>
      </w:r>
      <w:proofErr w:type="spellEnd"/>
      <w:r w:rsidRPr="00B419CE">
        <w:t xml:space="preserve"> ei melding om </w:t>
      </w:r>
      <w:proofErr w:type="spellStart"/>
      <w:r w:rsidRPr="00B419CE">
        <w:t>verksemda</w:t>
      </w:r>
      <w:proofErr w:type="spellEnd"/>
      <w:r w:rsidRPr="00B419CE">
        <w:t xml:space="preserve">, Dokument 5, til Stortinget. </w:t>
      </w:r>
      <w:proofErr w:type="spellStart"/>
      <w:r w:rsidRPr="00B419CE">
        <w:t>Ein</w:t>
      </w:r>
      <w:proofErr w:type="spellEnd"/>
      <w:r w:rsidRPr="00B419CE">
        <w:t xml:space="preserve"> gjenpart av meldinga blir send til Forsvarsdepartementet og til Forsvarets organ og </w:t>
      </w:r>
      <w:proofErr w:type="spellStart"/>
      <w:r w:rsidRPr="00B419CE">
        <w:t>avdelingar</w:t>
      </w:r>
      <w:proofErr w:type="spellEnd"/>
      <w:r w:rsidRPr="00B419CE">
        <w:t xml:space="preserve">. Nemnda kan også, ved behov, sende </w:t>
      </w:r>
      <w:proofErr w:type="spellStart"/>
      <w:r w:rsidRPr="00B419CE">
        <w:t>særskilde</w:t>
      </w:r>
      <w:proofErr w:type="spellEnd"/>
      <w:r w:rsidRPr="00B419CE">
        <w:t xml:space="preserve"> </w:t>
      </w:r>
      <w:proofErr w:type="spellStart"/>
      <w:r w:rsidRPr="00B419CE">
        <w:t>meldingar</w:t>
      </w:r>
      <w:proofErr w:type="spellEnd"/>
      <w:r w:rsidRPr="00B419CE">
        <w:t xml:space="preserve"> til Stortinget om enkeltsaker.</w:t>
      </w:r>
    </w:p>
    <w:p w14:paraId="3B069A24"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for 2022</w:t>
      </w:r>
    </w:p>
    <w:p w14:paraId="07542528" w14:textId="77777777" w:rsidR="00B419CE" w:rsidRPr="00B419CE" w:rsidRDefault="00B419CE" w:rsidP="00B419CE">
      <w:r w:rsidRPr="00B419CE">
        <w:t xml:space="preserve">Med den nye lova og </w:t>
      </w:r>
      <w:proofErr w:type="spellStart"/>
      <w:r w:rsidRPr="00B419CE">
        <w:t>eit</w:t>
      </w:r>
      <w:proofErr w:type="spellEnd"/>
      <w:r w:rsidRPr="00B419CE">
        <w:t xml:space="preserve"> forsterka mandat for Stortingets </w:t>
      </w:r>
      <w:proofErr w:type="spellStart"/>
      <w:r w:rsidRPr="00B419CE">
        <w:t>ombodsnemnd</w:t>
      </w:r>
      <w:proofErr w:type="spellEnd"/>
      <w:r w:rsidRPr="00B419CE">
        <w:t xml:space="preserve"> for Forsvaret vil 2022 </w:t>
      </w:r>
      <w:proofErr w:type="spellStart"/>
      <w:r w:rsidRPr="00B419CE">
        <w:t>vere</w:t>
      </w:r>
      <w:proofErr w:type="spellEnd"/>
      <w:r w:rsidRPr="00B419CE">
        <w:t xml:space="preserve"> </w:t>
      </w:r>
      <w:proofErr w:type="spellStart"/>
      <w:r w:rsidRPr="00B419CE">
        <w:t>eit</w:t>
      </w:r>
      <w:proofErr w:type="spellEnd"/>
      <w:r w:rsidRPr="00B419CE">
        <w:t xml:space="preserve"> viktig år for arbeidet i nemnda. Med den nye lova og </w:t>
      </w:r>
      <w:proofErr w:type="spellStart"/>
      <w:r w:rsidRPr="00B419CE">
        <w:t>eit</w:t>
      </w:r>
      <w:proofErr w:type="spellEnd"/>
      <w:r w:rsidRPr="00B419CE">
        <w:t xml:space="preserve"> forsterka og </w:t>
      </w:r>
      <w:proofErr w:type="spellStart"/>
      <w:r w:rsidRPr="00B419CE">
        <w:t>tydeleggjort</w:t>
      </w:r>
      <w:proofErr w:type="spellEnd"/>
      <w:r w:rsidRPr="00B419CE">
        <w:t xml:space="preserve"> mandat </w:t>
      </w:r>
      <w:proofErr w:type="spellStart"/>
      <w:r w:rsidRPr="00B419CE">
        <w:t>frå</w:t>
      </w:r>
      <w:proofErr w:type="spellEnd"/>
      <w:r w:rsidRPr="00B419CE">
        <w:t xml:space="preserve"> Stortinget vil nemnda sikre at arbeidet blir innretta deretter. Porteføljen i </w:t>
      </w:r>
      <w:proofErr w:type="spellStart"/>
      <w:r w:rsidRPr="00B419CE">
        <w:t>tilknyting</w:t>
      </w:r>
      <w:proofErr w:type="spellEnd"/>
      <w:r w:rsidRPr="00B419CE">
        <w:t xml:space="preserve"> til </w:t>
      </w:r>
      <w:proofErr w:type="spellStart"/>
      <w:r w:rsidRPr="00B419CE">
        <w:t>veteranane</w:t>
      </w:r>
      <w:proofErr w:type="spellEnd"/>
      <w:r w:rsidRPr="00B419CE">
        <w:t xml:space="preserve"> og til internasjonalt samarbeid vil bli </w:t>
      </w:r>
      <w:proofErr w:type="spellStart"/>
      <w:r w:rsidRPr="00B419CE">
        <w:t>toneangivande</w:t>
      </w:r>
      <w:proofErr w:type="spellEnd"/>
      <w:r w:rsidRPr="00B419CE">
        <w:t xml:space="preserve"> i så måte. I tillegg er det </w:t>
      </w:r>
      <w:proofErr w:type="spellStart"/>
      <w:r w:rsidRPr="00B419CE">
        <w:t>ein</w:t>
      </w:r>
      <w:proofErr w:type="spellEnd"/>
      <w:r w:rsidRPr="00B419CE">
        <w:t xml:space="preserve"> ambisjon at nemnda i løpet av 2022 vil ferdigstille </w:t>
      </w:r>
      <w:proofErr w:type="spellStart"/>
      <w:r w:rsidRPr="00B419CE">
        <w:t>eit</w:t>
      </w:r>
      <w:proofErr w:type="spellEnd"/>
      <w:r w:rsidRPr="00B419CE">
        <w:t xml:space="preserve"> </w:t>
      </w:r>
      <w:proofErr w:type="spellStart"/>
      <w:r w:rsidRPr="00B419CE">
        <w:t>betydeleg</w:t>
      </w:r>
      <w:proofErr w:type="spellEnd"/>
      <w:r w:rsidRPr="00B419CE">
        <w:t xml:space="preserve"> moderniseringsarbeid og ei oppgradering av infrastrukturen, </w:t>
      </w:r>
      <w:proofErr w:type="spellStart"/>
      <w:r w:rsidRPr="00B419CE">
        <w:t>rutinane</w:t>
      </w:r>
      <w:proofErr w:type="spellEnd"/>
      <w:r w:rsidRPr="00B419CE">
        <w:t xml:space="preserve"> og </w:t>
      </w:r>
      <w:proofErr w:type="spellStart"/>
      <w:r w:rsidRPr="00B419CE">
        <w:t>kvalitetane</w:t>
      </w:r>
      <w:proofErr w:type="spellEnd"/>
      <w:r w:rsidRPr="00B419CE">
        <w:t xml:space="preserve"> ved kontoret for å følge opp merknadene i evalueringa.</w:t>
      </w:r>
    </w:p>
    <w:p w14:paraId="42222D59" w14:textId="77777777" w:rsidR="00B419CE" w:rsidRPr="00B419CE" w:rsidRDefault="00B419CE" w:rsidP="00B419CE">
      <w:proofErr w:type="spellStart"/>
      <w:r w:rsidRPr="00B419CE">
        <w:t>Ombodsnemnda</w:t>
      </w:r>
      <w:proofErr w:type="spellEnd"/>
      <w:r w:rsidRPr="00B419CE">
        <w:t xml:space="preserve"> vil sjølvsagt også i 2022 </w:t>
      </w:r>
      <w:proofErr w:type="spellStart"/>
      <w:r w:rsidRPr="00B419CE">
        <w:t>vere</w:t>
      </w:r>
      <w:proofErr w:type="spellEnd"/>
      <w:r w:rsidRPr="00B419CE">
        <w:t xml:space="preserve"> opptatt av personellsituasjonen i Forsvaret, med tanke på både den </w:t>
      </w:r>
      <w:proofErr w:type="spellStart"/>
      <w:r w:rsidRPr="00B419CE">
        <w:t>vidare</w:t>
      </w:r>
      <w:proofErr w:type="spellEnd"/>
      <w:r w:rsidRPr="00B419CE">
        <w:t xml:space="preserve"> oppfølginga av MOST-undersøkinga og </w:t>
      </w:r>
      <w:proofErr w:type="spellStart"/>
      <w:r w:rsidRPr="00B419CE">
        <w:t>dei</w:t>
      </w:r>
      <w:proofErr w:type="spellEnd"/>
      <w:r w:rsidRPr="00B419CE">
        <w:t xml:space="preserve"> mange påviste </w:t>
      </w:r>
      <w:proofErr w:type="spellStart"/>
      <w:r w:rsidRPr="00B419CE">
        <w:t>manglane</w:t>
      </w:r>
      <w:proofErr w:type="spellEnd"/>
      <w:r w:rsidRPr="00B419CE">
        <w:t xml:space="preserve"> knytte til EBA (</w:t>
      </w:r>
      <w:proofErr w:type="spellStart"/>
      <w:r w:rsidRPr="00B419CE">
        <w:t>eigedom</w:t>
      </w:r>
      <w:proofErr w:type="spellEnd"/>
      <w:r w:rsidRPr="00B419CE">
        <w:t xml:space="preserve">, bygg og anlegg). Det er planlagt </w:t>
      </w:r>
      <w:proofErr w:type="spellStart"/>
      <w:r w:rsidRPr="00B419CE">
        <w:t>fleire</w:t>
      </w:r>
      <w:proofErr w:type="spellEnd"/>
      <w:r w:rsidRPr="00B419CE">
        <w:t xml:space="preserve"> </w:t>
      </w:r>
      <w:proofErr w:type="spellStart"/>
      <w:r w:rsidRPr="00B419CE">
        <w:t>synfaringar</w:t>
      </w:r>
      <w:proofErr w:type="spellEnd"/>
      <w:r w:rsidRPr="00B419CE">
        <w:t xml:space="preserve"> i inn- og utland så snart pandemisituasjonen </w:t>
      </w:r>
      <w:proofErr w:type="spellStart"/>
      <w:r w:rsidRPr="00B419CE">
        <w:t>tillèt</w:t>
      </w:r>
      <w:proofErr w:type="spellEnd"/>
      <w:r w:rsidRPr="00B419CE">
        <w:t xml:space="preserve"> det.</w:t>
      </w:r>
    </w:p>
    <w:p w14:paraId="3432838D" w14:textId="77777777" w:rsidR="00B419CE" w:rsidRPr="00B419CE" w:rsidRDefault="00B419CE" w:rsidP="00B419CE">
      <w:r w:rsidRPr="00B419CE">
        <w:lastRenderedPageBreak/>
        <w:t xml:space="preserve">I 2022 skal det </w:t>
      </w:r>
      <w:proofErr w:type="spellStart"/>
      <w:r w:rsidRPr="00B419CE">
        <w:t>markerast</w:t>
      </w:r>
      <w:proofErr w:type="spellEnd"/>
      <w:r w:rsidRPr="00B419CE">
        <w:t xml:space="preserve"> at det er 70 år </w:t>
      </w:r>
      <w:proofErr w:type="spellStart"/>
      <w:r w:rsidRPr="00B419CE">
        <w:t>sidan</w:t>
      </w:r>
      <w:proofErr w:type="spellEnd"/>
      <w:r w:rsidRPr="00B419CE">
        <w:t xml:space="preserve"> Stortinget vedtok å opprette </w:t>
      </w:r>
      <w:proofErr w:type="spellStart"/>
      <w:r w:rsidRPr="00B419CE">
        <w:t>Ombodsmannsnemnda</w:t>
      </w:r>
      <w:proofErr w:type="spellEnd"/>
      <w:r w:rsidRPr="00B419CE">
        <w:t xml:space="preserve">, verdas første parlamentariske kontrollordning for militært personell. </w:t>
      </w:r>
      <w:proofErr w:type="spellStart"/>
      <w:r w:rsidRPr="00B419CE">
        <w:t>Sidan</w:t>
      </w:r>
      <w:proofErr w:type="spellEnd"/>
      <w:r w:rsidRPr="00B419CE">
        <w:t xml:space="preserve"> da har </w:t>
      </w:r>
      <w:proofErr w:type="spellStart"/>
      <w:r w:rsidRPr="00B419CE">
        <w:t>fleire</w:t>
      </w:r>
      <w:proofErr w:type="spellEnd"/>
      <w:r w:rsidRPr="00B419CE">
        <w:t xml:space="preserve"> land etablert </w:t>
      </w:r>
      <w:proofErr w:type="spellStart"/>
      <w:r w:rsidRPr="00B419CE">
        <w:t>liknande</w:t>
      </w:r>
      <w:proofErr w:type="spellEnd"/>
      <w:r w:rsidRPr="00B419CE">
        <w:t xml:space="preserve"> </w:t>
      </w:r>
      <w:proofErr w:type="spellStart"/>
      <w:r w:rsidRPr="00B419CE">
        <w:t>ordningar</w:t>
      </w:r>
      <w:proofErr w:type="spellEnd"/>
      <w:r w:rsidRPr="00B419CE">
        <w:t xml:space="preserve"> etter norsk modell. </w:t>
      </w:r>
      <w:proofErr w:type="spellStart"/>
      <w:r w:rsidRPr="00B419CE">
        <w:t>Eit</w:t>
      </w:r>
      <w:proofErr w:type="spellEnd"/>
      <w:r w:rsidRPr="00B419CE">
        <w:t xml:space="preserve"> </w:t>
      </w:r>
      <w:proofErr w:type="spellStart"/>
      <w:r w:rsidRPr="00B419CE">
        <w:t>omfattande</w:t>
      </w:r>
      <w:proofErr w:type="spellEnd"/>
      <w:r w:rsidRPr="00B419CE">
        <w:t xml:space="preserve"> samarbeid gjennom DCAF har ført til </w:t>
      </w:r>
      <w:proofErr w:type="spellStart"/>
      <w:r w:rsidRPr="00B419CE">
        <w:t>auka</w:t>
      </w:r>
      <w:proofErr w:type="spellEnd"/>
      <w:r w:rsidRPr="00B419CE">
        <w:t xml:space="preserve"> aktivitet og utvikling av demokratisk kontroll av </w:t>
      </w:r>
      <w:proofErr w:type="spellStart"/>
      <w:r w:rsidRPr="00B419CE">
        <w:t>dei</w:t>
      </w:r>
      <w:proofErr w:type="spellEnd"/>
      <w:r w:rsidRPr="00B419CE">
        <w:t xml:space="preserve"> væpna </w:t>
      </w:r>
      <w:proofErr w:type="spellStart"/>
      <w:r w:rsidRPr="00B419CE">
        <w:t>styrkane</w:t>
      </w:r>
      <w:proofErr w:type="spellEnd"/>
      <w:r w:rsidRPr="00B419CE">
        <w:t xml:space="preserve"> i ulike land. Kvart år blir det arrangert </w:t>
      </w:r>
      <w:proofErr w:type="spellStart"/>
      <w:r w:rsidRPr="00B419CE">
        <w:t>ein</w:t>
      </w:r>
      <w:proofErr w:type="spellEnd"/>
      <w:r w:rsidRPr="00B419CE">
        <w:t xml:space="preserve"> internasjonal </w:t>
      </w:r>
      <w:proofErr w:type="spellStart"/>
      <w:r w:rsidRPr="00B419CE">
        <w:t>ombodsmannskonferanse</w:t>
      </w:r>
      <w:proofErr w:type="spellEnd"/>
      <w:r w:rsidRPr="00B419CE">
        <w:t xml:space="preserve">. I samband med 70-årsmarkeringa blei </w:t>
      </w:r>
      <w:proofErr w:type="spellStart"/>
      <w:r w:rsidRPr="00B419CE">
        <w:t>Noreg</w:t>
      </w:r>
      <w:proofErr w:type="spellEnd"/>
      <w:r w:rsidRPr="00B419CE">
        <w:t xml:space="preserve"> spurt om å påta seg å arrangere denne konferansen i 2022.</w:t>
      </w:r>
    </w:p>
    <w:p w14:paraId="10ED985C" w14:textId="77777777" w:rsidR="00B419CE" w:rsidRPr="00B419CE" w:rsidRDefault="00B419CE" w:rsidP="00B419CE">
      <w:pPr>
        <w:pStyle w:val="b-post"/>
      </w:pPr>
      <w:r w:rsidRPr="00B419CE">
        <w:t>Post 01 Driftsutgifter</w:t>
      </w:r>
    </w:p>
    <w:p w14:paraId="05FAB6A0" w14:textId="77777777" w:rsidR="00B419CE" w:rsidRPr="00B419CE" w:rsidRDefault="00B419CE" w:rsidP="00B419CE">
      <w:r w:rsidRPr="00B419CE">
        <w:t xml:space="preserve">Posten </w:t>
      </w:r>
      <w:proofErr w:type="spellStart"/>
      <w:r w:rsidRPr="00B419CE">
        <w:t>inneheld</w:t>
      </w:r>
      <w:proofErr w:type="spellEnd"/>
      <w:r w:rsidRPr="00B419CE">
        <w:t xml:space="preserve"> lønnsutgifter og utgifter til kjøp av varer og </w:t>
      </w:r>
      <w:proofErr w:type="spellStart"/>
      <w:r w:rsidRPr="00B419CE">
        <w:t>tenester</w:t>
      </w:r>
      <w:proofErr w:type="spellEnd"/>
      <w:r w:rsidRPr="00B419CE">
        <w:t>.</w:t>
      </w:r>
    </w:p>
    <w:p w14:paraId="7E3CCA40" w14:textId="77777777" w:rsidR="00B419CE" w:rsidRPr="00B419CE" w:rsidRDefault="00B419CE" w:rsidP="00B419CE">
      <w:pPr>
        <w:pStyle w:val="b-budkaptit"/>
      </w:pPr>
      <w:r w:rsidRPr="00B419CE">
        <w:t xml:space="preserve">Kap. 43 Stortingets </w:t>
      </w:r>
      <w:proofErr w:type="spellStart"/>
      <w:r w:rsidRPr="00B419CE">
        <w:t>ombod</w:t>
      </w:r>
      <w:proofErr w:type="spellEnd"/>
      <w:r w:rsidRPr="00B419CE">
        <w:t xml:space="preserve"> for kontroll med forvaltninga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2E4F4199" w14:textId="77777777" w:rsidTr="00B419CE">
        <w:trPr>
          <w:trHeight w:val="640"/>
          <w:hidden/>
        </w:trPr>
        <w:tc>
          <w:tcPr>
            <w:tcW w:w="1140" w:type="dxa"/>
            <w:shd w:val="clear" w:color="auto" w:fill="FFFFFF"/>
          </w:tcPr>
          <w:p w14:paraId="7D27E6F1" w14:textId="77777777" w:rsidR="00B419CE" w:rsidRPr="00B419CE" w:rsidRDefault="00B419CE" w:rsidP="00B419CE">
            <w:pPr>
              <w:pStyle w:val="Tabellnavn"/>
            </w:pPr>
            <w:r w:rsidRPr="00B419CE">
              <w:t>KPAL</w:t>
            </w:r>
          </w:p>
        </w:tc>
        <w:tc>
          <w:tcPr>
            <w:tcW w:w="4560" w:type="dxa"/>
          </w:tcPr>
          <w:p w14:paraId="7ED3A8C1" w14:textId="77777777" w:rsidR="00B419CE" w:rsidRPr="00B419CE" w:rsidRDefault="00B419CE" w:rsidP="00B419CE"/>
        </w:tc>
        <w:tc>
          <w:tcPr>
            <w:tcW w:w="1140" w:type="dxa"/>
          </w:tcPr>
          <w:p w14:paraId="18FDE209" w14:textId="77777777" w:rsidR="00B419CE" w:rsidRPr="00B419CE" w:rsidRDefault="00B419CE" w:rsidP="00B419CE">
            <w:pPr>
              <w:jc w:val="right"/>
            </w:pPr>
          </w:p>
        </w:tc>
        <w:tc>
          <w:tcPr>
            <w:tcW w:w="1140" w:type="dxa"/>
          </w:tcPr>
          <w:p w14:paraId="5ED538BA" w14:textId="77777777" w:rsidR="00B419CE" w:rsidRPr="00B419CE" w:rsidRDefault="00B419CE" w:rsidP="00B419CE">
            <w:pPr>
              <w:jc w:val="right"/>
            </w:pPr>
          </w:p>
        </w:tc>
        <w:tc>
          <w:tcPr>
            <w:tcW w:w="1140" w:type="dxa"/>
          </w:tcPr>
          <w:p w14:paraId="34EE2005" w14:textId="77777777" w:rsidR="00B419CE" w:rsidRPr="00B419CE" w:rsidRDefault="00B419CE" w:rsidP="00B419CE">
            <w:pPr>
              <w:jc w:val="right"/>
            </w:pPr>
            <w:r w:rsidRPr="00B419CE">
              <w:t>(i 1 000 kr)</w:t>
            </w:r>
          </w:p>
        </w:tc>
      </w:tr>
      <w:tr w:rsidR="00B419CE" w:rsidRPr="00B419CE" w14:paraId="5B47BA06" w14:textId="77777777" w:rsidTr="00B419CE">
        <w:trPr>
          <w:trHeight w:val="600"/>
        </w:trPr>
        <w:tc>
          <w:tcPr>
            <w:tcW w:w="1140" w:type="dxa"/>
          </w:tcPr>
          <w:p w14:paraId="319465FF" w14:textId="77777777" w:rsidR="00B419CE" w:rsidRPr="00B419CE" w:rsidRDefault="00B419CE" w:rsidP="00B419CE">
            <w:r w:rsidRPr="00B419CE">
              <w:t>Post</w:t>
            </w:r>
          </w:p>
        </w:tc>
        <w:tc>
          <w:tcPr>
            <w:tcW w:w="4560" w:type="dxa"/>
          </w:tcPr>
          <w:p w14:paraId="2519B231" w14:textId="77777777" w:rsidR="00B419CE" w:rsidRPr="00B419CE" w:rsidRDefault="00B419CE" w:rsidP="00B419CE">
            <w:proofErr w:type="spellStart"/>
            <w:r w:rsidRPr="00B419CE">
              <w:t>Nemning</w:t>
            </w:r>
            <w:proofErr w:type="spellEnd"/>
          </w:p>
        </w:tc>
        <w:tc>
          <w:tcPr>
            <w:tcW w:w="1140" w:type="dxa"/>
          </w:tcPr>
          <w:p w14:paraId="65D5D15F"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56CE25F7" w14:textId="77777777" w:rsidR="00B419CE" w:rsidRPr="00B419CE" w:rsidRDefault="00B419CE" w:rsidP="00B419CE">
            <w:pPr>
              <w:jc w:val="right"/>
            </w:pPr>
            <w:r w:rsidRPr="00B419CE">
              <w:t>Saldert</w:t>
            </w:r>
            <w:r w:rsidRPr="00B419CE">
              <w:br/>
              <w:t xml:space="preserve"> budsjett 2021</w:t>
            </w:r>
          </w:p>
        </w:tc>
        <w:tc>
          <w:tcPr>
            <w:tcW w:w="1140" w:type="dxa"/>
          </w:tcPr>
          <w:p w14:paraId="3D93699E" w14:textId="77777777" w:rsidR="00B419CE" w:rsidRPr="00B419CE" w:rsidRDefault="00B419CE" w:rsidP="00B419CE">
            <w:pPr>
              <w:jc w:val="right"/>
            </w:pPr>
            <w:r w:rsidRPr="00B419CE">
              <w:t>Forslag</w:t>
            </w:r>
            <w:r w:rsidRPr="00B419CE">
              <w:br/>
              <w:t xml:space="preserve"> 2022</w:t>
            </w:r>
          </w:p>
        </w:tc>
      </w:tr>
      <w:tr w:rsidR="00B419CE" w:rsidRPr="00B419CE" w14:paraId="605F869F" w14:textId="77777777" w:rsidTr="00B419CE">
        <w:trPr>
          <w:trHeight w:val="380"/>
        </w:trPr>
        <w:tc>
          <w:tcPr>
            <w:tcW w:w="1140" w:type="dxa"/>
          </w:tcPr>
          <w:p w14:paraId="69B85A09" w14:textId="77777777" w:rsidR="00B419CE" w:rsidRPr="00B419CE" w:rsidRDefault="00B419CE" w:rsidP="00B419CE">
            <w:r w:rsidRPr="00B419CE">
              <w:t>01</w:t>
            </w:r>
          </w:p>
        </w:tc>
        <w:tc>
          <w:tcPr>
            <w:tcW w:w="4560" w:type="dxa"/>
          </w:tcPr>
          <w:p w14:paraId="6062EDA6" w14:textId="77777777" w:rsidR="00B419CE" w:rsidRPr="00B419CE" w:rsidRDefault="00B419CE" w:rsidP="00B419CE">
            <w:r w:rsidRPr="00B419CE">
              <w:t>Driftsutgifter</w:t>
            </w:r>
          </w:p>
        </w:tc>
        <w:tc>
          <w:tcPr>
            <w:tcW w:w="1140" w:type="dxa"/>
          </w:tcPr>
          <w:p w14:paraId="4E43E61A" w14:textId="77777777" w:rsidR="00B419CE" w:rsidRPr="00B419CE" w:rsidRDefault="00B419CE" w:rsidP="00B419CE">
            <w:pPr>
              <w:jc w:val="right"/>
            </w:pPr>
            <w:r w:rsidRPr="00B419CE">
              <w:t>88 936</w:t>
            </w:r>
          </w:p>
        </w:tc>
        <w:tc>
          <w:tcPr>
            <w:tcW w:w="1140" w:type="dxa"/>
          </w:tcPr>
          <w:p w14:paraId="1DDF4365" w14:textId="77777777" w:rsidR="00B419CE" w:rsidRPr="00B419CE" w:rsidRDefault="00B419CE" w:rsidP="00B419CE">
            <w:pPr>
              <w:jc w:val="right"/>
            </w:pPr>
            <w:r w:rsidRPr="00B419CE">
              <w:t>92 511</w:t>
            </w:r>
          </w:p>
        </w:tc>
        <w:tc>
          <w:tcPr>
            <w:tcW w:w="1140" w:type="dxa"/>
          </w:tcPr>
          <w:p w14:paraId="19294C44" w14:textId="77777777" w:rsidR="00B419CE" w:rsidRPr="00B419CE" w:rsidRDefault="00B419CE" w:rsidP="00B419CE">
            <w:pPr>
              <w:jc w:val="right"/>
            </w:pPr>
            <w:r w:rsidRPr="00B419CE">
              <w:t>94 287</w:t>
            </w:r>
          </w:p>
        </w:tc>
      </w:tr>
      <w:tr w:rsidR="00B419CE" w:rsidRPr="00B419CE" w14:paraId="462A7A05" w14:textId="77777777" w:rsidTr="00B419CE">
        <w:trPr>
          <w:trHeight w:val="380"/>
        </w:trPr>
        <w:tc>
          <w:tcPr>
            <w:tcW w:w="1140" w:type="dxa"/>
          </w:tcPr>
          <w:p w14:paraId="4BBC6B43" w14:textId="77777777" w:rsidR="00B419CE" w:rsidRPr="00B419CE" w:rsidRDefault="00B419CE" w:rsidP="00B419CE"/>
        </w:tc>
        <w:tc>
          <w:tcPr>
            <w:tcW w:w="4560" w:type="dxa"/>
          </w:tcPr>
          <w:p w14:paraId="166BB997" w14:textId="77777777" w:rsidR="00B419CE" w:rsidRPr="00B419CE" w:rsidRDefault="00B419CE" w:rsidP="00B419CE">
            <w:r w:rsidRPr="00B419CE">
              <w:t>Sum kap. 43</w:t>
            </w:r>
          </w:p>
        </w:tc>
        <w:tc>
          <w:tcPr>
            <w:tcW w:w="1140" w:type="dxa"/>
          </w:tcPr>
          <w:p w14:paraId="3DBB9DF0" w14:textId="77777777" w:rsidR="00B419CE" w:rsidRPr="00B419CE" w:rsidRDefault="00B419CE" w:rsidP="00B419CE">
            <w:pPr>
              <w:jc w:val="right"/>
            </w:pPr>
            <w:r w:rsidRPr="00B419CE">
              <w:t>88 936</w:t>
            </w:r>
          </w:p>
        </w:tc>
        <w:tc>
          <w:tcPr>
            <w:tcW w:w="1140" w:type="dxa"/>
          </w:tcPr>
          <w:p w14:paraId="61A6CFFC" w14:textId="77777777" w:rsidR="00B419CE" w:rsidRPr="00B419CE" w:rsidRDefault="00B419CE" w:rsidP="00B419CE">
            <w:pPr>
              <w:jc w:val="right"/>
            </w:pPr>
            <w:r w:rsidRPr="00B419CE">
              <w:t>92 511</w:t>
            </w:r>
          </w:p>
        </w:tc>
        <w:tc>
          <w:tcPr>
            <w:tcW w:w="1140" w:type="dxa"/>
          </w:tcPr>
          <w:p w14:paraId="5785E18B" w14:textId="77777777" w:rsidR="00B419CE" w:rsidRPr="00B419CE" w:rsidRDefault="00B419CE" w:rsidP="00B419CE">
            <w:pPr>
              <w:jc w:val="right"/>
            </w:pPr>
            <w:r w:rsidRPr="00B419CE">
              <w:t>94 287</w:t>
            </w:r>
          </w:p>
        </w:tc>
      </w:tr>
    </w:tbl>
    <w:p w14:paraId="6697FA90" w14:textId="77777777" w:rsidR="00B419CE" w:rsidRPr="00B419CE" w:rsidRDefault="00B419CE" w:rsidP="00B419CE">
      <w:pPr>
        <w:pStyle w:val="Undertittel"/>
      </w:pPr>
      <w:proofErr w:type="spellStart"/>
      <w:r w:rsidRPr="00B419CE">
        <w:t>Hovudoppgåver</w:t>
      </w:r>
      <w:proofErr w:type="spellEnd"/>
      <w:r w:rsidRPr="00B419CE">
        <w:t xml:space="preserve"> og organisering</w:t>
      </w:r>
    </w:p>
    <w:p w14:paraId="6F7463F7" w14:textId="77777777" w:rsidR="00B419CE" w:rsidRPr="00B419CE" w:rsidRDefault="00B419CE" w:rsidP="00B419CE">
      <w:proofErr w:type="spellStart"/>
      <w:r w:rsidRPr="00B419CE">
        <w:t>Sivilombodets</w:t>
      </w:r>
      <w:proofErr w:type="spellEnd"/>
      <w:r w:rsidRPr="00B419CE">
        <w:t xml:space="preserve"> (</w:t>
      </w:r>
      <w:proofErr w:type="spellStart"/>
      <w:r w:rsidRPr="00B419CE">
        <w:t>Sivilombodsmannen</w:t>
      </w:r>
      <w:proofErr w:type="spellEnd"/>
      <w:r w:rsidRPr="00B419CE">
        <w:t xml:space="preserve"> fram til 30. juni 2021) formål og </w:t>
      </w:r>
      <w:proofErr w:type="spellStart"/>
      <w:r w:rsidRPr="00B419CE">
        <w:t>oppgåver</w:t>
      </w:r>
      <w:proofErr w:type="spellEnd"/>
      <w:r w:rsidRPr="00B419CE">
        <w:t xml:space="preserve"> følger av lov om Stortingets ombud for kontroll med forvaltningen av 18. juni 2021. </w:t>
      </w:r>
      <w:proofErr w:type="spellStart"/>
      <w:r w:rsidRPr="00B419CE">
        <w:t>Sivilombodet</w:t>
      </w:r>
      <w:proofErr w:type="spellEnd"/>
      <w:r w:rsidRPr="00B419CE">
        <w:t xml:space="preserve"> blir vald av Stortinget fram til slutten av kvar </w:t>
      </w:r>
      <w:proofErr w:type="spellStart"/>
      <w:r w:rsidRPr="00B419CE">
        <w:t>valperiode</w:t>
      </w:r>
      <w:proofErr w:type="spellEnd"/>
      <w:r w:rsidRPr="00B419CE">
        <w:t>.</w:t>
      </w:r>
    </w:p>
    <w:p w14:paraId="5F2BEC05" w14:textId="77777777" w:rsidR="00B419CE" w:rsidRPr="00B419CE" w:rsidRDefault="00B419CE" w:rsidP="00B419CE">
      <w:r w:rsidRPr="00B419CE">
        <w:t xml:space="preserve">Som </w:t>
      </w:r>
      <w:proofErr w:type="spellStart"/>
      <w:r w:rsidRPr="00B419CE">
        <w:t>ombod</w:t>
      </w:r>
      <w:proofErr w:type="spellEnd"/>
      <w:r w:rsidRPr="00B419CE">
        <w:t xml:space="preserve"> for Stortinget skal </w:t>
      </w:r>
      <w:proofErr w:type="spellStart"/>
      <w:r w:rsidRPr="00B419CE">
        <w:t>Sivilombodet</w:t>
      </w:r>
      <w:proofErr w:type="spellEnd"/>
      <w:r w:rsidRPr="00B419CE">
        <w:t xml:space="preserve"> føre kontroll med at det i den </w:t>
      </w:r>
      <w:proofErr w:type="spellStart"/>
      <w:r w:rsidRPr="00B419CE">
        <w:t>offentlege</w:t>
      </w:r>
      <w:proofErr w:type="spellEnd"/>
      <w:r w:rsidRPr="00B419CE">
        <w:t xml:space="preserve"> forvaltninga </w:t>
      </w:r>
      <w:proofErr w:type="spellStart"/>
      <w:r w:rsidRPr="00B419CE">
        <w:t>ikkje</w:t>
      </w:r>
      <w:proofErr w:type="spellEnd"/>
      <w:r w:rsidRPr="00B419CE">
        <w:t xml:space="preserve"> blir gjort feil eller urett mot den enkelte </w:t>
      </w:r>
      <w:proofErr w:type="spellStart"/>
      <w:r w:rsidRPr="00B419CE">
        <w:t>borgaren</w:t>
      </w:r>
      <w:proofErr w:type="spellEnd"/>
      <w:r w:rsidRPr="00B419CE">
        <w:t xml:space="preserve">. </w:t>
      </w:r>
      <w:proofErr w:type="spellStart"/>
      <w:r w:rsidRPr="00B419CE">
        <w:t>Ombodet</w:t>
      </w:r>
      <w:proofErr w:type="spellEnd"/>
      <w:r w:rsidRPr="00B419CE">
        <w:t xml:space="preserve"> skal også bidra til at forvaltninga respekterer og </w:t>
      </w:r>
      <w:proofErr w:type="spellStart"/>
      <w:r w:rsidRPr="00B419CE">
        <w:t>sikrar</w:t>
      </w:r>
      <w:proofErr w:type="spellEnd"/>
      <w:r w:rsidRPr="00B419CE">
        <w:t xml:space="preserve"> </w:t>
      </w:r>
      <w:proofErr w:type="spellStart"/>
      <w:r w:rsidRPr="00B419CE">
        <w:t>menneskerettane</w:t>
      </w:r>
      <w:proofErr w:type="spellEnd"/>
      <w:r w:rsidRPr="00B419CE">
        <w:t xml:space="preserve">. </w:t>
      </w:r>
      <w:proofErr w:type="spellStart"/>
      <w:r w:rsidRPr="00B419CE">
        <w:t>Desse</w:t>
      </w:r>
      <w:proofErr w:type="spellEnd"/>
      <w:r w:rsidRPr="00B419CE">
        <w:t xml:space="preserve"> </w:t>
      </w:r>
      <w:proofErr w:type="spellStart"/>
      <w:r w:rsidRPr="00B419CE">
        <w:t>oppgåvene</w:t>
      </w:r>
      <w:proofErr w:type="spellEnd"/>
      <w:r w:rsidRPr="00B419CE">
        <w:t xml:space="preserve"> blir først og fremst varetatt gjennom </w:t>
      </w:r>
      <w:proofErr w:type="spellStart"/>
      <w:r w:rsidRPr="00B419CE">
        <w:t>undersøkingar</w:t>
      </w:r>
      <w:proofErr w:type="spellEnd"/>
      <w:r w:rsidRPr="00B419CE">
        <w:t xml:space="preserve"> og behandling av </w:t>
      </w:r>
      <w:proofErr w:type="spellStart"/>
      <w:r w:rsidRPr="00B419CE">
        <w:t>klagar</w:t>
      </w:r>
      <w:proofErr w:type="spellEnd"/>
      <w:r w:rsidRPr="00B419CE">
        <w:t xml:space="preserve"> </w:t>
      </w:r>
      <w:proofErr w:type="spellStart"/>
      <w:r w:rsidRPr="00B419CE">
        <w:t>frå</w:t>
      </w:r>
      <w:proofErr w:type="spellEnd"/>
      <w:r w:rsidRPr="00B419CE">
        <w:t xml:space="preserve"> </w:t>
      </w:r>
      <w:proofErr w:type="spellStart"/>
      <w:r w:rsidRPr="00B419CE">
        <w:t>enkeltpersonar</w:t>
      </w:r>
      <w:proofErr w:type="spellEnd"/>
      <w:r w:rsidRPr="00B419CE">
        <w:t xml:space="preserve">, </w:t>
      </w:r>
      <w:proofErr w:type="spellStart"/>
      <w:r w:rsidRPr="00B419CE">
        <w:t>organisasjonar</w:t>
      </w:r>
      <w:proofErr w:type="spellEnd"/>
      <w:r w:rsidRPr="00B419CE">
        <w:t xml:space="preserve"> og selskap. </w:t>
      </w:r>
      <w:proofErr w:type="spellStart"/>
      <w:r w:rsidRPr="00B419CE">
        <w:t>Ombodet</w:t>
      </w:r>
      <w:proofErr w:type="spellEnd"/>
      <w:r w:rsidRPr="00B419CE">
        <w:t xml:space="preserve"> står også fritt til å ta opp spørsmål og sette i verk saker ut </w:t>
      </w:r>
      <w:proofErr w:type="spellStart"/>
      <w:r w:rsidRPr="00B419CE">
        <w:t>frå</w:t>
      </w:r>
      <w:proofErr w:type="spellEnd"/>
      <w:r w:rsidRPr="00B419CE">
        <w:t xml:space="preserve"> eige tiltak. Slike </w:t>
      </w:r>
      <w:proofErr w:type="spellStart"/>
      <w:r w:rsidRPr="00B419CE">
        <w:t>undersøkingar</w:t>
      </w:r>
      <w:proofErr w:type="spellEnd"/>
      <w:r w:rsidRPr="00B419CE">
        <w:t xml:space="preserve"> er i </w:t>
      </w:r>
      <w:proofErr w:type="spellStart"/>
      <w:r w:rsidRPr="00B419CE">
        <w:t>hovudsak</w:t>
      </w:r>
      <w:proofErr w:type="spellEnd"/>
      <w:r w:rsidRPr="00B419CE">
        <w:t xml:space="preserve"> baserte på kjennskap til forhold i forvaltninga det kan </w:t>
      </w:r>
      <w:proofErr w:type="spellStart"/>
      <w:r w:rsidRPr="00B419CE">
        <w:t>vere</w:t>
      </w:r>
      <w:proofErr w:type="spellEnd"/>
      <w:r w:rsidRPr="00B419CE">
        <w:t xml:space="preserve"> grunn til å ta opp særskilt. </w:t>
      </w:r>
      <w:proofErr w:type="spellStart"/>
      <w:r w:rsidRPr="00B419CE">
        <w:t>Ombodet</w:t>
      </w:r>
      <w:proofErr w:type="spellEnd"/>
      <w:r w:rsidRPr="00B419CE">
        <w:t xml:space="preserve"> er også </w:t>
      </w:r>
      <w:proofErr w:type="spellStart"/>
      <w:r w:rsidRPr="00B419CE">
        <w:t>ein</w:t>
      </w:r>
      <w:proofErr w:type="spellEnd"/>
      <w:r w:rsidRPr="00B419CE">
        <w:t xml:space="preserve"> nasjonal </w:t>
      </w:r>
      <w:proofErr w:type="spellStart"/>
      <w:r w:rsidRPr="00B419CE">
        <w:t>førebyggande</w:t>
      </w:r>
      <w:proofErr w:type="spellEnd"/>
      <w:r w:rsidRPr="00B419CE">
        <w:t xml:space="preserve"> mekanisme for </w:t>
      </w:r>
      <w:proofErr w:type="spellStart"/>
      <w:r w:rsidRPr="00B419CE">
        <w:t>førebygging</w:t>
      </w:r>
      <w:proofErr w:type="spellEnd"/>
      <w:r w:rsidRPr="00B419CE">
        <w:t xml:space="preserve"> av tortur og anna </w:t>
      </w:r>
      <w:proofErr w:type="spellStart"/>
      <w:r w:rsidRPr="00B419CE">
        <w:t>grusam</w:t>
      </w:r>
      <w:proofErr w:type="spellEnd"/>
      <w:r w:rsidRPr="00B419CE">
        <w:t xml:space="preserve">, </w:t>
      </w:r>
      <w:proofErr w:type="spellStart"/>
      <w:r w:rsidRPr="00B419CE">
        <w:t>umenneskeleg</w:t>
      </w:r>
      <w:proofErr w:type="spellEnd"/>
      <w:r w:rsidRPr="00B419CE">
        <w:t xml:space="preserve"> eller </w:t>
      </w:r>
      <w:proofErr w:type="spellStart"/>
      <w:r w:rsidRPr="00B419CE">
        <w:t>nedverdigande</w:t>
      </w:r>
      <w:proofErr w:type="spellEnd"/>
      <w:r w:rsidRPr="00B419CE">
        <w:t xml:space="preserve"> behandling eller straff. </w:t>
      </w:r>
      <w:proofErr w:type="spellStart"/>
      <w:r w:rsidRPr="00B419CE">
        <w:t>Vidare</w:t>
      </w:r>
      <w:proofErr w:type="spellEnd"/>
      <w:r w:rsidRPr="00B419CE">
        <w:t xml:space="preserve"> søker </w:t>
      </w:r>
      <w:proofErr w:type="spellStart"/>
      <w:r w:rsidRPr="00B419CE">
        <w:t>Ombodet</w:t>
      </w:r>
      <w:proofErr w:type="spellEnd"/>
      <w:r w:rsidRPr="00B419CE">
        <w:t xml:space="preserve"> å hindre urett gjennom ulike kommunikasjonstiltak, f.eks. </w:t>
      </w:r>
      <w:proofErr w:type="spellStart"/>
      <w:r w:rsidRPr="00B419CE">
        <w:t>foredragsverksemd</w:t>
      </w:r>
      <w:proofErr w:type="spellEnd"/>
      <w:r w:rsidRPr="00B419CE">
        <w:t xml:space="preserve">. Gjennom </w:t>
      </w:r>
      <w:proofErr w:type="spellStart"/>
      <w:r w:rsidRPr="00B419CE">
        <w:t>meldingane</w:t>
      </w:r>
      <w:proofErr w:type="spellEnd"/>
      <w:r w:rsidRPr="00B419CE">
        <w:t xml:space="preserve"> til Stortinget gir </w:t>
      </w:r>
      <w:proofErr w:type="spellStart"/>
      <w:r w:rsidRPr="00B419CE">
        <w:t>Sivilombodet</w:t>
      </w:r>
      <w:proofErr w:type="spellEnd"/>
      <w:r w:rsidRPr="00B419CE">
        <w:t xml:space="preserve"> informasjon om korleis Grunnlova, andre lover og </w:t>
      </w:r>
      <w:proofErr w:type="spellStart"/>
      <w:r w:rsidRPr="00B419CE">
        <w:t>stortingvedtak</w:t>
      </w:r>
      <w:proofErr w:type="spellEnd"/>
      <w:r w:rsidRPr="00B419CE">
        <w:t xml:space="preserve"> i praksis blir tatt i bruk i forvaltninga, og om </w:t>
      </w:r>
      <w:proofErr w:type="spellStart"/>
      <w:r w:rsidRPr="00B419CE">
        <w:t>verksemda</w:t>
      </w:r>
      <w:proofErr w:type="spellEnd"/>
      <w:r w:rsidRPr="00B419CE">
        <w:t xml:space="preserve"> som følger av </w:t>
      </w:r>
      <w:proofErr w:type="spellStart"/>
      <w:r w:rsidRPr="00B419CE">
        <w:t>førebyggingsmandatet</w:t>
      </w:r>
      <w:proofErr w:type="spellEnd"/>
      <w:r w:rsidRPr="00B419CE">
        <w:t>.</w:t>
      </w:r>
    </w:p>
    <w:p w14:paraId="330A6E3C" w14:textId="77777777" w:rsidR="00B419CE" w:rsidRPr="00B419CE" w:rsidRDefault="00B419CE" w:rsidP="00B419CE">
      <w:proofErr w:type="spellStart"/>
      <w:r w:rsidRPr="00B419CE">
        <w:t>Ombodets</w:t>
      </w:r>
      <w:proofErr w:type="spellEnd"/>
      <w:r w:rsidRPr="00B419CE">
        <w:t xml:space="preserve"> kontor er organisert i tre </w:t>
      </w:r>
      <w:proofErr w:type="spellStart"/>
      <w:r w:rsidRPr="00B419CE">
        <w:t>avdelingar</w:t>
      </w:r>
      <w:proofErr w:type="spellEnd"/>
      <w:r w:rsidRPr="00B419CE">
        <w:t xml:space="preserve"> som </w:t>
      </w:r>
      <w:proofErr w:type="spellStart"/>
      <w:r w:rsidRPr="00B419CE">
        <w:t>behandlar</w:t>
      </w:r>
      <w:proofErr w:type="spellEnd"/>
      <w:r w:rsidRPr="00B419CE">
        <w:t xml:space="preserve"> klagesaker </w:t>
      </w:r>
      <w:proofErr w:type="spellStart"/>
      <w:r w:rsidRPr="00B419CE">
        <w:t>innan</w:t>
      </w:r>
      <w:proofErr w:type="spellEnd"/>
      <w:r w:rsidRPr="00B419CE">
        <w:t xml:space="preserve"> ulike rettsområde, ei allmenn avdeling, ei eining for </w:t>
      </w:r>
      <w:proofErr w:type="spellStart"/>
      <w:r w:rsidRPr="00B419CE">
        <w:t>førebygging</w:t>
      </w:r>
      <w:proofErr w:type="spellEnd"/>
      <w:r w:rsidRPr="00B419CE">
        <w:t xml:space="preserve"> av tortur og ei administrasjonsavdeling.</w:t>
      </w:r>
    </w:p>
    <w:p w14:paraId="3233B549" w14:textId="77777777" w:rsidR="00B419CE" w:rsidRPr="00B419CE" w:rsidRDefault="00B419CE" w:rsidP="00B419CE">
      <w:pPr>
        <w:pStyle w:val="Undertittel"/>
      </w:pPr>
      <w:r w:rsidRPr="00B419CE">
        <w:lastRenderedPageBreak/>
        <w:t>Rapport for 2020</w:t>
      </w:r>
    </w:p>
    <w:p w14:paraId="04BE81EC" w14:textId="77777777" w:rsidR="00B419CE" w:rsidRPr="00B419CE" w:rsidRDefault="00B419CE" w:rsidP="00B419CE">
      <w:r w:rsidRPr="00B419CE">
        <w:t xml:space="preserve">Arbeidet til </w:t>
      </w:r>
      <w:proofErr w:type="spellStart"/>
      <w:r w:rsidRPr="00B419CE">
        <w:t>Sivilombodsmannen</w:t>
      </w:r>
      <w:proofErr w:type="spellEnd"/>
      <w:r w:rsidRPr="00B419CE">
        <w:t xml:space="preserve"> blei sjølvsagt </w:t>
      </w:r>
      <w:proofErr w:type="spellStart"/>
      <w:r w:rsidRPr="00B419CE">
        <w:t>påverka</w:t>
      </w:r>
      <w:proofErr w:type="spellEnd"/>
      <w:r w:rsidRPr="00B419CE">
        <w:t xml:space="preserve"> av unntaksåret 2020. </w:t>
      </w:r>
      <w:proofErr w:type="spellStart"/>
      <w:r w:rsidRPr="00B419CE">
        <w:t>Ein</w:t>
      </w:r>
      <w:proofErr w:type="spellEnd"/>
      <w:r w:rsidRPr="00B419CE">
        <w:t xml:space="preserve"> god del </w:t>
      </w:r>
      <w:proofErr w:type="spellStart"/>
      <w:r w:rsidRPr="00B419CE">
        <w:t>planlagd</w:t>
      </w:r>
      <w:proofErr w:type="spellEnd"/>
      <w:r w:rsidRPr="00B419CE">
        <w:t xml:space="preserve"> aktivitet blei </w:t>
      </w:r>
      <w:proofErr w:type="spellStart"/>
      <w:r w:rsidRPr="00B419CE">
        <w:t>ikkje</w:t>
      </w:r>
      <w:proofErr w:type="spellEnd"/>
      <w:r w:rsidRPr="00B419CE">
        <w:t xml:space="preserve"> gjennomført eller </w:t>
      </w:r>
      <w:proofErr w:type="spellStart"/>
      <w:r w:rsidRPr="00B419CE">
        <w:t>fekk</w:t>
      </w:r>
      <w:proofErr w:type="spellEnd"/>
      <w:r w:rsidRPr="00B419CE">
        <w:t xml:space="preserve"> </w:t>
      </w:r>
      <w:proofErr w:type="spellStart"/>
      <w:r w:rsidRPr="00B419CE">
        <w:t>eit</w:t>
      </w:r>
      <w:proofErr w:type="spellEnd"/>
      <w:r w:rsidRPr="00B419CE">
        <w:t xml:space="preserve"> anna </w:t>
      </w:r>
      <w:proofErr w:type="spellStart"/>
      <w:r w:rsidRPr="00B419CE">
        <w:t>innhald</w:t>
      </w:r>
      <w:proofErr w:type="spellEnd"/>
      <w:r w:rsidRPr="00B419CE">
        <w:t xml:space="preserve"> enn det som var planlagt. Likevel blei </w:t>
      </w:r>
      <w:proofErr w:type="spellStart"/>
      <w:r w:rsidRPr="00B419CE">
        <w:t>verksemda</w:t>
      </w:r>
      <w:proofErr w:type="spellEnd"/>
      <w:r w:rsidRPr="00B419CE">
        <w:t xml:space="preserve"> etter forholda </w:t>
      </w:r>
      <w:proofErr w:type="spellStart"/>
      <w:r w:rsidRPr="00B419CE">
        <w:t>truleg</w:t>
      </w:r>
      <w:proofErr w:type="spellEnd"/>
      <w:r w:rsidRPr="00B419CE">
        <w:t xml:space="preserve"> mindre </w:t>
      </w:r>
      <w:proofErr w:type="spellStart"/>
      <w:r w:rsidRPr="00B419CE">
        <w:t>påverka</w:t>
      </w:r>
      <w:proofErr w:type="spellEnd"/>
      <w:r w:rsidRPr="00B419CE">
        <w:t xml:space="preserve"> enn mange andre og har </w:t>
      </w:r>
      <w:proofErr w:type="spellStart"/>
      <w:r w:rsidRPr="00B419CE">
        <w:t>kunna</w:t>
      </w:r>
      <w:proofErr w:type="spellEnd"/>
      <w:r w:rsidRPr="00B419CE">
        <w:t xml:space="preserve"> gjennomføre </w:t>
      </w:r>
      <w:proofErr w:type="spellStart"/>
      <w:r w:rsidRPr="00B419CE">
        <w:t>oppgåvene</w:t>
      </w:r>
      <w:proofErr w:type="spellEnd"/>
      <w:r w:rsidRPr="00B419CE">
        <w:t xml:space="preserve"> i tråd med mandatet.</w:t>
      </w:r>
    </w:p>
    <w:p w14:paraId="1B8AEA64" w14:textId="77777777" w:rsidR="00B419CE" w:rsidRPr="00B419CE" w:rsidRDefault="00B419CE" w:rsidP="00B419CE">
      <w:proofErr w:type="spellStart"/>
      <w:r w:rsidRPr="00B419CE">
        <w:t>Årsmeldingane</w:t>
      </w:r>
      <w:proofErr w:type="spellEnd"/>
      <w:r w:rsidRPr="00B419CE">
        <w:t xml:space="preserve"> </w:t>
      </w:r>
      <w:proofErr w:type="spellStart"/>
      <w:r w:rsidRPr="00B419CE">
        <w:t>frå</w:t>
      </w:r>
      <w:proofErr w:type="spellEnd"/>
      <w:r w:rsidRPr="00B419CE">
        <w:t xml:space="preserve"> </w:t>
      </w:r>
      <w:proofErr w:type="spellStart"/>
      <w:r w:rsidRPr="00B419CE">
        <w:t>Ombodsmannen</w:t>
      </w:r>
      <w:proofErr w:type="spellEnd"/>
      <w:r w:rsidRPr="00B419CE">
        <w:t xml:space="preserve"> for 2020 blei overleverte Stortinget i mars 2021. </w:t>
      </w:r>
      <w:proofErr w:type="spellStart"/>
      <w:r w:rsidRPr="00B419CE">
        <w:t>Sivilombodsmannens</w:t>
      </w:r>
      <w:proofErr w:type="spellEnd"/>
      <w:r w:rsidRPr="00B419CE">
        <w:t xml:space="preserve"> årsmelding i </w:t>
      </w:r>
      <w:proofErr w:type="spellStart"/>
      <w:r w:rsidRPr="00B419CE">
        <w:t>Dok</w:t>
      </w:r>
      <w:proofErr w:type="spellEnd"/>
      <w:r w:rsidRPr="00B419CE">
        <w:t xml:space="preserve">. 4 (2020–2021) </w:t>
      </w:r>
      <w:proofErr w:type="spellStart"/>
      <w:r w:rsidRPr="00B419CE">
        <w:t>gjer</w:t>
      </w:r>
      <w:proofErr w:type="spellEnd"/>
      <w:r w:rsidRPr="00B419CE">
        <w:t xml:space="preserve"> greie for </w:t>
      </w:r>
      <w:proofErr w:type="spellStart"/>
      <w:r w:rsidRPr="00B419CE">
        <w:t>hovudinntrykk</w:t>
      </w:r>
      <w:proofErr w:type="spellEnd"/>
      <w:r w:rsidRPr="00B419CE">
        <w:t xml:space="preserve"> </w:t>
      </w:r>
      <w:proofErr w:type="spellStart"/>
      <w:r w:rsidRPr="00B419CE">
        <w:t>frå</w:t>
      </w:r>
      <w:proofErr w:type="spellEnd"/>
      <w:r w:rsidRPr="00B419CE">
        <w:t xml:space="preserve"> klagesaksbehandlinga i 2020 og omtaler også enkelte utviklingstrekk i forvaltninga basert på </w:t>
      </w:r>
      <w:proofErr w:type="spellStart"/>
      <w:r w:rsidRPr="00B419CE">
        <w:t>meir</w:t>
      </w:r>
      <w:proofErr w:type="spellEnd"/>
      <w:r w:rsidRPr="00B419CE">
        <w:t xml:space="preserve"> generelle </w:t>
      </w:r>
      <w:proofErr w:type="spellStart"/>
      <w:r w:rsidRPr="00B419CE">
        <w:t>erfaringar</w:t>
      </w:r>
      <w:proofErr w:type="spellEnd"/>
      <w:r w:rsidRPr="00B419CE">
        <w:t xml:space="preserve">. Årsmeldinga for </w:t>
      </w:r>
      <w:proofErr w:type="spellStart"/>
      <w:r w:rsidRPr="00B419CE">
        <w:t>førebyggingseininga</w:t>
      </w:r>
      <w:proofErr w:type="spellEnd"/>
      <w:r w:rsidRPr="00B419CE">
        <w:t xml:space="preserve">, </w:t>
      </w:r>
      <w:proofErr w:type="spellStart"/>
      <w:r w:rsidRPr="00B419CE">
        <w:t>Dok</w:t>
      </w:r>
      <w:proofErr w:type="spellEnd"/>
      <w:r w:rsidRPr="00B419CE">
        <w:t xml:space="preserve">. 4:1 (2020–2021), gir </w:t>
      </w:r>
      <w:proofErr w:type="spellStart"/>
      <w:r w:rsidRPr="00B419CE">
        <w:t>ein</w:t>
      </w:r>
      <w:proofErr w:type="spellEnd"/>
      <w:r w:rsidRPr="00B419CE">
        <w:t xml:space="preserve"> </w:t>
      </w:r>
      <w:proofErr w:type="spellStart"/>
      <w:r w:rsidRPr="00B419CE">
        <w:t>nærmare</w:t>
      </w:r>
      <w:proofErr w:type="spellEnd"/>
      <w:r w:rsidRPr="00B419CE">
        <w:t xml:space="preserve"> omtale av </w:t>
      </w:r>
      <w:proofErr w:type="spellStart"/>
      <w:r w:rsidRPr="00B419CE">
        <w:t>førebyggingsarbeidet</w:t>
      </w:r>
      <w:proofErr w:type="spellEnd"/>
      <w:r w:rsidRPr="00B419CE">
        <w:t xml:space="preserve"> i 2020.</w:t>
      </w:r>
    </w:p>
    <w:p w14:paraId="3B4EC5E3" w14:textId="77777777" w:rsidR="00B419CE" w:rsidRPr="00B419CE" w:rsidRDefault="00B419CE" w:rsidP="00B419CE">
      <w:pPr>
        <w:pStyle w:val="avsnitt-tittel"/>
      </w:pPr>
      <w:r w:rsidRPr="00B419CE">
        <w:t>Klagesaksbehandling</w:t>
      </w:r>
    </w:p>
    <w:p w14:paraId="580A5AD9" w14:textId="77777777" w:rsidR="00B419CE" w:rsidRPr="00B419CE" w:rsidRDefault="00B419CE" w:rsidP="00B419CE">
      <w:r w:rsidRPr="00B419CE">
        <w:t xml:space="preserve">Det kom inn 4 009 saker til </w:t>
      </w:r>
      <w:proofErr w:type="spellStart"/>
      <w:r w:rsidRPr="00B419CE">
        <w:t>Ombodsmannen</w:t>
      </w:r>
      <w:proofErr w:type="spellEnd"/>
      <w:r w:rsidRPr="00B419CE">
        <w:t xml:space="preserve"> i 2020. Det er </w:t>
      </w:r>
      <w:proofErr w:type="spellStart"/>
      <w:r w:rsidRPr="00B419CE">
        <w:t>ein</w:t>
      </w:r>
      <w:proofErr w:type="spellEnd"/>
      <w:r w:rsidRPr="00B419CE">
        <w:t xml:space="preserve"> </w:t>
      </w:r>
      <w:proofErr w:type="spellStart"/>
      <w:r w:rsidRPr="00B419CE">
        <w:t>auke</w:t>
      </w:r>
      <w:proofErr w:type="spellEnd"/>
      <w:r w:rsidRPr="00B419CE">
        <w:t xml:space="preserve"> på 3 prosent </w:t>
      </w:r>
      <w:proofErr w:type="spellStart"/>
      <w:r w:rsidRPr="00B419CE">
        <w:t>samanlikna</w:t>
      </w:r>
      <w:proofErr w:type="spellEnd"/>
      <w:r w:rsidRPr="00B419CE">
        <w:t xml:space="preserve"> med året før, og det </w:t>
      </w:r>
      <w:proofErr w:type="spellStart"/>
      <w:r w:rsidRPr="00B419CE">
        <w:t>høgaste</w:t>
      </w:r>
      <w:proofErr w:type="spellEnd"/>
      <w:r w:rsidRPr="00B419CE">
        <w:t xml:space="preserve"> </w:t>
      </w:r>
      <w:proofErr w:type="spellStart"/>
      <w:r w:rsidRPr="00B419CE">
        <w:t>talet</w:t>
      </w:r>
      <w:proofErr w:type="spellEnd"/>
      <w:r w:rsidRPr="00B419CE">
        <w:t xml:space="preserve"> på </w:t>
      </w:r>
      <w:proofErr w:type="spellStart"/>
      <w:r w:rsidRPr="00B419CE">
        <w:t>klagar</w:t>
      </w:r>
      <w:proofErr w:type="spellEnd"/>
      <w:r w:rsidRPr="00B419CE">
        <w:t xml:space="preserve"> </w:t>
      </w:r>
      <w:proofErr w:type="spellStart"/>
      <w:r w:rsidRPr="00B419CE">
        <w:t>nokosinne</w:t>
      </w:r>
      <w:proofErr w:type="spellEnd"/>
      <w:r w:rsidRPr="00B419CE">
        <w:t xml:space="preserve">. 17 saker er i tillegg tatt opp på eige initiativ. </w:t>
      </w:r>
      <w:proofErr w:type="spellStart"/>
      <w:r w:rsidRPr="00B419CE">
        <w:t>Desse</w:t>
      </w:r>
      <w:proofErr w:type="spellEnd"/>
      <w:r w:rsidRPr="00B419CE">
        <w:t xml:space="preserve"> sakene er </w:t>
      </w:r>
      <w:proofErr w:type="spellStart"/>
      <w:r w:rsidRPr="00B419CE">
        <w:t>ressurskrevjande</w:t>
      </w:r>
      <w:proofErr w:type="spellEnd"/>
      <w:r w:rsidRPr="00B419CE">
        <w:t xml:space="preserve">, men viktige. Auken i </w:t>
      </w:r>
      <w:proofErr w:type="spellStart"/>
      <w:r w:rsidRPr="00B419CE">
        <w:t>saksmengda</w:t>
      </w:r>
      <w:proofErr w:type="spellEnd"/>
      <w:r w:rsidRPr="00B419CE">
        <w:t xml:space="preserve"> fører til stabilt </w:t>
      </w:r>
      <w:proofErr w:type="spellStart"/>
      <w:r w:rsidRPr="00B419CE">
        <w:t>høg</w:t>
      </w:r>
      <w:proofErr w:type="spellEnd"/>
      <w:r w:rsidRPr="00B419CE">
        <w:t xml:space="preserve"> saksavvikling, både for realitetsbehandla og avviste saker. </w:t>
      </w:r>
      <w:proofErr w:type="spellStart"/>
      <w:r w:rsidRPr="00B419CE">
        <w:t>Ombodsmannen</w:t>
      </w:r>
      <w:proofErr w:type="spellEnd"/>
      <w:r w:rsidRPr="00B419CE">
        <w:t xml:space="preserve"> jobbar målbevisst med å </w:t>
      </w:r>
      <w:proofErr w:type="spellStart"/>
      <w:r w:rsidRPr="00B419CE">
        <w:t>auke</w:t>
      </w:r>
      <w:proofErr w:type="spellEnd"/>
      <w:r w:rsidRPr="00B419CE">
        <w:t xml:space="preserve"> </w:t>
      </w:r>
      <w:proofErr w:type="spellStart"/>
      <w:r w:rsidRPr="00B419CE">
        <w:t>talet</w:t>
      </w:r>
      <w:proofErr w:type="spellEnd"/>
      <w:r w:rsidRPr="00B419CE">
        <w:t xml:space="preserve"> på rettferdige </w:t>
      </w:r>
      <w:proofErr w:type="spellStart"/>
      <w:r w:rsidRPr="00B419CE">
        <w:t>klagar</w:t>
      </w:r>
      <w:proofErr w:type="spellEnd"/>
      <w:r w:rsidRPr="00B419CE">
        <w:t>.</w:t>
      </w:r>
    </w:p>
    <w:p w14:paraId="204C1851" w14:textId="77777777" w:rsidR="00B419CE" w:rsidRPr="00B419CE" w:rsidRDefault="00B419CE" w:rsidP="00B419CE">
      <w:proofErr w:type="spellStart"/>
      <w:r w:rsidRPr="00B419CE">
        <w:t>Ombodsmannen</w:t>
      </w:r>
      <w:proofErr w:type="spellEnd"/>
      <w:r w:rsidRPr="00B419CE">
        <w:t xml:space="preserve"> avslutta 3 962 saker i 2020. Av </w:t>
      </w:r>
      <w:proofErr w:type="spellStart"/>
      <w:r w:rsidRPr="00B419CE">
        <w:t>dei</w:t>
      </w:r>
      <w:proofErr w:type="spellEnd"/>
      <w:r w:rsidRPr="00B419CE">
        <w:t xml:space="preserve"> er 37 prosent </w:t>
      </w:r>
      <w:proofErr w:type="spellStart"/>
      <w:r w:rsidRPr="00B419CE">
        <w:t>rekna</w:t>
      </w:r>
      <w:proofErr w:type="spellEnd"/>
      <w:r w:rsidRPr="00B419CE">
        <w:t xml:space="preserve"> som realitetsbehandla. Dei aller fleste er vurderte på bakgrunn av </w:t>
      </w:r>
      <w:proofErr w:type="spellStart"/>
      <w:r w:rsidRPr="00B419CE">
        <w:t>dei</w:t>
      </w:r>
      <w:proofErr w:type="spellEnd"/>
      <w:r w:rsidRPr="00B419CE">
        <w:t xml:space="preserve"> tilsende dokumenta og ordna eller avslutta </w:t>
      </w:r>
      <w:proofErr w:type="spellStart"/>
      <w:r w:rsidRPr="00B419CE">
        <w:t>utan</w:t>
      </w:r>
      <w:proofErr w:type="spellEnd"/>
      <w:r w:rsidRPr="00B419CE">
        <w:t xml:space="preserve"> at e finn grunn til å gå </w:t>
      </w:r>
      <w:proofErr w:type="spellStart"/>
      <w:r w:rsidRPr="00B419CE">
        <w:t>vidare</w:t>
      </w:r>
      <w:proofErr w:type="spellEnd"/>
      <w:r w:rsidRPr="00B419CE">
        <w:t xml:space="preserve"> med </w:t>
      </w:r>
      <w:proofErr w:type="spellStart"/>
      <w:r w:rsidRPr="00B419CE">
        <w:t>dei</w:t>
      </w:r>
      <w:proofErr w:type="spellEnd"/>
      <w:r w:rsidRPr="00B419CE">
        <w:t xml:space="preserve">. For mange av sakene blir utfallet likevel positivt for </w:t>
      </w:r>
      <w:proofErr w:type="spellStart"/>
      <w:r w:rsidRPr="00B419CE">
        <w:t>klagaren</w:t>
      </w:r>
      <w:proofErr w:type="spellEnd"/>
      <w:r w:rsidRPr="00B419CE">
        <w:t xml:space="preserve"> ved at ei sak løyser seg </w:t>
      </w:r>
      <w:proofErr w:type="spellStart"/>
      <w:r w:rsidRPr="00B419CE">
        <w:t>medan</w:t>
      </w:r>
      <w:proofErr w:type="spellEnd"/>
      <w:r w:rsidRPr="00B419CE">
        <w:t xml:space="preserve"> ho er til behandling hos </w:t>
      </w:r>
      <w:proofErr w:type="spellStart"/>
      <w:r w:rsidRPr="00B419CE">
        <w:t>Sivilombodsmannen</w:t>
      </w:r>
      <w:proofErr w:type="spellEnd"/>
      <w:r w:rsidRPr="00B419CE">
        <w:t xml:space="preserve">. Dette skjer ofte etter </w:t>
      </w:r>
      <w:proofErr w:type="spellStart"/>
      <w:r w:rsidRPr="00B419CE">
        <w:t>ein</w:t>
      </w:r>
      <w:proofErr w:type="spellEnd"/>
      <w:r w:rsidRPr="00B419CE">
        <w:t xml:space="preserve"> telefonsamtale eller </w:t>
      </w:r>
      <w:proofErr w:type="spellStart"/>
      <w:r w:rsidRPr="00B419CE">
        <w:t>eit</w:t>
      </w:r>
      <w:proofErr w:type="spellEnd"/>
      <w:r w:rsidRPr="00B419CE">
        <w:t xml:space="preserve"> brev til det aktuelle forvaltningsorganet. 122 saker blei avslutta med kritikk eller oppmoding om å sjå på saka på nytt.</w:t>
      </w:r>
    </w:p>
    <w:p w14:paraId="224D9AF8" w14:textId="77777777" w:rsidR="00B419CE" w:rsidRPr="00B419CE" w:rsidRDefault="00B419CE" w:rsidP="00B419CE">
      <w:r w:rsidRPr="00B419CE">
        <w:t xml:space="preserve">63 prosent av </w:t>
      </w:r>
      <w:proofErr w:type="spellStart"/>
      <w:r w:rsidRPr="00B419CE">
        <w:t>dei</w:t>
      </w:r>
      <w:proofErr w:type="spellEnd"/>
      <w:r w:rsidRPr="00B419CE">
        <w:t xml:space="preserve"> avslutta sakene blei avviste. Det er </w:t>
      </w:r>
      <w:proofErr w:type="spellStart"/>
      <w:r w:rsidRPr="00B419CE">
        <w:t>ein</w:t>
      </w:r>
      <w:proofErr w:type="spellEnd"/>
      <w:r w:rsidRPr="00B419CE">
        <w:t xml:space="preserve"> </w:t>
      </w:r>
      <w:proofErr w:type="spellStart"/>
      <w:r w:rsidRPr="00B419CE">
        <w:t>auke</w:t>
      </w:r>
      <w:proofErr w:type="spellEnd"/>
      <w:r w:rsidRPr="00B419CE">
        <w:t xml:space="preserve"> </w:t>
      </w:r>
      <w:proofErr w:type="spellStart"/>
      <w:r w:rsidRPr="00B419CE">
        <w:t>samanlikna</w:t>
      </w:r>
      <w:proofErr w:type="spellEnd"/>
      <w:r w:rsidRPr="00B419CE">
        <w:t xml:space="preserve"> med </w:t>
      </w:r>
      <w:proofErr w:type="spellStart"/>
      <w:r w:rsidRPr="00B419CE">
        <w:t>tidlegare</w:t>
      </w:r>
      <w:proofErr w:type="spellEnd"/>
      <w:r w:rsidRPr="00B419CE">
        <w:t xml:space="preserve"> år.</w:t>
      </w:r>
    </w:p>
    <w:p w14:paraId="163ED0C5" w14:textId="77777777" w:rsidR="00B419CE" w:rsidRPr="00B419CE" w:rsidRDefault="00B419CE" w:rsidP="00B419CE">
      <w:r w:rsidRPr="00B419CE">
        <w:t xml:space="preserve">Det er </w:t>
      </w:r>
      <w:proofErr w:type="spellStart"/>
      <w:r w:rsidRPr="00B419CE">
        <w:t>eit</w:t>
      </w:r>
      <w:proofErr w:type="spellEnd"/>
      <w:r w:rsidRPr="00B419CE">
        <w:t xml:space="preserve"> mål å bruke så kort tid som </w:t>
      </w:r>
      <w:proofErr w:type="spellStart"/>
      <w:r w:rsidRPr="00B419CE">
        <w:t>mogleg</w:t>
      </w:r>
      <w:proofErr w:type="spellEnd"/>
      <w:r w:rsidRPr="00B419CE">
        <w:t xml:space="preserve"> på saker som må </w:t>
      </w:r>
      <w:proofErr w:type="spellStart"/>
      <w:r w:rsidRPr="00B419CE">
        <w:t>avvisast</w:t>
      </w:r>
      <w:proofErr w:type="spellEnd"/>
      <w:r w:rsidRPr="00B419CE">
        <w:t xml:space="preserve">. I 2020 har nedgangen i saksbehandlingstida for saker som er avslutta etter å ha </w:t>
      </w:r>
      <w:proofErr w:type="spellStart"/>
      <w:r w:rsidRPr="00B419CE">
        <w:t>vore</w:t>
      </w:r>
      <w:proofErr w:type="spellEnd"/>
      <w:r w:rsidRPr="00B419CE">
        <w:t xml:space="preserve"> tatt opp med forvaltninga, </w:t>
      </w:r>
      <w:proofErr w:type="spellStart"/>
      <w:r w:rsidRPr="00B419CE">
        <w:t>halde</w:t>
      </w:r>
      <w:proofErr w:type="spellEnd"/>
      <w:r w:rsidRPr="00B419CE">
        <w:t xml:space="preserve"> fram. Slik kan tida </w:t>
      </w:r>
      <w:proofErr w:type="spellStart"/>
      <w:r w:rsidRPr="00B419CE">
        <w:t>utnyttast</w:t>
      </w:r>
      <w:proofErr w:type="spellEnd"/>
      <w:r w:rsidRPr="00B419CE">
        <w:t xml:space="preserve"> betre på saker som krev </w:t>
      </w:r>
      <w:proofErr w:type="spellStart"/>
      <w:r w:rsidRPr="00B419CE">
        <w:t>undersøkingar</w:t>
      </w:r>
      <w:proofErr w:type="spellEnd"/>
      <w:r w:rsidRPr="00B419CE">
        <w:t xml:space="preserve"> i forvaltninga. Saksbehandlingstida må </w:t>
      </w:r>
      <w:proofErr w:type="spellStart"/>
      <w:r w:rsidRPr="00B419CE">
        <w:t>sjåast</w:t>
      </w:r>
      <w:proofErr w:type="spellEnd"/>
      <w:r w:rsidRPr="00B419CE">
        <w:t xml:space="preserve"> i </w:t>
      </w:r>
      <w:proofErr w:type="spellStart"/>
      <w:r w:rsidRPr="00B419CE">
        <w:t>samanheng</w:t>
      </w:r>
      <w:proofErr w:type="spellEnd"/>
      <w:r w:rsidRPr="00B419CE">
        <w:t xml:space="preserve"> med saksinngangen.</w:t>
      </w:r>
    </w:p>
    <w:p w14:paraId="02DBE3A5" w14:textId="77777777" w:rsidR="00B419CE" w:rsidRPr="00B419CE" w:rsidRDefault="00B419CE" w:rsidP="00B419CE">
      <w:pPr>
        <w:pStyle w:val="avsnitt-tittel"/>
      </w:pPr>
      <w:proofErr w:type="spellStart"/>
      <w:r w:rsidRPr="00B419CE">
        <w:t>Førebyggingsarbeidet</w:t>
      </w:r>
      <w:proofErr w:type="spellEnd"/>
      <w:r w:rsidRPr="00B419CE">
        <w:t xml:space="preserve"> til </w:t>
      </w:r>
      <w:proofErr w:type="spellStart"/>
      <w:r w:rsidRPr="00B419CE">
        <w:t>Sivilombodsmannen</w:t>
      </w:r>
      <w:proofErr w:type="spellEnd"/>
    </w:p>
    <w:p w14:paraId="48B8EEC2" w14:textId="77777777" w:rsidR="00B419CE" w:rsidRPr="00B419CE" w:rsidRDefault="00B419CE" w:rsidP="00B419CE">
      <w:proofErr w:type="spellStart"/>
      <w:r w:rsidRPr="00B419CE">
        <w:t>Førebyggingseininga</w:t>
      </w:r>
      <w:proofErr w:type="spellEnd"/>
      <w:r w:rsidRPr="00B419CE">
        <w:t xml:space="preserve"> mot tortur og </w:t>
      </w:r>
      <w:proofErr w:type="spellStart"/>
      <w:r w:rsidRPr="00B419CE">
        <w:t>umenneskeleg</w:t>
      </w:r>
      <w:proofErr w:type="spellEnd"/>
      <w:r w:rsidRPr="00B419CE">
        <w:t xml:space="preserve"> behandling ved fridomsrøving blei oppretta hos </w:t>
      </w:r>
      <w:proofErr w:type="spellStart"/>
      <w:r w:rsidRPr="00B419CE">
        <w:t>Sivilombodsmannen</w:t>
      </w:r>
      <w:proofErr w:type="spellEnd"/>
      <w:r w:rsidRPr="00B419CE">
        <w:t xml:space="preserve"> i 2014, i tråd med tilleggsprotokollen til FNs torturkonvensjon (OPCAT). </w:t>
      </w:r>
      <w:proofErr w:type="spellStart"/>
      <w:r w:rsidRPr="00B419CE">
        <w:t>Førebyggingseininga</w:t>
      </w:r>
      <w:proofErr w:type="spellEnd"/>
      <w:r w:rsidRPr="00B419CE">
        <w:t xml:space="preserve"> har rett til å besøke alle </w:t>
      </w:r>
      <w:proofErr w:type="spellStart"/>
      <w:r w:rsidRPr="00B419CE">
        <w:t>stader</w:t>
      </w:r>
      <w:proofErr w:type="spellEnd"/>
      <w:r w:rsidRPr="00B419CE">
        <w:t xml:space="preserve"> der </w:t>
      </w:r>
      <w:proofErr w:type="spellStart"/>
      <w:r w:rsidRPr="00B419CE">
        <w:t>personar</w:t>
      </w:r>
      <w:proofErr w:type="spellEnd"/>
      <w:r w:rsidRPr="00B419CE">
        <w:t xml:space="preserve"> er </w:t>
      </w:r>
      <w:proofErr w:type="spellStart"/>
      <w:r w:rsidRPr="00B419CE">
        <w:t>frårøva</w:t>
      </w:r>
      <w:proofErr w:type="spellEnd"/>
      <w:r w:rsidRPr="00B419CE">
        <w:t xml:space="preserve"> fridommen sin, for å </w:t>
      </w:r>
      <w:proofErr w:type="spellStart"/>
      <w:r w:rsidRPr="00B419CE">
        <w:t>førebygge</w:t>
      </w:r>
      <w:proofErr w:type="spellEnd"/>
      <w:r w:rsidRPr="00B419CE">
        <w:t xml:space="preserve"> tortur og anna </w:t>
      </w:r>
      <w:proofErr w:type="spellStart"/>
      <w:r w:rsidRPr="00B419CE">
        <w:t>grusam</w:t>
      </w:r>
      <w:proofErr w:type="spellEnd"/>
      <w:r w:rsidRPr="00B419CE">
        <w:t xml:space="preserve">, </w:t>
      </w:r>
      <w:proofErr w:type="spellStart"/>
      <w:r w:rsidRPr="00B419CE">
        <w:t>umenneskeleg</w:t>
      </w:r>
      <w:proofErr w:type="spellEnd"/>
      <w:r w:rsidRPr="00B419CE">
        <w:t xml:space="preserve"> eller </w:t>
      </w:r>
      <w:proofErr w:type="spellStart"/>
      <w:r w:rsidRPr="00B419CE">
        <w:t>nedverdigande</w:t>
      </w:r>
      <w:proofErr w:type="spellEnd"/>
      <w:r w:rsidRPr="00B419CE">
        <w:t xml:space="preserve"> behandling eller straff.</w:t>
      </w:r>
    </w:p>
    <w:p w14:paraId="79AC5CB2" w14:textId="77777777" w:rsidR="00B419CE" w:rsidRPr="00B419CE" w:rsidRDefault="00B419CE" w:rsidP="00B419CE">
      <w:r w:rsidRPr="00B419CE">
        <w:t xml:space="preserve">I 2020 har </w:t>
      </w:r>
      <w:proofErr w:type="spellStart"/>
      <w:r w:rsidRPr="00B419CE">
        <w:t>førebyggingseininga</w:t>
      </w:r>
      <w:proofErr w:type="spellEnd"/>
      <w:r w:rsidRPr="00B419CE">
        <w:t xml:space="preserve"> gjennomført ti slike besøk: tre besøk på </w:t>
      </w:r>
      <w:proofErr w:type="spellStart"/>
      <w:r w:rsidRPr="00B419CE">
        <w:t>ein</w:t>
      </w:r>
      <w:proofErr w:type="spellEnd"/>
      <w:r w:rsidRPr="00B419CE">
        <w:t xml:space="preserve"> psykisk helsevern-institusjon for barn og unge, to besøk på </w:t>
      </w:r>
      <w:proofErr w:type="spellStart"/>
      <w:r w:rsidRPr="00B419CE">
        <w:t>barnevernsinstitusjonar</w:t>
      </w:r>
      <w:proofErr w:type="spellEnd"/>
      <w:r w:rsidRPr="00B419CE">
        <w:t xml:space="preserve">, to besøk på </w:t>
      </w:r>
      <w:proofErr w:type="spellStart"/>
      <w:r w:rsidRPr="00B419CE">
        <w:t>sjukeheimar</w:t>
      </w:r>
      <w:proofErr w:type="spellEnd"/>
      <w:r w:rsidRPr="00B419CE">
        <w:t xml:space="preserve"> og tre besøk på </w:t>
      </w:r>
      <w:proofErr w:type="spellStart"/>
      <w:r w:rsidRPr="00B419CE">
        <w:t>bufellesskapar</w:t>
      </w:r>
      <w:proofErr w:type="spellEnd"/>
      <w:r w:rsidRPr="00B419CE">
        <w:t xml:space="preserve"> for </w:t>
      </w:r>
      <w:proofErr w:type="spellStart"/>
      <w:r w:rsidRPr="00B419CE">
        <w:t>personar</w:t>
      </w:r>
      <w:proofErr w:type="spellEnd"/>
      <w:r w:rsidRPr="00B419CE">
        <w:t xml:space="preserve"> med utviklingshemming. Besøka blei mellombels innstilte i mars, men tatt opp att etter </w:t>
      </w:r>
      <w:proofErr w:type="spellStart"/>
      <w:r w:rsidRPr="00B419CE">
        <w:t>sommaren</w:t>
      </w:r>
      <w:proofErr w:type="spellEnd"/>
      <w:r w:rsidRPr="00B419CE">
        <w:t xml:space="preserve">. Smittevernomsyn gjorde </w:t>
      </w:r>
      <w:r w:rsidRPr="00B419CE">
        <w:lastRenderedPageBreak/>
        <w:t xml:space="preserve">det nødvendig å gjennomføre besøka delvis digitalt. I løpet av våren og </w:t>
      </w:r>
      <w:proofErr w:type="spellStart"/>
      <w:r w:rsidRPr="00B419CE">
        <w:t>forsommaren</w:t>
      </w:r>
      <w:proofErr w:type="spellEnd"/>
      <w:r w:rsidRPr="00B419CE">
        <w:t xml:space="preserve"> blei det gjennomført ei undersøking av korleis kriminalomsorga handterte covid-19-pandemien i fengsel med </w:t>
      </w:r>
      <w:proofErr w:type="spellStart"/>
      <w:r w:rsidRPr="00B419CE">
        <w:t>høg</w:t>
      </w:r>
      <w:proofErr w:type="spellEnd"/>
      <w:r w:rsidRPr="00B419CE">
        <w:t xml:space="preserve"> </w:t>
      </w:r>
      <w:proofErr w:type="spellStart"/>
      <w:r w:rsidRPr="00B419CE">
        <w:t>sikkerheit</w:t>
      </w:r>
      <w:proofErr w:type="spellEnd"/>
      <w:r w:rsidRPr="00B419CE">
        <w:t xml:space="preserve">, og kva </w:t>
      </w:r>
      <w:proofErr w:type="spellStart"/>
      <w:r w:rsidRPr="00B419CE">
        <w:t>konsekvensar</w:t>
      </w:r>
      <w:proofErr w:type="spellEnd"/>
      <w:r w:rsidRPr="00B419CE">
        <w:t xml:space="preserve"> pandemien hadde for innsette. Det blei også laga </w:t>
      </w:r>
      <w:proofErr w:type="spellStart"/>
      <w:r w:rsidRPr="00B419CE">
        <w:t>ein</w:t>
      </w:r>
      <w:proofErr w:type="spellEnd"/>
      <w:r w:rsidRPr="00B419CE">
        <w:t xml:space="preserve"> temarapport om bruk av </w:t>
      </w:r>
      <w:proofErr w:type="spellStart"/>
      <w:r w:rsidRPr="00B419CE">
        <w:t>sikkerheitsseng</w:t>
      </w:r>
      <w:proofErr w:type="spellEnd"/>
      <w:r w:rsidRPr="00B419CE">
        <w:t xml:space="preserve"> i norske fengsel. Gjennom 2020 har </w:t>
      </w:r>
      <w:proofErr w:type="spellStart"/>
      <w:r w:rsidRPr="00B419CE">
        <w:t>førebyggingseininga</w:t>
      </w:r>
      <w:proofErr w:type="spellEnd"/>
      <w:r w:rsidRPr="00B419CE">
        <w:t xml:space="preserve"> hatt dialog med tolv </w:t>
      </w:r>
      <w:proofErr w:type="spellStart"/>
      <w:r w:rsidRPr="00B419CE">
        <w:t>stader</w:t>
      </w:r>
      <w:proofErr w:type="spellEnd"/>
      <w:r w:rsidRPr="00B419CE">
        <w:t xml:space="preserve"> i etterkant av besøk gjorde i 2018, 2019 og 2020 for å følge opp korleis </w:t>
      </w:r>
      <w:proofErr w:type="spellStart"/>
      <w:r w:rsidRPr="00B419CE">
        <w:t>tilrådingane</w:t>
      </w:r>
      <w:proofErr w:type="spellEnd"/>
      <w:r w:rsidRPr="00B419CE">
        <w:t xml:space="preserve"> er blitt gjennomførte. Det blei som planlagt gjennomført tre halvdagsmøte med det </w:t>
      </w:r>
      <w:proofErr w:type="spellStart"/>
      <w:r w:rsidRPr="00B419CE">
        <w:t>rådgivande</w:t>
      </w:r>
      <w:proofErr w:type="spellEnd"/>
      <w:r w:rsidRPr="00B419CE">
        <w:t xml:space="preserve"> </w:t>
      </w:r>
      <w:proofErr w:type="spellStart"/>
      <w:r w:rsidRPr="00B419CE">
        <w:t>utvalet</w:t>
      </w:r>
      <w:proofErr w:type="spellEnd"/>
      <w:r w:rsidRPr="00B419CE">
        <w:t xml:space="preserve"> i </w:t>
      </w:r>
      <w:proofErr w:type="spellStart"/>
      <w:r w:rsidRPr="00B419CE">
        <w:t>førebyggingseininga</w:t>
      </w:r>
      <w:proofErr w:type="spellEnd"/>
      <w:r w:rsidRPr="00B419CE">
        <w:t xml:space="preserve">. Som i </w:t>
      </w:r>
      <w:proofErr w:type="spellStart"/>
      <w:r w:rsidRPr="00B419CE">
        <w:t>tidlegare</w:t>
      </w:r>
      <w:proofErr w:type="spellEnd"/>
      <w:r w:rsidRPr="00B419CE">
        <w:t xml:space="preserve"> år har </w:t>
      </w:r>
      <w:proofErr w:type="spellStart"/>
      <w:r w:rsidRPr="00B419CE">
        <w:t>førebyggingseininga</w:t>
      </w:r>
      <w:proofErr w:type="spellEnd"/>
      <w:r w:rsidRPr="00B419CE">
        <w:t xml:space="preserve"> i 2020 presentert ei rekke funn og </w:t>
      </w:r>
      <w:proofErr w:type="spellStart"/>
      <w:r w:rsidRPr="00B419CE">
        <w:t>utfordringar</w:t>
      </w:r>
      <w:proofErr w:type="spellEnd"/>
      <w:r w:rsidRPr="00B419CE">
        <w:t xml:space="preserve"> som </w:t>
      </w:r>
      <w:proofErr w:type="spellStart"/>
      <w:r w:rsidRPr="00B419CE">
        <w:t>førebyggingsarbeidet</w:t>
      </w:r>
      <w:proofErr w:type="spellEnd"/>
      <w:r w:rsidRPr="00B419CE">
        <w:t xml:space="preserve"> har avdekt. </w:t>
      </w:r>
      <w:proofErr w:type="spellStart"/>
      <w:r w:rsidRPr="00B419CE">
        <w:t>Førebyggingseininga</w:t>
      </w:r>
      <w:proofErr w:type="spellEnd"/>
      <w:r w:rsidRPr="00B419CE">
        <w:t xml:space="preserve"> har mellom anna forelese på </w:t>
      </w:r>
      <w:proofErr w:type="spellStart"/>
      <w:r w:rsidRPr="00B419CE">
        <w:t>fagutdanningar</w:t>
      </w:r>
      <w:proofErr w:type="spellEnd"/>
      <w:r w:rsidRPr="00B419CE">
        <w:t xml:space="preserve"> og </w:t>
      </w:r>
      <w:proofErr w:type="spellStart"/>
      <w:r w:rsidRPr="00B419CE">
        <w:t>konferansar</w:t>
      </w:r>
      <w:proofErr w:type="spellEnd"/>
      <w:r w:rsidRPr="00B419CE">
        <w:t xml:space="preserve"> og </w:t>
      </w:r>
      <w:proofErr w:type="spellStart"/>
      <w:r w:rsidRPr="00B419CE">
        <w:t>oppretthalde</w:t>
      </w:r>
      <w:proofErr w:type="spellEnd"/>
      <w:r w:rsidRPr="00B419CE">
        <w:t xml:space="preserve"> samarbeid med relevante fagmiljø internasjonalt, mellom anna </w:t>
      </w:r>
      <w:proofErr w:type="spellStart"/>
      <w:r w:rsidRPr="00B419CE">
        <w:t>halde</w:t>
      </w:r>
      <w:proofErr w:type="spellEnd"/>
      <w:r w:rsidRPr="00B419CE">
        <w:t xml:space="preserve"> innlegg under digitale </w:t>
      </w:r>
      <w:proofErr w:type="spellStart"/>
      <w:r w:rsidRPr="00B419CE">
        <w:t>samlingar</w:t>
      </w:r>
      <w:proofErr w:type="spellEnd"/>
      <w:r w:rsidRPr="00B419CE">
        <w:t xml:space="preserve"> for </w:t>
      </w:r>
      <w:proofErr w:type="spellStart"/>
      <w:r w:rsidRPr="00B419CE">
        <w:t>førebyggingseiningar</w:t>
      </w:r>
      <w:proofErr w:type="spellEnd"/>
      <w:r w:rsidRPr="00B419CE">
        <w:t xml:space="preserve"> internasjonalt om </w:t>
      </w:r>
      <w:proofErr w:type="spellStart"/>
      <w:r w:rsidRPr="00B419CE">
        <w:t>arbeidsmetodar</w:t>
      </w:r>
      <w:proofErr w:type="spellEnd"/>
      <w:r w:rsidRPr="00B419CE">
        <w:t xml:space="preserve"> under covid-19-pandemien.</w:t>
      </w:r>
    </w:p>
    <w:p w14:paraId="646D0FCC" w14:textId="77777777" w:rsidR="00B419CE" w:rsidRPr="00B419CE" w:rsidRDefault="00B419CE" w:rsidP="00B419CE">
      <w:pPr>
        <w:pStyle w:val="avsnitt-tittel"/>
      </w:pPr>
      <w:r w:rsidRPr="00B419CE">
        <w:t>Menneskerettsarbeid</w:t>
      </w:r>
    </w:p>
    <w:p w14:paraId="4703FE1E" w14:textId="77777777" w:rsidR="00B419CE" w:rsidRPr="00B419CE" w:rsidRDefault="00B419CE" w:rsidP="00B419CE">
      <w:proofErr w:type="spellStart"/>
      <w:r w:rsidRPr="00B419CE">
        <w:t>Sivilombodsmannens</w:t>
      </w:r>
      <w:proofErr w:type="spellEnd"/>
      <w:r w:rsidRPr="00B419CE">
        <w:t xml:space="preserve"> generelle arbeid på menneskerettsfeltet har i 2020 </w:t>
      </w:r>
      <w:proofErr w:type="spellStart"/>
      <w:r w:rsidRPr="00B419CE">
        <w:t>vore</w:t>
      </w:r>
      <w:proofErr w:type="spellEnd"/>
      <w:r w:rsidRPr="00B419CE">
        <w:t xml:space="preserve"> prega av pandemien ved at mange </w:t>
      </w:r>
      <w:proofErr w:type="spellStart"/>
      <w:r w:rsidRPr="00B419CE">
        <w:t>aktivitetar</w:t>
      </w:r>
      <w:proofErr w:type="spellEnd"/>
      <w:r w:rsidRPr="00B419CE">
        <w:t xml:space="preserve"> er blitt utsette eller avlyste. </w:t>
      </w:r>
      <w:proofErr w:type="spellStart"/>
      <w:r w:rsidRPr="00B419CE">
        <w:t>Aktivitetar</w:t>
      </w:r>
      <w:proofErr w:type="spellEnd"/>
      <w:r w:rsidRPr="00B419CE">
        <w:t xml:space="preserve"> som delegasjonsbesøk og internasjonalt samarbeid har </w:t>
      </w:r>
      <w:proofErr w:type="spellStart"/>
      <w:r w:rsidRPr="00B419CE">
        <w:t>vore</w:t>
      </w:r>
      <w:proofErr w:type="spellEnd"/>
      <w:r w:rsidRPr="00B419CE">
        <w:t xml:space="preserve"> avgrensa til digital kontakt.</w:t>
      </w:r>
    </w:p>
    <w:p w14:paraId="7F38AC25" w14:textId="77777777" w:rsidR="00B419CE" w:rsidRPr="00B419CE" w:rsidRDefault="00B419CE" w:rsidP="00B419CE">
      <w:r w:rsidRPr="00B419CE">
        <w:t xml:space="preserve">I 2020 har </w:t>
      </w:r>
      <w:proofErr w:type="spellStart"/>
      <w:r w:rsidRPr="00B419CE">
        <w:t>Sivilombodsmannens</w:t>
      </w:r>
      <w:proofErr w:type="spellEnd"/>
      <w:r w:rsidRPr="00B419CE">
        <w:t xml:space="preserve"> arbeid med </w:t>
      </w:r>
      <w:proofErr w:type="spellStart"/>
      <w:r w:rsidRPr="00B419CE">
        <w:t>menneskerettane</w:t>
      </w:r>
      <w:proofErr w:type="spellEnd"/>
      <w:r w:rsidRPr="00B419CE">
        <w:t xml:space="preserve"> primært skjedd gjennom </w:t>
      </w:r>
      <w:proofErr w:type="spellStart"/>
      <w:r w:rsidRPr="00B419CE">
        <w:t>behandlinga</w:t>
      </w:r>
      <w:proofErr w:type="spellEnd"/>
      <w:r w:rsidRPr="00B419CE">
        <w:t xml:space="preserve"> av klagesaker der </w:t>
      </w:r>
      <w:proofErr w:type="spellStart"/>
      <w:r w:rsidRPr="00B419CE">
        <w:t>Noregs</w:t>
      </w:r>
      <w:proofErr w:type="spellEnd"/>
      <w:r w:rsidRPr="00B419CE">
        <w:t xml:space="preserve"> menneskerettslege </w:t>
      </w:r>
      <w:proofErr w:type="spellStart"/>
      <w:r w:rsidRPr="00B419CE">
        <w:t>forpliktingar</w:t>
      </w:r>
      <w:proofErr w:type="spellEnd"/>
      <w:r w:rsidRPr="00B419CE">
        <w:t xml:space="preserve"> er involverte. </w:t>
      </w:r>
      <w:proofErr w:type="spellStart"/>
      <w:r w:rsidRPr="00B419CE">
        <w:t>Éi</w:t>
      </w:r>
      <w:proofErr w:type="spellEnd"/>
      <w:r w:rsidRPr="00B419CE">
        <w:t xml:space="preserve"> sak blei også oppretta av eige tiltak. Tema for klagesakene i 2020 omfatta mellom anna barns beste, retten til rettferdig </w:t>
      </w:r>
      <w:proofErr w:type="spellStart"/>
      <w:r w:rsidRPr="00B419CE">
        <w:t>rettargang</w:t>
      </w:r>
      <w:proofErr w:type="spellEnd"/>
      <w:r w:rsidRPr="00B419CE">
        <w:t xml:space="preserve"> og ansvaret </w:t>
      </w:r>
      <w:proofErr w:type="spellStart"/>
      <w:r w:rsidRPr="00B419CE">
        <w:t>myndigheitene</w:t>
      </w:r>
      <w:proofErr w:type="spellEnd"/>
      <w:r w:rsidRPr="00B419CE">
        <w:t xml:space="preserve"> har for å vurdere om </w:t>
      </w:r>
      <w:proofErr w:type="spellStart"/>
      <w:r w:rsidRPr="00B419CE">
        <w:t>menneskerettane</w:t>
      </w:r>
      <w:proofErr w:type="spellEnd"/>
      <w:r w:rsidRPr="00B419CE">
        <w:t xml:space="preserve"> er tatt vare på.</w:t>
      </w:r>
    </w:p>
    <w:p w14:paraId="3C31132F" w14:textId="77777777" w:rsidR="00B419CE" w:rsidRPr="00B419CE" w:rsidRDefault="00B419CE" w:rsidP="00B419CE">
      <w:pPr>
        <w:pStyle w:val="Undertittel"/>
      </w:pPr>
      <w:r w:rsidRPr="00B419CE">
        <w:t>Mål og budsjett for 2022</w:t>
      </w:r>
    </w:p>
    <w:p w14:paraId="41B9C2C6" w14:textId="77777777" w:rsidR="00B419CE" w:rsidRPr="00B419CE" w:rsidRDefault="00B419CE" w:rsidP="00B419CE">
      <w:r w:rsidRPr="00B419CE">
        <w:t xml:space="preserve">Dei to mandata til </w:t>
      </w:r>
      <w:proofErr w:type="spellStart"/>
      <w:r w:rsidRPr="00B419CE">
        <w:t>Sivilombodet</w:t>
      </w:r>
      <w:proofErr w:type="spellEnd"/>
      <w:r w:rsidRPr="00B419CE">
        <w:t xml:space="preserve"> er fastsette i lov, og </w:t>
      </w:r>
      <w:proofErr w:type="spellStart"/>
      <w:r w:rsidRPr="00B419CE">
        <w:t>verksemda</w:t>
      </w:r>
      <w:proofErr w:type="spellEnd"/>
      <w:r w:rsidRPr="00B419CE">
        <w:t xml:space="preserve"> har derfor stabile </w:t>
      </w:r>
      <w:proofErr w:type="spellStart"/>
      <w:r w:rsidRPr="00B419CE">
        <w:t>føringar</w:t>
      </w:r>
      <w:proofErr w:type="spellEnd"/>
      <w:r w:rsidRPr="00B419CE">
        <w:t xml:space="preserve"> for kva </w:t>
      </w:r>
      <w:proofErr w:type="spellStart"/>
      <w:r w:rsidRPr="00B419CE">
        <w:t>hovudmål</w:t>
      </w:r>
      <w:proofErr w:type="spellEnd"/>
      <w:r w:rsidRPr="00B419CE">
        <w:t xml:space="preserve"> </w:t>
      </w:r>
      <w:proofErr w:type="spellStart"/>
      <w:r w:rsidRPr="00B419CE">
        <w:t>dei</w:t>
      </w:r>
      <w:proofErr w:type="spellEnd"/>
      <w:r w:rsidRPr="00B419CE">
        <w:t xml:space="preserve"> skal nå kvart år. </w:t>
      </w:r>
      <w:proofErr w:type="spellStart"/>
      <w:r w:rsidRPr="00B419CE">
        <w:t>Ein</w:t>
      </w:r>
      <w:proofErr w:type="spellEnd"/>
      <w:r w:rsidRPr="00B419CE">
        <w:t xml:space="preserve"> stor del av </w:t>
      </w:r>
      <w:proofErr w:type="spellStart"/>
      <w:r w:rsidRPr="00B419CE">
        <w:t>verksemda</w:t>
      </w:r>
      <w:proofErr w:type="spellEnd"/>
      <w:r w:rsidRPr="00B419CE">
        <w:t xml:space="preserve"> går </w:t>
      </w:r>
      <w:proofErr w:type="spellStart"/>
      <w:r w:rsidRPr="00B419CE">
        <w:t>årleg</w:t>
      </w:r>
      <w:proofErr w:type="spellEnd"/>
      <w:r w:rsidRPr="00B419CE">
        <w:t xml:space="preserve"> ut på å gjennomføre </w:t>
      </w:r>
      <w:proofErr w:type="spellStart"/>
      <w:r w:rsidRPr="00B419CE">
        <w:t>undersøkingar</w:t>
      </w:r>
      <w:proofErr w:type="spellEnd"/>
      <w:r w:rsidRPr="00B419CE">
        <w:t xml:space="preserve"> og </w:t>
      </w:r>
      <w:proofErr w:type="spellStart"/>
      <w:r w:rsidRPr="00B419CE">
        <w:t>gjere</w:t>
      </w:r>
      <w:proofErr w:type="spellEnd"/>
      <w:r w:rsidRPr="00B419CE">
        <w:t xml:space="preserve"> </w:t>
      </w:r>
      <w:proofErr w:type="spellStart"/>
      <w:r w:rsidRPr="00B419CE">
        <w:t>rettslege</w:t>
      </w:r>
      <w:proofErr w:type="spellEnd"/>
      <w:r w:rsidRPr="00B419CE">
        <w:t xml:space="preserve"> </w:t>
      </w:r>
      <w:proofErr w:type="spellStart"/>
      <w:r w:rsidRPr="00B419CE">
        <w:t>vurderingar</w:t>
      </w:r>
      <w:proofErr w:type="spellEnd"/>
      <w:r w:rsidRPr="00B419CE">
        <w:t xml:space="preserve"> av </w:t>
      </w:r>
      <w:proofErr w:type="spellStart"/>
      <w:r w:rsidRPr="00B419CE">
        <w:t>utvalde</w:t>
      </w:r>
      <w:proofErr w:type="spellEnd"/>
      <w:r w:rsidRPr="00B419CE">
        <w:t xml:space="preserve"> spørsmål. I </w:t>
      </w:r>
      <w:proofErr w:type="spellStart"/>
      <w:r w:rsidRPr="00B419CE">
        <w:t>fleire</w:t>
      </w:r>
      <w:proofErr w:type="spellEnd"/>
      <w:r w:rsidRPr="00B419CE">
        <w:t xml:space="preserve"> år har det </w:t>
      </w:r>
      <w:proofErr w:type="spellStart"/>
      <w:r w:rsidRPr="00B419CE">
        <w:t>vore</w:t>
      </w:r>
      <w:proofErr w:type="spellEnd"/>
      <w:r w:rsidRPr="00B419CE">
        <w:t xml:space="preserve"> </w:t>
      </w:r>
      <w:proofErr w:type="spellStart"/>
      <w:r w:rsidRPr="00B419CE">
        <w:t>eit</w:t>
      </w:r>
      <w:proofErr w:type="spellEnd"/>
      <w:r w:rsidRPr="00B419CE">
        <w:t xml:space="preserve"> mål at </w:t>
      </w:r>
      <w:proofErr w:type="spellStart"/>
      <w:r w:rsidRPr="00B419CE">
        <w:t>Sivilombodet</w:t>
      </w:r>
      <w:proofErr w:type="spellEnd"/>
      <w:r w:rsidRPr="00B419CE">
        <w:t xml:space="preserve"> skal prioritere arbeidsinnsatsen der innsatsen får størst betydning. Dette vil også </w:t>
      </w:r>
      <w:proofErr w:type="spellStart"/>
      <w:r w:rsidRPr="00B419CE">
        <w:t>vere</w:t>
      </w:r>
      <w:proofErr w:type="spellEnd"/>
      <w:r w:rsidRPr="00B419CE">
        <w:t xml:space="preserve"> viktig framover, og er reflektert i strategiplanen for perioden 2019–2022.</w:t>
      </w:r>
    </w:p>
    <w:p w14:paraId="0E71F176" w14:textId="77777777" w:rsidR="00B419CE" w:rsidRPr="00B419CE" w:rsidRDefault="00B419CE" w:rsidP="00B419CE">
      <w:r w:rsidRPr="00B419CE">
        <w:t xml:space="preserve">Det er venta at den store </w:t>
      </w:r>
      <w:proofErr w:type="spellStart"/>
      <w:r w:rsidRPr="00B419CE">
        <w:t>auken</w:t>
      </w:r>
      <w:proofErr w:type="spellEnd"/>
      <w:r w:rsidRPr="00B419CE">
        <w:t xml:space="preserve"> i </w:t>
      </w:r>
      <w:proofErr w:type="spellStart"/>
      <w:r w:rsidRPr="00B419CE">
        <w:t>klagar</w:t>
      </w:r>
      <w:proofErr w:type="spellEnd"/>
      <w:r w:rsidRPr="00B419CE">
        <w:t xml:space="preserve"> </w:t>
      </w:r>
      <w:proofErr w:type="spellStart"/>
      <w:r w:rsidRPr="00B419CE">
        <w:t>dei</w:t>
      </w:r>
      <w:proofErr w:type="spellEnd"/>
      <w:r w:rsidRPr="00B419CE">
        <w:t xml:space="preserve"> </w:t>
      </w:r>
      <w:proofErr w:type="spellStart"/>
      <w:r w:rsidRPr="00B419CE">
        <w:t>seinare</w:t>
      </w:r>
      <w:proofErr w:type="spellEnd"/>
      <w:r w:rsidRPr="00B419CE">
        <w:t xml:space="preserve"> åra kjem til å vare. Det blir viktig, men </w:t>
      </w:r>
      <w:proofErr w:type="spellStart"/>
      <w:r w:rsidRPr="00B419CE">
        <w:t>krevjande</w:t>
      </w:r>
      <w:proofErr w:type="spellEnd"/>
      <w:r w:rsidRPr="00B419CE">
        <w:t xml:space="preserve"> å handtere denne veksten også i 2022. Kapasitet og </w:t>
      </w:r>
      <w:proofErr w:type="spellStart"/>
      <w:r w:rsidRPr="00B419CE">
        <w:t>ressursar</w:t>
      </w:r>
      <w:proofErr w:type="spellEnd"/>
      <w:r w:rsidRPr="00B419CE">
        <w:t xml:space="preserve"> </w:t>
      </w:r>
      <w:proofErr w:type="spellStart"/>
      <w:r w:rsidRPr="00B419CE">
        <w:t>avgjer</w:t>
      </w:r>
      <w:proofErr w:type="spellEnd"/>
      <w:r w:rsidRPr="00B419CE">
        <w:t xml:space="preserve"> om svara på </w:t>
      </w:r>
      <w:proofErr w:type="spellStart"/>
      <w:r w:rsidRPr="00B419CE">
        <w:t>førespurnadene</w:t>
      </w:r>
      <w:proofErr w:type="spellEnd"/>
      <w:r w:rsidRPr="00B419CE">
        <w:t xml:space="preserve"> </w:t>
      </w:r>
      <w:proofErr w:type="spellStart"/>
      <w:r w:rsidRPr="00B419CE">
        <w:t>støttar</w:t>
      </w:r>
      <w:proofErr w:type="spellEnd"/>
      <w:r w:rsidRPr="00B419CE">
        <w:t xml:space="preserve"> opp under rolla til </w:t>
      </w:r>
      <w:proofErr w:type="spellStart"/>
      <w:r w:rsidRPr="00B419CE">
        <w:t>Sivilombodet</w:t>
      </w:r>
      <w:proofErr w:type="spellEnd"/>
      <w:r w:rsidRPr="00B419CE">
        <w:t xml:space="preserve">. </w:t>
      </w:r>
      <w:proofErr w:type="spellStart"/>
      <w:r w:rsidRPr="00B419CE">
        <w:t>Sivilombodet</w:t>
      </w:r>
      <w:proofErr w:type="spellEnd"/>
      <w:r w:rsidRPr="00B419CE">
        <w:t xml:space="preserve"> vil </w:t>
      </w:r>
      <w:proofErr w:type="spellStart"/>
      <w:r w:rsidRPr="00B419CE">
        <w:t>innanfor</w:t>
      </w:r>
      <w:proofErr w:type="spellEnd"/>
      <w:r w:rsidRPr="00B419CE">
        <w:t xml:space="preserve"> det </w:t>
      </w:r>
      <w:proofErr w:type="spellStart"/>
      <w:r w:rsidRPr="00B419CE">
        <w:t>eksisterande</w:t>
      </w:r>
      <w:proofErr w:type="spellEnd"/>
      <w:r w:rsidRPr="00B419CE">
        <w:t xml:space="preserve"> ressursnivået forsøke å ta opp </w:t>
      </w:r>
      <w:proofErr w:type="spellStart"/>
      <w:r w:rsidRPr="00B419CE">
        <w:t>eit</w:t>
      </w:r>
      <w:proofErr w:type="spellEnd"/>
      <w:r w:rsidRPr="00B419CE">
        <w:t xml:space="preserve"> </w:t>
      </w:r>
      <w:proofErr w:type="spellStart"/>
      <w:r w:rsidRPr="00B419CE">
        <w:t>tilstrekkeleg</w:t>
      </w:r>
      <w:proofErr w:type="spellEnd"/>
      <w:r w:rsidRPr="00B419CE">
        <w:t xml:space="preserve"> </w:t>
      </w:r>
      <w:proofErr w:type="spellStart"/>
      <w:r w:rsidRPr="00B419CE">
        <w:t>antal</w:t>
      </w:r>
      <w:proofErr w:type="spellEnd"/>
      <w:r w:rsidRPr="00B419CE">
        <w:t xml:space="preserve"> saker, </w:t>
      </w:r>
      <w:proofErr w:type="spellStart"/>
      <w:r w:rsidRPr="00B419CE">
        <w:t>oppretthalde</w:t>
      </w:r>
      <w:proofErr w:type="spellEnd"/>
      <w:r w:rsidRPr="00B419CE">
        <w:t xml:space="preserve"> kvaliteten på </w:t>
      </w:r>
      <w:proofErr w:type="spellStart"/>
      <w:r w:rsidRPr="00B419CE">
        <w:t>dei</w:t>
      </w:r>
      <w:proofErr w:type="spellEnd"/>
      <w:r w:rsidRPr="00B419CE">
        <w:t xml:space="preserve"> svara som blir gitt, og med ei så kort saksbehandlingstid som </w:t>
      </w:r>
      <w:proofErr w:type="spellStart"/>
      <w:r w:rsidRPr="00B419CE">
        <w:t>mogleg</w:t>
      </w:r>
      <w:proofErr w:type="spellEnd"/>
      <w:r w:rsidRPr="00B419CE">
        <w:t>.</w:t>
      </w:r>
    </w:p>
    <w:p w14:paraId="4448F2F1" w14:textId="77777777" w:rsidR="00B419CE" w:rsidRPr="00B419CE" w:rsidRDefault="00B419CE" w:rsidP="00B419CE">
      <w:r w:rsidRPr="00B419CE">
        <w:t xml:space="preserve">Målet om å bli betre </w:t>
      </w:r>
      <w:proofErr w:type="spellStart"/>
      <w:r w:rsidRPr="00B419CE">
        <w:t>kjend</w:t>
      </w:r>
      <w:proofErr w:type="spellEnd"/>
      <w:r w:rsidRPr="00B419CE">
        <w:t xml:space="preserve"> har </w:t>
      </w:r>
      <w:proofErr w:type="spellStart"/>
      <w:r w:rsidRPr="00B419CE">
        <w:t>vore</w:t>
      </w:r>
      <w:proofErr w:type="spellEnd"/>
      <w:r w:rsidRPr="00B419CE">
        <w:t xml:space="preserve"> </w:t>
      </w:r>
      <w:proofErr w:type="spellStart"/>
      <w:r w:rsidRPr="00B419CE">
        <w:t>følgt</w:t>
      </w:r>
      <w:proofErr w:type="spellEnd"/>
      <w:r w:rsidRPr="00B419CE">
        <w:t xml:space="preserve"> opp gjennom </w:t>
      </w:r>
      <w:proofErr w:type="spellStart"/>
      <w:r w:rsidRPr="00B419CE">
        <w:t>fleire</w:t>
      </w:r>
      <w:proofErr w:type="spellEnd"/>
      <w:r w:rsidRPr="00B419CE">
        <w:t xml:space="preserve"> år. Dette er </w:t>
      </w:r>
      <w:proofErr w:type="spellStart"/>
      <w:r w:rsidRPr="00B419CE">
        <w:t>eit</w:t>
      </w:r>
      <w:proofErr w:type="spellEnd"/>
      <w:r w:rsidRPr="00B419CE">
        <w:t xml:space="preserve"> mål også for 2022. Det er spesielt </w:t>
      </w:r>
      <w:proofErr w:type="spellStart"/>
      <w:r w:rsidRPr="00B419CE">
        <w:t>ønskeleg</w:t>
      </w:r>
      <w:proofErr w:type="spellEnd"/>
      <w:r w:rsidRPr="00B419CE">
        <w:t xml:space="preserve"> å rette innsatsen mot grupper av </w:t>
      </w:r>
      <w:proofErr w:type="spellStart"/>
      <w:r w:rsidRPr="00B419CE">
        <w:t>klagarar</w:t>
      </w:r>
      <w:proofErr w:type="spellEnd"/>
      <w:r w:rsidRPr="00B419CE">
        <w:t xml:space="preserve"> som </w:t>
      </w:r>
      <w:proofErr w:type="spellStart"/>
      <w:r w:rsidRPr="00B419CE">
        <w:t>ein</w:t>
      </w:r>
      <w:proofErr w:type="spellEnd"/>
      <w:r w:rsidRPr="00B419CE">
        <w:t xml:space="preserve"> i større grad burde motta </w:t>
      </w:r>
      <w:proofErr w:type="spellStart"/>
      <w:r w:rsidRPr="00B419CE">
        <w:t>klagar</w:t>
      </w:r>
      <w:proofErr w:type="spellEnd"/>
      <w:r w:rsidRPr="00B419CE">
        <w:t xml:space="preserve"> </w:t>
      </w:r>
      <w:proofErr w:type="spellStart"/>
      <w:r w:rsidRPr="00B419CE">
        <w:t>frå</w:t>
      </w:r>
      <w:proofErr w:type="spellEnd"/>
      <w:r w:rsidRPr="00B419CE">
        <w:t xml:space="preserve">, </w:t>
      </w:r>
      <w:proofErr w:type="spellStart"/>
      <w:r w:rsidRPr="00B419CE">
        <w:t>sjølv</w:t>
      </w:r>
      <w:proofErr w:type="spellEnd"/>
      <w:r w:rsidRPr="00B419CE">
        <w:t xml:space="preserve"> om det med den same ressurssituasjonen må føre til at andre klagesaker må </w:t>
      </w:r>
      <w:proofErr w:type="spellStart"/>
      <w:r w:rsidRPr="00B419CE">
        <w:t>prioriterast</w:t>
      </w:r>
      <w:proofErr w:type="spellEnd"/>
      <w:r w:rsidRPr="00B419CE">
        <w:t xml:space="preserve"> ned.</w:t>
      </w:r>
    </w:p>
    <w:p w14:paraId="3D9CCE6F" w14:textId="77777777" w:rsidR="00B419CE" w:rsidRPr="00B419CE" w:rsidRDefault="00B419CE" w:rsidP="00B419CE">
      <w:r w:rsidRPr="00B419CE">
        <w:t xml:space="preserve">Også i 2022 vil </w:t>
      </w:r>
      <w:proofErr w:type="spellStart"/>
      <w:r w:rsidRPr="00B419CE">
        <w:t>Sivilombodet</w:t>
      </w:r>
      <w:proofErr w:type="spellEnd"/>
      <w:r w:rsidRPr="00B419CE">
        <w:t xml:space="preserve"> besøke </w:t>
      </w:r>
      <w:proofErr w:type="spellStart"/>
      <w:r w:rsidRPr="00B419CE">
        <w:t>stader</w:t>
      </w:r>
      <w:proofErr w:type="spellEnd"/>
      <w:r w:rsidRPr="00B419CE">
        <w:t xml:space="preserve"> der menneske er </w:t>
      </w:r>
      <w:proofErr w:type="spellStart"/>
      <w:r w:rsidRPr="00B419CE">
        <w:t>frårøva</w:t>
      </w:r>
      <w:proofErr w:type="spellEnd"/>
      <w:r w:rsidRPr="00B419CE">
        <w:t xml:space="preserve"> fridommen. Kor mange og kva for </w:t>
      </w:r>
      <w:proofErr w:type="spellStart"/>
      <w:r w:rsidRPr="00B419CE">
        <w:t>stader</w:t>
      </w:r>
      <w:proofErr w:type="spellEnd"/>
      <w:r w:rsidRPr="00B419CE">
        <w:t xml:space="preserve"> som skal få besøk, vil bli avgjort ut </w:t>
      </w:r>
      <w:proofErr w:type="spellStart"/>
      <w:r w:rsidRPr="00B419CE">
        <w:t>frå</w:t>
      </w:r>
      <w:proofErr w:type="spellEnd"/>
      <w:r w:rsidRPr="00B419CE">
        <w:t xml:space="preserve"> ei risikovurdering av </w:t>
      </w:r>
      <w:r w:rsidRPr="00B419CE">
        <w:lastRenderedPageBreak/>
        <w:t xml:space="preserve">aktuelle </w:t>
      </w:r>
      <w:proofErr w:type="spellStart"/>
      <w:r w:rsidRPr="00B419CE">
        <w:t>sektorar</w:t>
      </w:r>
      <w:proofErr w:type="spellEnd"/>
      <w:r w:rsidRPr="00B419CE">
        <w:t xml:space="preserve"> og </w:t>
      </w:r>
      <w:proofErr w:type="spellStart"/>
      <w:r w:rsidRPr="00B419CE">
        <w:t>stader</w:t>
      </w:r>
      <w:proofErr w:type="spellEnd"/>
      <w:r w:rsidRPr="00B419CE">
        <w:t xml:space="preserve"> i lys av kapasitet og </w:t>
      </w:r>
      <w:proofErr w:type="spellStart"/>
      <w:r w:rsidRPr="00B419CE">
        <w:t>ressursar</w:t>
      </w:r>
      <w:proofErr w:type="spellEnd"/>
      <w:r w:rsidRPr="00B419CE">
        <w:t xml:space="preserve">. I tillegg må det </w:t>
      </w:r>
      <w:proofErr w:type="spellStart"/>
      <w:r w:rsidRPr="00B419CE">
        <w:t>leggast</w:t>
      </w:r>
      <w:proofErr w:type="spellEnd"/>
      <w:r w:rsidRPr="00B419CE">
        <w:t xml:space="preserve"> vekt på smittevernomsyn og andre forhold som er </w:t>
      </w:r>
      <w:proofErr w:type="spellStart"/>
      <w:r w:rsidRPr="00B419CE">
        <w:t>påverka</w:t>
      </w:r>
      <w:proofErr w:type="spellEnd"/>
      <w:r w:rsidRPr="00B419CE">
        <w:t xml:space="preserve"> av pandemien. Det vil mellom anna </w:t>
      </w:r>
      <w:proofErr w:type="spellStart"/>
      <w:r w:rsidRPr="00B419CE">
        <w:t>vere</w:t>
      </w:r>
      <w:proofErr w:type="spellEnd"/>
      <w:r w:rsidRPr="00B419CE">
        <w:t xml:space="preserve"> aktuelt å </w:t>
      </w:r>
      <w:proofErr w:type="spellStart"/>
      <w:r w:rsidRPr="00B419CE">
        <w:t>halde</w:t>
      </w:r>
      <w:proofErr w:type="spellEnd"/>
      <w:r w:rsidRPr="00B419CE">
        <w:t xml:space="preserve"> fram med å besøke </w:t>
      </w:r>
      <w:proofErr w:type="spellStart"/>
      <w:r w:rsidRPr="00B419CE">
        <w:t>sjukeheimar</w:t>
      </w:r>
      <w:proofErr w:type="spellEnd"/>
      <w:r w:rsidRPr="00B419CE">
        <w:t xml:space="preserve"> og </w:t>
      </w:r>
      <w:proofErr w:type="spellStart"/>
      <w:r w:rsidRPr="00B419CE">
        <w:t>bustader</w:t>
      </w:r>
      <w:proofErr w:type="spellEnd"/>
      <w:r w:rsidRPr="00B419CE">
        <w:t xml:space="preserve"> for menneske med utviklingshemming. Det kan også </w:t>
      </w:r>
      <w:proofErr w:type="spellStart"/>
      <w:r w:rsidRPr="00B419CE">
        <w:t>vere</w:t>
      </w:r>
      <w:proofErr w:type="spellEnd"/>
      <w:r w:rsidRPr="00B419CE">
        <w:t xml:space="preserve"> aktuelt å fokusere </w:t>
      </w:r>
      <w:proofErr w:type="spellStart"/>
      <w:r w:rsidRPr="00B419CE">
        <w:t>særleg</w:t>
      </w:r>
      <w:proofErr w:type="spellEnd"/>
      <w:r w:rsidRPr="00B419CE">
        <w:t xml:space="preserve"> på </w:t>
      </w:r>
      <w:proofErr w:type="spellStart"/>
      <w:r w:rsidRPr="00B419CE">
        <w:t>eit</w:t>
      </w:r>
      <w:proofErr w:type="spellEnd"/>
      <w:r w:rsidRPr="00B419CE">
        <w:t xml:space="preserve"> </w:t>
      </w:r>
      <w:proofErr w:type="spellStart"/>
      <w:r w:rsidRPr="00B419CE">
        <w:t>nærmare</w:t>
      </w:r>
      <w:proofErr w:type="spellEnd"/>
      <w:r w:rsidRPr="00B419CE">
        <w:t xml:space="preserve"> angitt tema som er spesielt aktuelt for mandatet. Det vil </w:t>
      </w:r>
      <w:proofErr w:type="spellStart"/>
      <w:r w:rsidRPr="00B419CE">
        <w:t>framleis</w:t>
      </w:r>
      <w:proofErr w:type="spellEnd"/>
      <w:r w:rsidRPr="00B419CE">
        <w:t xml:space="preserve"> bli lagt stor vekt på å </w:t>
      </w:r>
      <w:proofErr w:type="spellStart"/>
      <w:r w:rsidRPr="00B419CE">
        <w:t>vidareutvikle</w:t>
      </w:r>
      <w:proofErr w:type="spellEnd"/>
      <w:r w:rsidRPr="00B419CE">
        <w:t xml:space="preserve"> metodikk, heve kompetansen til eininga og innhente solide kunnskapsgrunnlag </w:t>
      </w:r>
      <w:proofErr w:type="spellStart"/>
      <w:r w:rsidRPr="00B419CE">
        <w:t>innanfor</w:t>
      </w:r>
      <w:proofErr w:type="spellEnd"/>
      <w:r w:rsidRPr="00B419CE">
        <w:t xml:space="preserve"> alle områda som er dekte av mandatet. Som ledd i ei tett oppfølging for å sikre at </w:t>
      </w:r>
      <w:proofErr w:type="spellStart"/>
      <w:r w:rsidRPr="00B419CE">
        <w:t>tilrådingane</w:t>
      </w:r>
      <w:proofErr w:type="spellEnd"/>
      <w:r w:rsidRPr="00B419CE">
        <w:t xml:space="preserve"> </w:t>
      </w:r>
      <w:proofErr w:type="spellStart"/>
      <w:r w:rsidRPr="00B419CE">
        <w:t>frå</w:t>
      </w:r>
      <w:proofErr w:type="spellEnd"/>
      <w:r w:rsidRPr="00B419CE">
        <w:t xml:space="preserve"> </w:t>
      </w:r>
      <w:proofErr w:type="spellStart"/>
      <w:r w:rsidRPr="00B419CE">
        <w:t>Sivilombodet</w:t>
      </w:r>
      <w:proofErr w:type="spellEnd"/>
      <w:r w:rsidRPr="00B419CE">
        <w:t xml:space="preserve"> får gjennomslag, vil det også bli lagt vekt på oppfølging av </w:t>
      </w:r>
      <w:proofErr w:type="spellStart"/>
      <w:r w:rsidRPr="00B419CE">
        <w:t>stadene</w:t>
      </w:r>
      <w:proofErr w:type="spellEnd"/>
      <w:r w:rsidRPr="00B419CE">
        <w:t xml:space="preserve"> og </w:t>
      </w:r>
      <w:proofErr w:type="spellStart"/>
      <w:r w:rsidRPr="00B419CE">
        <w:t>sektorane</w:t>
      </w:r>
      <w:proofErr w:type="spellEnd"/>
      <w:r w:rsidRPr="00B419CE">
        <w:t xml:space="preserve"> som får besøk.</w:t>
      </w:r>
    </w:p>
    <w:p w14:paraId="43A84BB8" w14:textId="77777777" w:rsidR="00B419CE" w:rsidRPr="00B419CE" w:rsidRDefault="00B419CE" w:rsidP="00B419CE">
      <w:r w:rsidRPr="00B419CE">
        <w:t xml:space="preserve">I budsjettet er det innarbeidd prisjustering, konsekvensjustering og effektiviseringstrekk. </w:t>
      </w:r>
      <w:proofErr w:type="spellStart"/>
      <w:r w:rsidRPr="00B419CE">
        <w:t>Elles</w:t>
      </w:r>
      <w:proofErr w:type="spellEnd"/>
      <w:r w:rsidRPr="00B419CE">
        <w:t xml:space="preserve"> er det ingen </w:t>
      </w:r>
      <w:proofErr w:type="spellStart"/>
      <w:r w:rsidRPr="00B419CE">
        <w:t>auke</w:t>
      </w:r>
      <w:proofErr w:type="spellEnd"/>
      <w:r w:rsidRPr="00B419CE">
        <w:t>.</w:t>
      </w:r>
    </w:p>
    <w:p w14:paraId="2A6DB20E" w14:textId="77777777" w:rsidR="00B419CE" w:rsidRPr="00B419CE" w:rsidRDefault="00B419CE" w:rsidP="00B419CE">
      <w:pPr>
        <w:pStyle w:val="b-post"/>
      </w:pPr>
      <w:r w:rsidRPr="00B419CE">
        <w:t>Post 01 Driftsutgifter</w:t>
      </w:r>
    </w:p>
    <w:p w14:paraId="4D547F41" w14:textId="77777777" w:rsidR="00B419CE" w:rsidRPr="00B419CE" w:rsidRDefault="00B419CE" w:rsidP="00B419CE">
      <w:r w:rsidRPr="00B419CE">
        <w:t xml:space="preserve">Posten </w:t>
      </w:r>
      <w:proofErr w:type="spellStart"/>
      <w:r w:rsidRPr="00B419CE">
        <w:t>omfattar</w:t>
      </w:r>
      <w:proofErr w:type="spellEnd"/>
      <w:r w:rsidRPr="00B419CE">
        <w:t xml:space="preserve"> lønnsutgifter og utgifter til kjøp av varer og </w:t>
      </w:r>
      <w:proofErr w:type="spellStart"/>
      <w:r w:rsidRPr="00B419CE">
        <w:t>tenester</w:t>
      </w:r>
      <w:proofErr w:type="spellEnd"/>
      <w:r w:rsidRPr="00B419CE">
        <w:t>.</w:t>
      </w:r>
    </w:p>
    <w:p w14:paraId="3DA2B4FC" w14:textId="77777777" w:rsidR="00B419CE" w:rsidRPr="00B419CE" w:rsidRDefault="00B419CE" w:rsidP="00B419CE">
      <w:pPr>
        <w:pStyle w:val="b-budkaptit"/>
      </w:pPr>
      <w:r w:rsidRPr="00B419CE">
        <w:t xml:space="preserve">Kap. 44 Stortingets </w:t>
      </w:r>
      <w:proofErr w:type="spellStart"/>
      <w:r w:rsidRPr="00B419CE">
        <w:t>kontrollutval</w:t>
      </w:r>
      <w:proofErr w:type="spellEnd"/>
      <w:r w:rsidRPr="00B419CE">
        <w:t xml:space="preserve"> for etterretnings-, </w:t>
      </w:r>
      <w:proofErr w:type="spellStart"/>
      <w:r w:rsidRPr="00B419CE">
        <w:t>overvakings</w:t>
      </w:r>
      <w:proofErr w:type="spellEnd"/>
      <w:r w:rsidRPr="00B419CE">
        <w:t xml:space="preserve">- og </w:t>
      </w:r>
      <w:proofErr w:type="spellStart"/>
      <w:r w:rsidRPr="00B419CE">
        <w:t>tryggingsteneste</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1D8EB260" w14:textId="77777777" w:rsidTr="00B419CE">
        <w:trPr>
          <w:trHeight w:val="640"/>
          <w:hidden/>
        </w:trPr>
        <w:tc>
          <w:tcPr>
            <w:tcW w:w="1140" w:type="dxa"/>
            <w:shd w:val="clear" w:color="auto" w:fill="FFFFFF"/>
          </w:tcPr>
          <w:p w14:paraId="2605EF41" w14:textId="77777777" w:rsidR="00B419CE" w:rsidRPr="00B419CE" w:rsidRDefault="00B419CE" w:rsidP="00B419CE">
            <w:pPr>
              <w:pStyle w:val="Tabellnavn"/>
            </w:pPr>
            <w:r w:rsidRPr="00B419CE">
              <w:t>KPAL</w:t>
            </w:r>
          </w:p>
        </w:tc>
        <w:tc>
          <w:tcPr>
            <w:tcW w:w="4560" w:type="dxa"/>
          </w:tcPr>
          <w:p w14:paraId="4CB863EF" w14:textId="77777777" w:rsidR="00B419CE" w:rsidRPr="00B419CE" w:rsidRDefault="00B419CE" w:rsidP="00B419CE"/>
        </w:tc>
        <w:tc>
          <w:tcPr>
            <w:tcW w:w="1140" w:type="dxa"/>
          </w:tcPr>
          <w:p w14:paraId="58DEA110" w14:textId="77777777" w:rsidR="00B419CE" w:rsidRPr="00B419CE" w:rsidRDefault="00B419CE" w:rsidP="00B419CE">
            <w:pPr>
              <w:jc w:val="right"/>
            </w:pPr>
          </w:p>
        </w:tc>
        <w:tc>
          <w:tcPr>
            <w:tcW w:w="1140" w:type="dxa"/>
          </w:tcPr>
          <w:p w14:paraId="6FD5C976" w14:textId="77777777" w:rsidR="00B419CE" w:rsidRPr="00B419CE" w:rsidRDefault="00B419CE" w:rsidP="00B419CE">
            <w:pPr>
              <w:jc w:val="right"/>
            </w:pPr>
          </w:p>
        </w:tc>
        <w:tc>
          <w:tcPr>
            <w:tcW w:w="1140" w:type="dxa"/>
          </w:tcPr>
          <w:p w14:paraId="779EAE39" w14:textId="77777777" w:rsidR="00B419CE" w:rsidRPr="00B419CE" w:rsidRDefault="00B419CE" w:rsidP="00B419CE">
            <w:pPr>
              <w:jc w:val="right"/>
            </w:pPr>
            <w:r w:rsidRPr="00B419CE">
              <w:t>(i 1 000 kr)</w:t>
            </w:r>
          </w:p>
        </w:tc>
      </w:tr>
      <w:tr w:rsidR="00B419CE" w:rsidRPr="00B419CE" w14:paraId="733AD3F0" w14:textId="77777777" w:rsidTr="00B419CE">
        <w:trPr>
          <w:trHeight w:val="600"/>
        </w:trPr>
        <w:tc>
          <w:tcPr>
            <w:tcW w:w="1140" w:type="dxa"/>
          </w:tcPr>
          <w:p w14:paraId="065DD57C" w14:textId="77777777" w:rsidR="00B419CE" w:rsidRPr="00B419CE" w:rsidRDefault="00B419CE" w:rsidP="00B419CE">
            <w:r w:rsidRPr="00B419CE">
              <w:t>Post</w:t>
            </w:r>
          </w:p>
        </w:tc>
        <w:tc>
          <w:tcPr>
            <w:tcW w:w="4560" w:type="dxa"/>
          </w:tcPr>
          <w:p w14:paraId="58D3A9E5" w14:textId="77777777" w:rsidR="00B419CE" w:rsidRPr="00B419CE" w:rsidRDefault="00B419CE" w:rsidP="00B419CE">
            <w:proofErr w:type="spellStart"/>
            <w:r w:rsidRPr="00B419CE">
              <w:t>Nemning</w:t>
            </w:r>
            <w:proofErr w:type="spellEnd"/>
          </w:p>
        </w:tc>
        <w:tc>
          <w:tcPr>
            <w:tcW w:w="1140" w:type="dxa"/>
          </w:tcPr>
          <w:p w14:paraId="4B29AAB4"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1886A68A" w14:textId="77777777" w:rsidR="00B419CE" w:rsidRPr="00B419CE" w:rsidRDefault="00B419CE" w:rsidP="00B419CE">
            <w:pPr>
              <w:jc w:val="right"/>
            </w:pPr>
            <w:r w:rsidRPr="00B419CE">
              <w:t>Saldert</w:t>
            </w:r>
            <w:r w:rsidRPr="00B419CE">
              <w:br/>
              <w:t xml:space="preserve"> budsjett 2021</w:t>
            </w:r>
          </w:p>
        </w:tc>
        <w:tc>
          <w:tcPr>
            <w:tcW w:w="1140" w:type="dxa"/>
          </w:tcPr>
          <w:p w14:paraId="00AFCC3C" w14:textId="77777777" w:rsidR="00B419CE" w:rsidRPr="00B419CE" w:rsidRDefault="00B419CE" w:rsidP="00B419CE">
            <w:pPr>
              <w:jc w:val="right"/>
            </w:pPr>
            <w:r w:rsidRPr="00B419CE">
              <w:t>Forslag</w:t>
            </w:r>
            <w:r w:rsidRPr="00B419CE">
              <w:br/>
              <w:t xml:space="preserve"> 2022</w:t>
            </w:r>
          </w:p>
        </w:tc>
      </w:tr>
      <w:tr w:rsidR="00B419CE" w:rsidRPr="00B419CE" w14:paraId="6E512805" w14:textId="77777777" w:rsidTr="00B419CE">
        <w:trPr>
          <w:trHeight w:val="380"/>
        </w:trPr>
        <w:tc>
          <w:tcPr>
            <w:tcW w:w="1140" w:type="dxa"/>
          </w:tcPr>
          <w:p w14:paraId="32E19C98" w14:textId="77777777" w:rsidR="00B419CE" w:rsidRPr="00B419CE" w:rsidRDefault="00B419CE" w:rsidP="00B419CE">
            <w:r w:rsidRPr="00B419CE">
              <w:t>01</w:t>
            </w:r>
          </w:p>
        </w:tc>
        <w:tc>
          <w:tcPr>
            <w:tcW w:w="4560" w:type="dxa"/>
          </w:tcPr>
          <w:p w14:paraId="144142B8" w14:textId="77777777" w:rsidR="00B419CE" w:rsidRPr="00B419CE" w:rsidRDefault="00B419CE" w:rsidP="00B419CE">
            <w:r w:rsidRPr="00B419CE">
              <w:t>Driftsutgifter</w:t>
            </w:r>
          </w:p>
        </w:tc>
        <w:tc>
          <w:tcPr>
            <w:tcW w:w="1140" w:type="dxa"/>
          </w:tcPr>
          <w:p w14:paraId="26A95BF8" w14:textId="77777777" w:rsidR="00B419CE" w:rsidRPr="00B419CE" w:rsidRDefault="00B419CE" w:rsidP="00B419CE">
            <w:pPr>
              <w:jc w:val="right"/>
            </w:pPr>
            <w:r w:rsidRPr="00B419CE">
              <w:t>23 257</w:t>
            </w:r>
          </w:p>
        </w:tc>
        <w:tc>
          <w:tcPr>
            <w:tcW w:w="1140" w:type="dxa"/>
          </w:tcPr>
          <w:p w14:paraId="4A3A0BBD" w14:textId="77777777" w:rsidR="00B419CE" w:rsidRPr="00B419CE" w:rsidRDefault="00B419CE" w:rsidP="00B419CE">
            <w:pPr>
              <w:jc w:val="right"/>
            </w:pPr>
            <w:r w:rsidRPr="00B419CE">
              <w:t>34 600</w:t>
            </w:r>
          </w:p>
        </w:tc>
        <w:tc>
          <w:tcPr>
            <w:tcW w:w="1140" w:type="dxa"/>
          </w:tcPr>
          <w:p w14:paraId="2FE138EA" w14:textId="77777777" w:rsidR="00B419CE" w:rsidRPr="00B419CE" w:rsidRDefault="00B419CE" w:rsidP="00B419CE">
            <w:pPr>
              <w:jc w:val="right"/>
            </w:pPr>
            <w:r w:rsidRPr="00B419CE">
              <w:t>35 105</w:t>
            </w:r>
          </w:p>
        </w:tc>
      </w:tr>
      <w:tr w:rsidR="00B419CE" w:rsidRPr="00B419CE" w14:paraId="7FCB2823" w14:textId="77777777" w:rsidTr="00B419CE">
        <w:trPr>
          <w:trHeight w:val="380"/>
        </w:trPr>
        <w:tc>
          <w:tcPr>
            <w:tcW w:w="1140" w:type="dxa"/>
          </w:tcPr>
          <w:p w14:paraId="3A793ECE" w14:textId="77777777" w:rsidR="00B419CE" w:rsidRPr="00B419CE" w:rsidRDefault="00B419CE" w:rsidP="00B419CE">
            <w:r w:rsidRPr="00B419CE">
              <w:t>45</w:t>
            </w:r>
          </w:p>
        </w:tc>
        <w:tc>
          <w:tcPr>
            <w:tcW w:w="4560" w:type="dxa"/>
          </w:tcPr>
          <w:p w14:paraId="586B2965" w14:textId="77777777" w:rsidR="00B419CE" w:rsidRPr="00B419CE" w:rsidRDefault="00B419CE" w:rsidP="00B419CE">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1140" w:type="dxa"/>
          </w:tcPr>
          <w:p w14:paraId="221FE940" w14:textId="77777777" w:rsidR="00B419CE" w:rsidRPr="00B419CE" w:rsidRDefault="00B419CE" w:rsidP="00B419CE">
            <w:pPr>
              <w:jc w:val="right"/>
            </w:pPr>
            <w:r w:rsidRPr="00B419CE">
              <w:t>1 917</w:t>
            </w:r>
          </w:p>
        </w:tc>
        <w:tc>
          <w:tcPr>
            <w:tcW w:w="1140" w:type="dxa"/>
          </w:tcPr>
          <w:p w14:paraId="3D4402C2" w14:textId="77777777" w:rsidR="00B419CE" w:rsidRPr="00B419CE" w:rsidRDefault="00B419CE" w:rsidP="00B419CE">
            <w:pPr>
              <w:jc w:val="right"/>
            </w:pPr>
          </w:p>
        </w:tc>
        <w:tc>
          <w:tcPr>
            <w:tcW w:w="1140" w:type="dxa"/>
          </w:tcPr>
          <w:p w14:paraId="752AA364" w14:textId="77777777" w:rsidR="00B419CE" w:rsidRPr="00B419CE" w:rsidRDefault="00B419CE" w:rsidP="00B419CE">
            <w:pPr>
              <w:jc w:val="right"/>
            </w:pPr>
          </w:p>
        </w:tc>
      </w:tr>
      <w:tr w:rsidR="00B419CE" w:rsidRPr="00B419CE" w14:paraId="20E69354" w14:textId="77777777" w:rsidTr="00B419CE">
        <w:trPr>
          <w:trHeight w:val="380"/>
        </w:trPr>
        <w:tc>
          <w:tcPr>
            <w:tcW w:w="1140" w:type="dxa"/>
          </w:tcPr>
          <w:p w14:paraId="2FCFCDD0" w14:textId="77777777" w:rsidR="00B419CE" w:rsidRPr="00B419CE" w:rsidRDefault="00B419CE" w:rsidP="00B419CE"/>
        </w:tc>
        <w:tc>
          <w:tcPr>
            <w:tcW w:w="4560" w:type="dxa"/>
          </w:tcPr>
          <w:p w14:paraId="52176B38" w14:textId="77777777" w:rsidR="00B419CE" w:rsidRPr="00B419CE" w:rsidRDefault="00B419CE" w:rsidP="00B419CE">
            <w:r w:rsidRPr="00B419CE">
              <w:t>Sum kap. 44</w:t>
            </w:r>
          </w:p>
        </w:tc>
        <w:tc>
          <w:tcPr>
            <w:tcW w:w="1140" w:type="dxa"/>
          </w:tcPr>
          <w:p w14:paraId="67792832" w14:textId="77777777" w:rsidR="00B419CE" w:rsidRPr="00B419CE" w:rsidRDefault="00B419CE" w:rsidP="00B419CE">
            <w:pPr>
              <w:jc w:val="right"/>
            </w:pPr>
            <w:r w:rsidRPr="00B419CE">
              <w:t>25 174</w:t>
            </w:r>
          </w:p>
        </w:tc>
        <w:tc>
          <w:tcPr>
            <w:tcW w:w="1140" w:type="dxa"/>
          </w:tcPr>
          <w:p w14:paraId="2E07F2BD" w14:textId="77777777" w:rsidR="00B419CE" w:rsidRPr="00B419CE" w:rsidRDefault="00B419CE" w:rsidP="00B419CE">
            <w:pPr>
              <w:jc w:val="right"/>
            </w:pPr>
            <w:r w:rsidRPr="00B419CE">
              <w:t>34 600</w:t>
            </w:r>
          </w:p>
        </w:tc>
        <w:tc>
          <w:tcPr>
            <w:tcW w:w="1140" w:type="dxa"/>
          </w:tcPr>
          <w:p w14:paraId="01F7F7B5" w14:textId="77777777" w:rsidR="00B419CE" w:rsidRPr="00B419CE" w:rsidRDefault="00B419CE" w:rsidP="00B419CE">
            <w:pPr>
              <w:jc w:val="right"/>
            </w:pPr>
            <w:r w:rsidRPr="00B419CE">
              <w:t>35 105</w:t>
            </w:r>
          </w:p>
        </w:tc>
      </w:tr>
    </w:tbl>
    <w:p w14:paraId="48AEB650" w14:textId="77777777" w:rsidR="00B419CE" w:rsidRPr="00B419CE" w:rsidRDefault="00B419CE" w:rsidP="00B419CE">
      <w:r w:rsidRPr="00B419CE">
        <w:t xml:space="preserve">Stortingets </w:t>
      </w:r>
      <w:proofErr w:type="spellStart"/>
      <w:r w:rsidRPr="00B419CE">
        <w:t>kontrollutval</w:t>
      </w:r>
      <w:proofErr w:type="spellEnd"/>
      <w:r w:rsidRPr="00B419CE">
        <w:t xml:space="preserve"> for etterretnings-, </w:t>
      </w:r>
      <w:proofErr w:type="spellStart"/>
      <w:r w:rsidRPr="00B419CE">
        <w:t>overvakings</w:t>
      </w:r>
      <w:proofErr w:type="spellEnd"/>
      <w:r w:rsidRPr="00B419CE">
        <w:t xml:space="preserve">- og </w:t>
      </w:r>
      <w:proofErr w:type="spellStart"/>
      <w:r w:rsidRPr="00B419CE">
        <w:t>tryggingsteneste</w:t>
      </w:r>
      <w:proofErr w:type="spellEnd"/>
      <w:r w:rsidRPr="00B419CE">
        <w:t xml:space="preserve"> (EOS-</w:t>
      </w:r>
      <w:proofErr w:type="spellStart"/>
      <w:r w:rsidRPr="00B419CE">
        <w:t>utvalet</w:t>
      </w:r>
      <w:proofErr w:type="spellEnd"/>
      <w:r w:rsidRPr="00B419CE">
        <w:t xml:space="preserve">) er </w:t>
      </w:r>
      <w:proofErr w:type="spellStart"/>
      <w:r w:rsidRPr="00B419CE">
        <w:t>eit</w:t>
      </w:r>
      <w:proofErr w:type="spellEnd"/>
      <w:r w:rsidRPr="00B419CE">
        <w:t xml:space="preserve"> permanent </w:t>
      </w:r>
      <w:proofErr w:type="spellStart"/>
      <w:r w:rsidRPr="00B419CE">
        <w:t>utval</w:t>
      </w:r>
      <w:proofErr w:type="spellEnd"/>
      <w:r w:rsidRPr="00B419CE">
        <w:t xml:space="preserve">, oppretta av Stortinget i 1996. </w:t>
      </w:r>
      <w:proofErr w:type="spellStart"/>
      <w:r w:rsidRPr="00B419CE">
        <w:t>Utvalet</w:t>
      </w:r>
      <w:proofErr w:type="spellEnd"/>
      <w:r w:rsidRPr="00B419CE">
        <w:t xml:space="preserve"> har sju medlemmer. Medlemmene blir </w:t>
      </w:r>
      <w:proofErr w:type="spellStart"/>
      <w:r w:rsidRPr="00B419CE">
        <w:t>valde</w:t>
      </w:r>
      <w:proofErr w:type="spellEnd"/>
      <w:r w:rsidRPr="00B419CE">
        <w:t xml:space="preserve"> av Stortinget i plenum for </w:t>
      </w:r>
      <w:proofErr w:type="spellStart"/>
      <w:r w:rsidRPr="00B419CE">
        <w:t>eit</w:t>
      </w:r>
      <w:proofErr w:type="spellEnd"/>
      <w:r w:rsidRPr="00B419CE">
        <w:t xml:space="preserve"> tidsrom på inntil fem år. Medlemmene kan </w:t>
      </w:r>
      <w:proofErr w:type="spellStart"/>
      <w:r w:rsidRPr="00B419CE">
        <w:t>nemnast</w:t>
      </w:r>
      <w:proofErr w:type="spellEnd"/>
      <w:r w:rsidRPr="00B419CE">
        <w:t xml:space="preserve"> opp på nytt </w:t>
      </w:r>
      <w:proofErr w:type="spellStart"/>
      <w:r w:rsidRPr="00B419CE">
        <w:t>éin</w:t>
      </w:r>
      <w:proofErr w:type="spellEnd"/>
      <w:r w:rsidRPr="00B419CE">
        <w:t xml:space="preserve"> gong etter innstilling </w:t>
      </w:r>
      <w:proofErr w:type="spellStart"/>
      <w:r w:rsidRPr="00B419CE">
        <w:t>frå</w:t>
      </w:r>
      <w:proofErr w:type="spellEnd"/>
      <w:r w:rsidRPr="00B419CE">
        <w:t xml:space="preserve"> Stortingets presidentskap.</w:t>
      </w:r>
    </w:p>
    <w:p w14:paraId="7194FFC3" w14:textId="77777777" w:rsidR="00B419CE" w:rsidRPr="00B419CE" w:rsidRDefault="00B419CE" w:rsidP="00B419CE">
      <w:pPr>
        <w:pStyle w:val="Undertittel"/>
      </w:pPr>
      <w:proofErr w:type="spellStart"/>
      <w:r w:rsidRPr="00B419CE">
        <w:t>Hovudoppgåver</w:t>
      </w:r>
      <w:proofErr w:type="spellEnd"/>
    </w:p>
    <w:p w14:paraId="7C24E0D6" w14:textId="77777777" w:rsidR="00B419CE" w:rsidRPr="00B419CE" w:rsidRDefault="00B419CE" w:rsidP="00B419CE">
      <w:r w:rsidRPr="00B419CE">
        <w:t>EOS-</w:t>
      </w:r>
      <w:proofErr w:type="spellStart"/>
      <w:r w:rsidRPr="00B419CE">
        <w:t>utvalet</w:t>
      </w:r>
      <w:proofErr w:type="spellEnd"/>
      <w:r w:rsidRPr="00B419CE">
        <w:t xml:space="preserve"> skal føre regelmessig tilsyn med den etterretnings-, </w:t>
      </w:r>
      <w:proofErr w:type="spellStart"/>
      <w:r w:rsidRPr="00B419CE">
        <w:t>overvakings</w:t>
      </w:r>
      <w:proofErr w:type="spellEnd"/>
      <w:r w:rsidRPr="00B419CE">
        <w:t xml:space="preserve">- og </w:t>
      </w:r>
      <w:proofErr w:type="spellStart"/>
      <w:r w:rsidRPr="00B419CE">
        <w:t>tryggingstenesta</w:t>
      </w:r>
      <w:proofErr w:type="spellEnd"/>
      <w:r w:rsidRPr="00B419CE">
        <w:t xml:space="preserve"> (EOS-</w:t>
      </w:r>
      <w:proofErr w:type="spellStart"/>
      <w:r w:rsidRPr="00B419CE">
        <w:t>tenesta</w:t>
      </w:r>
      <w:proofErr w:type="spellEnd"/>
      <w:r w:rsidRPr="00B419CE">
        <w:t xml:space="preserve">) som blir utført i den sivile og militære forvaltninga. </w:t>
      </w:r>
      <w:proofErr w:type="spellStart"/>
      <w:r w:rsidRPr="00B419CE">
        <w:t>Oppgåvene</w:t>
      </w:r>
      <w:proofErr w:type="spellEnd"/>
      <w:r w:rsidRPr="00B419CE">
        <w:t xml:space="preserve"> til </w:t>
      </w:r>
      <w:proofErr w:type="spellStart"/>
      <w:r w:rsidRPr="00B419CE">
        <w:t>kontrollutvalet</w:t>
      </w:r>
      <w:proofErr w:type="spellEnd"/>
      <w:r w:rsidRPr="00B419CE">
        <w:t xml:space="preserve"> er å gjennomføre </w:t>
      </w:r>
      <w:proofErr w:type="spellStart"/>
      <w:r w:rsidRPr="00B419CE">
        <w:t>inspeksjonar</w:t>
      </w:r>
      <w:proofErr w:type="spellEnd"/>
      <w:r w:rsidRPr="00B419CE">
        <w:t xml:space="preserve">, undersøke </w:t>
      </w:r>
      <w:proofErr w:type="spellStart"/>
      <w:r w:rsidRPr="00B419CE">
        <w:t>klagar</w:t>
      </w:r>
      <w:proofErr w:type="spellEnd"/>
      <w:r w:rsidRPr="00B419CE">
        <w:t xml:space="preserve"> og ta opp saker av eige tiltak som </w:t>
      </w:r>
      <w:proofErr w:type="spellStart"/>
      <w:r w:rsidRPr="00B419CE">
        <w:t>utvalet</w:t>
      </w:r>
      <w:proofErr w:type="spellEnd"/>
      <w:r w:rsidRPr="00B419CE">
        <w:t xml:space="preserve"> ut </w:t>
      </w:r>
      <w:proofErr w:type="spellStart"/>
      <w:r w:rsidRPr="00B419CE">
        <w:t>frå</w:t>
      </w:r>
      <w:proofErr w:type="spellEnd"/>
      <w:r w:rsidRPr="00B419CE">
        <w:t xml:space="preserve"> formålet finn det riktig å behandle. </w:t>
      </w:r>
      <w:proofErr w:type="spellStart"/>
      <w:r w:rsidRPr="00B419CE">
        <w:t>Hovudformålet</w:t>
      </w:r>
      <w:proofErr w:type="spellEnd"/>
      <w:r w:rsidRPr="00B419CE">
        <w:t xml:space="preserve"> er å vareta </w:t>
      </w:r>
      <w:proofErr w:type="spellStart"/>
      <w:r w:rsidRPr="00B419CE">
        <w:t>rettssikkerheita</w:t>
      </w:r>
      <w:proofErr w:type="spellEnd"/>
      <w:r w:rsidRPr="00B419CE">
        <w:t xml:space="preserve"> til den enkelte og sjå til at </w:t>
      </w:r>
      <w:proofErr w:type="spellStart"/>
      <w:r w:rsidRPr="00B419CE">
        <w:t>tenestene</w:t>
      </w:r>
      <w:proofErr w:type="spellEnd"/>
      <w:r w:rsidRPr="00B419CE">
        <w:t xml:space="preserve"> respekterer </w:t>
      </w:r>
      <w:proofErr w:type="spellStart"/>
      <w:r w:rsidRPr="00B419CE">
        <w:t>menneskerettane</w:t>
      </w:r>
      <w:proofErr w:type="spellEnd"/>
      <w:r w:rsidRPr="00B419CE">
        <w:t>.</w:t>
      </w:r>
    </w:p>
    <w:p w14:paraId="2DD25B78" w14:textId="77777777" w:rsidR="00B419CE" w:rsidRPr="00B419CE" w:rsidRDefault="00B419CE" w:rsidP="00B419CE">
      <w:proofErr w:type="spellStart"/>
      <w:r w:rsidRPr="00B419CE">
        <w:lastRenderedPageBreak/>
        <w:t>Utvalet</w:t>
      </w:r>
      <w:proofErr w:type="spellEnd"/>
      <w:r w:rsidRPr="00B419CE">
        <w:t xml:space="preserve"> gir </w:t>
      </w:r>
      <w:proofErr w:type="spellStart"/>
      <w:r w:rsidRPr="00B419CE">
        <w:t>årleg</w:t>
      </w:r>
      <w:proofErr w:type="spellEnd"/>
      <w:r w:rsidRPr="00B419CE">
        <w:t xml:space="preserve"> melding til Stortinget om </w:t>
      </w:r>
      <w:proofErr w:type="spellStart"/>
      <w:r w:rsidRPr="00B419CE">
        <w:t>verksemda</w:t>
      </w:r>
      <w:proofErr w:type="spellEnd"/>
      <w:r w:rsidRPr="00B419CE">
        <w:t xml:space="preserve"> si og ved behov </w:t>
      </w:r>
      <w:proofErr w:type="spellStart"/>
      <w:r w:rsidRPr="00B419CE">
        <w:t>særskilde</w:t>
      </w:r>
      <w:proofErr w:type="spellEnd"/>
      <w:r w:rsidRPr="00B419CE">
        <w:t xml:space="preserve"> </w:t>
      </w:r>
      <w:proofErr w:type="spellStart"/>
      <w:r w:rsidRPr="00B419CE">
        <w:t>meldingar</w:t>
      </w:r>
      <w:proofErr w:type="spellEnd"/>
      <w:r w:rsidRPr="00B419CE">
        <w:t>.</w:t>
      </w:r>
    </w:p>
    <w:p w14:paraId="7A0BC975" w14:textId="77777777" w:rsidR="00B419CE" w:rsidRPr="00B419CE" w:rsidRDefault="00B419CE" w:rsidP="00B419CE">
      <w:pPr>
        <w:pStyle w:val="Undertittel"/>
      </w:pPr>
      <w:r w:rsidRPr="00B419CE">
        <w:t>Rapport for 2020</w:t>
      </w:r>
    </w:p>
    <w:p w14:paraId="313C768E" w14:textId="77777777" w:rsidR="00B419CE" w:rsidRPr="00B419CE" w:rsidRDefault="00B419CE" w:rsidP="00B419CE">
      <w:proofErr w:type="spellStart"/>
      <w:r w:rsidRPr="00B419CE">
        <w:t>Utvalet</w:t>
      </w:r>
      <w:proofErr w:type="spellEnd"/>
      <w:r w:rsidRPr="00B419CE">
        <w:t xml:space="preserve"> har i 2020 gjennomført 16 </w:t>
      </w:r>
      <w:proofErr w:type="spellStart"/>
      <w:r w:rsidRPr="00B419CE">
        <w:t>inspeksjonar</w:t>
      </w:r>
      <w:proofErr w:type="spellEnd"/>
      <w:r w:rsidRPr="00B419CE">
        <w:t>: PST er inspisert seks gonger, E-</w:t>
      </w:r>
      <w:proofErr w:type="spellStart"/>
      <w:r w:rsidRPr="00B419CE">
        <w:t>tenesta</w:t>
      </w:r>
      <w:proofErr w:type="spellEnd"/>
      <w:r w:rsidRPr="00B419CE">
        <w:t xml:space="preserve"> fire gonger, NSM to gonger og FSA to gonger. Etterretningsbataljonen og Forsvarets </w:t>
      </w:r>
      <w:proofErr w:type="spellStart"/>
      <w:r w:rsidRPr="00B419CE">
        <w:t>spesialstyrkar</w:t>
      </w:r>
      <w:proofErr w:type="spellEnd"/>
      <w:r w:rsidRPr="00B419CE">
        <w:t xml:space="preserve"> er inspisert </w:t>
      </w:r>
      <w:proofErr w:type="spellStart"/>
      <w:r w:rsidRPr="00B419CE">
        <w:t>éin</w:t>
      </w:r>
      <w:proofErr w:type="spellEnd"/>
      <w:r w:rsidRPr="00B419CE">
        <w:t xml:space="preserve"> gong kvar.</w:t>
      </w:r>
    </w:p>
    <w:p w14:paraId="779CF289" w14:textId="77777777" w:rsidR="00B419CE" w:rsidRPr="00B419CE" w:rsidRDefault="00B419CE" w:rsidP="00B419CE">
      <w:r w:rsidRPr="00B419CE">
        <w:t xml:space="preserve">I 2020 undersøkte </w:t>
      </w:r>
      <w:proofErr w:type="spellStart"/>
      <w:r w:rsidRPr="00B419CE">
        <w:t>utvalet</w:t>
      </w:r>
      <w:proofErr w:type="spellEnd"/>
      <w:r w:rsidRPr="00B419CE">
        <w:t xml:space="preserve"> 16 saker av eige tiltak, mot 24 saker i 2019. Sakene </w:t>
      </w:r>
      <w:proofErr w:type="spellStart"/>
      <w:r w:rsidRPr="00B419CE">
        <w:t>utvalet</w:t>
      </w:r>
      <w:proofErr w:type="spellEnd"/>
      <w:r w:rsidRPr="00B419CE">
        <w:t xml:space="preserve"> har undersøkt av eige tiltak, er </w:t>
      </w:r>
      <w:proofErr w:type="spellStart"/>
      <w:r w:rsidRPr="00B419CE">
        <w:t>hovudsakleg</w:t>
      </w:r>
      <w:proofErr w:type="spellEnd"/>
      <w:r w:rsidRPr="00B419CE">
        <w:t xml:space="preserve"> funn </w:t>
      </w:r>
      <w:proofErr w:type="spellStart"/>
      <w:r w:rsidRPr="00B419CE">
        <w:t>frå</w:t>
      </w:r>
      <w:proofErr w:type="spellEnd"/>
      <w:r w:rsidRPr="00B419CE">
        <w:t xml:space="preserve"> </w:t>
      </w:r>
      <w:proofErr w:type="spellStart"/>
      <w:r w:rsidRPr="00B419CE">
        <w:t>inspeksjonane</w:t>
      </w:r>
      <w:proofErr w:type="spellEnd"/>
      <w:r w:rsidRPr="00B419CE">
        <w:t xml:space="preserve"> </w:t>
      </w:r>
      <w:proofErr w:type="spellStart"/>
      <w:r w:rsidRPr="00B419CE">
        <w:t>dei</w:t>
      </w:r>
      <w:proofErr w:type="spellEnd"/>
      <w:r w:rsidRPr="00B419CE">
        <w:t xml:space="preserve"> har gjennomført.</w:t>
      </w:r>
    </w:p>
    <w:p w14:paraId="5B116083" w14:textId="77777777" w:rsidR="00B419CE" w:rsidRPr="00B419CE" w:rsidRDefault="00B419CE" w:rsidP="00B419CE">
      <w:proofErr w:type="spellStart"/>
      <w:r w:rsidRPr="00B419CE">
        <w:t>Utvalet</w:t>
      </w:r>
      <w:proofErr w:type="spellEnd"/>
      <w:r w:rsidRPr="00B419CE">
        <w:t xml:space="preserve"> undersøker </w:t>
      </w:r>
      <w:proofErr w:type="spellStart"/>
      <w:r w:rsidRPr="00B419CE">
        <w:t>klagar</w:t>
      </w:r>
      <w:proofErr w:type="spellEnd"/>
      <w:r w:rsidRPr="00B419CE">
        <w:t xml:space="preserve"> </w:t>
      </w:r>
      <w:proofErr w:type="spellStart"/>
      <w:r w:rsidRPr="00B419CE">
        <w:t>frå</w:t>
      </w:r>
      <w:proofErr w:type="spellEnd"/>
      <w:r w:rsidRPr="00B419CE">
        <w:t xml:space="preserve"> </w:t>
      </w:r>
      <w:proofErr w:type="spellStart"/>
      <w:r w:rsidRPr="00B419CE">
        <w:t>enkeltpersonar</w:t>
      </w:r>
      <w:proofErr w:type="spellEnd"/>
      <w:r w:rsidRPr="00B419CE">
        <w:t xml:space="preserve"> og </w:t>
      </w:r>
      <w:proofErr w:type="spellStart"/>
      <w:r w:rsidRPr="00B419CE">
        <w:t>organisasjonar</w:t>
      </w:r>
      <w:proofErr w:type="spellEnd"/>
      <w:r w:rsidRPr="00B419CE">
        <w:t xml:space="preserve">. Det kom inn 29 </w:t>
      </w:r>
      <w:proofErr w:type="spellStart"/>
      <w:r w:rsidRPr="00B419CE">
        <w:t>klagar</w:t>
      </w:r>
      <w:proofErr w:type="spellEnd"/>
      <w:r w:rsidRPr="00B419CE">
        <w:t xml:space="preserve"> til </w:t>
      </w:r>
      <w:proofErr w:type="spellStart"/>
      <w:r w:rsidRPr="00B419CE">
        <w:t>utvalet</w:t>
      </w:r>
      <w:proofErr w:type="spellEnd"/>
      <w:r w:rsidRPr="00B419CE">
        <w:t xml:space="preserve"> i 2020, mot 26 </w:t>
      </w:r>
      <w:proofErr w:type="spellStart"/>
      <w:r w:rsidRPr="00B419CE">
        <w:t>klagar</w:t>
      </w:r>
      <w:proofErr w:type="spellEnd"/>
      <w:r w:rsidRPr="00B419CE">
        <w:t xml:space="preserve"> i 2019. </w:t>
      </w:r>
      <w:proofErr w:type="spellStart"/>
      <w:r w:rsidRPr="00B419CE">
        <w:t>Utvalet</w:t>
      </w:r>
      <w:proofErr w:type="spellEnd"/>
      <w:r w:rsidRPr="00B419CE">
        <w:t xml:space="preserve"> prioriterer klagesaksbehandlinga og bruker </w:t>
      </w:r>
      <w:proofErr w:type="spellStart"/>
      <w:r w:rsidRPr="00B419CE">
        <w:t>ein</w:t>
      </w:r>
      <w:proofErr w:type="spellEnd"/>
      <w:r w:rsidRPr="00B419CE">
        <w:t xml:space="preserve"> god del </w:t>
      </w:r>
      <w:proofErr w:type="spellStart"/>
      <w:r w:rsidRPr="00B419CE">
        <w:t>ressursar</w:t>
      </w:r>
      <w:proofErr w:type="spellEnd"/>
      <w:r w:rsidRPr="00B419CE">
        <w:t xml:space="preserve"> på det. Enkelte av </w:t>
      </w:r>
      <w:proofErr w:type="spellStart"/>
      <w:r w:rsidRPr="00B419CE">
        <w:t>klagane</w:t>
      </w:r>
      <w:proofErr w:type="spellEnd"/>
      <w:r w:rsidRPr="00B419CE">
        <w:t xml:space="preserve"> har </w:t>
      </w:r>
      <w:proofErr w:type="spellStart"/>
      <w:r w:rsidRPr="00B419CE">
        <w:t>vore</w:t>
      </w:r>
      <w:proofErr w:type="spellEnd"/>
      <w:r w:rsidRPr="00B419CE">
        <w:t xml:space="preserve"> retta mot </w:t>
      </w:r>
      <w:proofErr w:type="spellStart"/>
      <w:r w:rsidRPr="00B419CE">
        <w:t>fleire</w:t>
      </w:r>
      <w:proofErr w:type="spellEnd"/>
      <w:r w:rsidRPr="00B419CE">
        <w:t xml:space="preserve"> av EOS-</w:t>
      </w:r>
      <w:proofErr w:type="spellStart"/>
      <w:r w:rsidRPr="00B419CE">
        <w:t>tenestene</w:t>
      </w:r>
      <w:proofErr w:type="spellEnd"/>
      <w:r w:rsidRPr="00B419CE">
        <w:t xml:space="preserve"> samtidig. </w:t>
      </w:r>
      <w:proofErr w:type="spellStart"/>
      <w:r w:rsidRPr="00B419CE">
        <w:t>Utvalet</w:t>
      </w:r>
      <w:proofErr w:type="spellEnd"/>
      <w:r w:rsidRPr="00B419CE">
        <w:t xml:space="preserve"> har på formelt grunnlag avvist </w:t>
      </w:r>
      <w:proofErr w:type="spellStart"/>
      <w:r w:rsidRPr="00B419CE">
        <w:t>nokre</w:t>
      </w:r>
      <w:proofErr w:type="spellEnd"/>
      <w:r w:rsidRPr="00B419CE">
        <w:t xml:space="preserve"> klagesaker, mellom anna under tilvising til at forholdet fell </w:t>
      </w:r>
      <w:proofErr w:type="spellStart"/>
      <w:r w:rsidRPr="00B419CE">
        <w:t>utanfor</w:t>
      </w:r>
      <w:proofErr w:type="spellEnd"/>
      <w:r w:rsidRPr="00B419CE">
        <w:t xml:space="preserve"> kontrollområdet </w:t>
      </w:r>
      <w:proofErr w:type="spellStart"/>
      <w:r w:rsidRPr="00B419CE">
        <w:t>deira</w:t>
      </w:r>
      <w:proofErr w:type="spellEnd"/>
      <w:r w:rsidRPr="00B419CE">
        <w:t xml:space="preserve">. </w:t>
      </w:r>
      <w:proofErr w:type="spellStart"/>
      <w:r w:rsidRPr="00B419CE">
        <w:t>Klagar</w:t>
      </w:r>
      <w:proofErr w:type="spellEnd"/>
      <w:r w:rsidRPr="00B419CE">
        <w:t xml:space="preserve"> og </w:t>
      </w:r>
      <w:proofErr w:type="spellStart"/>
      <w:r w:rsidRPr="00B419CE">
        <w:t>førespurnader</w:t>
      </w:r>
      <w:proofErr w:type="spellEnd"/>
      <w:r w:rsidRPr="00B419CE">
        <w:t xml:space="preserve"> som fell </w:t>
      </w:r>
      <w:proofErr w:type="spellStart"/>
      <w:r w:rsidRPr="00B419CE">
        <w:t>innanfor</w:t>
      </w:r>
      <w:proofErr w:type="spellEnd"/>
      <w:r w:rsidRPr="00B419CE">
        <w:t xml:space="preserve"> kontrollområdet, blir undersøkte i den eller </w:t>
      </w:r>
      <w:proofErr w:type="spellStart"/>
      <w:r w:rsidRPr="00B419CE">
        <w:t>dei</w:t>
      </w:r>
      <w:proofErr w:type="spellEnd"/>
      <w:r w:rsidRPr="00B419CE">
        <w:t xml:space="preserve"> </w:t>
      </w:r>
      <w:proofErr w:type="spellStart"/>
      <w:r w:rsidRPr="00B419CE">
        <w:t>tenestene</w:t>
      </w:r>
      <w:proofErr w:type="spellEnd"/>
      <w:r w:rsidRPr="00B419CE">
        <w:t xml:space="preserve"> klagen </w:t>
      </w:r>
      <w:proofErr w:type="spellStart"/>
      <w:r w:rsidRPr="00B419CE">
        <w:t>rettar</w:t>
      </w:r>
      <w:proofErr w:type="spellEnd"/>
      <w:r w:rsidRPr="00B419CE">
        <w:t xml:space="preserve"> seg mot. </w:t>
      </w:r>
      <w:proofErr w:type="spellStart"/>
      <w:r w:rsidRPr="00B419CE">
        <w:t>Utvalet</w:t>
      </w:r>
      <w:proofErr w:type="spellEnd"/>
      <w:r w:rsidRPr="00B419CE">
        <w:t xml:space="preserve"> praktiserer generelt sett </w:t>
      </w:r>
      <w:proofErr w:type="spellStart"/>
      <w:r w:rsidRPr="00B419CE">
        <w:t>ein</w:t>
      </w:r>
      <w:proofErr w:type="spellEnd"/>
      <w:r w:rsidRPr="00B419CE">
        <w:t xml:space="preserve"> låg terskel for å behandle klagesaker.</w:t>
      </w:r>
    </w:p>
    <w:p w14:paraId="44B06D69" w14:textId="77777777" w:rsidR="00B419CE" w:rsidRPr="00B419CE" w:rsidRDefault="00B419CE" w:rsidP="00B419CE">
      <w:proofErr w:type="spellStart"/>
      <w:r w:rsidRPr="00B419CE">
        <w:t>Utvalet</w:t>
      </w:r>
      <w:proofErr w:type="spellEnd"/>
      <w:r w:rsidRPr="00B419CE">
        <w:t xml:space="preserve"> meiner at ressursbruken har </w:t>
      </w:r>
      <w:proofErr w:type="spellStart"/>
      <w:r w:rsidRPr="00B419CE">
        <w:t>vore</w:t>
      </w:r>
      <w:proofErr w:type="spellEnd"/>
      <w:r w:rsidRPr="00B419CE">
        <w:t xml:space="preserve"> effektiv i 2020, og er samla fornøgd med resultat, måloppnåing og ressursbruk i 2020. Koronapandemien og </w:t>
      </w:r>
      <w:proofErr w:type="spellStart"/>
      <w:r w:rsidRPr="00B419CE">
        <w:t>vakansar</w:t>
      </w:r>
      <w:proofErr w:type="spellEnd"/>
      <w:r w:rsidRPr="00B419CE">
        <w:t xml:space="preserve"> har ført til at EOS-</w:t>
      </w:r>
      <w:proofErr w:type="spellStart"/>
      <w:r w:rsidRPr="00B419CE">
        <w:t>utvalet</w:t>
      </w:r>
      <w:proofErr w:type="spellEnd"/>
      <w:r w:rsidRPr="00B419CE">
        <w:t xml:space="preserve"> har fått </w:t>
      </w:r>
      <w:proofErr w:type="spellStart"/>
      <w:r w:rsidRPr="00B419CE">
        <w:t>eit</w:t>
      </w:r>
      <w:proofErr w:type="spellEnd"/>
      <w:r w:rsidRPr="00B419CE">
        <w:t xml:space="preserve"> større </w:t>
      </w:r>
      <w:proofErr w:type="spellStart"/>
      <w:r w:rsidRPr="00B419CE">
        <w:t>mindreforbruk</w:t>
      </w:r>
      <w:proofErr w:type="spellEnd"/>
      <w:r w:rsidRPr="00B419CE">
        <w:t xml:space="preserve"> enn venta. Overførbare </w:t>
      </w:r>
      <w:proofErr w:type="spellStart"/>
      <w:r w:rsidRPr="00B419CE">
        <w:t>midlar</w:t>
      </w:r>
      <w:proofErr w:type="spellEnd"/>
      <w:r w:rsidRPr="00B419CE">
        <w:t xml:space="preserve"> er søkte overførte til budsjettet for 2021.</w:t>
      </w:r>
    </w:p>
    <w:p w14:paraId="3F623D98" w14:textId="77777777" w:rsidR="00B419CE" w:rsidRPr="00B419CE" w:rsidRDefault="00B419CE" w:rsidP="00B419CE">
      <w:proofErr w:type="spellStart"/>
      <w:r w:rsidRPr="00B419CE">
        <w:t>Nærmare</w:t>
      </w:r>
      <w:proofErr w:type="spellEnd"/>
      <w:r w:rsidRPr="00B419CE">
        <w:t xml:space="preserve"> </w:t>
      </w:r>
      <w:proofErr w:type="spellStart"/>
      <w:r w:rsidRPr="00B419CE">
        <w:t>opplysningar</w:t>
      </w:r>
      <w:proofErr w:type="spellEnd"/>
      <w:r w:rsidRPr="00B419CE">
        <w:t xml:space="preserve"> om </w:t>
      </w:r>
      <w:proofErr w:type="spellStart"/>
      <w:r w:rsidRPr="00B419CE">
        <w:t>verksemda</w:t>
      </w:r>
      <w:proofErr w:type="spellEnd"/>
      <w:r w:rsidRPr="00B419CE">
        <w:t xml:space="preserve"> er gitt i årsmeldinga for 2020 (Dokument 7:1 (2020–2021)).</w:t>
      </w:r>
    </w:p>
    <w:p w14:paraId="36E1D200" w14:textId="77777777" w:rsidR="00B419CE" w:rsidRPr="00B419CE" w:rsidRDefault="00B419CE" w:rsidP="00B419CE">
      <w:pPr>
        <w:pStyle w:val="Undertittel"/>
      </w:pPr>
      <w:r w:rsidRPr="00B419CE">
        <w:t>Mål for 2022</w:t>
      </w:r>
    </w:p>
    <w:p w14:paraId="1042256A" w14:textId="77777777" w:rsidR="00B419CE" w:rsidRPr="00B419CE" w:rsidRDefault="00B419CE" w:rsidP="00B419CE">
      <w:proofErr w:type="spellStart"/>
      <w:r w:rsidRPr="00B419CE">
        <w:t>Hovudoppgåva</w:t>
      </w:r>
      <w:proofErr w:type="spellEnd"/>
      <w:r w:rsidRPr="00B419CE">
        <w:t xml:space="preserve"> til </w:t>
      </w:r>
      <w:proofErr w:type="spellStart"/>
      <w:r w:rsidRPr="00B419CE">
        <w:t>utvalet</w:t>
      </w:r>
      <w:proofErr w:type="spellEnd"/>
      <w:r w:rsidRPr="00B419CE">
        <w:t xml:space="preserve"> er å føre </w:t>
      </w:r>
      <w:proofErr w:type="spellStart"/>
      <w:r w:rsidRPr="00B419CE">
        <w:t>løpande</w:t>
      </w:r>
      <w:proofErr w:type="spellEnd"/>
      <w:r w:rsidRPr="00B419CE">
        <w:t xml:space="preserve"> kontroll med EOS-</w:t>
      </w:r>
      <w:proofErr w:type="spellStart"/>
      <w:r w:rsidRPr="00B419CE">
        <w:t>tenestene</w:t>
      </w:r>
      <w:proofErr w:type="spellEnd"/>
      <w:r w:rsidRPr="00B419CE">
        <w:t xml:space="preserve">. Kontrollen blir utøvd i form av </w:t>
      </w:r>
      <w:proofErr w:type="spellStart"/>
      <w:r w:rsidRPr="00B419CE">
        <w:t>inspeksjonar</w:t>
      </w:r>
      <w:proofErr w:type="spellEnd"/>
      <w:r w:rsidRPr="00B419CE">
        <w:t xml:space="preserve">, behandling av klagesaker og behandling av saker som blir tatt opp av eige tiltak. Den </w:t>
      </w:r>
      <w:proofErr w:type="spellStart"/>
      <w:r w:rsidRPr="00B419CE">
        <w:t>faglege</w:t>
      </w:r>
      <w:proofErr w:type="spellEnd"/>
      <w:r w:rsidRPr="00B419CE">
        <w:t xml:space="preserve"> </w:t>
      </w:r>
      <w:proofErr w:type="spellStart"/>
      <w:r w:rsidRPr="00B419CE">
        <w:t>verksemda</w:t>
      </w:r>
      <w:proofErr w:type="spellEnd"/>
      <w:r w:rsidRPr="00B419CE">
        <w:t xml:space="preserve"> er i </w:t>
      </w:r>
      <w:proofErr w:type="spellStart"/>
      <w:r w:rsidRPr="00B419CE">
        <w:t>hovudsak</w:t>
      </w:r>
      <w:proofErr w:type="spellEnd"/>
      <w:r w:rsidRPr="00B419CE">
        <w:t xml:space="preserve"> styrt av det som kjem fram gjennom </w:t>
      </w:r>
      <w:proofErr w:type="spellStart"/>
      <w:r w:rsidRPr="00B419CE">
        <w:t>inspeksjonsverksemda</w:t>
      </w:r>
      <w:proofErr w:type="spellEnd"/>
      <w:r w:rsidRPr="00B419CE">
        <w:t xml:space="preserve"> og klagesakene, i tillegg til </w:t>
      </w:r>
      <w:proofErr w:type="spellStart"/>
      <w:r w:rsidRPr="00B419CE">
        <w:t>dei</w:t>
      </w:r>
      <w:proofErr w:type="spellEnd"/>
      <w:r w:rsidRPr="00B419CE">
        <w:t xml:space="preserve"> signala Stortinget gir ved </w:t>
      </w:r>
      <w:proofErr w:type="spellStart"/>
      <w:r w:rsidRPr="00B419CE">
        <w:t>behandlinga</w:t>
      </w:r>
      <w:proofErr w:type="spellEnd"/>
      <w:r w:rsidRPr="00B419CE">
        <w:t xml:space="preserve"> av </w:t>
      </w:r>
      <w:proofErr w:type="spellStart"/>
      <w:r w:rsidRPr="00B419CE">
        <w:t>årsmeldingane</w:t>
      </w:r>
      <w:proofErr w:type="spellEnd"/>
      <w:r w:rsidRPr="00B419CE">
        <w:t xml:space="preserve"> </w:t>
      </w:r>
      <w:proofErr w:type="spellStart"/>
      <w:r w:rsidRPr="00B419CE">
        <w:t>frå</w:t>
      </w:r>
      <w:proofErr w:type="spellEnd"/>
      <w:r w:rsidRPr="00B419CE">
        <w:t xml:space="preserve"> </w:t>
      </w:r>
      <w:proofErr w:type="spellStart"/>
      <w:r w:rsidRPr="00B419CE">
        <w:t>utvalet</w:t>
      </w:r>
      <w:proofErr w:type="spellEnd"/>
      <w:r w:rsidRPr="00B419CE">
        <w:t xml:space="preserve">. I tillegg tar </w:t>
      </w:r>
      <w:proofErr w:type="spellStart"/>
      <w:r w:rsidRPr="00B419CE">
        <w:t>utvalet</w:t>
      </w:r>
      <w:proofErr w:type="spellEnd"/>
      <w:r w:rsidRPr="00B419CE">
        <w:t xml:space="preserve"> opp saker på bakgrunn av </w:t>
      </w:r>
      <w:proofErr w:type="spellStart"/>
      <w:r w:rsidRPr="00B419CE">
        <w:t>opplysningar</w:t>
      </w:r>
      <w:proofErr w:type="spellEnd"/>
      <w:r w:rsidRPr="00B419CE">
        <w:t xml:space="preserve"> som kjem fram i </w:t>
      </w:r>
      <w:proofErr w:type="spellStart"/>
      <w:r w:rsidRPr="00B419CE">
        <w:t>offentlegheita</w:t>
      </w:r>
      <w:proofErr w:type="spellEnd"/>
      <w:r w:rsidRPr="00B419CE">
        <w:t>.</w:t>
      </w:r>
    </w:p>
    <w:p w14:paraId="54A21E0F" w14:textId="77777777" w:rsidR="00B419CE" w:rsidRPr="00B419CE" w:rsidRDefault="00B419CE" w:rsidP="00B419CE">
      <w:r w:rsidRPr="00B419CE">
        <w:t xml:space="preserve">Rammene for </w:t>
      </w:r>
      <w:proofErr w:type="spellStart"/>
      <w:r w:rsidRPr="00B419CE">
        <w:t>verksemda</w:t>
      </w:r>
      <w:proofErr w:type="spellEnd"/>
      <w:r w:rsidRPr="00B419CE">
        <w:t xml:space="preserve"> er fastsette i lov om kontroll med etterretnings-, overvåkings- og sikkerhetstjeneste (EOS-</w:t>
      </w:r>
      <w:proofErr w:type="spellStart"/>
      <w:r w:rsidRPr="00B419CE">
        <w:t>kontrollova</w:t>
      </w:r>
      <w:proofErr w:type="spellEnd"/>
      <w:r w:rsidRPr="00B419CE">
        <w:t>). Ifølge EOS-</w:t>
      </w:r>
      <w:proofErr w:type="spellStart"/>
      <w:r w:rsidRPr="00B419CE">
        <w:t>kontrollova</w:t>
      </w:r>
      <w:proofErr w:type="spellEnd"/>
      <w:r w:rsidRPr="00B419CE">
        <w:t xml:space="preserve"> § 7 andre ledd skal den </w:t>
      </w:r>
      <w:proofErr w:type="spellStart"/>
      <w:r w:rsidRPr="00B419CE">
        <w:t>årlege</w:t>
      </w:r>
      <w:proofErr w:type="spellEnd"/>
      <w:r w:rsidRPr="00B419CE">
        <w:t xml:space="preserve"> </w:t>
      </w:r>
      <w:proofErr w:type="spellStart"/>
      <w:r w:rsidRPr="00B419CE">
        <w:t>tilsynsverksemda</w:t>
      </w:r>
      <w:proofErr w:type="spellEnd"/>
      <w:r w:rsidRPr="00B419CE">
        <w:t xml:space="preserve"> </w:t>
      </w:r>
      <w:proofErr w:type="spellStart"/>
      <w:r w:rsidRPr="00B419CE">
        <w:t>gjennomførast</w:t>
      </w:r>
      <w:proofErr w:type="spellEnd"/>
      <w:r w:rsidRPr="00B419CE">
        <w:t xml:space="preserve"> ut </w:t>
      </w:r>
      <w:proofErr w:type="spellStart"/>
      <w:r w:rsidRPr="00B419CE">
        <w:t>frå</w:t>
      </w:r>
      <w:proofErr w:type="spellEnd"/>
      <w:r w:rsidRPr="00B419CE">
        <w:t xml:space="preserve"> behov og minst omfatte </w:t>
      </w:r>
      <w:proofErr w:type="spellStart"/>
      <w:r w:rsidRPr="00B419CE">
        <w:t>fleire</w:t>
      </w:r>
      <w:proofErr w:type="spellEnd"/>
      <w:r w:rsidRPr="00B419CE">
        <w:t xml:space="preserve"> </w:t>
      </w:r>
      <w:proofErr w:type="spellStart"/>
      <w:r w:rsidRPr="00B419CE">
        <w:t>inspeksjonar</w:t>
      </w:r>
      <w:proofErr w:type="spellEnd"/>
      <w:r w:rsidRPr="00B419CE">
        <w:t xml:space="preserve"> </w:t>
      </w:r>
      <w:proofErr w:type="spellStart"/>
      <w:r w:rsidRPr="00B419CE">
        <w:t>årleg</w:t>
      </w:r>
      <w:proofErr w:type="spellEnd"/>
      <w:r w:rsidRPr="00B419CE">
        <w:t xml:space="preserve"> av E-</w:t>
      </w:r>
      <w:proofErr w:type="spellStart"/>
      <w:r w:rsidRPr="00B419CE">
        <w:t>tenesta</w:t>
      </w:r>
      <w:proofErr w:type="spellEnd"/>
      <w:r w:rsidRPr="00B419CE">
        <w:t xml:space="preserve"> sentralt, NSM, PST sentralt og Forsvarets tryggingsavdeling. I tillegg skal </w:t>
      </w:r>
      <w:proofErr w:type="spellStart"/>
      <w:r w:rsidRPr="00B419CE">
        <w:t>utvalet</w:t>
      </w:r>
      <w:proofErr w:type="spellEnd"/>
      <w:r w:rsidRPr="00B419CE">
        <w:t xml:space="preserve"> gjennomføre </w:t>
      </w:r>
      <w:proofErr w:type="spellStart"/>
      <w:r w:rsidRPr="00B419CE">
        <w:t>ein</w:t>
      </w:r>
      <w:proofErr w:type="spellEnd"/>
      <w:r w:rsidRPr="00B419CE">
        <w:t xml:space="preserve"> </w:t>
      </w:r>
      <w:proofErr w:type="spellStart"/>
      <w:r w:rsidRPr="00B419CE">
        <w:t>årleg</w:t>
      </w:r>
      <w:proofErr w:type="spellEnd"/>
      <w:r w:rsidRPr="00B419CE">
        <w:t xml:space="preserve"> inspeksjon av PST-</w:t>
      </w:r>
      <w:proofErr w:type="spellStart"/>
      <w:r w:rsidRPr="00B419CE">
        <w:t>einingar</w:t>
      </w:r>
      <w:proofErr w:type="spellEnd"/>
      <w:r w:rsidRPr="00B419CE">
        <w:t xml:space="preserve"> i minst to politidistrikt og av minst </w:t>
      </w:r>
      <w:proofErr w:type="spellStart"/>
      <w:r w:rsidRPr="00B419CE">
        <w:t>éin</w:t>
      </w:r>
      <w:proofErr w:type="spellEnd"/>
      <w:r w:rsidRPr="00B419CE">
        <w:t xml:space="preserve"> av </w:t>
      </w:r>
      <w:proofErr w:type="spellStart"/>
      <w:r w:rsidRPr="00B419CE">
        <w:t>stasjonane</w:t>
      </w:r>
      <w:proofErr w:type="spellEnd"/>
      <w:r w:rsidRPr="00B419CE">
        <w:t xml:space="preserve"> til E-</w:t>
      </w:r>
      <w:proofErr w:type="spellStart"/>
      <w:r w:rsidRPr="00B419CE">
        <w:t>tenesta</w:t>
      </w:r>
      <w:proofErr w:type="spellEnd"/>
      <w:r w:rsidRPr="00B419CE">
        <w:t xml:space="preserve"> eller etterretnings-/</w:t>
      </w:r>
      <w:proofErr w:type="spellStart"/>
      <w:r w:rsidRPr="00B419CE">
        <w:t>tryggingstenesta</w:t>
      </w:r>
      <w:proofErr w:type="spellEnd"/>
      <w:r w:rsidRPr="00B419CE">
        <w:t xml:space="preserve"> ved militære </w:t>
      </w:r>
      <w:proofErr w:type="spellStart"/>
      <w:r w:rsidRPr="00B419CE">
        <w:t>stabar</w:t>
      </w:r>
      <w:proofErr w:type="spellEnd"/>
      <w:r w:rsidRPr="00B419CE">
        <w:t xml:space="preserve"> og </w:t>
      </w:r>
      <w:proofErr w:type="spellStart"/>
      <w:r w:rsidRPr="00B419CE">
        <w:t>avdelingar</w:t>
      </w:r>
      <w:proofErr w:type="spellEnd"/>
      <w:r w:rsidRPr="00B419CE">
        <w:t xml:space="preserve">. I tillegg er </w:t>
      </w:r>
      <w:proofErr w:type="spellStart"/>
      <w:r w:rsidRPr="00B419CE">
        <w:t>utvalet</w:t>
      </w:r>
      <w:proofErr w:type="spellEnd"/>
      <w:r w:rsidRPr="00B419CE">
        <w:t xml:space="preserve"> pålagt å ha minst </w:t>
      </w:r>
      <w:proofErr w:type="spellStart"/>
      <w:r w:rsidRPr="00B419CE">
        <w:t>éin</w:t>
      </w:r>
      <w:proofErr w:type="spellEnd"/>
      <w:r w:rsidRPr="00B419CE">
        <w:t xml:space="preserve"> </w:t>
      </w:r>
      <w:proofErr w:type="spellStart"/>
      <w:r w:rsidRPr="00B419CE">
        <w:t>årleg</w:t>
      </w:r>
      <w:proofErr w:type="spellEnd"/>
      <w:r w:rsidRPr="00B419CE">
        <w:t xml:space="preserve"> inspeksjon hos </w:t>
      </w:r>
      <w:proofErr w:type="spellStart"/>
      <w:r w:rsidRPr="00B419CE">
        <w:t>høvesvis</w:t>
      </w:r>
      <w:proofErr w:type="spellEnd"/>
      <w:r w:rsidRPr="00B419CE">
        <w:t xml:space="preserve"> Etterretningsbataljonen og Forsvarets </w:t>
      </w:r>
      <w:proofErr w:type="spellStart"/>
      <w:r w:rsidRPr="00B419CE">
        <w:t>spesialstyrkar</w:t>
      </w:r>
      <w:proofErr w:type="spellEnd"/>
      <w:r w:rsidRPr="00B419CE">
        <w:t xml:space="preserve">. </w:t>
      </w:r>
      <w:proofErr w:type="spellStart"/>
      <w:r w:rsidRPr="00B419CE">
        <w:t>Utvalet</w:t>
      </w:r>
      <w:proofErr w:type="spellEnd"/>
      <w:r w:rsidRPr="00B419CE">
        <w:t xml:space="preserve"> kan også undersøke politiets bistand til PST, eller andre </w:t>
      </w:r>
      <w:proofErr w:type="spellStart"/>
      <w:r w:rsidRPr="00B419CE">
        <w:t>delar</w:t>
      </w:r>
      <w:proofErr w:type="spellEnd"/>
      <w:r w:rsidRPr="00B419CE">
        <w:t xml:space="preserve"> av forvaltninga om det er nødvendig ut </w:t>
      </w:r>
      <w:proofErr w:type="spellStart"/>
      <w:r w:rsidRPr="00B419CE">
        <w:t>frå</w:t>
      </w:r>
      <w:proofErr w:type="spellEnd"/>
      <w:r w:rsidRPr="00B419CE">
        <w:t xml:space="preserve"> </w:t>
      </w:r>
      <w:proofErr w:type="spellStart"/>
      <w:r w:rsidRPr="00B419CE">
        <w:t>kontrolloppgåva</w:t>
      </w:r>
      <w:proofErr w:type="spellEnd"/>
      <w:r w:rsidRPr="00B419CE">
        <w:t xml:space="preserve">. Den overordna </w:t>
      </w:r>
      <w:proofErr w:type="spellStart"/>
      <w:r w:rsidRPr="00B419CE">
        <w:t>påtalemyndigheita</w:t>
      </w:r>
      <w:proofErr w:type="spellEnd"/>
      <w:r w:rsidRPr="00B419CE">
        <w:t xml:space="preserve">, dvs. </w:t>
      </w:r>
      <w:proofErr w:type="spellStart"/>
      <w:r w:rsidRPr="00B419CE">
        <w:t>statsadvokatane</w:t>
      </w:r>
      <w:proofErr w:type="spellEnd"/>
      <w:r w:rsidRPr="00B419CE">
        <w:t xml:space="preserve"> og Riksadvokaten, er unntatt </w:t>
      </w:r>
      <w:proofErr w:type="spellStart"/>
      <w:r w:rsidRPr="00B419CE">
        <w:t>frå</w:t>
      </w:r>
      <w:proofErr w:type="spellEnd"/>
      <w:r w:rsidRPr="00B419CE">
        <w:t xml:space="preserve"> kontrollområdet. </w:t>
      </w:r>
      <w:proofErr w:type="spellStart"/>
      <w:r w:rsidRPr="00B419CE">
        <w:t>Utvalet</w:t>
      </w:r>
      <w:proofErr w:type="spellEnd"/>
      <w:r w:rsidRPr="00B419CE">
        <w:t xml:space="preserve"> vil også i 2021 gjennomføre </w:t>
      </w:r>
      <w:proofErr w:type="spellStart"/>
      <w:r w:rsidRPr="00B419CE">
        <w:lastRenderedPageBreak/>
        <w:t>inspeksjonar</w:t>
      </w:r>
      <w:proofErr w:type="spellEnd"/>
      <w:r w:rsidRPr="00B419CE">
        <w:t xml:space="preserve"> i samsvar med krava, i tillegg til å behandle innkomne klagesaker og undersøke saker i EOS-</w:t>
      </w:r>
      <w:proofErr w:type="spellStart"/>
      <w:r w:rsidRPr="00B419CE">
        <w:t>tenestene</w:t>
      </w:r>
      <w:proofErr w:type="spellEnd"/>
      <w:r w:rsidRPr="00B419CE">
        <w:t xml:space="preserve">. </w:t>
      </w:r>
      <w:proofErr w:type="spellStart"/>
      <w:r w:rsidRPr="00B419CE">
        <w:t>Utvalet</w:t>
      </w:r>
      <w:proofErr w:type="spellEnd"/>
      <w:r w:rsidRPr="00B419CE">
        <w:t xml:space="preserve"> undersøker også saker </w:t>
      </w:r>
      <w:proofErr w:type="spellStart"/>
      <w:r w:rsidRPr="00B419CE">
        <w:t>innanfor</w:t>
      </w:r>
      <w:proofErr w:type="spellEnd"/>
      <w:r w:rsidRPr="00B419CE">
        <w:t xml:space="preserve"> kontrollområdet som har </w:t>
      </w:r>
      <w:proofErr w:type="spellStart"/>
      <w:r w:rsidRPr="00B419CE">
        <w:t>vore</w:t>
      </w:r>
      <w:proofErr w:type="spellEnd"/>
      <w:r w:rsidRPr="00B419CE">
        <w:t xml:space="preserve"> gjenstand for </w:t>
      </w:r>
      <w:proofErr w:type="spellStart"/>
      <w:r w:rsidRPr="00B419CE">
        <w:t>offentleg</w:t>
      </w:r>
      <w:proofErr w:type="spellEnd"/>
      <w:r w:rsidRPr="00B419CE">
        <w:t xml:space="preserve"> kritikk.</w:t>
      </w:r>
    </w:p>
    <w:p w14:paraId="6A681B62" w14:textId="414A765D" w:rsidR="00B419CE" w:rsidRPr="00B419CE" w:rsidRDefault="00B419CE" w:rsidP="00B419CE">
      <w:r w:rsidRPr="00B419CE">
        <w:t xml:space="preserve">Ei ny lov om </w:t>
      </w:r>
      <w:proofErr w:type="spellStart"/>
      <w:r w:rsidRPr="00B419CE">
        <w:t>Etterretningstenesta</w:t>
      </w:r>
      <w:proofErr w:type="spellEnd"/>
      <w:r w:rsidRPr="00B419CE">
        <w:t xml:space="preserve"> tredde i kraft 1. januar 2021. Dei </w:t>
      </w:r>
      <w:proofErr w:type="spellStart"/>
      <w:r w:rsidRPr="00B419CE">
        <w:t>etterfølgande</w:t>
      </w:r>
      <w:proofErr w:type="spellEnd"/>
      <w:r w:rsidRPr="00B419CE">
        <w:t xml:space="preserve"> </w:t>
      </w:r>
      <w:proofErr w:type="spellStart"/>
      <w:r w:rsidRPr="00B419CE">
        <w:t>kontrolloppgåvene</w:t>
      </w:r>
      <w:proofErr w:type="spellEnd"/>
      <w:r w:rsidRPr="00B419CE">
        <w:t xml:space="preserve"> </w:t>
      </w:r>
      <w:proofErr w:type="spellStart"/>
      <w:r w:rsidRPr="00B419CE">
        <w:t>utvalet</w:t>
      </w:r>
      <w:proofErr w:type="spellEnd"/>
      <w:r w:rsidRPr="00B419CE">
        <w:t xml:space="preserve"> i dag har med </w:t>
      </w:r>
      <w:proofErr w:type="spellStart"/>
      <w:r w:rsidRPr="00B419CE">
        <w:t>verksemda</w:t>
      </w:r>
      <w:proofErr w:type="spellEnd"/>
      <w:r w:rsidRPr="00B419CE">
        <w:t xml:space="preserve"> til E</w:t>
      </w:r>
      <w:r>
        <w:t>-</w:t>
      </w:r>
      <w:proofErr w:type="spellStart"/>
      <w:r w:rsidRPr="00B419CE">
        <w:t>tenesta</w:t>
      </w:r>
      <w:proofErr w:type="spellEnd"/>
      <w:r w:rsidRPr="00B419CE">
        <w:t xml:space="preserve">, blir </w:t>
      </w:r>
      <w:proofErr w:type="spellStart"/>
      <w:r w:rsidRPr="00B419CE">
        <w:t>vidareført</w:t>
      </w:r>
      <w:proofErr w:type="spellEnd"/>
      <w:r w:rsidRPr="00B419CE">
        <w:t xml:space="preserve">, og den nye lova gir </w:t>
      </w:r>
      <w:proofErr w:type="spellStart"/>
      <w:r w:rsidRPr="00B419CE">
        <w:t>utvalet</w:t>
      </w:r>
      <w:proofErr w:type="spellEnd"/>
      <w:r w:rsidRPr="00B419CE">
        <w:t xml:space="preserve"> </w:t>
      </w:r>
      <w:proofErr w:type="spellStart"/>
      <w:r w:rsidRPr="00B419CE">
        <w:t>fleire</w:t>
      </w:r>
      <w:proofErr w:type="spellEnd"/>
      <w:r w:rsidRPr="00B419CE">
        <w:t xml:space="preserve"> kontrollpunkt i E-</w:t>
      </w:r>
      <w:proofErr w:type="spellStart"/>
      <w:r w:rsidRPr="00B419CE">
        <w:t>tenesta</w:t>
      </w:r>
      <w:proofErr w:type="spellEnd"/>
      <w:r w:rsidRPr="00B419CE">
        <w:t xml:space="preserve">. I den nye lova om </w:t>
      </w:r>
      <w:proofErr w:type="spellStart"/>
      <w:r w:rsidRPr="00B419CE">
        <w:t>Etterretningstenesta</w:t>
      </w:r>
      <w:proofErr w:type="spellEnd"/>
      <w:r w:rsidRPr="00B419CE">
        <w:t xml:space="preserve"> er </w:t>
      </w:r>
      <w:proofErr w:type="spellStart"/>
      <w:r w:rsidRPr="00B419CE">
        <w:t>tenesta</w:t>
      </w:r>
      <w:proofErr w:type="spellEnd"/>
      <w:r w:rsidRPr="00B419CE">
        <w:t xml:space="preserve"> gitt </w:t>
      </w:r>
      <w:proofErr w:type="spellStart"/>
      <w:r w:rsidRPr="00B419CE">
        <w:t>heimlar</w:t>
      </w:r>
      <w:proofErr w:type="spellEnd"/>
      <w:r w:rsidRPr="00B419CE">
        <w:t xml:space="preserve"> til å bruke </w:t>
      </w:r>
      <w:proofErr w:type="spellStart"/>
      <w:r w:rsidRPr="00B419CE">
        <w:t>ein</w:t>
      </w:r>
      <w:proofErr w:type="spellEnd"/>
      <w:r w:rsidRPr="00B419CE">
        <w:t xml:space="preserve"> ny metode kalla «tilrettelagd innhenting av </w:t>
      </w:r>
      <w:proofErr w:type="spellStart"/>
      <w:r w:rsidRPr="00B419CE">
        <w:t>grenseoverskridande</w:t>
      </w:r>
      <w:proofErr w:type="spellEnd"/>
      <w:r w:rsidRPr="00B419CE">
        <w:t xml:space="preserve"> elektronisk kommunikasjon» (tilrettelagd innhenting). EOS-</w:t>
      </w:r>
      <w:proofErr w:type="spellStart"/>
      <w:r w:rsidRPr="00B419CE">
        <w:t>utvalet</w:t>
      </w:r>
      <w:proofErr w:type="spellEnd"/>
      <w:r w:rsidRPr="00B419CE">
        <w:t xml:space="preserve"> er pålagt å føre </w:t>
      </w:r>
      <w:proofErr w:type="spellStart"/>
      <w:r w:rsidRPr="00B419CE">
        <w:t>løpande</w:t>
      </w:r>
      <w:proofErr w:type="spellEnd"/>
      <w:r w:rsidRPr="00B419CE">
        <w:t xml:space="preserve"> kontroll med denne metoden, </w:t>
      </w:r>
      <w:proofErr w:type="spellStart"/>
      <w:r w:rsidRPr="00B419CE">
        <w:t>noko</w:t>
      </w:r>
      <w:proofErr w:type="spellEnd"/>
      <w:r w:rsidRPr="00B419CE">
        <w:t xml:space="preserve"> som </w:t>
      </w:r>
      <w:proofErr w:type="spellStart"/>
      <w:r w:rsidRPr="00B419CE">
        <w:t>inneber</w:t>
      </w:r>
      <w:proofErr w:type="spellEnd"/>
      <w:r w:rsidRPr="00B419CE">
        <w:t xml:space="preserve"> </w:t>
      </w:r>
      <w:proofErr w:type="spellStart"/>
      <w:r w:rsidRPr="00B419CE">
        <w:t>ein</w:t>
      </w:r>
      <w:proofErr w:type="spellEnd"/>
      <w:r w:rsidRPr="00B419CE">
        <w:t xml:space="preserve"> </w:t>
      </w:r>
      <w:proofErr w:type="spellStart"/>
      <w:r w:rsidRPr="00B419CE">
        <w:t>betydeleg</w:t>
      </w:r>
      <w:proofErr w:type="spellEnd"/>
      <w:r w:rsidRPr="00B419CE">
        <w:t xml:space="preserve"> </w:t>
      </w:r>
      <w:proofErr w:type="spellStart"/>
      <w:r w:rsidRPr="00B419CE">
        <w:t>auke</w:t>
      </w:r>
      <w:proofErr w:type="spellEnd"/>
      <w:r w:rsidRPr="00B419CE">
        <w:t xml:space="preserve"> i omfanget av </w:t>
      </w:r>
      <w:proofErr w:type="spellStart"/>
      <w:r w:rsidRPr="00B419CE">
        <w:t>oppgåvene</w:t>
      </w:r>
      <w:proofErr w:type="spellEnd"/>
      <w:r w:rsidRPr="00B419CE">
        <w:t xml:space="preserve"> </w:t>
      </w:r>
      <w:proofErr w:type="spellStart"/>
      <w:r w:rsidRPr="00B419CE">
        <w:t>deira</w:t>
      </w:r>
      <w:proofErr w:type="spellEnd"/>
      <w:r w:rsidRPr="00B419CE">
        <w:t xml:space="preserve">. Kapitla om tilrettelagd innhenting har </w:t>
      </w:r>
      <w:proofErr w:type="spellStart"/>
      <w:r w:rsidRPr="00B419CE">
        <w:t>enno</w:t>
      </w:r>
      <w:proofErr w:type="spellEnd"/>
      <w:r w:rsidRPr="00B419CE">
        <w:t xml:space="preserve"> </w:t>
      </w:r>
      <w:proofErr w:type="spellStart"/>
      <w:r w:rsidRPr="00B419CE">
        <w:t>ikkje</w:t>
      </w:r>
      <w:proofErr w:type="spellEnd"/>
      <w:r w:rsidRPr="00B419CE">
        <w:t xml:space="preserve"> tredd i kraft, og det er uvisst når det vil skje.</w:t>
      </w:r>
    </w:p>
    <w:p w14:paraId="36EF7B0F" w14:textId="77777777" w:rsidR="00B419CE" w:rsidRPr="00B419CE" w:rsidRDefault="00B419CE" w:rsidP="00B419CE">
      <w:pPr>
        <w:pStyle w:val="b-post"/>
      </w:pPr>
      <w:r w:rsidRPr="00B419CE">
        <w:t>Post 01 Driftsutgifter</w:t>
      </w:r>
    </w:p>
    <w:p w14:paraId="1C50BCFA"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godtgjersle</w:t>
      </w:r>
      <w:proofErr w:type="spellEnd"/>
      <w:r w:rsidRPr="00B419CE">
        <w:t xml:space="preserve"> til medlemmene, lønn til </w:t>
      </w:r>
      <w:proofErr w:type="spellStart"/>
      <w:r w:rsidRPr="00B419CE">
        <w:t>dei</w:t>
      </w:r>
      <w:proofErr w:type="spellEnd"/>
      <w:r w:rsidRPr="00B419CE">
        <w:t xml:space="preserve"> tilsette i sekretariatet og utgifter til kjøp av varer og </w:t>
      </w:r>
      <w:proofErr w:type="spellStart"/>
      <w:r w:rsidRPr="00B419CE">
        <w:t>tenester</w:t>
      </w:r>
      <w:proofErr w:type="spellEnd"/>
      <w:r w:rsidRPr="00B419CE">
        <w:t>.</w:t>
      </w:r>
    </w:p>
    <w:p w14:paraId="606E8415" w14:textId="77777777" w:rsidR="00B419CE" w:rsidRPr="00B419CE" w:rsidRDefault="00B419CE" w:rsidP="00B419CE">
      <w:pPr>
        <w:pStyle w:val="b-budkaptit"/>
      </w:pPr>
      <w:r w:rsidRPr="00B419CE">
        <w:t xml:space="preserve">Kap. 45 </w:t>
      </w:r>
      <w:proofErr w:type="spellStart"/>
      <w:r w:rsidRPr="00B419CE">
        <w:t>Noregs</w:t>
      </w:r>
      <w:proofErr w:type="spellEnd"/>
      <w:r w:rsidRPr="00B419CE">
        <w:t xml:space="preserve"> institusjon for </w:t>
      </w:r>
      <w:proofErr w:type="spellStart"/>
      <w:r w:rsidRPr="00B419CE">
        <w:t>menneskerettar</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0D0C0989" w14:textId="77777777" w:rsidTr="00B419CE">
        <w:trPr>
          <w:trHeight w:val="640"/>
          <w:hidden/>
        </w:trPr>
        <w:tc>
          <w:tcPr>
            <w:tcW w:w="1140" w:type="dxa"/>
            <w:shd w:val="clear" w:color="auto" w:fill="FFFFFF"/>
          </w:tcPr>
          <w:p w14:paraId="1B35A66E" w14:textId="77777777" w:rsidR="00B419CE" w:rsidRPr="00B419CE" w:rsidRDefault="00B419CE" w:rsidP="00B419CE">
            <w:pPr>
              <w:pStyle w:val="Tabellnavn"/>
            </w:pPr>
            <w:r w:rsidRPr="00B419CE">
              <w:t>KPAL</w:t>
            </w:r>
          </w:p>
        </w:tc>
        <w:tc>
          <w:tcPr>
            <w:tcW w:w="4560" w:type="dxa"/>
          </w:tcPr>
          <w:p w14:paraId="743E9064" w14:textId="77777777" w:rsidR="00B419CE" w:rsidRPr="00B419CE" w:rsidRDefault="00B419CE" w:rsidP="00B419CE"/>
        </w:tc>
        <w:tc>
          <w:tcPr>
            <w:tcW w:w="1140" w:type="dxa"/>
          </w:tcPr>
          <w:p w14:paraId="1F3642A4" w14:textId="77777777" w:rsidR="00B419CE" w:rsidRPr="00B419CE" w:rsidRDefault="00B419CE" w:rsidP="00B419CE">
            <w:pPr>
              <w:jc w:val="right"/>
            </w:pPr>
          </w:p>
        </w:tc>
        <w:tc>
          <w:tcPr>
            <w:tcW w:w="1140" w:type="dxa"/>
          </w:tcPr>
          <w:p w14:paraId="7FA76038" w14:textId="77777777" w:rsidR="00B419CE" w:rsidRPr="00B419CE" w:rsidRDefault="00B419CE" w:rsidP="00B419CE">
            <w:pPr>
              <w:jc w:val="right"/>
            </w:pPr>
          </w:p>
        </w:tc>
        <w:tc>
          <w:tcPr>
            <w:tcW w:w="1140" w:type="dxa"/>
          </w:tcPr>
          <w:p w14:paraId="532351F5" w14:textId="77777777" w:rsidR="00B419CE" w:rsidRPr="00B419CE" w:rsidRDefault="00B419CE" w:rsidP="00B419CE">
            <w:pPr>
              <w:jc w:val="right"/>
            </w:pPr>
            <w:r w:rsidRPr="00B419CE">
              <w:t>(i 1 000 kr)</w:t>
            </w:r>
          </w:p>
        </w:tc>
      </w:tr>
      <w:tr w:rsidR="00B419CE" w:rsidRPr="00B419CE" w14:paraId="321B6A70" w14:textId="77777777" w:rsidTr="00B419CE">
        <w:trPr>
          <w:trHeight w:val="600"/>
        </w:trPr>
        <w:tc>
          <w:tcPr>
            <w:tcW w:w="1140" w:type="dxa"/>
          </w:tcPr>
          <w:p w14:paraId="21D684F8" w14:textId="77777777" w:rsidR="00B419CE" w:rsidRPr="00B419CE" w:rsidRDefault="00B419CE" w:rsidP="00B419CE">
            <w:r w:rsidRPr="00B419CE">
              <w:t>Post</w:t>
            </w:r>
          </w:p>
        </w:tc>
        <w:tc>
          <w:tcPr>
            <w:tcW w:w="4560" w:type="dxa"/>
          </w:tcPr>
          <w:p w14:paraId="3DB7DA69" w14:textId="77777777" w:rsidR="00B419CE" w:rsidRPr="00B419CE" w:rsidRDefault="00B419CE" w:rsidP="00B419CE">
            <w:proofErr w:type="spellStart"/>
            <w:r w:rsidRPr="00B419CE">
              <w:t>Nemning</w:t>
            </w:r>
            <w:proofErr w:type="spellEnd"/>
          </w:p>
        </w:tc>
        <w:tc>
          <w:tcPr>
            <w:tcW w:w="1140" w:type="dxa"/>
          </w:tcPr>
          <w:p w14:paraId="5142D073"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0B43B19C" w14:textId="77777777" w:rsidR="00B419CE" w:rsidRPr="00B419CE" w:rsidRDefault="00B419CE" w:rsidP="00B419CE">
            <w:pPr>
              <w:jc w:val="right"/>
            </w:pPr>
            <w:r w:rsidRPr="00B419CE">
              <w:t>Saldert</w:t>
            </w:r>
            <w:r w:rsidRPr="00B419CE">
              <w:br/>
              <w:t xml:space="preserve"> budsjett 2021</w:t>
            </w:r>
          </w:p>
        </w:tc>
        <w:tc>
          <w:tcPr>
            <w:tcW w:w="1140" w:type="dxa"/>
          </w:tcPr>
          <w:p w14:paraId="3F015B61" w14:textId="77777777" w:rsidR="00B419CE" w:rsidRPr="00B419CE" w:rsidRDefault="00B419CE" w:rsidP="00B419CE">
            <w:pPr>
              <w:jc w:val="right"/>
            </w:pPr>
            <w:r w:rsidRPr="00B419CE">
              <w:t>Forslag</w:t>
            </w:r>
            <w:r w:rsidRPr="00B419CE">
              <w:br/>
              <w:t xml:space="preserve"> 2022</w:t>
            </w:r>
          </w:p>
        </w:tc>
      </w:tr>
      <w:tr w:rsidR="00B419CE" w:rsidRPr="00B419CE" w14:paraId="0908A8A9" w14:textId="77777777" w:rsidTr="00B419CE">
        <w:trPr>
          <w:trHeight w:val="380"/>
        </w:trPr>
        <w:tc>
          <w:tcPr>
            <w:tcW w:w="1140" w:type="dxa"/>
          </w:tcPr>
          <w:p w14:paraId="60CF0821" w14:textId="77777777" w:rsidR="00B419CE" w:rsidRPr="00B419CE" w:rsidRDefault="00B419CE" w:rsidP="00B419CE">
            <w:r w:rsidRPr="00B419CE">
              <w:t>01</w:t>
            </w:r>
          </w:p>
        </w:tc>
        <w:tc>
          <w:tcPr>
            <w:tcW w:w="4560" w:type="dxa"/>
          </w:tcPr>
          <w:p w14:paraId="0177B1BC" w14:textId="77777777" w:rsidR="00B419CE" w:rsidRPr="00B419CE" w:rsidRDefault="00B419CE" w:rsidP="00B419CE">
            <w:r w:rsidRPr="00B419CE">
              <w:t>Driftsutgifter</w:t>
            </w:r>
          </w:p>
        </w:tc>
        <w:tc>
          <w:tcPr>
            <w:tcW w:w="1140" w:type="dxa"/>
          </w:tcPr>
          <w:p w14:paraId="67EA214E" w14:textId="77777777" w:rsidR="00B419CE" w:rsidRPr="00B419CE" w:rsidRDefault="00B419CE" w:rsidP="00B419CE">
            <w:pPr>
              <w:jc w:val="right"/>
            </w:pPr>
            <w:r w:rsidRPr="00B419CE">
              <w:t>26 665</w:t>
            </w:r>
          </w:p>
        </w:tc>
        <w:tc>
          <w:tcPr>
            <w:tcW w:w="1140" w:type="dxa"/>
          </w:tcPr>
          <w:p w14:paraId="1C0CAD64" w14:textId="77777777" w:rsidR="00B419CE" w:rsidRPr="00B419CE" w:rsidRDefault="00B419CE" w:rsidP="00B419CE">
            <w:pPr>
              <w:jc w:val="right"/>
            </w:pPr>
            <w:r w:rsidRPr="00B419CE">
              <w:t>26 100</w:t>
            </w:r>
          </w:p>
        </w:tc>
        <w:tc>
          <w:tcPr>
            <w:tcW w:w="1140" w:type="dxa"/>
          </w:tcPr>
          <w:p w14:paraId="2D64A487" w14:textId="77777777" w:rsidR="00B419CE" w:rsidRPr="00B419CE" w:rsidRDefault="00B419CE" w:rsidP="00B419CE">
            <w:pPr>
              <w:jc w:val="right"/>
            </w:pPr>
            <w:r w:rsidRPr="00B419CE">
              <w:t>26 040</w:t>
            </w:r>
          </w:p>
        </w:tc>
      </w:tr>
      <w:tr w:rsidR="00B419CE" w:rsidRPr="00B419CE" w14:paraId="69554FBE" w14:textId="77777777" w:rsidTr="00B419CE">
        <w:trPr>
          <w:trHeight w:val="380"/>
        </w:trPr>
        <w:tc>
          <w:tcPr>
            <w:tcW w:w="1140" w:type="dxa"/>
          </w:tcPr>
          <w:p w14:paraId="2C3B182A" w14:textId="77777777" w:rsidR="00B419CE" w:rsidRPr="00B419CE" w:rsidRDefault="00B419CE" w:rsidP="00B419CE"/>
        </w:tc>
        <w:tc>
          <w:tcPr>
            <w:tcW w:w="4560" w:type="dxa"/>
          </w:tcPr>
          <w:p w14:paraId="721AC2A5" w14:textId="77777777" w:rsidR="00B419CE" w:rsidRPr="00B419CE" w:rsidRDefault="00B419CE" w:rsidP="00B419CE">
            <w:r w:rsidRPr="00B419CE">
              <w:t>Sum kap. 45</w:t>
            </w:r>
          </w:p>
        </w:tc>
        <w:tc>
          <w:tcPr>
            <w:tcW w:w="1140" w:type="dxa"/>
          </w:tcPr>
          <w:p w14:paraId="07AA2769" w14:textId="77777777" w:rsidR="00B419CE" w:rsidRPr="00B419CE" w:rsidRDefault="00B419CE" w:rsidP="00B419CE">
            <w:pPr>
              <w:jc w:val="right"/>
            </w:pPr>
            <w:r w:rsidRPr="00B419CE">
              <w:t>26 665</w:t>
            </w:r>
          </w:p>
        </w:tc>
        <w:tc>
          <w:tcPr>
            <w:tcW w:w="1140" w:type="dxa"/>
          </w:tcPr>
          <w:p w14:paraId="25B6972D" w14:textId="77777777" w:rsidR="00B419CE" w:rsidRPr="00B419CE" w:rsidRDefault="00B419CE" w:rsidP="00B419CE">
            <w:pPr>
              <w:jc w:val="right"/>
            </w:pPr>
            <w:r w:rsidRPr="00B419CE">
              <w:t>26 100</w:t>
            </w:r>
          </w:p>
        </w:tc>
        <w:tc>
          <w:tcPr>
            <w:tcW w:w="1140" w:type="dxa"/>
          </w:tcPr>
          <w:p w14:paraId="68D25D61" w14:textId="77777777" w:rsidR="00B419CE" w:rsidRPr="00B419CE" w:rsidRDefault="00B419CE" w:rsidP="00B419CE">
            <w:pPr>
              <w:jc w:val="right"/>
            </w:pPr>
            <w:r w:rsidRPr="00B419CE">
              <w:t>26 040</w:t>
            </w:r>
          </w:p>
        </w:tc>
      </w:tr>
    </w:tbl>
    <w:p w14:paraId="08E10F62" w14:textId="77777777" w:rsidR="00B419CE" w:rsidRPr="00B419CE" w:rsidRDefault="00B419CE" w:rsidP="00B419CE">
      <w:pPr>
        <w:pStyle w:val="Undertittel"/>
      </w:pPr>
      <w:proofErr w:type="spellStart"/>
      <w:r w:rsidRPr="00B419CE">
        <w:t>Hovudoppgåver</w:t>
      </w:r>
      <w:proofErr w:type="spellEnd"/>
      <w:r w:rsidRPr="00B419CE">
        <w:t xml:space="preserve"> og organisering</w:t>
      </w:r>
    </w:p>
    <w:p w14:paraId="3D17D088" w14:textId="77777777" w:rsidR="00B419CE" w:rsidRPr="00B419CE" w:rsidRDefault="00B419CE" w:rsidP="00B419CE">
      <w:proofErr w:type="spellStart"/>
      <w:r w:rsidRPr="00B419CE">
        <w:t>Noregs</w:t>
      </w:r>
      <w:proofErr w:type="spellEnd"/>
      <w:r w:rsidRPr="00B419CE">
        <w:t xml:space="preserve"> institusjon for </w:t>
      </w:r>
      <w:proofErr w:type="spellStart"/>
      <w:r w:rsidRPr="00B419CE">
        <w:t>menneskerettar</w:t>
      </w:r>
      <w:proofErr w:type="spellEnd"/>
      <w:r w:rsidRPr="00B419CE">
        <w:t xml:space="preserve"> (NIM) blei oppretta 1. juli 2015 som </w:t>
      </w:r>
      <w:proofErr w:type="spellStart"/>
      <w:r w:rsidRPr="00B419CE">
        <w:t>eit</w:t>
      </w:r>
      <w:proofErr w:type="spellEnd"/>
      <w:r w:rsidRPr="00B419CE">
        <w:t xml:space="preserve"> organ som er organisatorisk lagt under Stortinget. Formålet med og </w:t>
      </w:r>
      <w:proofErr w:type="spellStart"/>
      <w:r w:rsidRPr="00B419CE">
        <w:t>oppgåvene</w:t>
      </w:r>
      <w:proofErr w:type="spellEnd"/>
      <w:r w:rsidRPr="00B419CE">
        <w:t xml:space="preserve"> til institusjonen følger av lov om Norges nasjonale institusjon for menneskerettigheter av 22. mai 2015 nr. 33 (NIM-lova) og instruks for Norges nasjonale institusjon for menneskerettigheter, som blei vedtatt av Stortinget 30. april 2016. NIM blir leia av </w:t>
      </w:r>
      <w:proofErr w:type="spellStart"/>
      <w:r w:rsidRPr="00B419CE">
        <w:t>eit</w:t>
      </w:r>
      <w:proofErr w:type="spellEnd"/>
      <w:r w:rsidRPr="00B419CE">
        <w:t xml:space="preserve"> styre og </w:t>
      </w:r>
      <w:proofErr w:type="spellStart"/>
      <w:r w:rsidRPr="00B419CE">
        <w:t>ein</w:t>
      </w:r>
      <w:proofErr w:type="spellEnd"/>
      <w:r w:rsidRPr="00B419CE">
        <w:t xml:space="preserve"> direktør. Styret har det overordna ansvaret for den </w:t>
      </w:r>
      <w:proofErr w:type="spellStart"/>
      <w:r w:rsidRPr="00B419CE">
        <w:t>faglege</w:t>
      </w:r>
      <w:proofErr w:type="spellEnd"/>
      <w:r w:rsidRPr="00B419CE">
        <w:t xml:space="preserve"> </w:t>
      </w:r>
      <w:proofErr w:type="spellStart"/>
      <w:r w:rsidRPr="00B419CE">
        <w:t>verksemda</w:t>
      </w:r>
      <w:proofErr w:type="spellEnd"/>
      <w:r w:rsidRPr="00B419CE">
        <w:t xml:space="preserve">, økonomien og drifta. Stortinget vel både styre og direktør. Styret er </w:t>
      </w:r>
      <w:proofErr w:type="spellStart"/>
      <w:r w:rsidRPr="00B419CE">
        <w:t>valt</w:t>
      </w:r>
      <w:proofErr w:type="spellEnd"/>
      <w:r w:rsidRPr="00B419CE">
        <w:t xml:space="preserve"> for </w:t>
      </w:r>
      <w:proofErr w:type="spellStart"/>
      <w:r w:rsidRPr="00B419CE">
        <w:t>ein</w:t>
      </w:r>
      <w:proofErr w:type="spellEnd"/>
      <w:r w:rsidRPr="00B419CE">
        <w:t xml:space="preserve"> periode på fire år, </w:t>
      </w:r>
      <w:proofErr w:type="spellStart"/>
      <w:r w:rsidRPr="00B419CE">
        <w:t>medan</w:t>
      </w:r>
      <w:proofErr w:type="spellEnd"/>
      <w:r w:rsidRPr="00B419CE">
        <w:t xml:space="preserve"> direktøren er vald for </w:t>
      </w:r>
      <w:proofErr w:type="spellStart"/>
      <w:r w:rsidRPr="00B419CE">
        <w:t>ein</w:t>
      </w:r>
      <w:proofErr w:type="spellEnd"/>
      <w:r w:rsidRPr="00B419CE">
        <w:t xml:space="preserve"> periode på seks år. Stortinget </w:t>
      </w:r>
      <w:proofErr w:type="spellStart"/>
      <w:r w:rsidRPr="00B419CE">
        <w:t>utnemnde</w:t>
      </w:r>
      <w:proofErr w:type="spellEnd"/>
      <w:r w:rsidRPr="00B419CE">
        <w:t xml:space="preserve"> i mars 2019 Adele Matheson Mestad som direktør for perioden 2019–2025. NIM skal bidra til å styrke gjennomføringa av </w:t>
      </w:r>
      <w:proofErr w:type="spellStart"/>
      <w:r w:rsidRPr="00B419CE">
        <w:t>menneskerettane</w:t>
      </w:r>
      <w:proofErr w:type="spellEnd"/>
      <w:r w:rsidRPr="00B419CE">
        <w:t xml:space="preserve">, </w:t>
      </w:r>
      <w:proofErr w:type="spellStart"/>
      <w:r w:rsidRPr="00B419CE">
        <w:t>særleg</w:t>
      </w:r>
      <w:proofErr w:type="spellEnd"/>
      <w:r w:rsidRPr="00B419CE">
        <w:t xml:space="preserve"> ved å overvake og rapportere om kva stilling </w:t>
      </w:r>
      <w:proofErr w:type="spellStart"/>
      <w:r w:rsidRPr="00B419CE">
        <w:t>menneskerettane</w:t>
      </w:r>
      <w:proofErr w:type="spellEnd"/>
      <w:r w:rsidRPr="00B419CE">
        <w:t xml:space="preserve"> har i </w:t>
      </w:r>
      <w:proofErr w:type="spellStart"/>
      <w:r w:rsidRPr="00B419CE">
        <w:t>Noreg</w:t>
      </w:r>
      <w:proofErr w:type="spellEnd"/>
      <w:r w:rsidRPr="00B419CE">
        <w:t xml:space="preserve">, </w:t>
      </w:r>
      <w:proofErr w:type="spellStart"/>
      <w:r w:rsidRPr="00B419CE">
        <w:t>medrekna</w:t>
      </w:r>
      <w:proofErr w:type="spellEnd"/>
      <w:r w:rsidRPr="00B419CE">
        <w:t xml:space="preserve"> å legge fram </w:t>
      </w:r>
      <w:proofErr w:type="spellStart"/>
      <w:r w:rsidRPr="00B419CE">
        <w:t>tilrådingar</w:t>
      </w:r>
      <w:proofErr w:type="spellEnd"/>
      <w:r w:rsidRPr="00B419CE">
        <w:t xml:space="preserve"> for å sikre at </w:t>
      </w:r>
      <w:proofErr w:type="spellStart"/>
      <w:r w:rsidRPr="00B419CE">
        <w:t>Noreg</w:t>
      </w:r>
      <w:proofErr w:type="spellEnd"/>
      <w:r w:rsidRPr="00B419CE">
        <w:t xml:space="preserve"> oppfyller sine menneskerettslege </w:t>
      </w:r>
      <w:proofErr w:type="spellStart"/>
      <w:r w:rsidRPr="00B419CE">
        <w:t>forpliktingar</w:t>
      </w:r>
      <w:proofErr w:type="spellEnd"/>
      <w:r w:rsidRPr="00B419CE">
        <w:t xml:space="preserve">, gi råd til Stortinget, regjeringa, Sametinget og andre </w:t>
      </w:r>
      <w:proofErr w:type="spellStart"/>
      <w:r w:rsidRPr="00B419CE">
        <w:t>offentlege</w:t>
      </w:r>
      <w:proofErr w:type="spellEnd"/>
      <w:r w:rsidRPr="00B419CE">
        <w:t xml:space="preserve"> organ og private </w:t>
      </w:r>
      <w:proofErr w:type="spellStart"/>
      <w:r w:rsidRPr="00B419CE">
        <w:t>aktørar</w:t>
      </w:r>
      <w:proofErr w:type="spellEnd"/>
      <w:r w:rsidRPr="00B419CE">
        <w:t xml:space="preserve"> om gjennomføringa av </w:t>
      </w:r>
      <w:proofErr w:type="spellStart"/>
      <w:r w:rsidRPr="00B419CE">
        <w:t>menneskerettane</w:t>
      </w:r>
      <w:proofErr w:type="spellEnd"/>
      <w:r w:rsidRPr="00B419CE">
        <w:t xml:space="preserve">, informere om </w:t>
      </w:r>
      <w:proofErr w:type="spellStart"/>
      <w:r w:rsidRPr="00B419CE">
        <w:t>menneskerettane</w:t>
      </w:r>
      <w:proofErr w:type="spellEnd"/>
      <w:r w:rsidRPr="00B419CE">
        <w:t xml:space="preserve">, mellom anna å rettleie </w:t>
      </w:r>
      <w:proofErr w:type="spellStart"/>
      <w:r w:rsidRPr="00B419CE">
        <w:t>enkeltpersonar</w:t>
      </w:r>
      <w:proofErr w:type="spellEnd"/>
      <w:r w:rsidRPr="00B419CE">
        <w:t xml:space="preserve"> om nasjonale og internasjonale </w:t>
      </w:r>
      <w:proofErr w:type="spellStart"/>
      <w:r w:rsidRPr="00B419CE">
        <w:lastRenderedPageBreak/>
        <w:t>klageordningar</w:t>
      </w:r>
      <w:proofErr w:type="spellEnd"/>
      <w:r w:rsidRPr="00B419CE">
        <w:t xml:space="preserve">, fremme opplæring, utdanning og forsking på </w:t>
      </w:r>
      <w:proofErr w:type="spellStart"/>
      <w:r w:rsidRPr="00B419CE">
        <w:t>menneskerettane</w:t>
      </w:r>
      <w:proofErr w:type="spellEnd"/>
      <w:r w:rsidRPr="00B419CE">
        <w:t xml:space="preserve">, legge til rette for samarbeid med relevante </w:t>
      </w:r>
      <w:proofErr w:type="spellStart"/>
      <w:r w:rsidRPr="00B419CE">
        <w:t>offentlege</w:t>
      </w:r>
      <w:proofErr w:type="spellEnd"/>
      <w:r w:rsidRPr="00B419CE">
        <w:t xml:space="preserve"> organ og andre </w:t>
      </w:r>
      <w:proofErr w:type="spellStart"/>
      <w:r w:rsidRPr="00B419CE">
        <w:t>aktørar</w:t>
      </w:r>
      <w:proofErr w:type="spellEnd"/>
      <w:r w:rsidRPr="00B419CE">
        <w:t xml:space="preserve"> som arbeider med </w:t>
      </w:r>
      <w:proofErr w:type="spellStart"/>
      <w:r w:rsidRPr="00B419CE">
        <w:t>menneskerettane</w:t>
      </w:r>
      <w:proofErr w:type="spellEnd"/>
      <w:r w:rsidRPr="00B419CE">
        <w:t xml:space="preserve">, og delta i internasjonalt samarbeid for å fremme og verne om </w:t>
      </w:r>
      <w:proofErr w:type="spellStart"/>
      <w:r w:rsidRPr="00B419CE">
        <w:t>menneskerettane</w:t>
      </w:r>
      <w:proofErr w:type="spellEnd"/>
      <w:r w:rsidRPr="00B419CE">
        <w:t xml:space="preserve">. NIM skal </w:t>
      </w:r>
      <w:proofErr w:type="spellStart"/>
      <w:r w:rsidRPr="00B419CE">
        <w:t>ikkje</w:t>
      </w:r>
      <w:proofErr w:type="spellEnd"/>
      <w:r w:rsidRPr="00B419CE">
        <w:t xml:space="preserve"> prøve enkeltsaker om krenking av </w:t>
      </w:r>
      <w:proofErr w:type="spellStart"/>
      <w:r w:rsidRPr="00B419CE">
        <w:t>menneskerettar</w:t>
      </w:r>
      <w:proofErr w:type="spellEnd"/>
      <w:r w:rsidRPr="00B419CE">
        <w:t xml:space="preserve">. Stortinget </w:t>
      </w:r>
      <w:proofErr w:type="spellStart"/>
      <w:r w:rsidRPr="00B419CE">
        <w:t>føresett</w:t>
      </w:r>
      <w:proofErr w:type="spellEnd"/>
      <w:r w:rsidRPr="00B419CE">
        <w:t xml:space="preserve"> at institusjonen skal </w:t>
      </w:r>
      <w:proofErr w:type="spellStart"/>
      <w:r w:rsidRPr="00B419CE">
        <w:t>vere</w:t>
      </w:r>
      <w:proofErr w:type="spellEnd"/>
      <w:r w:rsidRPr="00B419CE">
        <w:t xml:space="preserve"> samlokalisert med og administrativt knytt til </w:t>
      </w:r>
      <w:proofErr w:type="spellStart"/>
      <w:r w:rsidRPr="00B419CE">
        <w:t>Sivilombodet</w:t>
      </w:r>
      <w:proofErr w:type="spellEnd"/>
      <w:r w:rsidRPr="00B419CE">
        <w:t>.</w:t>
      </w:r>
    </w:p>
    <w:p w14:paraId="55A7D882" w14:textId="77777777" w:rsidR="00B419CE" w:rsidRPr="00B419CE" w:rsidRDefault="00B419CE" w:rsidP="00B419CE">
      <w:pPr>
        <w:pStyle w:val="Undertittel"/>
      </w:pPr>
      <w:r w:rsidRPr="00B419CE">
        <w:t>Rapport for 2020</w:t>
      </w:r>
    </w:p>
    <w:p w14:paraId="2329CAAC" w14:textId="77777777" w:rsidR="00B419CE" w:rsidRPr="00B419CE" w:rsidRDefault="00B419CE" w:rsidP="00B419CE">
      <w:r w:rsidRPr="00B419CE">
        <w:t xml:space="preserve">Det følger av § 11 i NIM-lova at NIM </w:t>
      </w:r>
      <w:proofErr w:type="spellStart"/>
      <w:r w:rsidRPr="00B419CE">
        <w:t>årleg</w:t>
      </w:r>
      <w:proofErr w:type="spellEnd"/>
      <w:r w:rsidRPr="00B419CE">
        <w:t xml:space="preserve"> skal levere ei årsmelding til Stortinget om </w:t>
      </w:r>
      <w:proofErr w:type="spellStart"/>
      <w:r w:rsidRPr="00B419CE">
        <w:t>verksemda</w:t>
      </w:r>
      <w:proofErr w:type="spellEnd"/>
      <w:r w:rsidRPr="00B419CE">
        <w:t xml:space="preserve"> si og om utviklinga av menneskerettssituasjonen i </w:t>
      </w:r>
      <w:proofErr w:type="spellStart"/>
      <w:r w:rsidRPr="00B419CE">
        <w:t>Noreg</w:t>
      </w:r>
      <w:proofErr w:type="spellEnd"/>
      <w:r w:rsidRPr="00B419CE">
        <w:t xml:space="preserve">. Årsmeldinga, Dokument 6 (2020–2021), blei overlevert Stortinget 9. april 2021. Årsmeldinga dekker </w:t>
      </w:r>
      <w:proofErr w:type="spellStart"/>
      <w:r w:rsidRPr="00B419CE">
        <w:t>eit</w:t>
      </w:r>
      <w:proofErr w:type="spellEnd"/>
      <w:r w:rsidRPr="00B419CE">
        <w:t xml:space="preserve"> breitt spekter av område, men er på ingen måte </w:t>
      </w:r>
      <w:proofErr w:type="spellStart"/>
      <w:r w:rsidRPr="00B419CE">
        <w:t>uttømmande</w:t>
      </w:r>
      <w:proofErr w:type="spellEnd"/>
      <w:r w:rsidRPr="00B419CE">
        <w:t xml:space="preserve">. I meldinga gir NIM </w:t>
      </w:r>
      <w:proofErr w:type="spellStart"/>
      <w:r w:rsidRPr="00B419CE">
        <w:t>tilrådingar</w:t>
      </w:r>
      <w:proofErr w:type="spellEnd"/>
      <w:r w:rsidRPr="00B419CE">
        <w:t xml:space="preserve"> på område der </w:t>
      </w:r>
      <w:proofErr w:type="spellStart"/>
      <w:r w:rsidRPr="00B419CE">
        <w:t>dei</w:t>
      </w:r>
      <w:proofErr w:type="spellEnd"/>
      <w:r w:rsidRPr="00B419CE">
        <w:t xml:space="preserve"> meiner norsk lovgiving eller praksis bryt med </w:t>
      </w:r>
      <w:proofErr w:type="spellStart"/>
      <w:r w:rsidRPr="00B419CE">
        <w:t>menneskerettane</w:t>
      </w:r>
      <w:proofErr w:type="spellEnd"/>
      <w:r w:rsidRPr="00B419CE">
        <w:t xml:space="preserve">, område der det er rom for </w:t>
      </w:r>
      <w:proofErr w:type="spellStart"/>
      <w:r w:rsidRPr="00B419CE">
        <w:t>forbetring</w:t>
      </w:r>
      <w:proofErr w:type="spellEnd"/>
      <w:r w:rsidRPr="00B419CE">
        <w:t xml:space="preserve">, eller område der det er </w:t>
      </w:r>
      <w:proofErr w:type="spellStart"/>
      <w:r w:rsidRPr="00B419CE">
        <w:t>særlege</w:t>
      </w:r>
      <w:proofErr w:type="spellEnd"/>
      <w:r w:rsidRPr="00B419CE">
        <w:t xml:space="preserve"> </w:t>
      </w:r>
      <w:proofErr w:type="spellStart"/>
      <w:r w:rsidRPr="00B419CE">
        <w:t>utfordringar</w:t>
      </w:r>
      <w:proofErr w:type="spellEnd"/>
      <w:r w:rsidRPr="00B419CE">
        <w:t xml:space="preserve"> som </w:t>
      </w:r>
      <w:proofErr w:type="spellStart"/>
      <w:r w:rsidRPr="00B419CE">
        <w:t>myndigheitene</w:t>
      </w:r>
      <w:proofErr w:type="spellEnd"/>
      <w:r w:rsidRPr="00B419CE">
        <w:t xml:space="preserve"> bør </w:t>
      </w:r>
      <w:proofErr w:type="spellStart"/>
      <w:r w:rsidRPr="00B419CE">
        <w:t>vere</w:t>
      </w:r>
      <w:proofErr w:type="spellEnd"/>
      <w:r w:rsidRPr="00B419CE">
        <w:t xml:space="preserve"> </w:t>
      </w:r>
      <w:proofErr w:type="spellStart"/>
      <w:r w:rsidRPr="00B419CE">
        <w:t>merksame</w:t>
      </w:r>
      <w:proofErr w:type="spellEnd"/>
      <w:r w:rsidRPr="00B419CE">
        <w:t xml:space="preserve"> på.</w:t>
      </w:r>
    </w:p>
    <w:p w14:paraId="1550DAFD" w14:textId="77777777" w:rsidR="00B419CE" w:rsidRPr="00B419CE" w:rsidRDefault="00B419CE" w:rsidP="00B419CE">
      <w:pPr>
        <w:pStyle w:val="Undertittel"/>
      </w:pPr>
      <w:r w:rsidRPr="00B419CE">
        <w:t>Mål og budsjett for 2022</w:t>
      </w:r>
    </w:p>
    <w:p w14:paraId="59EDDFB8" w14:textId="77777777" w:rsidR="00B419CE" w:rsidRPr="00B419CE" w:rsidRDefault="00B419CE" w:rsidP="00B419CE">
      <w:r w:rsidRPr="00B419CE">
        <w:t xml:space="preserve">NIM har </w:t>
      </w:r>
      <w:proofErr w:type="spellStart"/>
      <w:r w:rsidRPr="00B419CE">
        <w:t>eit</w:t>
      </w:r>
      <w:proofErr w:type="spellEnd"/>
      <w:r w:rsidRPr="00B419CE">
        <w:t xml:space="preserve"> særs breitt mandat, da </w:t>
      </w:r>
      <w:proofErr w:type="spellStart"/>
      <w:r w:rsidRPr="00B419CE">
        <w:t>menneskerettane</w:t>
      </w:r>
      <w:proofErr w:type="spellEnd"/>
      <w:r w:rsidRPr="00B419CE">
        <w:t xml:space="preserve"> har betydning for nær sagt </w:t>
      </w:r>
      <w:proofErr w:type="gramStart"/>
      <w:r w:rsidRPr="00B419CE">
        <w:t>alle rettsområde</w:t>
      </w:r>
      <w:proofErr w:type="gramEnd"/>
      <w:r w:rsidRPr="00B419CE">
        <w:t xml:space="preserve">. Institusjonen bygger arbeidet sitt på 27 ulike rettsområde. </w:t>
      </w:r>
      <w:proofErr w:type="spellStart"/>
      <w:r w:rsidRPr="00B419CE">
        <w:t>Desse</w:t>
      </w:r>
      <w:proofErr w:type="spellEnd"/>
      <w:r w:rsidRPr="00B419CE">
        <w:t xml:space="preserve"> områda </w:t>
      </w:r>
      <w:proofErr w:type="spellStart"/>
      <w:r w:rsidRPr="00B419CE">
        <w:t>dannar</w:t>
      </w:r>
      <w:proofErr w:type="spellEnd"/>
      <w:r w:rsidRPr="00B419CE">
        <w:t xml:space="preserve"> grunnlag både for den systematiske </w:t>
      </w:r>
      <w:proofErr w:type="spellStart"/>
      <w:r w:rsidRPr="00B419CE">
        <w:t>overvakinga</w:t>
      </w:r>
      <w:proofErr w:type="spellEnd"/>
      <w:r w:rsidRPr="00B419CE">
        <w:t xml:space="preserve"> av menneskerettssituasjonen og for den interne arbeidsdelinga i den juridiske analyseavdelinga. Det breie mandatet gir NIM </w:t>
      </w:r>
      <w:proofErr w:type="spellStart"/>
      <w:r w:rsidRPr="00B419CE">
        <w:t>eit</w:t>
      </w:r>
      <w:proofErr w:type="spellEnd"/>
      <w:r w:rsidRPr="00B419CE">
        <w:t xml:space="preserve"> unikt høve til å følge det store </w:t>
      </w:r>
      <w:proofErr w:type="spellStart"/>
      <w:r w:rsidRPr="00B419CE">
        <w:t>biletet</w:t>
      </w:r>
      <w:proofErr w:type="spellEnd"/>
      <w:r w:rsidRPr="00B419CE">
        <w:t xml:space="preserve"> og skape dialog med </w:t>
      </w:r>
      <w:proofErr w:type="spellStart"/>
      <w:r w:rsidRPr="00B419CE">
        <w:t>dei</w:t>
      </w:r>
      <w:proofErr w:type="spellEnd"/>
      <w:r w:rsidRPr="00B419CE">
        <w:t xml:space="preserve"> ulike </w:t>
      </w:r>
      <w:proofErr w:type="spellStart"/>
      <w:r w:rsidRPr="00B419CE">
        <w:t>menneskerettsaktørane</w:t>
      </w:r>
      <w:proofErr w:type="spellEnd"/>
      <w:r w:rsidRPr="00B419CE">
        <w:t xml:space="preserve">. </w:t>
      </w:r>
      <w:proofErr w:type="spellStart"/>
      <w:r w:rsidRPr="00B419CE">
        <w:t>NIMs</w:t>
      </w:r>
      <w:proofErr w:type="spellEnd"/>
      <w:r w:rsidRPr="00B419CE">
        <w:t xml:space="preserve"> visjon er </w:t>
      </w:r>
      <w:proofErr w:type="spellStart"/>
      <w:r w:rsidRPr="00B419CE">
        <w:t>eit</w:t>
      </w:r>
      <w:proofErr w:type="spellEnd"/>
      <w:r w:rsidRPr="00B419CE">
        <w:t xml:space="preserve"> sterkt og </w:t>
      </w:r>
      <w:proofErr w:type="spellStart"/>
      <w:r w:rsidRPr="00B419CE">
        <w:t>heilskapleg</w:t>
      </w:r>
      <w:proofErr w:type="spellEnd"/>
      <w:r w:rsidRPr="00B419CE">
        <w:t xml:space="preserve"> menneskerettsvern for alle. Det betyr at NIM må jobbe breitt </w:t>
      </w:r>
      <w:proofErr w:type="spellStart"/>
      <w:r w:rsidRPr="00B419CE">
        <w:t>innanfor</w:t>
      </w:r>
      <w:proofErr w:type="spellEnd"/>
      <w:r w:rsidRPr="00B419CE">
        <w:t xml:space="preserve"> ei heil rekke felt og ha </w:t>
      </w:r>
      <w:proofErr w:type="spellStart"/>
      <w:r w:rsidRPr="00B419CE">
        <w:t>tilsvarande</w:t>
      </w:r>
      <w:proofErr w:type="spellEnd"/>
      <w:r w:rsidRPr="00B419CE">
        <w:t xml:space="preserve"> brei kunnskap i organisasjonen. I </w:t>
      </w:r>
      <w:proofErr w:type="spellStart"/>
      <w:r w:rsidRPr="00B419CE">
        <w:t>NIMs</w:t>
      </w:r>
      <w:proofErr w:type="spellEnd"/>
      <w:r w:rsidRPr="00B419CE">
        <w:t xml:space="preserve"> strategi for 2019–2022 er det sett overordna mål om å </w:t>
      </w:r>
      <w:proofErr w:type="spellStart"/>
      <w:r w:rsidRPr="00B419CE">
        <w:t>vere</w:t>
      </w:r>
      <w:proofErr w:type="spellEnd"/>
      <w:r w:rsidRPr="00B419CE">
        <w:t xml:space="preserve"> </w:t>
      </w:r>
      <w:proofErr w:type="spellStart"/>
      <w:r w:rsidRPr="00B419CE">
        <w:t>ein</w:t>
      </w:r>
      <w:proofErr w:type="spellEnd"/>
      <w:r w:rsidRPr="00B419CE">
        <w:t xml:space="preserve"> sterk </w:t>
      </w:r>
      <w:proofErr w:type="spellStart"/>
      <w:r w:rsidRPr="00B419CE">
        <w:t>fagleg</w:t>
      </w:r>
      <w:proofErr w:type="spellEnd"/>
      <w:r w:rsidRPr="00B419CE">
        <w:t xml:space="preserve"> </w:t>
      </w:r>
      <w:proofErr w:type="spellStart"/>
      <w:r w:rsidRPr="00B419CE">
        <w:t>rådgivar</w:t>
      </w:r>
      <w:proofErr w:type="spellEnd"/>
      <w:r w:rsidRPr="00B419CE">
        <w:t xml:space="preserve">, </w:t>
      </w:r>
      <w:proofErr w:type="spellStart"/>
      <w:r w:rsidRPr="00B419CE">
        <w:t>brubyggar</w:t>
      </w:r>
      <w:proofErr w:type="spellEnd"/>
      <w:r w:rsidRPr="00B419CE">
        <w:t xml:space="preserve">, vaktbikkje og </w:t>
      </w:r>
      <w:proofErr w:type="spellStart"/>
      <w:r w:rsidRPr="00B419CE">
        <w:t>formidlar</w:t>
      </w:r>
      <w:proofErr w:type="spellEnd"/>
      <w:r w:rsidRPr="00B419CE">
        <w:t xml:space="preserve">. </w:t>
      </w:r>
      <w:proofErr w:type="spellStart"/>
      <w:r w:rsidRPr="00B419CE">
        <w:t>Breidda</w:t>
      </w:r>
      <w:proofErr w:type="spellEnd"/>
      <w:r w:rsidRPr="00B419CE">
        <w:t xml:space="preserve"> i mandatet krev ei </w:t>
      </w:r>
      <w:proofErr w:type="spellStart"/>
      <w:r w:rsidRPr="00B419CE">
        <w:t>tydeleg</w:t>
      </w:r>
      <w:proofErr w:type="spellEnd"/>
      <w:r w:rsidRPr="00B419CE">
        <w:t xml:space="preserve"> prioritering av arbeidsinnsatsen. I 2020 blei NIM evaluert. Evalueringa var i det store og heile svært positiv, men </w:t>
      </w:r>
      <w:proofErr w:type="spellStart"/>
      <w:r w:rsidRPr="00B419CE">
        <w:t>peikte</w:t>
      </w:r>
      <w:proofErr w:type="spellEnd"/>
      <w:r w:rsidRPr="00B419CE">
        <w:t xml:space="preserve"> også på enkelte </w:t>
      </w:r>
      <w:proofErr w:type="spellStart"/>
      <w:r w:rsidRPr="00B419CE">
        <w:t>forbetringspunkt</w:t>
      </w:r>
      <w:proofErr w:type="spellEnd"/>
      <w:r w:rsidRPr="00B419CE">
        <w:t xml:space="preserve">. I 2022 vil NIM arbeide for å følge opp </w:t>
      </w:r>
      <w:proofErr w:type="spellStart"/>
      <w:r w:rsidRPr="00B419CE">
        <w:t>nokre</w:t>
      </w:r>
      <w:proofErr w:type="spellEnd"/>
      <w:r w:rsidRPr="00B419CE">
        <w:t xml:space="preserve"> av </w:t>
      </w:r>
      <w:proofErr w:type="spellStart"/>
      <w:r w:rsidRPr="00B419CE">
        <w:t>tilrådingane</w:t>
      </w:r>
      <w:proofErr w:type="spellEnd"/>
      <w:r w:rsidRPr="00B419CE">
        <w:t xml:space="preserve"> </w:t>
      </w:r>
      <w:proofErr w:type="spellStart"/>
      <w:r w:rsidRPr="00B419CE">
        <w:t>innanfor</w:t>
      </w:r>
      <w:proofErr w:type="spellEnd"/>
      <w:r w:rsidRPr="00B419CE">
        <w:t xml:space="preserve"> den økonomiske ramma som er gitt.</w:t>
      </w:r>
    </w:p>
    <w:p w14:paraId="15AC7E72" w14:textId="77777777" w:rsidR="00B419CE" w:rsidRPr="00B419CE" w:rsidRDefault="00B419CE" w:rsidP="00B419CE">
      <w:r w:rsidRPr="00B419CE">
        <w:t xml:space="preserve">Institusjonen vil </w:t>
      </w:r>
      <w:proofErr w:type="spellStart"/>
      <w:r w:rsidRPr="00B419CE">
        <w:t>framleis</w:t>
      </w:r>
      <w:proofErr w:type="spellEnd"/>
      <w:r w:rsidRPr="00B419CE">
        <w:t xml:space="preserve"> arbeide internt for å ha ei </w:t>
      </w:r>
      <w:proofErr w:type="spellStart"/>
      <w:r w:rsidRPr="00B419CE">
        <w:t>tydeleg</w:t>
      </w:r>
      <w:proofErr w:type="spellEnd"/>
      <w:r w:rsidRPr="00B419CE">
        <w:t xml:space="preserve"> leiing og sikre at </w:t>
      </w:r>
      <w:proofErr w:type="spellStart"/>
      <w:r w:rsidRPr="00B419CE">
        <w:t>arbeidsprosessane</w:t>
      </w:r>
      <w:proofErr w:type="spellEnd"/>
      <w:r w:rsidRPr="00B419CE">
        <w:t xml:space="preserve"> er effektive og gode. I 2022 skal NIM</w:t>
      </w:r>
    </w:p>
    <w:p w14:paraId="157BA4C6" w14:textId="77777777" w:rsidR="00B419CE" w:rsidRPr="00B419CE" w:rsidRDefault="00B419CE" w:rsidP="00B419CE">
      <w:pPr>
        <w:pStyle w:val="Liste"/>
      </w:pPr>
      <w:r w:rsidRPr="00B419CE">
        <w:t xml:space="preserve">bidra til at staten </w:t>
      </w:r>
      <w:proofErr w:type="spellStart"/>
      <w:r w:rsidRPr="00B419CE">
        <w:t>gjer</w:t>
      </w:r>
      <w:proofErr w:type="spellEnd"/>
      <w:r w:rsidRPr="00B419CE">
        <w:t xml:space="preserve"> best </w:t>
      </w:r>
      <w:proofErr w:type="spellStart"/>
      <w:r w:rsidRPr="00B419CE">
        <w:t>moglege</w:t>
      </w:r>
      <w:proofErr w:type="spellEnd"/>
      <w:r w:rsidRPr="00B419CE">
        <w:t xml:space="preserve"> menneskerettslege </w:t>
      </w:r>
      <w:proofErr w:type="spellStart"/>
      <w:r w:rsidRPr="00B419CE">
        <w:t>vurderingar</w:t>
      </w:r>
      <w:proofErr w:type="spellEnd"/>
    </w:p>
    <w:p w14:paraId="436CECBD" w14:textId="77777777" w:rsidR="00B419CE" w:rsidRPr="00B419CE" w:rsidRDefault="00B419CE" w:rsidP="00B419CE">
      <w:pPr>
        <w:pStyle w:val="Liste"/>
      </w:pPr>
      <w:proofErr w:type="spellStart"/>
      <w:r w:rsidRPr="00B419CE">
        <w:t>førebygge</w:t>
      </w:r>
      <w:proofErr w:type="spellEnd"/>
      <w:r w:rsidRPr="00B419CE">
        <w:t xml:space="preserve"> og hindre </w:t>
      </w:r>
      <w:proofErr w:type="spellStart"/>
      <w:r w:rsidRPr="00B419CE">
        <w:t>menneskerettsbrot</w:t>
      </w:r>
      <w:proofErr w:type="spellEnd"/>
    </w:p>
    <w:p w14:paraId="44C2D9F7" w14:textId="77777777" w:rsidR="00B419CE" w:rsidRPr="00B419CE" w:rsidRDefault="00B419CE" w:rsidP="00B419CE">
      <w:pPr>
        <w:pStyle w:val="Liste"/>
      </w:pPr>
      <w:proofErr w:type="spellStart"/>
      <w:r w:rsidRPr="00B419CE">
        <w:t>vidareutvikle</w:t>
      </w:r>
      <w:proofErr w:type="spellEnd"/>
      <w:r w:rsidRPr="00B419CE">
        <w:t xml:space="preserve"> undervisningsopplegg om </w:t>
      </w:r>
      <w:proofErr w:type="spellStart"/>
      <w:r w:rsidRPr="00B419CE">
        <w:t>menneskerettane</w:t>
      </w:r>
      <w:proofErr w:type="spellEnd"/>
    </w:p>
    <w:p w14:paraId="0230A144" w14:textId="77777777" w:rsidR="00B419CE" w:rsidRPr="00B419CE" w:rsidRDefault="00B419CE" w:rsidP="00B419CE">
      <w:pPr>
        <w:pStyle w:val="Liste"/>
      </w:pPr>
      <w:r w:rsidRPr="00B419CE">
        <w:t xml:space="preserve">bidra til å styrke arbeidet med menneskerettsansvar i </w:t>
      </w:r>
      <w:proofErr w:type="spellStart"/>
      <w:r w:rsidRPr="00B419CE">
        <w:t>kommunane</w:t>
      </w:r>
      <w:proofErr w:type="spellEnd"/>
    </w:p>
    <w:p w14:paraId="1EA75A96" w14:textId="77777777" w:rsidR="00B419CE" w:rsidRPr="00B419CE" w:rsidRDefault="00B419CE" w:rsidP="00B419CE">
      <w:pPr>
        <w:pStyle w:val="Liste"/>
      </w:pPr>
      <w:r w:rsidRPr="00B419CE">
        <w:t xml:space="preserve">bidra til informasjonsflyt og samarbeid på menneskerettsfeltet, både i sivilsamfunnet og mellom sivilsamfunnet og </w:t>
      </w:r>
      <w:proofErr w:type="spellStart"/>
      <w:r w:rsidRPr="00B419CE">
        <w:t>myndigheitene</w:t>
      </w:r>
      <w:proofErr w:type="spellEnd"/>
    </w:p>
    <w:p w14:paraId="154AFEC5" w14:textId="77777777" w:rsidR="00B419CE" w:rsidRPr="00B419CE" w:rsidRDefault="00B419CE" w:rsidP="00B419CE">
      <w:pPr>
        <w:pStyle w:val="Liste"/>
      </w:pPr>
      <w:r w:rsidRPr="00B419CE">
        <w:t xml:space="preserve">delta aktivt i internasjonalt samarbeid og bidra til å styrke </w:t>
      </w:r>
      <w:proofErr w:type="spellStart"/>
      <w:r w:rsidRPr="00B419CE">
        <w:t>dei</w:t>
      </w:r>
      <w:proofErr w:type="spellEnd"/>
      <w:r w:rsidRPr="00B419CE">
        <w:t xml:space="preserve"> nasjonale </w:t>
      </w:r>
      <w:proofErr w:type="spellStart"/>
      <w:r w:rsidRPr="00B419CE">
        <w:t>institusjonane</w:t>
      </w:r>
      <w:proofErr w:type="spellEnd"/>
      <w:r w:rsidRPr="00B419CE">
        <w:t xml:space="preserve"> i land der </w:t>
      </w:r>
      <w:proofErr w:type="spellStart"/>
      <w:r w:rsidRPr="00B419CE">
        <w:t>menneskerettane</w:t>
      </w:r>
      <w:proofErr w:type="spellEnd"/>
      <w:r w:rsidRPr="00B419CE">
        <w:t xml:space="preserve"> er under press</w:t>
      </w:r>
    </w:p>
    <w:p w14:paraId="791C809D" w14:textId="77777777" w:rsidR="00B419CE" w:rsidRPr="00B419CE" w:rsidRDefault="00B419CE" w:rsidP="00B419CE">
      <w:pPr>
        <w:pStyle w:val="b-post"/>
      </w:pPr>
      <w:r w:rsidRPr="00B419CE">
        <w:lastRenderedPageBreak/>
        <w:t>Post 01 Driftsutgifter</w:t>
      </w:r>
    </w:p>
    <w:p w14:paraId="557EF7F3" w14:textId="77777777" w:rsidR="00B419CE" w:rsidRPr="00B419CE" w:rsidRDefault="00B419CE" w:rsidP="00B419CE">
      <w:r w:rsidRPr="00B419CE">
        <w:t xml:space="preserve">Posten </w:t>
      </w:r>
      <w:proofErr w:type="spellStart"/>
      <w:r w:rsidRPr="00B419CE">
        <w:t>omfattar</w:t>
      </w:r>
      <w:proofErr w:type="spellEnd"/>
      <w:r w:rsidRPr="00B419CE">
        <w:t xml:space="preserve"> lønnsutgifter og utgifter til kjøp av varer og </w:t>
      </w:r>
      <w:proofErr w:type="spellStart"/>
      <w:r w:rsidRPr="00B419CE">
        <w:t>tenester</w:t>
      </w:r>
      <w:proofErr w:type="spellEnd"/>
      <w:r w:rsidRPr="00B419CE">
        <w:t>.</w:t>
      </w:r>
    </w:p>
    <w:p w14:paraId="02FB1B4B" w14:textId="77777777" w:rsidR="00B419CE" w:rsidRPr="00B419CE" w:rsidRDefault="00B419CE" w:rsidP="00B419CE">
      <w:pPr>
        <w:pStyle w:val="b-budkaptit"/>
      </w:pPr>
      <w:r w:rsidRPr="00B419CE">
        <w:t>Kap. 51 Riksrevisjonen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1332D182" w14:textId="77777777" w:rsidTr="00B419CE">
        <w:trPr>
          <w:trHeight w:val="640"/>
          <w:hidden/>
        </w:trPr>
        <w:tc>
          <w:tcPr>
            <w:tcW w:w="1140" w:type="dxa"/>
            <w:shd w:val="clear" w:color="auto" w:fill="FFFFFF"/>
          </w:tcPr>
          <w:p w14:paraId="7652C2F1" w14:textId="77777777" w:rsidR="00B419CE" w:rsidRPr="00B419CE" w:rsidRDefault="00B419CE" w:rsidP="00B419CE">
            <w:pPr>
              <w:pStyle w:val="Tabellnavn"/>
            </w:pPr>
            <w:r w:rsidRPr="00B419CE">
              <w:t>KPAL</w:t>
            </w:r>
          </w:p>
        </w:tc>
        <w:tc>
          <w:tcPr>
            <w:tcW w:w="4560" w:type="dxa"/>
          </w:tcPr>
          <w:p w14:paraId="600D8852" w14:textId="77777777" w:rsidR="00B419CE" w:rsidRPr="00B419CE" w:rsidRDefault="00B419CE" w:rsidP="00B419CE"/>
        </w:tc>
        <w:tc>
          <w:tcPr>
            <w:tcW w:w="1140" w:type="dxa"/>
          </w:tcPr>
          <w:p w14:paraId="02338A6F" w14:textId="77777777" w:rsidR="00B419CE" w:rsidRPr="00B419CE" w:rsidRDefault="00B419CE" w:rsidP="00B419CE">
            <w:pPr>
              <w:jc w:val="right"/>
            </w:pPr>
          </w:p>
        </w:tc>
        <w:tc>
          <w:tcPr>
            <w:tcW w:w="1140" w:type="dxa"/>
          </w:tcPr>
          <w:p w14:paraId="0E52733C" w14:textId="77777777" w:rsidR="00B419CE" w:rsidRPr="00B419CE" w:rsidRDefault="00B419CE" w:rsidP="00B419CE">
            <w:pPr>
              <w:jc w:val="right"/>
            </w:pPr>
          </w:p>
        </w:tc>
        <w:tc>
          <w:tcPr>
            <w:tcW w:w="1140" w:type="dxa"/>
          </w:tcPr>
          <w:p w14:paraId="0C1B6D0A" w14:textId="77777777" w:rsidR="00B419CE" w:rsidRPr="00B419CE" w:rsidRDefault="00B419CE" w:rsidP="00B419CE">
            <w:pPr>
              <w:jc w:val="right"/>
            </w:pPr>
            <w:r w:rsidRPr="00B419CE">
              <w:t>(i 1 000 kr)</w:t>
            </w:r>
          </w:p>
        </w:tc>
      </w:tr>
      <w:tr w:rsidR="00B419CE" w:rsidRPr="00B419CE" w14:paraId="4A01C21A" w14:textId="77777777" w:rsidTr="00B419CE">
        <w:trPr>
          <w:trHeight w:val="600"/>
        </w:trPr>
        <w:tc>
          <w:tcPr>
            <w:tcW w:w="1140" w:type="dxa"/>
          </w:tcPr>
          <w:p w14:paraId="1F9C1689" w14:textId="77777777" w:rsidR="00B419CE" w:rsidRPr="00B419CE" w:rsidRDefault="00B419CE" w:rsidP="00B419CE">
            <w:r w:rsidRPr="00B419CE">
              <w:t>Post</w:t>
            </w:r>
          </w:p>
        </w:tc>
        <w:tc>
          <w:tcPr>
            <w:tcW w:w="4560" w:type="dxa"/>
          </w:tcPr>
          <w:p w14:paraId="421942FC" w14:textId="77777777" w:rsidR="00B419CE" w:rsidRPr="00B419CE" w:rsidRDefault="00B419CE" w:rsidP="00B419CE">
            <w:proofErr w:type="spellStart"/>
            <w:r w:rsidRPr="00B419CE">
              <w:t>Nemning</w:t>
            </w:r>
            <w:proofErr w:type="spellEnd"/>
          </w:p>
        </w:tc>
        <w:tc>
          <w:tcPr>
            <w:tcW w:w="1140" w:type="dxa"/>
          </w:tcPr>
          <w:p w14:paraId="5E2BA6BF"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4BA8C820" w14:textId="77777777" w:rsidR="00B419CE" w:rsidRPr="00B419CE" w:rsidRDefault="00B419CE" w:rsidP="00B419CE">
            <w:pPr>
              <w:jc w:val="right"/>
            </w:pPr>
            <w:r w:rsidRPr="00B419CE">
              <w:t>Saldert</w:t>
            </w:r>
            <w:r w:rsidRPr="00B419CE">
              <w:br/>
              <w:t xml:space="preserve"> budsjett 2021</w:t>
            </w:r>
          </w:p>
        </w:tc>
        <w:tc>
          <w:tcPr>
            <w:tcW w:w="1140" w:type="dxa"/>
          </w:tcPr>
          <w:p w14:paraId="25124C31" w14:textId="77777777" w:rsidR="00B419CE" w:rsidRPr="00B419CE" w:rsidRDefault="00B419CE" w:rsidP="00B419CE">
            <w:pPr>
              <w:jc w:val="right"/>
            </w:pPr>
            <w:r w:rsidRPr="00B419CE">
              <w:t>Forslag</w:t>
            </w:r>
            <w:r w:rsidRPr="00B419CE">
              <w:br/>
              <w:t xml:space="preserve"> 2022</w:t>
            </w:r>
          </w:p>
        </w:tc>
      </w:tr>
      <w:tr w:rsidR="00B419CE" w:rsidRPr="00B419CE" w14:paraId="58CDC579" w14:textId="77777777" w:rsidTr="00B419CE">
        <w:trPr>
          <w:trHeight w:val="380"/>
        </w:trPr>
        <w:tc>
          <w:tcPr>
            <w:tcW w:w="1140" w:type="dxa"/>
          </w:tcPr>
          <w:p w14:paraId="4080322B" w14:textId="77777777" w:rsidR="00B419CE" w:rsidRPr="00B419CE" w:rsidRDefault="00B419CE" w:rsidP="00B419CE">
            <w:r w:rsidRPr="00B419CE">
              <w:t>01</w:t>
            </w:r>
          </w:p>
        </w:tc>
        <w:tc>
          <w:tcPr>
            <w:tcW w:w="4560" w:type="dxa"/>
          </w:tcPr>
          <w:p w14:paraId="1111637B" w14:textId="77777777" w:rsidR="00B419CE" w:rsidRPr="00B419CE" w:rsidRDefault="00B419CE" w:rsidP="00B419CE">
            <w:r w:rsidRPr="00B419CE">
              <w:t>Driftsutgifter</w:t>
            </w:r>
          </w:p>
        </w:tc>
        <w:tc>
          <w:tcPr>
            <w:tcW w:w="1140" w:type="dxa"/>
          </w:tcPr>
          <w:p w14:paraId="63222093" w14:textId="77777777" w:rsidR="00B419CE" w:rsidRPr="00B419CE" w:rsidRDefault="00B419CE" w:rsidP="00B419CE">
            <w:pPr>
              <w:jc w:val="right"/>
            </w:pPr>
            <w:r w:rsidRPr="00B419CE">
              <w:t>528 930</w:t>
            </w:r>
          </w:p>
        </w:tc>
        <w:tc>
          <w:tcPr>
            <w:tcW w:w="1140" w:type="dxa"/>
          </w:tcPr>
          <w:p w14:paraId="2F489EC4" w14:textId="77777777" w:rsidR="00B419CE" w:rsidRPr="00B419CE" w:rsidRDefault="00B419CE" w:rsidP="00B419CE">
            <w:pPr>
              <w:jc w:val="right"/>
            </w:pPr>
            <w:r w:rsidRPr="00B419CE">
              <w:t>552 491</w:t>
            </w:r>
          </w:p>
        </w:tc>
        <w:tc>
          <w:tcPr>
            <w:tcW w:w="1140" w:type="dxa"/>
          </w:tcPr>
          <w:p w14:paraId="0FFF863F" w14:textId="77777777" w:rsidR="00B419CE" w:rsidRPr="00B419CE" w:rsidRDefault="00B419CE" w:rsidP="00B419CE">
            <w:pPr>
              <w:jc w:val="right"/>
            </w:pPr>
            <w:r w:rsidRPr="00B419CE">
              <w:t>563 977</w:t>
            </w:r>
          </w:p>
        </w:tc>
      </w:tr>
      <w:tr w:rsidR="00B419CE" w:rsidRPr="00B419CE" w14:paraId="473808C3" w14:textId="77777777" w:rsidTr="00B419CE">
        <w:trPr>
          <w:trHeight w:val="380"/>
        </w:trPr>
        <w:tc>
          <w:tcPr>
            <w:tcW w:w="1140" w:type="dxa"/>
          </w:tcPr>
          <w:p w14:paraId="691DA1B3" w14:textId="77777777" w:rsidR="00B419CE" w:rsidRPr="00B419CE" w:rsidRDefault="00B419CE" w:rsidP="00B419CE">
            <w:r w:rsidRPr="00B419CE">
              <w:t>75</w:t>
            </w:r>
          </w:p>
        </w:tc>
        <w:tc>
          <w:tcPr>
            <w:tcW w:w="4560" w:type="dxa"/>
          </w:tcPr>
          <w:p w14:paraId="30D13BB3" w14:textId="77777777" w:rsidR="00B419CE" w:rsidRPr="00B419CE" w:rsidRDefault="00B419CE" w:rsidP="00B419CE">
            <w:r w:rsidRPr="00B419CE">
              <w:t xml:space="preserve">Internasjonale </w:t>
            </w:r>
            <w:proofErr w:type="spellStart"/>
            <w:r w:rsidRPr="00B419CE">
              <w:t>organisasjonar</w:t>
            </w:r>
            <w:proofErr w:type="spellEnd"/>
            <w:r w:rsidRPr="00B419CE">
              <w:t xml:space="preserve"> og nettverk</w:t>
            </w:r>
          </w:p>
        </w:tc>
        <w:tc>
          <w:tcPr>
            <w:tcW w:w="1140" w:type="dxa"/>
          </w:tcPr>
          <w:p w14:paraId="65EC1C8A" w14:textId="77777777" w:rsidR="00B419CE" w:rsidRPr="00B419CE" w:rsidRDefault="00B419CE" w:rsidP="00B419CE">
            <w:pPr>
              <w:jc w:val="right"/>
            </w:pPr>
            <w:r w:rsidRPr="00B419CE">
              <w:t>27 000</w:t>
            </w:r>
          </w:p>
        </w:tc>
        <w:tc>
          <w:tcPr>
            <w:tcW w:w="1140" w:type="dxa"/>
          </w:tcPr>
          <w:p w14:paraId="2E0FC428" w14:textId="77777777" w:rsidR="00B419CE" w:rsidRPr="00B419CE" w:rsidRDefault="00B419CE" w:rsidP="00B419CE">
            <w:pPr>
              <w:jc w:val="right"/>
            </w:pPr>
            <w:r w:rsidRPr="00B419CE">
              <w:t>27 900</w:t>
            </w:r>
          </w:p>
        </w:tc>
        <w:tc>
          <w:tcPr>
            <w:tcW w:w="1140" w:type="dxa"/>
          </w:tcPr>
          <w:p w14:paraId="2DE50D32" w14:textId="77777777" w:rsidR="00B419CE" w:rsidRPr="00B419CE" w:rsidRDefault="00B419CE" w:rsidP="00B419CE">
            <w:pPr>
              <w:jc w:val="right"/>
            </w:pPr>
            <w:r w:rsidRPr="00B419CE">
              <w:t>28 600</w:t>
            </w:r>
          </w:p>
        </w:tc>
      </w:tr>
      <w:tr w:rsidR="00B419CE" w:rsidRPr="00B419CE" w14:paraId="4944C422" w14:textId="77777777" w:rsidTr="00B419CE">
        <w:trPr>
          <w:trHeight w:val="380"/>
        </w:trPr>
        <w:tc>
          <w:tcPr>
            <w:tcW w:w="1140" w:type="dxa"/>
          </w:tcPr>
          <w:p w14:paraId="4BB4F343" w14:textId="77777777" w:rsidR="00B419CE" w:rsidRPr="00B419CE" w:rsidRDefault="00B419CE" w:rsidP="00B419CE"/>
        </w:tc>
        <w:tc>
          <w:tcPr>
            <w:tcW w:w="4560" w:type="dxa"/>
          </w:tcPr>
          <w:p w14:paraId="77E523AF" w14:textId="77777777" w:rsidR="00B419CE" w:rsidRPr="00B419CE" w:rsidRDefault="00B419CE" w:rsidP="00B419CE">
            <w:r w:rsidRPr="00B419CE">
              <w:t>Sum kap. 51</w:t>
            </w:r>
          </w:p>
        </w:tc>
        <w:tc>
          <w:tcPr>
            <w:tcW w:w="1140" w:type="dxa"/>
          </w:tcPr>
          <w:p w14:paraId="2C96E251" w14:textId="77777777" w:rsidR="00B419CE" w:rsidRPr="00B419CE" w:rsidRDefault="00B419CE" w:rsidP="00B419CE">
            <w:pPr>
              <w:jc w:val="right"/>
            </w:pPr>
            <w:r w:rsidRPr="00B419CE">
              <w:t>555 930</w:t>
            </w:r>
          </w:p>
        </w:tc>
        <w:tc>
          <w:tcPr>
            <w:tcW w:w="1140" w:type="dxa"/>
          </w:tcPr>
          <w:p w14:paraId="33750D13" w14:textId="77777777" w:rsidR="00B419CE" w:rsidRPr="00B419CE" w:rsidRDefault="00B419CE" w:rsidP="00B419CE">
            <w:pPr>
              <w:jc w:val="right"/>
            </w:pPr>
            <w:r w:rsidRPr="00B419CE">
              <w:t>580 391</w:t>
            </w:r>
          </w:p>
        </w:tc>
        <w:tc>
          <w:tcPr>
            <w:tcW w:w="1140" w:type="dxa"/>
          </w:tcPr>
          <w:p w14:paraId="2C836EF7" w14:textId="77777777" w:rsidR="00B419CE" w:rsidRPr="00B419CE" w:rsidRDefault="00B419CE" w:rsidP="00B419CE">
            <w:pPr>
              <w:jc w:val="right"/>
            </w:pPr>
            <w:r w:rsidRPr="00B419CE">
              <w:t>592 577</w:t>
            </w:r>
          </w:p>
        </w:tc>
      </w:tr>
    </w:tbl>
    <w:p w14:paraId="6E253459" w14:textId="77777777" w:rsidR="00B419CE" w:rsidRPr="00B419CE" w:rsidRDefault="00B419CE" w:rsidP="00B419CE">
      <w:pPr>
        <w:pStyle w:val="Undertittel"/>
      </w:pPr>
      <w:proofErr w:type="spellStart"/>
      <w:r w:rsidRPr="00B419CE">
        <w:t>Hovudoppgåver</w:t>
      </w:r>
      <w:proofErr w:type="spellEnd"/>
      <w:r w:rsidRPr="00B419CE">
        <w:t xml:space="preserve"> og organisering</w:t>
      </w:r>
    </w:p>
    <w:p w14:paraId="24563F08" w14:textId="77777777" w:rsidR="00B419CE" w:rsidRPr="00B419CE" w:rsidRDefault="00B419CE" w:rsidP="00B419CE">
      <w:r w:rsidRPr="00B419CE">
        <w:t xml:space="preserve">Riksrevisjonen blir leia av </w:t>
      </w:r>
      <w:proofErr w:type="spellStart"/>
      <w:r w:rsidRPr="00B419CE">
        <w:t>eit</w:t>
      </w:r>
      <w:proofErr w:type="spellEnd"/>
      <w:r w:rsidRPr="00B419CE">
        <w:t xml:space="preserve"> kollegium som består av fem </w:t>
      </w:r>
      <w:proofErr w:type="spellStart"/>
      <w:r w:rsidRPr="00B419CE">
        <w:t>riksrevisorar</w:t>
      </w:r>
      <w:proofErr w:type="spellEnd"/>
      <w:r w:rsidRPr="00B419CE">
        <w:t xml:space="preserve"> som er </w:t>
      </w:r>
      <w:proofErr w:type="spellStart"/>
      <w:r w:rsidRPr="00B419CE">
        <w:t>valde</w:t>
      </w:r>
      <w:proofErr w:type="spellEnd"/>
      <w:r w:rsidRPr="00B419CE">
        <w:t xml:space="preserve"> av Stortinget for </w:t>
      </w:r>
      <w:proofErr w:type="spellStart"/>
      <w:r w:rsidRPr="00B419CE">
        <w:t>ein</w:t>
      </w:r>
      <w:proofErr w:type="spellEnd"/>
      <w:r w:rsidRPr="00B419CE">
        <w:t xml:space="preserve"> periode på fire år. Riksrevisjonens formål, </w:t>
      </w:r>
      <w:proofErr w:type="spellStart"/>
      <w:r w:rsidRPr="00B419CE">
        <w:t>oppgåver</w:t>
      </w:r>
      <w:proofErr w:type="spellEnd"/>
      <w:r w:rsidRPr="00B419CE">
        <w:t xml:space="preserve"> og rammevilkår følger av lov om Riksrevisjonen av 7. mai 2004 nr. 21 og instruks om Riksrevisjonens virksomhet av 11. mars 2004. Riksrevisjonen skal gjennom revisjon, kontroll og rettleiing bidra til at inntektene til staten blir innbetalte som </w:t>
      </w:r>
      <w:proofErr w:type="spellStart"/>
      <w:r w:rsidRPr="00B419CE">
        <w:t>føresett</w:t>
      </w:r>
      <w:proofErr w:type="spellEnd"/>
      <w:r w:rsidRPr="00B419CE">
        <w:t xml:space="preserve">, og at </w:t>
      </w:r>
      <w:proofErr w:type="spellStart"/>
      <w:r w:rsidRPr="00B419CE">
        <w:t>midlane</w:t>
      </w:r>
      <w:proofErr w:type="spellEnd"/>
      <w:r w:rsidRPr="00B419CE">
        <w:t xml:space="preserve"> og </w:t>
      </w:r>
      <w:proofErr w:type="spellStart"/>
      <w:r w:rsidRPr="00B419CE">
        <w:t>verdiane</w:t>
      </w:r>
      <w:proofErr w:type="spellEnd"/>
      <w:r w:rsidRPr="00B419CE">
        <w:t xml:space="preserve"> til staten blir brukte og forvalta på </w:t>
      </w:r>
      <w:proofErr w:type="spellStart"/>
      <w:r w:rsidRPr="00B419CE">
        <w:t>ein</w:t>
      </w:r>
      <w:proofErr w:type="spellEnd"/>
      <w:r w:rsidRPr="00B419CE">
        <w:t xml:space="preserve"> økonomisk </w:t>
      </w:r>
      <w:proofErr w:type="spellStart"/>
      <w:r w:rsidRPr="00B419CE">
        <w:t>forsvarleg</w:t>
      </w:r>
      <w:proofErr w:type="spellEnd"/>
      <w:r w:rsidRPr="00B419CE">
        <w:t xml:space="preserve"> måte og i samsvar med Stortingets vedtak og </w:t>
      </w:r>
      <w:proofErr w:type="spellStart"/>
      <w:r w:rsidRPr="00B419CE">
        <w:t>føresetnader</w:t>
      </w:r>
      <w:proofErr w:type="spellEnd"/>
      <w:r w:rsidRPr="00B419CE">
        <w:t>, jf. riksrevisjonslova § 1.</w:t>
      </w:r>
    </w:p>
    <w:p w14:paraId="1BBCE3C2" w14:textId="77777777" w:rsidR="00B419CE" w:rsidRPr="00B419CE" w:rsidRDefault="00B419CE" w:rsidP="00B419CE">
      <w:r w:rsidRPr="00B419CE">
        <w:t xml:space="preserve">Riksrevisjonen utfører </w:t>
      </w:r>
      <w:proofErr w:type="spellStart"/>
      <w:r w:rsidRPr="00B419CE">
        <w:t>årleg</w:t>
      </w:r>
      <w:proofErr w:type="spellEnd"/>
      <w:r w:rsidRPr="00B419CE">
        <w:t xml:space="preserve"> pålagde, faste </w:t>
      </w:r>
      <w:proofErr w:type="spellStart"/>
      <w:r w:rsidRPr="00B419CE">
        <w:t>revisjonsoppgåver</w:t>
      </w:r>
      <w:proofErr w:type="spellEnd"/>
      <w:r w:rsidRPr="00B419CE">
        <w:t xml:space="preserve"> som finansiell revisjon og selskapskontroll, i tillegg til </w:t>
      </w:r>
      <w:proofErr w:type="spellStart"/>
      <w:r w:rsidRPr="00B419CE">
        <w:t>revisjonsoppgåver</w:t>
      </w:r>
      <w:proofErr w:type="spellEnd"/>
      <w:r w:rsidRPr="00B419CE">
        <w:t xml:space="preserve"> Riksrevisjonen </w:t>
      </w:r>
      <w:proofErr w:type="spellStart"/>
      <w:r w:rsidRPr="00B419CE">
        <w:t>sjølv</w:t>
      </w:r>
      <w:proofErr w:type="spellEnd"/>
      <w:r w:rsidRPr="00B419CE">
        <w:t xml:space="preserve"> bestemmer ut </w:t>
      </w:r>
      <w:proofErr w:type="spellStart"/>
      <w:r w:rsidRPr="00B419CE">
        <w:t>frå</w:t>
      </w:r>
      <w:proofErr w:type="spellEnd"/>
      <w:r w:rsidRPr="00B419CE">
        <w:t xml:space="preserve"> ei vurdering av risiko og kva </w:t>
      </w:r>
      <w:proofErr w:type="spellStart"/>
      <w:r w:rsidRPr="00B419CE">
        <w:t>dei</w:t>
      </w:r>
      <w:proofErr w:type="spellEnd"/>
      <w:r w:rsidRPr="00B419CE">
        <w:t xml:space="preserve"> ser på som </w:t>
      </w:r>
      <w:proofErr w:type="spellStart"/>
      <w:r w:rsidRPr="00B419CE">
        <w:t>vesentleg</w:t>
      </w:r>
      <w:proofErr w:type="spellEnd"/>
      <w:r w:rsidRPr="00B419CE">
        <w:t xml:space="preserve">. I </w:t>
      </w:r>
      <w:proofErr w:type="spellStart"/>
      <w:r w:rsidRPr="00B419CE">
        <w:t>valet</w:t>
      </w:r>
      <w:proofErr w:type="spellEnd"/>
      <w:r w:rsidRPr="00B419CE">
        <w:t xml:space="preserve"> av </w:t>
      </w:r>
      <w:proofErr w:type="spellStart"/>
      <w:r w:rsidRPr="00B419CE">
        <w:t>oppgåver</w:t>
      </w:r>
      <w:proofErr w:type="spellEnd"/>
      <w:r w:rsidRPr="00B419CE">
        <w:t xml:space="preserve"> blir det lagt vekt på aktualitet og relevans både for Stortinget og for </w:t>
      </w:r>
      <w:proofErr w:type="spellStart"/>
      <w:r w:rsidRPr="00B419CE">
        <w:t>allmenta</w:t>
      </w:r>
      <w:proofErr w:type="spellEnd"/>
      <w:r w:rsidRPr="00B419CE">
        <w:t>.</w:t>
      </w:r>
    </w:p>
    <w:p w14:paraId="387A58C0" w14:textId="77777777" w:rsidR="00B419CE" w:rsidRPr="00B419CE" w:rsidRDefault="00B419CE" w:rsidP="00B419CE">
      <w:r w:rsidRPr="00B419CE">
        <w:t xml:space="preserve">Riksrevisjonen kan også etter avtale påta seg revisjons-, kontroll- og bistandsoppdrag internasjonalt. Stortinget kan pålegge Riksrevisjonen å sette i gang </w:t>
      </w:r>
      <w:proofErr w:type="spellStart"/>
      <w:r w:rsidRPr="00B419CE">
        <w:t>særlege</w:t>
      </w:r>
      <w:proofErr w:type="spellEnd"/>
      <w:r w:rsidRPr="00B419CE">
        <w:t xml:space="preserve"> </w:t>
      </w:r>
      <w:proofErr w:type="spellStart"/>
      <w:r w:rsidRPr="00B419CE">
        <w:t>undersøkingar</w:t>
      </w:r>
      <w:proofErr w:type="spellEnd"/>
      <w:r w:rsidRPr="00B419CE">
        <w:t xml:space="preserve">. </w:t>
      </w:r>
      <w:proofErr w:type="spellStart"/>
      <w:r w:rsidRPr="00B419CE">
        <w:t>Oppgåvene</w:t>
      </w:r>
      <w:proofErr w:type="spellEnd"/>
      <w:r w:rsidRPr="00B419CE">
        <w:t xml:space="preserve"> er </w:t>
      </w:r>
      <w:proofErr w:type="spellStart"/>
      <w:r w:rsidRPr="00B419CE">
        <w:t>nærmare</w:t>
      </w:r>
      <w:proofErr w:type="spellEnd"/>
      <w:r w:rsidRPr="00B419CE">
        <w:t xml:space="preserve"> utdjupa i instruks om Riksrevisjonens virksomhet. Riksrevisjonen er organisert i sju </w:t>
      </w:r>
      <w:proofErr w:type="spellStart"/>
      <w:r w:rsidRPr="00B419CE">
        <w:t>avdelingar</w:t>
      </w:r>
      <w:proofErr w:type="spellEnd"/>
      <w:r w:rsidRPr="00B419CE">
        <w:t xml:space="preserve">: tre </w:t>
      </w:r>
      <w:proofErr w:type="spellStart"/>
      <w:r w:rsidRPr="00B419CE">
        <w:t>rekneskapsrevisjonsavdelingar</w:t>
      </w:r>
      <w:proofErr w:type="spellEnd"/>
      <w:r w:rsidRPr="00B419CE">
        <w:t xml:space="preserve">, to </w:t>
      </w:r>
      <w:proofErr w:type="spellStart"/>
      <w:r w:rsidRPr="00B419CE">
        <w:t>forvaltningsrevisjonsavdelingar</w:t>
      </w:r>
      <w:proofErr w:type="spellEnd"/>
      <w:r w:rsidRPr="00B419CE">
        <w:t xml:space="preserve">, </w:t>
      </w:r>
      <w:proofErr w:type="spellStart"/>
      <w:r w:rsidRPr="00B419CE">
        <w:t>éi</w:t>
      </w:r>
      <w:proofErr w:type="spellEnd"/>
      <w:r w:rsidRPr="00B419CE">
        <w:t xml:space="preserve"> avdeling for metodestøtte og utvikling og </w:t>
      </w:r>
      <w:proofErr w:type="spellStart"/>
      <w:r w:rsidRPr="00B419CE">
        <w:t>éi</w:t>
      </w:r>
      <w:proofErr w:type="spellEnd"/>
      <w:r w:rsidRPr="00B419CE">
        <w:t xml:space="preserve"> administrasjonsavdeling. I tillegg er det </w:t>
      </w:r>
      <w:proofErr w:type="spellStart"/>
      <w:r w:rsidRPr="00B419CE">
        <w:t>ein</w:t>
      </w:r>
      <w:proofErr w:type="spellEnd"/>
      <w:r w:rsidRPr="00B419CE">
        <w:t xml:space="preserve"> stabsseksjon og </w:t>
      </w:r>
      <w:proofErr w:type="spellStart"/>
      <w:r w:rsidRPr="00B419CE">
        <w:t>ein</w:t>
      </w:r>
      <w:proofErr w:type="spellEnd"/>
      <w:r w:rsidRPr="00B419CE">
        <w:t xml:space="preserve"> internasjonal seksjon som er direkte </w:t>
      </w:r>
      <w:proofErr w:type="spellStart"/>
      <w:r w:rsidRPr="00B419CE">
        <w:t>underlagde</w:t>
      </w:r>
      <w:proofErr w:type="spellEnd"/>
      <w:r w:rsidRPr="00B419CE">
        <w:t xml:space="preserve"> revisjonsråden.</w:t>
      </w:r>
    </w:p>
    <w:p w14:paraId="48AB9E55" w14:textId="77777777" w:rsidR="00B419CE" w:rsidRPr="00B419CE" w:rsidRDefault="00B419CE" w:rsidP="00B419CE">
      <w:pPr>
        <w:pStyle w:val="Undertittel"/>
      </w:pPr>
      <w:r w:rsidRPr="00B419CE">
        <w:t>Rapport 2020</w:t>
      </w:r>
    </w:p>
    <w:p w14:paraId="7AE601E2" w14:textId="77777777" w:rsidR="00B419CE" w:rsidRPr="00B419CE" w:rsidRDefault="00B419CE" w:rsidP="00B419CE">
      <w:r w:rsidRPr="00B419CE">
        <w:t xml:space="preserve">Riksrevisjonens visjon for planperioden 2018–2024 er: Revisjon til nytte for </w:t>
      </w:r>
      <w:proofErr w:type="spellStart"/>
      <w:r w:rsidRPr="00B419CE">
        <w:t>morgondagens</w:t>
      </w:r>
      <w:proofErr w:type="spellEnd"/>
      <w:r w:rsidRPr="00B419CE">
        <w:t xml:space="preserve"> samfunn. Det er definert tre </w:t>
      </w:r>
      <w:proofErr w:type="spellStart"/>
      <w:r w:rsidRPr="00B419CE">
        <w:t>hovudmål</w:t>
      </w:r>
      <w:proofErr w:type="spellEnd"/>
      <w:r w:rsidRPr="00B419CE">
        <w:t>:</w:t>
      </w:r>
    </w:p>
    <w:p w14:paraId="64E34797" w14:textId="77777777" w:rsidR="00B419CE" w:rsidRPr="00B419CE" w:rsidRDefault="00B419CE" w:rsidP="00B419CE">
      <w:pPr>
        <w:pStyle w:val="Liste"/>
      </w:pPr>
      <w:r w:rsidRPr="00B419CE">
        <w:t xml:space="preserve">Riksrevisjonen skal </w:t>
      </w:r>
      <w:proofErr w:type="spellStart"/>
      <w:r w:rsidRPr="00B419CE">
        <w:t>vere</w:t>
      </w:r>
      <w:proofErr w:type="spellEnd"/>
      <w:r w:rsidRPr="00B419CE">
        <w:t xml:space="preserve"> samfunnets fremste leverandør av aktuell og relevant </w:t>
      </w:r>
      <w:proofErr w:type="spellStart"/>
      <w:r w:rsidRPr="00B419CE">
        <w:t>offentleg</w:t>
      </w:r>
      <w:proofErr w:type="spellEnd"/>
      <w:r w:rsidRPr="00B419CE">
        <w:t xml:space="preserve"> revisjon.</w:t>
      </w:r>
    </w:p>
    <w:p w14:paraId="7E3E5BDF" w14:textId="77777777" w:rsidR="00B419CE" w:rsidRPr="00B419CE" w:rsidRDefault="00B419CE" w:rsidP="00B419CE">
      <w:pPr>
        <w:pStyle w:val="Liste"/>
      </w:pPr>
      <w:r w:rsidRPr="00B419CE">
        <w:t xml:space="preserve">Riksrevisjonen skal gjennomføre revisjon og kontroll av </w:t>
      </w:r>
      <w:proofErr w:type="spellStart"/>
      <w:r w:rsidRPr="00B419CE">
        <w:t>høg</w:t>
      </w:r>
      <w:proofErr w:type="spellEnd"/>
      <w:r w:rsidRPr="00B419CE">
        <w:t xml:space="preserve"> kvalitet.</w:t>
      </w:r>
    </w:p>
    <w:p w14:paraId="3957690E" w14:textId="77777777" w:rsidR="00B419CE" w:rsidRPr="00B419CE" w:rsidRDefault="00B419CE" w:rsidP="00B419CE">
      <w:pPr>
        <w:pStyle w:val="Liste"/>
      </w:pPr>
      <w:r w:rsidRPr="00B419CE">
        <w:lastRenderedPageBreak/>
        <w:t xml:space="preserve">Riksrevisjonen skal </w:t>
      </w:r>
      <w:proofErr w:type="spellStart"/>
      <w:r w:rsidRPr="00B419CE">
        <w:t>vere</w:t>
      </w:r>
      <w:proofErr w:type="spellEnd"/>
      <w:r w:rsidRPr="00B419CE">
        <w:t xml:space="preserve"> </w:t>
      </w:r>
      <w:proofErr w:type="spellStart"/>
      <w:r w:rsidRPr="00B419CE">
        <w:t>ein</w:t>
      </w:r>
      <w:proofErr w:type="spellEnd"/>
      <w:r w:rsidRPr="00B419CE">
        <w:t xml:space="preserve"> effektiv organisasjon.</w:t>
      </w:r>
    </w:p>
    <w:p w14:paraId="69661F6A" w14:textId="77777777" w:rsidR="00B419CE" w:rsidRPr="00B419CE" w:rsidRDefault="00B419CE" w:rsidP="00B419CE">
      <w:r w:rsidRPr="00B419CE">
        <w:t xml:space="preserve">2020 har </w:t>
      </w:r>
      <w:proofErr w:type="spellStart"/>
      <w:r w:rsidRPr="00B419CE">
        <w:t>vore</w:t>
      </w:r>
      <w:proofErr w:type="spellEnd"/>
      <w:r w:rsidRPr="00B419CE">
        <w:t xml:space="preserve"> </w:t>
      </w:r>
      <w:proofErr w:type="spellStart"/>
      <w:r w:rsidRPr="00B419CE">
        <w:t>eit</w:t>
      </w:r>
      <w:proofErr w:type="spellEnd"/>
      <w:r w:rsidRPr="00B419CE">
        <w:t xml:space="preserve"> </w:t>
      </w:r>
      <w:proofErr w:type="spellStart"/>
      <w:r w:rsidRPr="00B419CE">
        <w:t>krevjande</w:t>
      </w:r>
      <w:proofErr w:type="spellEnd"/>
      <w:r w:rsidRPr="00B419CE">
        <w:t xml:space="preserve"> år prega av koronapandemien, og </w:t>
      </w:r>
      <w:proofErr w:type="spellStart"/>
      <w:r w:rsidRPr="00B419CE">
        <w:t>medarbeidarane</w:t>
      </w:r>
      <w:proofErr w:type="spellEnd"/>
      <w:r w:rsidRPr="00B419CE">
        <w:t xml:space="preserve"> har i </w:t>
      </w:r>
      <w:proofErr w:type="spellStart"/>
      <w:r w:rsidRPr="00B419CE">
        <w:t>hovudsak</w:t>
      </w:r>
      <w:proofErr w:type="spellEnd"/>
      <w:r w:rsidRPr="00B419CE">
        <w:t xml:space="preserve"> jobba </w:t>
      </w:r>
      <w:proofErr w:type="spellStart"/>
      <w:r w:rsidRPr="00B419CE">
        <w:t>frå</w:t>
      </w:r>
      <w:proofErr w:type="spellEnd"/>
      <w:r w:rsidRPr="00B419CE">
        <w:t xml:space="preserve"> heimekontor. Det blei </w:t>
      </w:r>
      <w:proofErr w:type="spellStart"/>
      <w:r w:rsidRPr="00B419CE">
        <w:t>tidleg</w:t>
      </w:r>
      <w:proofErr w:type="spellEnd"/>
      <w:r w:rsidRPr="00B419CE">
        <w:t xml:space="preserve"> investert i tilrettelegging for heimekontor, og </w:t>
      </w:r>
      <w:proofErr w:type="spellStart"/>
      <w:r w:rsidRPr="00B419CE">
        <w:t>oppgåvene</w:t>
      </w:r>
      <w:proofErr w:type="spellEnd"/>
      <w:r w:rsidRPr="00B419CE">
        <w:t xml:space="preserve"> er løyste digitalt med effektive </w:t>
      </w:r>
      <w:proofErr w:type="spellStart"/>
      <w:r w:rsidRPr="00B419CE">
        <w:t>løysingar</w:t>
      </w:r>
      <w:proofErr w:type="spellEnd"/>
      <w:r w:rsidRPr="00B419CE">
        <w:t xml:space="preserve"> for kommunikasjon. I prioritering av </w:t>
      </w:r>
      <w:proofErr w:type="spellStart"/>
      <w:r w:rsidRPr="00B419CE">
        <w:t>oppgåver</w:t>
      </w:r>
      <w:proofErr w:type="spellEnd"/>
      <w:r w:rsidRPr="00B419CE">
        <w:t xml:space="preserve"> blei omsynet til </w:t>
      </w:r>
      <w:proofErr w:type="spellStart"/>
      <w:r w:rsidRPr="00B419CE">
        <w:t>medarbeidarar</w:t>
      </w:r>
      <w:proofErr w:type="spellEnd"/>
      <w:r w:rsidRPr="00B419CE">
        <w:t xml:space="preserve"> og </w:t>
      </w:r>
      <w:proofErr w:type="spellStart"/>
      <w:r w:rsidRPr="00B419CE">
        <w:t>eit</w:t>
      </w:r>
      <w:proofErr w:type="spellEnd"/>
      <w:r w:rsidRPr="00B419CE">
        <w:t xml:space="preserve"> </w:t>
      </w:r>
      <w:proofErr w:type="spellStart"/>
      <w:r w:rsidRPr="00B419CE">
        <w:t>forsvarleg</w:t>
      </w:r>
      <w:proofErr w:type="spellEnd"/>
      <w:r w:rsidRPr="00B419CE">
        <w:t xml:space="preserve"> arbeidsmiljø balansert mot produksjon. Omsynet til forvaltninga vog også tungt. I </w:t>
      </w:r>
      <w:proofErr w:type="spellStart"/>
      <w:r w:rsidRPr="00B419CE">
        <w:t>nokre</w:t>
      </w:r>
      <w:proofErr w:type="spellEnd"/>
      <w:r w:rsidRPr="00B419CE">
        <w:t xml:space="preserve"> tilfelle blei </w:t>
      </w:r>
      <w:proofErr w:type="spellStart"/>
      <w:r w:rsidRPr="00B419CE">
        <w:t>aktivitetar</w:t>
      </w:r>
      <w:proofErr w:type="spellEnd"/>
      <w:r w:rsidRPr="00B419CE">
        <w:t xml:space="preserve"> utsette, mellom anna som følge av </w:t>
      </w:r>
      <w:proofErr w:type="spellStart"/>
      <w:r w:rsidRPr="00B419CE">
        <w:t>reiserestriksjonane</w:t>
      </w:r>
      <w:proofErr w:type="spellEnd"/>
      <w:r w:rsidRPr="00B419CE">
        <w:t xml:space="preserve">. Fristen for å legge fram </w:t>
      </w:r>
      <w:proofErr w:type="spellStart"/>
      <w:r w:rsidRPr="00B419CE">
        <w:t>revisjonsmeldingar</w:t>
      </w:r>
      <w:proofErr w:type="spellEnd"/>
      <w:r w:rsidRPr="00B419CE">
        <w:t xml:space="preserve"> for 2019 blei utsett, og overlevering av </w:t>
      </w:r>
      <w:proofErr w:type="spellStart"/>
      <w:r w:rsidRPr="00B419CE">
        <w:t>fleire</w:t>
      </w:r>
      <w:proofErr w:type="spellEnd"/>
      <w:r w:rsidRPr="00B419CE">
        <w:t xml:space="preserve"> </w:t>
      </w:r>
      <w:proofErr w:type="spellStart"/>
      <w:r w:rsidRPr="00B419CE">
        <w:t>planlagde</w:t>
      </w:r>
      <w:proofErr w:type="spellEnd"/>
      <w:r w:rsidRPr="00B419CE">
        <w:t xml:space="preserve"> </w:t>
      </w:r>
      <w:proofErr w:type="spellStart"/>
      <w:r w:rsidRPr="00B419CE">
        <w:t>undersøkingar</w:t>
      </w:r>
      <w:proofErr w:type="spellEnd"/>
      <w:r w:rsidRPr="00B419CE">
        <w:t xml:space="preserve"> blei utsett til 2021. I tillegg blei </w:t>
      </w:r>
      <w:proofErr w:type="spellStart"/>
      <w:r w:rsidRPr="00B419CE">
        <w:t>nokre</w:t>
      </w:r>
      <w:proofErr w:type="spellEnd"/>
      <w:r w:rsidRPr="00B419CE">
        <w:t xml:space="preserve"> interne </w:t>
      </w:r>
      <w:proofErr w:type="spellStart"/>
      <w:r w:rsidRPr="00B419CE">
        <w:t>aktivitetar</w:t>
      </w:r>
      <w:proofErr w:type="spellEnd"/>
      <w:r w:rsidRPr="00B419CE">
        <w:t xml:space="preserve"> og utviklingsprosjekt </w:t>
      </w:r>
      <w:proofErr w:type="spellStart"/>
      <w:r w:rsidRPr="00B419CE">
        <w:t>forseinka</w:t>
      </w:r>
      <w:proofErr w:type="spellEnd"/>
      <w:r w:rsidRPr="00B419CE">
        <w:t xml:space="preserve"> som følge av pandemien.</w:t>
      </w:r>
    </w:p>
    <w:p w14:paraId="0DD023D7" w14:textId="77777777" w:rsidR="00B419CE" w:rsidRPr="00B419CE" w:rsidRDefault="00B419CE" w:rsidP="00B419CE">
      <w:r w:rsidRPr="00B419CE">
        <w:t xml:space="preserve">Dokument 1, der </w:t>
      </w:r>
      <w:proofErr w:type="spellStart"/>
      <w:r w:rsidRPr="00B419CE">
        <w:t>statsrekneskapen</w:t>
      </w:r>
      <w:proofErr w:type="spellEnd"/>
      <w:r w:rsidRPr="00B419CE">
        <w:t xml:space="preserve"> og totalt 230 </w:t>
      </w:r>
      <w:proofErr w:type="spellStart"/>
      <w:r w:rsidRPr="00B419CE">
        <w:t>verksemdsrekneskapar</w:t>
      </w:r>
      <w:proofErr w:type="spellEnd"/>
      <w:r w:rsidRPr="00B419CE">
        <w:t xml:space="preserve"> for 2019 er reviderte, blei overlevert Stortinget 3. november. Den </w:t>
      </w:r>
      <w:proofErr w:type="spellStart"/>
      <w:r w:rsidRPr="00B419CE">
        <w:t>årlege</w:t>
      </w:r>
      <w:proofErr w:type="spellEnd"/>
      <w:r w:rsidRPr="00B419CE">
        <w:t xml:space="preserve"> selskapskontrollen blei også gjennomført. </w:t>
      </w:r>
      <w:proofErr w:type="spellStart"/>
      <w:r w:rsidRPr="00B419CE">
        <w:t>Vidare</w:t>
      </w:r>
      <w:proofErr w:type="spellEnd"/>
      <w:r w:rsidRPr="00B419CE">
        <w:t xml:space="preserve"> blei elleve </w:t>
      </w:r>
      <w:proofErr w:type="spellStart"/>
      <w:r w:rsidRPr="00B419CE">
        <w:t>forvaltningsrevisjonar</w:t>
      </w:r>
      <w:proofErr w:type="spellEnd"/>
      <w:r w:rsidRPr="00B419CE">
        <w:t xml:space="preserve"> og sju </w:t>
      </w:r>
      <w:proofErr w:type="spellStart"/>
      <w:r w:rsidRPr="00B419CE">
        <w:t>etterlevingsrevisjonar</w:t>
      </w:r>
      <w:proofErr w:type="spellEnd"/>
      <w:r w:rsidRPr="00B419CE">
        <w:t xml:space="preserve"> rapporterte til Stortinget i 2020. I tillegg til å sjå </w:t>
      </w:r>
      <w:proofErr w:type="spellStart"/>
      <w:r w:rsidRPr="00B419CE">
        <w:t>tydelege</w:t>
      </w:r>
      <w:proofErr w:type="spellEnd"/>
      <w:r w:rsidRPr="00B419CE">
        <w:t xml:space="preserve"> </w:t>
      </w:r>
      <w:proofErr w:type="spellStart"/>
      <w:r w:rsidRPr="00B419CE">
        <w:t>gevinstar</w:t>
      </w:r>
      <w:proofErr w:type="spellEnd"/>
      <w:r w:rsidRPr="00B419CE">
        <w:t xml:space="preserve"> </w:t>
      </w:r>
      <w:proofErr w:type="spellStart"/>
      <w:r w:rsidRPr="00B419CE">
        <w:t>frå</w:t>
      </w:r>
      <w:proofErr w:type="spellEnd"/>
      <w:r w:rsidRPr="00B419CE">
        <w:t xml:space="preserve"> </w:t>
      </w:r>
      <w:proofErr w:type="spellStart"/>
      <w:r w:rsidRPr="00B419CE">
        <w:t>tidlegare</w:t>
      </w:r>
      <w:proofErr w:type="spellEnd"/>
      <w:r w:rsidRPr="00B419CE">
        <w:t xml:space="preserve"> arbeid med modernisering, effektivisering og digitalisering av </w:t>
      </w:r>
      <w:proofErr w:type="spellStart"/>
      <w:r w:rsidRPr="00B419CE">
        <w:t>verksemda</w:t>
      </w:r>
      <w:proofErr w:type="spellEnd"/>
      <w:r w:rsidRPr="00B419CE">
        <w:t xml:space="preserve"> blei nye steg tatt i 2020. </w:t>
      </w:r>
      <w:proofErr w:type="spellStart"/>
      <w:r w:rsidRPr="00B419CE">
        <w:t>Desse</w:t>
      </w:r>
      <w:proofErr w:type="spellEnd"/>
      <w:r w:rsidRPr="00B419CE">
        <w:t xml:space="preserve"> grepa gjorde Riksrevisjonen i stand til raskt å kunne omstille seg da pandemien </w:t>
      </w:r>
      <w:proofErr w:type="spellStart"/>
      <w:r w:rsidRPr="00B419CE">
        <w:t>inntrefte</w:t>
      </w:r>
      <w:proofErr w:type="spellEnd"/>
      <w:r w:rsidRPr="00B419CE">
        <w:t xml:space="preserve">. Digital kommunikasjon </w:t>
      </w:r>
      <w:proofErr w:type="spellStart"/>
      <w:r w:rsidRPr="00B419CE">
        <w:t>saman</w:t>
      </w:r>
      <w:proofErr w:type="spellEnd"/>
      <w:r w:rsidRPr="00B419CE">
        <w:t xml:space="preserve"> med investering i tilrettelegging for heimekontor legg </w:t>
      </w:r>
      <w:proofErr w:type="spellStart"/>
      <w:r w:rsidRPr="00B419CE">
        <w:t>eit</w:t>
      </w:r>
      <w:proofErr w:type="spellEnd"/>
      <w:r w:rsidRPr="00B419CE">
        <w:t xml:space="preserve"> godt grunnlag for </w:t>
      </w:r>
      <w:proofErr w:type="spellStart"/>
      <w:r w:rsidRPr="00B419CE">
        <w:t>arbeidskvardagen</w:t>
      </w:r>
      <w:proofErr w:type="spellEnd"/>
      <w:r w:rsidRPr="00B419CE">
        <w:t xml:space="preserve"> etter pandemien.</w:t>
      </w:r>
    </w:p>
    <w:p w14:paraId="04FBAC07" w14:textId="77777777" w:rsidR="00B419CE" w:rsidRPr="00B419CE" w:rsidRDefault="00B419CE" w:rsidP="00B419CE">
      <w:r w:rsidRPr="00B419CE">
        <w:t xml:space="preserve">Internasjonale </w:t>
      </w:r>
      <w:proofErr w:type="spellStart"/>
      <w:r w:rsidRPr="00B419CE">
        <w:t>aktivitetar</w:t>
      </w:r>
      <w:proofErr w:type="spellEnd"/>
      <w:r w:rsidRPr="00B419CE">
        <w:t xml:space="preserve"> og samarbeid er gjennomført i 2020 trass i </w:t>
      </w:r>
      <w:proofErr w:type="spellStart"/>
      <w:r w:rsidRPr="00B419CE">
        <w:t>utfordrande</w:t>
      </w:r>
      <w:proofErr w:type="spellEnd"/>
      <w:r w:rsidRPr="00B419CE">
        <w:t xml:space="preserve"> arbeidsforhold under koronapandemien. Møte og </w:t>
      </w:r>
      <w:proofErr w:type="spellStart"/>
      <w:r w:rsidRPr="00B419CE">
        <w:t>samarbeidsaktivitetar</w:t>
      </w:r>
      <w:proofErr w:type="spellEnd"/>
      <w:r w:rsidRPr="00B419CE">
        <w:t xml:space="preserve"> har stort sett gått føre seg på digitale plattformer, og nye digitale verktøy for samhandling og læring er tatt i bruk. Riksrevisjonen har rapportert </w:t>
      </w:r>
      <w:proofErr w:type="spellStart"/>
      <w:r w:rsidRPr="00B419CE">
        <w:t>nærmare</w:t>
      </w:r>
      <w:proofErr w:type="spellEnd"/>
      <w:r w:rsidRPr="00B419CE">
        <w:t xml:space="preserve"> 8,3 </w:t>
      </w:r>
      <w:proofErr w:type="spellStart"/>
      <w:r w:rsidRPr="00B419CE">
        <w:t>millionar</w:t>
      </w:r>
      <w:proofErr w:type="spellEnd"/>
      <w:r w:rsidRPr="00B419CE">
        <w:t xml:space="preserve"> kroner til OECD-DAC i 2020, mot 15 </w:t>
      </w:r>
      <w:proofErr w:type="spellStart"/>
      <w:r w:rsidRPr="00B419CE">
        <w:t>millionar</w:t>
      </w:r>
      <w:proofErr w:type="spellEnd"/>
      <w:r w:rsidRPr="00B419CE">
        <w:t xml:space="preserve"> kroner i 2019. Årsaka er redusert aktivitet som følge av pandemien. At det </w:t>
      </w:r>
      <w:proofErr w:type="spellStart"/>
      <w:r w:rsidRPr="00B419CE">
        <w:t>ikkje</w:t>
      </w:r>
      <w:proofErr w:type="spellEnd"/>
      <w:r w:rsidRPr="00B419CE">
        <w:t xml:space="preserve"> har </w:t>
      </w:r>
      <w:proofErr w:type="spellStart"/>
      <w:r w:rsidRPr="00B419CE">
        <w:t>vore</w:t>
      </w:r>
      <w:proofErr w:type="spellEnd"/>
      <w:r w:rsidRPr="00B419CE">
        <w:t xml:space="preserve"> </w:t>
      </w:r>
      <w:proofErr w:type="spellStart"/>
      <w:r w:rsidRPr="00B419CE">
        <w:t>mogleg</w:t>
      </w:r>
      <w:proofErr w:type="spellEnd"/>
      <w:r w:rsidRPr="00B419CE">
        <w:t xml:space="preserve"> å reise, har gjort det svært </w:t>
      </w:r>
      <w:proofErr w:type="spellStart"/>
      <w:r w:rsidRPr="00B419CE">
        <w:t>vanskeleg</w:t>
      </w:r>
      <w:proofErr w:type="spellEnd"/>
      <w:r w:rsidRPr="00B419CE">
        <w:t xml:space="preserve"> å komme i gang med nye samarbeidsprosjekt på bistandsområdet, </w:t>
      </w:r>
      <w:proofErr w:type="spellStart"/>
      <w:r w:rsidRPr="00B419CE">
        <w:t>noko</w:t>
      </w:r>
      <w:proofErr w:type="spellEnd"/>
      <w:r w:rsidRPr="00B419CE">
        <w:t xml:space="preserve"> som var planlagt i 2020.</w:t>
      </w:r>
    </w:p>
    <w:p w14:paraId="46032F81" w14:textId="77777777" w:rsidR="00B419CE" w:rsidRPr="00B419CE" w:rsidRDefault="00B419CE" w:rsidP="00B419CE">
      <w:r w:rsidRPr="00B419CE">
        <w:t xml:space="preserve">Ei detaljert orientering om </w:t>
      </w:r>
      <w:proofErr w:type="spellStart"/>
      <w:r w:rsidRPr="00B419CE">
        <w:t>verksemda</w:t>
      </w:r>
      <w:proofErr w:type="spellEnd"/>
      <w:r w:rsidRPr="00B419CE">
        <w:t xml:space="preserve"> i 2020 blei lagd fram for Stortinget i Dokument 2 (2020–2021).</w:t>
      </w:r>
    </w:p>
    <w:p w14:paraId="03425317" w14:textId="77777777" w:rsidR="00B419CE" w:rsidRPr="00B419CE" w:rsidRDefault="00B419CE" w:rsidP="00B419CE">
      <w:pPr>
        <w:pStyle w:val="Undertittel"/>
      </w:pPr>
      <w:r w:rsidRPr="00B419CE">
        <w:t>Mål og budsjett for 2022</w:t>
      </w:r>
    </w:p>
    <w:p w14:paraId="227A4A10" w14:textId="77777777" w:rsidR="00B419CE" w:rsidRPr="00B419CE" w:rsidRDefault="00B419CE" w:rsidP="00B419CE">
      <w:r w:rsidRPr="00B419CE">
        <w:t xml:space="preserve">Riksrevisjonen utfører arbeidet sitt i tråd med den overordna visjonen og </w:t>
      </w:r>
      <w:proofErr w:type="spellStart"/>
      <w:r w:rsidRPr="00B419CE">
        <w:t>dei</w:t>
      </w:r>
      <w:proofErr w:type="spellEnd"/>
      <w:r w:rsidRPr="00B419CE">
        <w:t xml:space="preserve"> overordna </w:t>
      </w:r>
      <w:proofErr w:type="spellStart"/>
      <w:r w:rsidRPr="00B419CE">
        <w:t>målsettingane</w:t>
      </w:r>
      <w:proofErr w:type="spellEnd"/>
      <w:r w:rsidRPr="00B419CE">
        <w:t xml:space="preserve"> i den </w:t>
      </w:r>
      <w:proofErr w:type="spellStart"/>
      <w:r w:rsidRPr="00B419CE">
        <w:t>gjeldande</w:t>
      </w:r>
      <w:proofErr w:type="spellEnd"/>
      <w:r w:rsidRPr="00B419CE">
        <w:t xml:space="preserve"> strategiplanen.</w:t>
      </w:r>
    </w:p>
    <w:p w14:paraId="4877FDD7" w14:textId="77777777" w:rsidR="00B419CE" w:rsidRPr="00B419CE" w:rsidRDefault="00B419CE" w:rsidP="00B419CE">
      <w:r w:rsidRPr="00B419CE">
        <w:t xml:space="preserve">Pandemien har vist kor raskt </w:t>
      </w:r>
      <w:proofErr w:type="spellStart"/>
      <w:r w:rsidRPr="00B419CE">
        <w:t>eit</w:t>
      </w:r>
      <w:proofErr w:type="spellEnd"/>
      <w:r w:rsidRPr="00B419CE">
        <w:t xml:space="preserve"> samfunn kan endre seg, og kor raskt </w:t>
      </w:r>
      <w:proofErr w:type="spellStart"/>
      <w:r w:rsidRPr="00B419CE">
        <w:t>verksemder</w:t>
      </w:r>
      <w:proofErr w:type="spellEnd"/>
      <w:r w:rsidRPr="00B419CE">
        <w:t xml:space="preserve"> må, og kan, omstille seg. Riksrevisjonen har over tid jobba systematisk med omstilling og effektivisering, og 2020 viste gode resultat av innsatsen. Dette arbeidet held fram, og det vil </w:t>
      </w:r>
      <w:proofErr w:type="spellStart"/>
      <w:r w:rsidRPr="00B419CE">
        <w:t>vere</w:t>
      </w:r>
      <w:proofErr w:type="spellEnd"/>
      <w:r w:rsidRPr="00B419CE">
        <w:t xml:space="preserve"> høg takt i utviklingsaktiviteten også i 2022.</w:t>
      </w:r>
    </w:p>
    <w:p w14:paraId="3E51EA29" w14:textId="77777777" w:rsidR="00B419CE" w:rsidRPr="00B419CE" w:rsidRDefault="00B419CE" w:rsidP="00B419CE">
      <w:r w:rsidRPr="00B419CE">
        <w:t xml:space="preserve">I lys av </w:t>
      </w:r>
      <w:proofErr w:type="spellStart"/>
      <w:r w:rsidRPr="00B419CE">
        <w:t>eit</w:t>
      </w:r>
      <w:proofErr w:type="spellEnd"/>
      <w:r w:rsidRPr="00B419CE">
        <w:t xml:space="preserve"> </w:t>
      </w:r>
      <w:proofErr w:type="spellStart"/>
      <w:r w:rsidRPr="00B419CE">
        <w:t>aukande</w:t>
      </w:r>
      <w:proofErr w:type="spellEnd"/>
      <w:r w:rsidRPr="00B419CE">
        <w:t xml:space="preserve"> </w:t>
      </w:r>
      <w:proofErr w:type="spellStart"/>
      <w:r w:rsidRPr="00B419CE">
        <w:t>trusselbilete</w:t>
      </w:r>
      <w:proofErr w:type="spellEnd"/>
      <w:r w:rsidRPr="00B419CE">
        <w:t xml:space="preserve"> knytt til </w:t>
      </w:r>
      <w:proofErr w:type="spellStart"/>
      <w:r w:rsidRPr="00B419CE">
        <w:t>informasjonssikkerheit</w:t>
      </w:r>
      <w:proofErr w:type="spellEnd"/>
      <w:r w:rsidRPr="00B419CE">
        <w:t xml:space="preserve"> og med nye kommunikasjons- og </w:t>
      </w:r>
      <w:proofErr w:type="spellStart"/>
      <w:r w:rsidRPr="00B419CE">
        <w:t>samhandlingsløysingar</w:t>
      </w:r>
      <w:proofErr w:type="spellEnd"/>
      <w:r w:rsidRPr="00B419CE">
        <w:t xml:space="preserve"> på plass blir arbeidet med IT-</w:t>
      </w:r>
      <w:proofErr w:type="spellStart"/>
      <w:r w:rsidRPr="00B419CE">
        <w:t>sikkerheit</w:t>
      </w:r>
      <w:proofErr w:type="spellEnd"/>
      <w:r w:rsidRPr="00B419CE">
        <w:t xml:space="preserve"> viktig. </w:t>
      </w:r>
      <w:proofErr w:type="spellStart"/>
      <w:r w:rsidRPr="00B419CE">
        <w:t>Ein</w:t>
      </w:r>
      <w:proofErr w:type="spellEnd"/>
      <w:r w:rsidRPr="00B419CE">
        <w:t xml:space="preserve"> ny strategi for framtidig bruk av </w:t>
      </w:r>
      <w:proofErr w:type="spellStart"/>
      <w:r w:rsidRPr="00B419CE">
        <w:t>skytenester</w:t>
      </w:r>
      <w:proofErr w:type="spellEnd"/>
      <w:r w:rsidRPr="00B419CE">
        <w:t xml:space="preserve"> til behandling og lagring av data skal </w:t>
      </w:r>
      <w:proofErr w:type="spellStart"/>
      <w:r w:rsidRPr="00B419CE">
        <w:t>utarbeidast</w:t>
      </w:r>
      <w:proofErr w:type="spellEnd"/>
      <w:r w:rsidRPr="00B419CE">
        <w:t xml:space="preserve"> og </w:t>
      </w:r>
      <w:proofErr w:type="spellStart"/>
      <w:r w:rsidRPr="00B419CE">
        <w:t>implementerast</w:t>
      </w:r>
      <w:proofErr w:type="spellEnd"/>
      <w:r w:rsidRPr="00B419CE">
        <w:t xml:space="preserve">. </w:t>
      </w:r>
      <w:proofErr w:type="spellStart"/>
      <w:r w:rsidRPr="00B419CE">
        <w:t>Vidare</w:t>
      </w:r>
      <w:proofErr w:type="spellEnd"/>
      <w:r w:rsidRPr="00B419CE">
        <w:t xml:space="preserve"> vil etablering av sikre soner i bygget for å behandle gradert informasjon i tråd med føresegnene i </w:t>
      </w:r>
      <w:proofErr w:type="spellStart"/>
      <w:r w:rsidRPr="00B419CE">
        <w:t>sikkerheitslova</w:t>
      </w:r>
      <w:proofErr w:type="spellEnd"/>
      <w:r w:rsidRPr="00B419CE">
        <w:t xml:space="preserve"> </w:t>
      </w:r>
      <w:proofErr w:type="spellStart"/>
      <w:r w:rsidRPr="00B419CE">
        <w:t>sluttførast</w:t>
      </w:r>
      <w:proofErr w:type="spellEnd"/>
      <w:r w:rsidRPr="00B419CE">
        <w:t>.</w:t>
      </w:r>
    </w:p>
    <w:p w14:paraId="6791048E" w14:textId="77777777" w:rsidR="00B419CE" w:rsidRPr="00B419CE" w:rsidRDefault="00B419CE" w:rsidP="00B419CE">
      <w:r w:rsidRPr="00B419CE">
        <w:lastRenderedPageBreak/>
        <w:t xml:space="preserve">Også arbeidet med digitalisering held fram. Riksrevisjonens </w:t>
      </w:r>
      <w:proofErr w:type="spellStart"/>
      <w:r w:rsidRPr="00B419CE">
        <w:t>rapportar</w:t>
      </w:r>
      <w:proofErr w:type="spellEnd"/>
      <w:r w:rsidRPr="00B419CE">
        <w:t xml:space="preserve"> og dokument skal bli </w:t>
      </w:r>
      <w:proofErr w:type="spellStart"/>
      <w:r w:rsidRPr="00B419CE">
        <w:t>meir</w:t>
      </w:r>
      <w:proofErr w:type="spellEnd"/>
      <w:r w:rsidRPr="00B419CE">
        <w:t xml:space="preserve"> </w:t>
      </w:r>
      <w:proofErr w:type="spellStart"/>
      <w:r w:rsidRPr="00B419CE">
        <w:t>lesarvennlege</w:t>
      </w:r>
      <w:proofErr w:type="spellEnd"/>
      <w:r w:rsidRPr="00B419CE">
        <w:t xml:space="preserve">, med </w:t>
      </w:r>
      <w:proofErr w:type="spellStart"/>
      <w:r w:rsidRPr="00B419CE">
        <w:t>eit</w:t>
      </w:r>
      <w:proofErr w:type="spellEnd"/>
      <w:r w:rsidRPr="00B419CE">
        <w:t xml:space="preserve"> </w:t>
      </w:r>
      <w:proofErr w:type="spellStart"/>
      <w:r w:rsidRPr="00B419CE">
        <w:t>innhald</w:t>
      </w:r>
      <w:proofErr w:type="spellEnd"/>
      <w:r w:rsidRPr="00B419CE">
        <w:t xml:space="preserve"> som er tilpassa lesing på digitale flater og med </w:t>
      </w:r>
      <w:proofErr w:type="spellStart"/>
      <w:r w:rsidRPr="00B419CE">
        <w:t>auka</w:t>
      </w:r>
      <w:proofErr w:type="spellEnd"/>
      <w:r w:rsidRPr="00B419CE">
        <w:t xml:space="preserve"> bruk av visuelle/grafiske element. </w:t>
      </w:r>
      <w:proofErr w:type="spellStart"/>
      <w:r w:rsidRPr="00B419CE">
        <w:t>Vidare</w:t>
      </w:r>
      <w:proofErr w:type="spellEnd"/>
      <w:r w:rsidRPr="00B419CE">
        <w:t xml:space="preserve"> vil arbeidet med effektivisering av produksjonsprosessen for det </w:t>
      </w:r>
      <w:proofErr w:type="spellStart"/>
      <w:r w:rsidRPr="00B419CE">
        <w:t>årlege</w:t>
      </w:r>
      <w:proofErr w:type="spellEnd"/>
      <w:r w:rsidRPr="00B419CE">
        <w:t xml:space="preserve"> Dokument 1 og betre kommunikasjon av revisjonsresultata </w:t>
      </w:r>
      <w:proofErr w:type="spellStart"/>
      <w:r w:rsidRPr="00B419CE">
        <w:t>vidareførast</w:t>
      </w:r>
      <w:proofErr w:type="spellEnd"/>
      <w:r w:rsidRPr="00B419CE">
        <w:t xml:space="preserve"> og </w:t>
      </w:r>
      <w:proofErr w:type="spellStart"/>
      <w:r w:rsidRPr="00B419CE">
        <w:t>forbetrast</w:t>
      </w:r>
      <w:proofErr w:type="spellEnd"/>
      <w:r w:rsidRPr="00B419CE">
        <w:t xml:space="preserve">. </w:t>
      </w:r>
      <w:proofErr w:type="spellStart"/>
      <w:r w:rsidRPr="00B419CE">
        <w:t>Allereie</w:t>
      </w:r>
      <w:proofErr w:type="spellEnd"/>
      <w:r w:rsidRPr="00B419CE">
        <w:t xml:space="preserve"> i 2021 vil «nye Dokument 1» bli presentert.</w:t>
      </w:r>
    </w:p>
    <w:p w14:paraId="41689760" w14:textId="77777777" w:rsidR="00B419CE" w:rsidRPr="00B419CE" w:rsidRDefault="00B419CE" w:rsidP="00B419CE">
      <w:r w:rsidRPr="00B419CE">
        <w:t xml:space="preserve">Riksrevisjonen ønsker å ta med seg </w:t>
      </w:r>
      <w:proofErr w:type="spellStart"/>
      <w:r w:rsidRPr="00B419CE">
        <w:t>erfaringane</w:t>
      </w:r>
      <w:proofErr w:type="spellEnd"/>
      <w:r w:rsidRPr="00B419CE">
        <w:t xml:space="preserve"> </w:t>
      </w:r>
      <w:proofErr w:type="spellStart"/>
      <w:r w:rsidRPr="00B419CE">
        <w:t>frå</w:t>
      </w:r>
      <w:proofErr w:type="spellEnd"/>
      <w:r w:rsidRPr="00B419CE">
        <w:t xml:space="preserve"> unntaksåret 2020 med heimekontor, reise-</w:t>
      </w:r>
      <w:proofErr w:type="spellStart"/>
      <w:r w:rsidRPr="00B419CE">
        <w:t>restriksjonar</w:t>
      </w:r>
      <w:proofErr w:type="spellEnd"/>
      <w:r w:rsidRPr="00B419CE">
        <w:t xml:space="preserve"> og digital </w:t>
      </w:r>
      <w:proofErr w:type="spellStart"/>
      <w:r w:rsidRPr="00B419CE">
        <w:t>oppgåveløysing</w:t>
      </w:r>
      <w:proofErr w:type="spellEnd"/>
      <w:r w:rsidRPr="00B419CE">
        <w:t xml:space="preserve"> og utforske </w:t>
      </w:r>
      <w:proofErr w:type="spellStart"/>
      <w:r w:rsidRPr="00B419CE">
        <w:t>moglegheitene</w:t>
      </w:r>
      <w:proofErr w:type="spellEnd"/>
      <w:r w:rsidRPr="00B419CE">
        <w:t xml:space="preserve"> dette gir for framtidas arbeidsplass. Heile organisasjonen vil bli involvert, med oppstart i 2021 og sluttføring i 2022.</w:t>
      </w:r>
    </w:p>
    <w:p w14:paraId="648404E8" w14:textId="77777777" w:rsidR="00B419CE" w:rsidRPr="00B419CE" w:rsidRDefault="00B419CE" w:rsidP="00B419CE">
      <w:r w:rsidRPr="00B419CE">
        <w:t xml:space="preserve">Utviklingssamarbeidet med </w:t>
      </w:r>
      <w:proofErr w:type="spellStart"/>
      <w:r w:rsidRPr="00B419CE">
        <w:t>riksrevisjonar</w:t>
      </w:r>
      <w:proofErr w:type="spellEnd"/>
      <w:r w:rsidRPr="00B419CE">
        <w:t xml:space="preserve"> i andre land vil </w:t>
      </w:r>
      <w:proofErr w:type="spellStart"/>
      <w:r w:rsidRPr="00B419CE">
        <w:t>halde</w:t>
      </w:r>
      <w:proofErr w:type="spellEnd"/>
      <w:r w:rsidRPr="00B419CE">
        <w:t xml:space="preserve"> fram på </w:t>
      </w:r>
      <w:proofErr w:type="spellStart"/>
      <w:r w:rsidRPr="00B419CE">
        <w:t>nokolunde</w:t>
      </w:r>
      <w:proofErr w:type="spellEnd"/>
      <w:r w:rsidRPr="00B419CE">
        <w:t xml:space="preserve"> same nivå som planlagt i 2020, og Riksrevisjonen vil </w:t>
      </w:r>
      <w:proofErr w:type="spellStart"/>
      <w:r w:rsidRPr="00B419CE">
        <w:t>framleis</w:t>
      </w:r>
      <w:proofErr w:type="spellEnd"/>
      <w:r w:rsidRPr="00B419CE">
        <w:t xml:space="preserve"> samarbeide tett med IDI (INTOSAI Development Initiative). Riksrevisjonen har i </w:t>
      </w:r>
      <w:proofErr w:type="spellStart"/>
      <w:r w:rsidRPr="00B419CE">
        <w:t>fleire</w:t>
      </w:r>
      <w:proofErr w:type="spellEnd"/>
      <w:r w:rsidRPr="00B419CE">
        <w:t xml:space="preserve"> år hatt </w:t>
      </w:r>
      <w:proofErr w:type="spellStart"/>
      <w:r w:rsidRPr="00B419CE">
        <w:t>eit</w:t>
      </w:r>
      <w:proofErr w:type="spellEnd"/>
      <w:r w:rsidRPr="00B419CE">
        <w:t xml:space="preserve"> </w:t>
      </w:r>
      <w:proofErr w:type="spellStart"/>
      <w:r w:rsidRPr="00B419CE">
        <w:t>betydeleg</w:t>
      </w:r>
      <w:proofErr w:type="spellEnd"/>
      <w:r w:rsidRPr="00B419CE">
        <w:t xml:space="preserve"> samarbeid med riksrevisjonen i Myanmar. Etter kuppet i februar 2021 er denne bistanden </w:t>
      </w:r>
      <w:proofErr w:type="spellStart"/>
      <w:r w:rsidRPr="00B419CE">
        <w:t>frosen</w:t>
      </w:r>
      <w:proofErr w:type="spellEnd"/>
      <w:r w:rsidRPr="00B419CE">
        <w:t xml:space="preserve">, på same måte som anna stat-til-stat-samarbeid </w:t>
      </w:r>
      <w:proofErr w:type="spellStart"/>
      <w:r w:rsidRPr="00B419CE">
        <w:t>Noreg</w:t>
      </w:r>
      <w:proofErr w:type="spellEnd"/>
      <w:r w:rsidRPr="00B419CE">
        <w:t xml:space="preserve"> har hatt med landet. Det blir </w:t>
      </w:r>
      <w:proofErr w:type="spellStart"/>
      <w:r w:rsidRPr="00B419CE">
        <w:t>no</w:t>
      </w:r>
      <w:proofErr w:type="spellEnd"/>
      <w:r w:rsidRPr="00B419CE">
        <w:t xml:space="preserve"> </w:t>
      </w:r>
      <w:proofErr w:type="spellStart"/>
      <w:r w:rsidRPr="00B419CE">
        <w:t>arbeidd</w:t>
      </w:r>
      <w:proofErr w:type="spellEnd"/>
      <w:r w:rsidRPr="00B419CE">
        <w:t xml:space="preserve"> med å etablere nye </w:t>
      </w:r>
      <w:proofErr w:type="spellStart"/>
      <w:r w:rsidRPr="00B419CE">
        <w:t>bistandspartnarar</w:t>
      </w:r>
      <w:proofErr w:type="spellEnd"/>
      <w:r w:rsidRPr="00B419CE">
        <w:t xml:space="preserve">, og det er forventa </w:t>
      </w:r>
      <w:proofErr w:type="spellStart"/>
      <w:r w:rsidRPr="00B419CE">
        <w:t>auka</w:t>
      </w:r>
      <w:proofErr w:type="spellEnd"/>
      <w:r w:rsidRPr="00B419CE">
        <w:t xml:space="preserve"> innsats hos </w:t>
      </w:r>
      <w:proofErr w:type="spellStart"/>
      <w:r w:rsidRPr="00B419CE">
        <w:t>desse</w:t>
      </w:r>
      <w:proofErr w:type="spellEnd"/>
      <w:r w:rsidRPr="00B419CE">
        <w:t xml:space="preserve"> i 2022.</w:t>
      </w:r>
    </w:p>
    <w:p w14:paraId="37BD199D" w14:textId="77777777" w:rsidR="00B419CE" w:rsidRPr="00B419CE" w:rsidRDefault="00B419CE" w:rsidP="00B419CE">
      <w:pPr>
        <w:pStyle w:val="b-post"/>
      </w:pPr>
      <w:r w:rsidRPr="00B419CE">
        <w:t>Post 01 Driftsutgifter</w:t>
      </w:r>
    </w:p>
    <w:p w14:paraId="6C8C7400" w14:textId="77777777" w:rsidR="00B419CE" w:rsidRPr="00B419CE" w:rsidRDefault="00B419CE" w:rsidP="00B419CE">
      <w:r w:rsidRPr="00B419CE">
        <w:t xml:space="preserve">Posten </w:t>
      </w:r>
      <w:proofErr w:type="spellStart"/>
      <w:r w:rsidRPr="00B419CE">
        <w:t>omfattar</w:t>
      </w:r>
      <w:proofErr w:type="spellEnd"/>
      <w:r w:rsidRPr="00B419CE">
        <w:t xml:space="preserve"> lønnsutgifter og utgifter til Riksrevisjonens kjøp av varer og </w:t>
      </w:r>
      <w:proofErr w:type="spellStart"/>
      <w:r w:rsidRPr="00B419CE">
        <w:t>tenester</w:t>
      </w:r>
      <w:proofErr w:type="spellEnd"/>
      <w:r w:rsidRPr="00B419CE">
        <w:t>.</w:t>
      </w:r>
    </w:p>
    <w:p w14:paraId="634B0747" w14:textId="77777777" w:rsidR="00B419CE" w:rsidRPr="00B419CE" w:rsidRDefault="00B419CE" w:rsidP="00B419CE">
      <w:pPr>
        <w:pStyle w:val="b-post"/>
      </w:pPr>
      <w:r w:rsidRPr="00B419CE">
        <w:t xml:space="preserve">Post 75 Internasjonale </w:t>
      </w:r>
      <w:proofErr w:type="spellStart"/>
      <w:r w:rsidRPr="00B419CE">
        <w:t>organisasjonar</w:t>
      </w:r>
      <w:proofErr w:type="spellEnd"/>
      <w:r w:rsidRPr="00B419CE">
        <w:t xml:space="preserve"> og nettverk</w:t>
      </w:r>
    </w:p>
    <w:p w14:paraId="5063228E" w14:textId="77777777" w:rsidR="00B419CE" w:rsidRPr="00B419CE" w:rsidRDefault="00B419CE" w:rsidP="00B419CE">
      <w:r w:rsidRPr="00B419CE">
        <w:t xml:space="preserve">Budsjettposten gjeld </w:t>
      </w:r>
      <w:proofErr w:type="spellStart"/>
      <w:r w:rsidRPr="00B419CE">
        <w:t>tilskot</w:t>
      </w:r>
      <w:proofErr w:type="spellEnd"/>
      <w:r w:rsidRPr="00B419CE">
        <w:t xml:space="preserve"> til drifta av INTOSAI Development Initiative (IDI), </w:t>
      </w:r>
      <w:proofErr w:type="spellStart"/>
      <w:r w:rsidRPr="00B419CE">
        <w:t>eit</w:t>
      </w:r>
      <w:proofErr w:type="spellEnd"/>
      <w:r w:rsidRPr="00B419CE">
        <w:t xml:space="preserve"> utviklingsorgan for </w:t>
      </w:r>
      <w:proofErr w:type="spellStart"/>
      <w:r w:rsidRPr="00B419CE">
        <w:t>riksrevisjonar</w:t>
      </w:r>
      <w:proofErr w:type="spellEnd"/>
      <w:r w:rsidRPr="00B419CE">
        <w:t xml:space="preserve"> i utviklingsland. </w:t>
      </w:r>
      <w:proofErr w:type="spellStart"/>
      <w:r w:rsidRPr="00B419CE">
        <w:t>Eit</w:t>
      </w:r>
      <w:proofErr w:type="spellEnd"/>
      <w:r w:rsidRPr="00B419CE">
        <w:t xml:space="preserve"> mål med </w:t>
      </w:r>
      <w:proofErr w:type="spellStart"/>
      <w:r w:rsidRPr="00B419CE">
        <w:t>IDIs</w:t>
      </w:r>
      <w:proofErr w:type="spellEnd"/>
      <w:r w:rsidRPr="00B419CE">
        <w:t xml:space="preserve"> arbeid er å styrke </w:t>
      </w:r>
      <w:proofErr w:type="spellStart"/>
      <w:r w:rsidRPr="00B419CE">
        <w:t>offentleg</w:t>
      </w:r>
      <w:proofErr w:type="spellEnd"/>
      <w:r w:rsidRPr="00B419CE">
        <w:t xml:space="preserve"> revisjon i utviklingsland og gjennom det bidra til godt styresett, utvikling og fattigdomsnedkjemping. IDI er organisert som </w:t>
      </w:r>
      <w:proofErr w:type="spellStart"/>
      <w:r w:rsidRPr="00B419CE">
        <w:t>ein</w:t>
      </w:r>
      <w:proofErr w:type="spellEnd"/>
      <w:r w:rsidRPr="00B419CE">
        <w:t xml:space="preserve"> stiftelse med </w:t>
      </w:r>
      <w:proofErr w:type="spellStart"/>
      <w:r w:rsidRPr="00B419CE">
        <w:t>eit</w:t>
      </w:r>
      <w:proofErr w:type="spellEnd"/>
      <w:r w:rsidRPr="00B419CE">
        <w:t xml:space="preserve"> styre og </w:t>
      </w:r>
      <w:proofErr w:type="spellStart"/>
      <w:r w:rsidRPr="00B419CE">
        <w:t>eit</w:t>
      </w:r>
      <w:proofErr w:type="spellEnd"/>
      <w:r w:rsidRPr="00B419CE">
        <w:t xml:space="preserve"> sekretariat. Styret i stiftelsen er leia av riksrevisor.</w:t>
      </w:r>
    </w:p>
    <w:p w14:paraId="063193C8" w14:textId="77777777" w:rsidR="00B419CE" w:rsidRPr="00B419CE" w:rsidRDefault="00B419CE" w:rsidP="00B419CE">
      <w:proofErr w:type="spellStart"/>
      <w:r w:rsidRPr="00B419CE">
        <w:t>IDIs</w:t>
      </w:r>
      <w:proofErr w:type="spellEnd"/>
      <w:r w:rsidRPr="00B419CE">
        <w:t xml:space="preserve"> utviklingsprogram er finansiert av </w:t>
      </w:r>
      <w:proofErr w:type="spellStart"/>
      <w:r w:rsidRPr="00B419CE">
        <w:t>fleire</w:t>
      </w:r>
      <w:proofErr w:type="spellEnd"/>
      <w:r w:rsidRPr="00B419CE">
        <w:t xml:space="preserve"> land og </w:t>
      </w:r>
      <w:proofErr w:type="spellStart"/>
      <w:r w:rsidRPr="00B419CE">
        <w:t>organisasjonar</w:t>
      </w:r>
      <w:proofErr w:type="spellEnd"/>
      <w:r w:rsidRPr="00B419CE">
        <w:t xml:space="preserve">: Canada, Estland, EU, Frankrike, INTOSAI, Irland, Island, Storbritannia, Sveits, Sverige, Tyskland, USA, Austerrike, </w:t>
      </w:r>
      <w:proofErr w:type="spellStart"/>
      <w:r w:rsidRPr="00B419CE">
        <w:t>Noreg</w:t>
      </w:r>
      <w:proofErr w:type="spellEnd"/>
      <w:r w:rsidRPr="00B419CE">
        <w:t xml:space="preserve"> og </w:t>
      </w:r>
      <w:proofErr w:type="spellStart"/>
      <w:r w:rsidRPr="00B419CE">
        <w:t>riksrevisjonane</w:t>
      </w:r>
      <w:proofErr w:type="spellEnd"/>
      <w:r w:rsidRPr="00B419CE">
        <w:t xml:space="preserve"> i Kuwait, Qatar og Saudi Arabia. </w:t>
      </w:r>
      <w:proofErr w:type="spellStart"/>
      <w:r w:rsidRPr="00B419CE">
        <w:t>Fleire</w:t>
      </w:r>
      <w:proofErr w:type="spellEnd"/>
      <w:r w:rsidRPr="00B419CE">
        <w:t xml:space="preserve"> </w:t>
      </w:r>
      <w:proofErr w:type="spellStart"/>
      <w:r w:rsidRPr="00B419CE">
        <w:t>riksrevisjonar</w:t>
      </w:r>
      <w:proofErr w:type="spellEnd"/>
      <w:r w:rsidRPr="00B419CE">
        <w:t xml:space="preserve"> gir også støtte til </w:t>
      </w:r>
      <w:proofErr w:type="spellStart"/>
      <w:r w:rsidRPr="00B419CE">
        <w:t>IDIs</w:t>
      </w:r>
      <w:proofErr w:type="spellEnd"/>
      <w:r w:rsidRPr="00B419CE">
        <w:t xml:space="preserve"> arbeid i form av </w:t>
      </w:r>
      <w:proofErr w:type="spellStart"/>
      <w:r w:rsidRPr="00B419CE">
        <w:t>ressursar</w:t>
      </w:r>
      <w:proofErr w:type="spellEnd"/>
      <w:r w:rsidRPr="00B419CE">
        <w:t xml:space="preserve"> og </w:t>
      </w:r>
      <w:proofErr w:type="spellStart"/>
      <w:r w:rsidRPr="00B419CE">
        <w:t>tenester</w:t>
      </w:r>
      <w:proofErr w:type="spellEnd"/>
      <w:r w:rsidRPr="00B419CE">
        <w:t xml:space="preserve">. </w:t>
      </w:r>
      <w:proofErr w:type="spellStart"/>
      <w:r w:rsidRPr="00B419CE">
        <w:t>Tilskotet</w:t>
      </w:r>
      <w:proofErr w:type="spellEnd"/>
      <w:r w:rsidRPr="00B419CE">
        <w:t xml:space="preserve"> </w:t>
      </w:r>
      <w:proofErr w:type="spellStart"/>
      <w:r w:rsidRPr="00B419CE">
        <w:t>frå</w:t>
      </w:r>
      <w:proofErr w:type="spellEnd"/>
      <w:r w:rsidRPr="00B419CE">
        <w:t xml:space="preserve"> Riksrevisjonen finansierer drifta av </w:t>
      </w:r>
      <w:proofErr w:type="spellStart"/>
      <w:r w:rsidRPr="00B419CE">
        <w:t>IDIs</w:t>
      </w:r>
      <w:proofErr w:type="spellEnd"/>
      <w:r w:rsidRPr="00B419CE">
        <w:t xml:space="preserve"> sekretariat i tråd med intensjonen i </w:t>
      </w:r>
      <w:proofErr w:type="spellStart"/>
      <w:r w:rsidRPr="00B419CE">
        <w:t>Innst</w:t>
      </w:r>
      <w:proofErr w:type="spellEnd"/>
      <w:r w:rsidRPr="00B419CE">
        <w:t xml:space="preserve">. S. </w:t>
      </w:r>
      <w:proofErr w:type="spellStart"/>
      <w:r w:rsidRPr="00B419CE">
        <w:t>nr</w:t>
      </w:r>
      <w:proofErr w:type="spellEnd"/>
      <w:r w:rsidRPr="00B419CE">
        <w:t xml:space="preserve"> 8 (1998–1999).</w:t>
      </w:r>
    </w:p>
    <w:p w14:paraId="36FF0C3D" w14:textId="77777777" w:rsidR="00B419CE" w:rsidRPr="00B419CE" w:rsidRDefault="00B419CE" w:rsidP="00B419CE">
      <w:pPr>
        <w:pStyle w:val="b-budkaptit"/>
      </w:pPr>
      <w:r w:rsidRPr="00B419CE">
        <w:t>Kap. 3051 Riksrevisjonen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1AC8C890" w14:textId="77777777" w:rsidTr="00B419CE">
        <w:trPr>
          <w:trHeight w:val="640"/>
          <w:hidden/>
        </w:trPr>
        <w:tc>
          <w:tcPr>
            <w:tcW w:w="1140" w:type="dxa"/>
            <w:shd w:val="clear" w:color="auto" w:fill="FFFFFF"/>
          </w:tcPr>
          <w:p w14:paraId="71855CEB" w14:textId="77777777" w:rsidR="00B419CE" w:rsidRPr="00B419CE" w:rsidRDefault="00B419CE" w:rsidP="00B419CE">
            <w:pPr>
              <w:pStyle w:val="Tabellnavn"/>
            </w:pPr>
            <w:r w:rsidRPr="00B419CE">
              <w:t>KPAL</w:t>
            </w:r>
          </w:p>
        </w:tc>
        <w:tc>
          <w:tcPr>
            <w:tcW w:w="4560" w:type="dxa"/>
          </w:tcPr>
          <w:p w14:paraId="244A9EA1" w14:textId="77777777" w:rsidR="00B419CE" w:rsidRPr="00B419CE" w:rsidRDefault="00B419CE" w:rsidP="00B419CE"/>
        </w:tc>
        <w:tc>
          <w:tcPr>
            <w:tcW w:w="1140" w:type="dxa"/>
          </w:tcPr>
          <w:p w14:paraId="5DB458AF" w14:textId="77777777" w:rsidR="00B419CE" w:rsidRPr="00B419CE" w:rsidRDefault="00B419CE" w:rsidP="00B419CE">
            <w:pPr>
              <w:jc w:val="right"/>
            </w:pPr>
          </w:p>
        </w:tc>
        <w:tc>
          <w:tcPr>
            <w:tcW w:w="1140" w:type="dxa"/>
          </w:tcPr>
          <w:p w14:paraId="6ABB1560" w14:textId="77777777" w:rsidR="00B419CE" w:rsidRPr="00B419CE" w:rsidRDefault="00B419CE" w:rsidP="00B419CE">
            <w:pPr>
              <w:jc w:val="right"/>
            </w:pPr>
          </w:p>
        </w:tc>
        <w:tc>
          <w:tcPr>
            <w:tcW w:w="1140" w:type="dxa"/>
          </w:tcPr>
          <w:p w14:paraId="263001FB" w14:textId="77777777" w:rsidR="00B419CE" w:rsidRPr="00B419CE" w:rsidRDefault="00B419CE" w:rsidP="00B419CE">
            <w:pPr>
              <w:jc w:val="right"/>
            </w:pPr>
            <w:r w:rsidRPr="00B419CE">
              <w:t>(i 1 000 kr)</w:t>
            </w:r>
          </w:p>
        </w:tc>
      </w:tr>
      <w:tr w:rsidR="00B419CE" w:rsidRPr="00B419CE" w14:paraId="556BC533" w14:textId="77777777" w:rsidTr="00B419CE">
        <w:trPr>
          <w:trHeight w:val="600"/>
        </w:trPr>
        <w:tc>
          <w:tcPr>
            <w:tcW w:w="1140" w:type="dxa"/>
          </w:tcPr>
          <w:p w14:paraId="23C2EFA4" w14:textId="77777777" w:rsidR="00B419CE" w:rsidRPr="00B419CE" w:rsidRDefault="00B419CE" w:rsidP="00B419CE">
            <w:r w:rsidRPr="00B419CE">
              <w:t>Post</w:t>
            </w:r>
          </w:p>
        </w:tc>
        <w:tc>
          <w:tcPr>
            <w:tcW w:w="4560" w:type="dxa"/>
          </w:tcPr>
          <w:p w14:paraId="08702A51" w14:textId="77777777" w:rsidR="00B419CE" w:rsidRPr="00B419CE" w:rsidRDefault="00B419CE" w:rsidP="00B419CE">
            <w:proofErr w:type="spellStart"/>
            <w:r w:rsidRPr="00B419CE">
              <w:t>Nemning</w:t>
            </w:r>
            <w:proofErr w:type="spellEnd"/>
          </w:p>
        </w:tc>
        <w:tc>
          <w:tcPr>
            <w:tcW w:w="1140" w:type="dxa"/>
          </w:tcPr>
          <w:p w14:paraId="521420B1"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9371A23" w14:textId="77777777" w:rsidR="00B419CE" w:rsidRPr="00B419CE" w:rsidRDefault="00B419CE" w:rsidP="00B419CE">
            <w:pPr>
              <w:jc w:val="right"/>
            </w:pPr>
            <w:r w:rsidRPr="00B419CE">
              <w:t>Saldert</w:t>
            </w:r>
            <w:r w:rsidRPr="00B419CE">
              <w:br/>
              <w:t xml:space="preserve"> budsjett 2021</w:t>
            </w:r>
          </w:p>
        </w:tc>
        <w:tc>
          <w:tcPr>
            <w:tcW w:w="1140" w:type="dxa"/>
          </w:tcPr>
          <w:p w14:paraId="01F2A9E1" w14:textId="77777777" w:rsidR="00B419CE" w:rsidRPr="00B419CE" w:rsidRDefault="00B419CE" w:rsidP="00B419CE">
            <w:pPr>
              <w:jc w:val="right"/>
            </w:pPr>
            <w:r w:rsidRPr="00B419CE">
              <w:t>Forslag</w:t>
            </w:r>
            <w:r w:rsidRPr="00B419CE">
              <w:br/>
              <w:t xml:space="preserve"> 2022</w:t>
            </w:r>
          </w:p>
        </w:tc>
      </w:tr>
      <w:tr w:rsidR="00B419CE" w:rsidRPr="00B419CE" w14:paraId="6311FD57" w14:textId="77777777" w:rsidTr="00B419CE">
        <w:trPr>
          <w:trHeight w:val="380"/>
        </w:trPr>
        <w:tc>
          <w:tcPr>
            <w:tcW w:w="1140" w:type="dxa"/>
          </w:tcPr>
          <w:p w14:paraId="227912AB" w14:textId="77777777" w:rsidR="00B419CE" w:rsidRPr="00B419CE" w:rsidRDefault="00B419CE" w:rsidP="00B419CE">
            <w:r w:rsidRPr="00B419CE">
              <w:lastRenderedPageBreak/>
              <w:t>01</w:t>
            </w:r>
          </w:p>
        </w:tc>
        <w:tc>
          <w:tcPr>
            <w:tcW w:w="4560" w:type="dxa"/>
          </w:tcPr>
          <w:p w14:paraId="19CDEC23" w14:textId="77777777" w:rsidR="00B419CE" w:rsidRPr="00B419CE" w:rsidRDefault="00B419CE" w:rsidP="00B419CE">
            <w:r w:rsidRPr="00B419CE">
              <w:t>Refusjon innland</w:t>
            </w:r>
          </w:p>
        </w:tc>
        <w:tc>
          <w:tcPr>
            <w:tcW w:w="1140" w:type="dxa"/>
          </w:tcPr>
          <w:p w14:paraId="0BE8AF2B" w14:textId="77777777" w:rsidR="00B419CE" w:rsidRPr="00B419CE" w:rsidRDefault="00B419CE" w:rsidP="00B419CE">
            <w:pPr>
              <w:jc w:val="right"/>
            </w:pPr>
            <w:r w:rsidRPr="00B419CE">
              <w:t>2 034</w:t>
            </w:r>
          </w:p>
        </w:tc>
        <w:tc>
          <w:tcPr>
            <w:tcW w:w="1140" w:type="dxa"/>
          </w:tcPr>
          <w:p w14:paraId="7894BDCA" w14:textId="77777777" w:rsidR="00B419CE" w:rsidRPr="00B419CE" w:rsidRDefault="00B419CE" w:rsidP="00B419CE">
            <w:pPr>
              <w:jc w:val="right"/>
            </w:pPr>
            <w:r w:rsidRPr="00B419CE">
              <w:t>2 000</w:t>
            </w:r>
          </w:p>
        </w:tc>
        <w:tc>
          <w:tcPr>
            <w:tcW w:w="1140" w:type="dxa"/>
          </w:tcPr>
          <w:p w14:paraId="7D41DEEC" w14:textId="77777777" w:rsidR="00B419CE" w:rsidRPr="00B419CE" w:rsidRDefault="00B419CE" w:rsidP="00B419CE">
            <w:pPr>
              <w:jc w:val="right"/>
            </w:pPr>
            <w:r w:rsidRPr="00B419CE">
              <w:t>2 000</w:t>
            </w:r>
          </w:p>
        </w:tc>
      </w:tr>
      <w:tr w:rsidR="00B419CE" w:rsidRPr="00B419CE" w14:paraId="40BCA013" w14:textId="77777777" w:rsidTr="00B419CE">
        <w:trPr>
          <w:trHeight w:val="380"/>
        </w:trPr>
        <w:tc>
          <w:tcPr>
            <w:tcW w:w="1140" w:type="dxa"/>
          </w:tcPr>
          <w:p w14:paraId="4430EB51" w14:textId="77777777" w:rsidR="00B419CE" w:rsidRPr="00B419CE" w:rsidRDefault="00B419CE" w:rsidP="00B419CE">
            <w:r w:rsidRPr="00B419CE">
              <w:t>02</w:t>
            </w:r>
          </w:p>
        </w:tc>
        <w:tc>
          <w:tcPr>
            <w:tcW w:w="4560" w:type="dxa"/>
          </w:tcPr>
          <w:p w14:paraId="23C04DCE" w14:textId="77777777" w:rsidR="00B419CE" w:rsidRPr="00B419CE" w:rsidRDefault="00B419CE" w:rsidP="00B419CE">
            <w:r w:rsidRPr="00B419CE">
              <w:t>Refusjon utland</w:t>
            </w:r>
          </w:p>
        </w:tc>
        <w:tc>
          <w:tcPr>
            <w:tcW w:w="1140" w:type="dxa"/>
          </w:tcPr>
          <w:p w14:paraId="2375A756" w14:textId="77777777" w:rsidR="00B419CE" w:rsidRPr="00B419CE" w:rsidRDefault="00B419CE" w:rsidP="00B419CE">
            <w:pPr>
              <w:jc w:val="right"/>
            </w:pPr>
            <w:r w:rsidRPr="00B419CE">
              <w:t>1 038</w:t>
            </w:r>
          </w:p>
        </w:tc>
        <w:tc>
          <w:tcPr>
            <w:tcW w:w="1140" w:type="dxa"/>
          </w:tcPr>
          <w:p w14:paraId="73A15D5D" w14:textId="77777777" w:rsidR="00B419CE" w:rsidRPr="00B419CE" w:rsidRDefault="00B419CE" w:rsidP="00B419CE">
            <w:pPr>
              <w:jc w:val="right"/>
            </w:pPr>
            <w:r w:rsidRPr="00B419CE">
              <w:t>300</w:t>
            </w:r>
          </w:p>
        </w:tc>
        <w:tc>
          <w:tcPr>
            <w:tcW w:w="1140" w:type="dxa"/>
          </w:tcPr>
          <w:p w14:paraId="1087B1CC" w14:textId="77777777" w:rsidR="00B419CE" w:rsidRPr="00B419CE" w:rsidRDefault="00B419CE" w:rsidP="00B419CE">
            <w:pPr>
              <w:jc w:val="right"/>
            </w:pPr>
            <w:r w:rsidRPr="00B419CE">
              <w:t>300</w:t>
            </w:r>
          </w:p>
        </w:tc>
      </w:tr>
      <w:tr w:rsidR="00B419CE" w:rsidRPr="00B419CE" w14:paraId="6FDC54B2" w14:textId="77777777" w:rsidTr="00B419CE">
        <w:trPr>
          <w:trHeight w:val="380"/>
        </w:trPr>
        <w:tc>
          <w:tcPr>
            <w:tcW w:w="1140" w:type="dxa"/>
          </w:tcPr>
          <w:p w14:paraId="1F55BEE3" w14:textId="77777777" w:rsidR="00B419CE" w:rsidRPr="00B419CE" w:rsidRDefault="00B419CE" w:rsidP="00B419CE"/>
        </w:tc>
        <w:tc>
          <w:tcPr>
            <w:tcW w:w="4560" w:type="dxa"/>
          </w:tcPr>
          <w:p w14:paraId="3788D6F8" w14:textId="77777777" w:rsidR="00B419CE" w:rsidRPr="00B419CE" w:rsidRDefault="00B419CE" w:rsidP="00B419CE">
            <w:r w:rsidRPr="00B419CE">
              <w:t>Sum kap. 3051</w:t>
            </w:r>
          </w:p>
        </w:tc>
        <w:tc>
          <w:tcPr>
            <w:tcW w:w="1140" w:type="dxa"/>
          </w:tcPr>
          <w:p w14:paraId="17ABAD08" w14:textId="77777777" w:rsidR="00B419CE" w:rsidRPr="00B419CE" w:rsidRDefault="00B419CE" w:rsidP="00B419CE">
            <w:pPr>
              <w:jc w:val="right"/>
            </w:pPr>
            <w:r w:rsidRPr="00B419CE">
              <w:t>3 072</w:t>
            </w:r>
          </w:p>
        </w:tc>
        <w:tc>
          <w:tcPr>
            <w:tcW w:w="1140" w:type="dxa"/>
          </w:tcPr>
          <w:p w14:paraId="3019C394" w14:textId="77777777" w:rsidR="00B419CE" w:rsidRPr="00B419CE" w:rsidRDefault="00B419CE" w:rsidP="00B419CE">
            <w:pPr>
              <w:jc w:val="right"/>
            </w:pPr>
            <w:r w:rsidRPr="00B419CE">
              <w:t>2 300</w:t>
            </w:r>
          </w:p>
        </w:tc>
        <w:tc>
          <w:tcPr>
            <w:tcW w:w="1140" w:type="dxa"/>
          </w:tcPr>
          <w:p w14:paraId="6770DD07" w14:textId="77777777" w:rsidR="00B419CE" w:rsidRPr="00B419CE" w:rsidRDefault="00B419CE" w:rsidP="00B419CE">
            <w:pPr>
              <w:jc w:val="right"/>
            </w:pPr>
            <w:r w:rsidRPr="00B419CE">
              <w:t>2 300</w:t>
            </w:r>
          </w:p>
        </w:tc>
      </w:tr>
    </w:tbl>
    <w:p w14:paraId="72AA13DE" w14:textId="77777777" w:rsidR="00B419CE" w:rsidRPr="00B419CE" w:rsidRDefault="00B419CE" w:rsidP="00B419CE">
      <w:r w:rsidRPr="00B419CE">
        <w:t xml:space="preserve">Riksrevisjonen vil motta </w:t>
      </w:r>
      <w:proofErr w:type="spellStart"/>
      <w:r w:rsidRPr="00B419CE">
        <w:t>refusjonar</w:t>
      </w:r>
      <w:proofErr w:type="spellEnd"/>
      <w:r w:rsidRPr="00B419CE">
        <w:t xml:space="preserve"> i samband med </w:t>
      </w:r>
      <w:proofErr w:type="spellStart"/>
      <w:r w:rsidRPr="00B419CE">
        <w:t>leigeavtalen</w:t>
      </w:r>
      <w:proofErr w:type="spellEnd"/>
      <w:r w:rsidRPr="00B419CE">
        <w:t xml:space="preserve"> som er inngått med IDI-sekretariatet og internasjonale revisjonsoppdrag.</w:t>
      </w:r>
    </w:p>
    <w:p w14:paraId="01C91860" w14:textId="77777777" w:rsidR="00B419CE" w:rsidRPr="00B419CE" w:rsidRDefault="00B419CE" w:rsidP="00B419CE">
      <w:pPr>
        <w:pStyle w:val="b-progomr"/>
      </w:pPr>
      <w:r w:rsidRPr="00B419CE">
        <w:t>Programområde 23 Finansadministrasjon</w:t>
      </w:r>
    </w:p>
    <w:p w14:paraId="1AB8BD92" w14:textId="77777777" w:rsidR="00B419CE" w:rsidRPr="00B419CE" w:rsidRDefault="00B419CE" w:rsidP="00B419CE">
      <w:pPr>
        <w:pStyle w:val="b-progkat"/>
      </w:pPr>
      <w:r w:rsidRPr="00B419CE">
        <w:t>Programkategori 23.10 Finansadministrasjon</w:t>
      </w:r>
    </w:p>
    <w:p w14:paraId="3C4D4157" w14:textId="77777777" w:rsidR="00B419CE" w:rsidRPr="00B419CE" w:rsidRDefault="00B419CE" w:rsidP="00B419CE">
      <w:pPr>
        <w:pStyle w:val="avsnitt-tittel"/>
      </w:pPr>
      <w:r w:rsidRPr="00B419CE">
        <w:t>Utgifter under programkategori 23.10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1CE4AF1A" w14:textId="77777777" w:rsidTr="00B419CE">
        <w:trPr>
          <w:trHeight w:val="640"/>
          <w:hidden/>
        </w:trPr>
        <w:tc>
          <w:tcPr>
            <w:tcW w:w="1020" w:type="dxa"/>
            <w:shd w:val="clear" w:color="auto" w:fill="FFFFFF"/>
          </w:tcPr>
          <w:p w14:paraId="7AD07307" w14:textId="77777777" w:rsidR="00B419CE" w:rsidRPr="00B419CE" w:rsidRDefault="00B419CE" w:rsidP="00B419CE">
            <w:pPr>
              <w:pStyle w:val="Tabellnavn"/>
            </w:pPr>
            <w:r w:rsidRPr="00B419CE">
              <w:t>PIKL</w:t>
            </w:r>
          </w:p>
        </w:tc>
        <w:tc>
          <w:tcPr>
            <w:tcW w:w="4080" w:type="dxa"/>
          </w:tcPr>
          <w:p w14:paraId="29D9DE3D" w14:textId="77777777" w:rsidR="00B419CE" w:rsidRPr="00B419CE" w:rsidRDefault="00B419CE" w:rsidP="00B419CE"/>
        </w:tc>
        <w:tc>
          <w:tcPr>
            <w:tcW w:w="1020" w:type="dxa"/>
          </w:tcPr>
          <w:p w14:paraId="262F8608" w14:textId="77777777" w:rsidR="00B419CE" w:rsidRPr="00B419CE" w:rsidRDefault="00B419CE" w:rsidP="00B419CE">
            <w:pPr>
              <w:jc w:val="right"/>
            </w:pPr>
          </w:p>
        </w:tc>
        <w:tc>
          <w:tcPr>
            <w:tcW w:w="1020" w:type="dxa"/>
          </w:tcPr>
          <w:p w14:paraId="08359968" w14:textId="77777777" w:rsidR="00B419CE" w:rsidRPr="00B419CE" w:rsidRDefault="00B419CE" w:rsidP="00B419CE">
            <w:pPr>
              <w:jc w:val="right"/>
            </w:pPr>
          </w:p>
        </w:tc>
        <w:tc>
          <w:tcPr>
            <w:tcW w:w="1020" w:type="dxa"/>
          </w:tcPr>
          <w:p w14:paraId="0B4ADC9D" w14:textId="77777777" w:rsidR="00B419CE" w:rsidRPr="00B419CE" w:rsidRDefault="00B419CE" w:rsidP="00B419CE">
            <w:pPr>
              <w:jc w:val="right"/>
            </w:pPr>
          </w:p>
        </w:tc>
        <w:tc>
          <w:tcPr>
            <w:tcW w:w="1020" w:type="dxa"/>
          </w:tcPr>
          <w:p w14:paraId="51FE1E7E" w14:textId="77777777" w:rsidR="00B419CE" w:rsidRPr="00B419CE" w:rsidRDefault="00B419CE" w:rsidP="00B419CE">
            <w:pPr>
              <w:jc w:val="right"/>
            </w:pPr>
            <w:r w:rsidRPr="00B419CE">
              <w:t>(i 1 000 kr)</w:t>
            </w:r>
          </w:p>
        </w:tc>
      </w:tr>
      <w:tr w:rsidR="00B419CE" w:rsidRPr="00B419CE" w14:paraId="01167873" w14:textId="77777777" w:rsidTr="00B419CE">
        <w:trPr>
          <w:trHeight w:val="600"/>
        </w:trPr>
        <w:tc>
          <w:tcPr>
            <w:tcW w:w="1020" w:type="dxa"/>
          </w:tcPr>
          <w:p w14:paraId="0C1E3E6F" w14:textId="77777777" w:rsidR="00B419CE" w:rsidRPr="00B419CE" w:rsidRDefault="00B419CE" w:rsidP="00B419CE">
            <w:r w:rsidRPr="00B419CE">
              <w:t>Kap.</w:t>
            </w:r>
          </w:p>
        </w:tc>
        <w:tc>
          <w:tcPr>
            <w:tcW w:w="4080" w:type="dxa"/>
          </w:tcPr>
          <w:p w14:paraId="7F4DCE76" w14:textId="77777777" w:rsidR="00B419CE" w:rsidRPr="00B419CE" w:rsidRDefault="00B419CE" w:rsidP="00B419CE">
            <w:proofErr w:type="spellStart"/>
            <w:r w:rsidRPr="00B419CE">
              <w:t>Nemning</w:t>
            </w:r>
            <w:proofErr w:type="spellEnd"/>
          </w:p>
        </w:tc>
        <w:tc>
          <w:tcPr>
            <w:tcW w:w="1020" w:type="dxa"/>
          </w:tcPr>
          <w:p w14:paraId="66F6702A"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1739D94C" w14:textId="77777777" w:rsidR="00B419CE" w:rsidRPr="00B419CE" w:rsidRDefault="00B419CE" w:rsidP="00B419CE">
            <w:pPr>
              <w:jc w:val="right"/>
            </w:pPr>
            <w:r w:rsidRPr="00B419CE">
              <w:t>Saldert</w:t>
            </w:r>
            <w:r w:rsidRPr="00B419CE">
              <w:br/>
              <w:t xml:space="preserve"> budsjett 2021</w:t>
            </w:r>
          </w:p>
        </w:tc>
        <w:tc>
          <w:tcPr>
            <w:tcW w:w="1020" w:type="dxa"/>
          </w:tcPr>
          <w:p w14:paraId="2151EA84" w14:textId="77777777" w:rsidR="00B419CE" w:rsidRPr="00B419CE" w:rsidRDefault="00B419CE" w:rsidP="00B419CE">
            <w:pPr>
              <w:jc w:val="right"/>
            </w:pPr>
            <w:r w:rsidRPr="00B419CE">
              <w:t>Forslag</w:t>
            </w:r>
            <w:r w:rsidRPr="00B419CE">
              <w:br/>
              <w:t xml:space="preserve"> 2022</w:t>
            </w:r>
          </w:p>
        </w:tc>
        <w:tc>
          <w:tcPr>
            <w:tcW w:w="1020" w:type="dxa"/>
          </w:tcPr>
          <w:p w14:paraId="5E9E7C61" w14:textId="77777777" w:rsidR="00B419CE" w:rsidRPr="00B419CE" w:rsidRDefault="00B419CE" w:rsidP="00B419CE">
            <w:pPr>
              <w:jc w:val="right"/>
            </w:pPr>
            <w:r w:rsidRPr="00B419CE">
              <w:t>Endring</w:t>
            </w:r>
            <w:r w:rsidRPr="00B419CE">
              <w:br/>
              <w:t xml:space="preserve"> i pst.</w:t>
            </w:r>
          </w:p>
        </w:tc>
      </w:tr>
      <w:tr w:rsidR="00B419CE" w:rsidRPr="00B419CE" w14:paraId="261D06C9" w14:textId="77777777" w:rsidTr="00B419CE">
        <w:trPr>
          <w:trHeight w:val="380"/>
        </w:trPr>
        <w:tc>
          <w:tcPr>
            <w:tcW w:w="1020" w:type="dxa"/>
          </w:tcPr>
          <w:p w14:paraId="561773C5" w14:textId="77777777" w:rsidR="00B419CE" w:rsidRPr="00B419CE" w:rsidRDefault="00B419CE" w:rsidP="00B419CE">
            <w:r w:rsidRPr="00B419CE">
              <w:t>1600</w:t>
            </w:r>
          </w:p>
        </w:tc>
        <w:tc>
          <w:tcPr>
            <w:tcW w:w="4080" w:type="dxa"/>
          </w:tcPr>
          <w:p w14:paraId="5CC13BE9" w14:textId="77777777" w:rsidR="00B419CE" w:rsidRPr="00B419CE" w:rsidRDefault="00B419CE" w:rsidP="00B419CE">
            <w:r w:rsidRPr="00B419CE">
              <w:t>Finansdepartementet</w:t>
            </w:r>
          </w:p>
        </w:tc>
        <w:tc>
          <w:tcPr>
            <w:tcW w:w="1020" w:type="dxa"/>
          </w:tcPr>
          <w:p w14:paraId="7C243BCC" w14:textId="77777777" w:rsidR="00B419CE" w:rsidRPr="00B419CE" w:rsidRDefault="00B419CE" w:rsidP="00B419CE">
            <w:pPr>
              <w:jc w:val="right"/>
            </w:pPr>
            <w:r w:rsidRPr="00B419CE">
              <w:t>50 493 324</w:t>
            </w:r>
          </w:p>
        </w:tc>
        <w:tc>
          <w:tcPr>
            <w:tcW w:w="1020" w:type="dxa"/>
          </w:tcPr>
          <w:p w14:paraId="1516FF5E" w14:textId="77777777" w:rsidR="00B419CE" w:rsidRPr="00B419CE" w:rsidRDefault="00B419CE" w:rsidP="00B419CE">
            <w:pPr>
              <w:jc w:val="right"/>
            </w:pPr>
            <w:r w:rsidRPr="00B419CE">
              <w:t>542 981</w:t>
            </w:r>
          </w:p>
        </w:tc>
        <w:tc>
          <w:tcPr>
            <w:tcW w:w="1020" w:type="dxa"/>
          </w:tcPr>
          <w:p w14:paraId="2E4F6F2C" w14:textId="77777777" w:rsidR="00B419CE" w:rsidRPr="00B419CE" w:rsidRDefault="00B419CE" w:rsidP="00B419CE">
            <w:pPr>
              <w:jc w:val="right"/>
            </w:pPr>
            <w:r w:rsidRPr="00B419CE">
              <w:t>531 921</w:t>
            </w:r>
          </w:p>
        </w:tc>
        <w:tc>
          <w:tcPr>
            <w:tcW w:w="1020" w:type="dxa"/>
          </w:tcPr>
          <w:p w14:paraId="3868C367" w14:textId="77777777" w:rsidR="00B419CE" w:rsidRPr="00B419CE" w:rsidRDefault="00B419CE" w:rsidP="00B419CE">
            <w:pPr>
              <w:jc w:val="right"/>
            </w:pPr>
            <w:r w:rsidRPr="00B419CE">
              <w:t>-2,0</w:t>
            </w:r>
          </w:p>
        </w:tc>
      </w:tr>
      <w:tr w:rsidR="00B419CE" w:rsidRPr="00B419CE" w14:paraId="79769DF7" w14:textId="77777777" w:rsidTr="00B419CE">
        <w:trPr>
          <w:trHeight w:val="380"/>
        </w:trPr>
        <w:tc>
          <w:tcPr>
            <w:tcW w:w="1020" w:type="dxa"/>
          </w:tcPr>
          <w:p w14:paraId="429A019F" w14:textId="77777777" w:rsidR="00B419CE" w:rsidRPr="00B419CE" w:rsidRDefault="00B419CE" w:rsidP="00B419CE">
            <w:r w:rsidRPr="00B419CE">
              <w:t>1602</w:t>
            </w:r>
          </w:p>
        </w:tc>
        <w:tc>
          <w:tcPr>
            <w:tcW w:w="4080" w:type="dxa"/>
          </w:tcPr>
          <w:p w14:paraId="293CF7DF" w14:textId="77777777" w:rsidR="00B419CE" w:rsidRPr="00B419CE" w:rsidRDefault="00B419CE" w:rsidP="00B419CE">
            <w:r w:rsidRPr="00B419CE">
              <w:t>Finanstilsynet</w:t>
            </w:r>
          </w:p>
        </w:tc>
        <w:tc>
          <w:tcPr>
            <w:tcW w:w="1020" w:type="dxa"/>
          </w:tcPr>
          <w:p w14:paraId="22FDE7F3" w14:textId="77777777" w:rsidR="00B419CE" w:rsidRPr="00B419CE" w:rsidRDefault="00B419CE" w:rsidP="00B419CE">
            <w:pPr>
              <w:jc w:val="right"/>
            </w:pPr>
            <w:r w:rsidRPr="00B419CE">
              <w:t>452 580</w:t>
            </w:r>
          </w:p>
        </w:tc>
        <w:tc>
          <w:tcPr>
            <w:tcW w:w="1020" w:type="dxa"/>
          </w:tcPr>
          <w:p w14:paraId="01B82920" w14:textId="77777777" w:rsidR="00B419CE" w:rsidRPr="00B419CE" w:rsidRDefault="00B419CE" w:rsidP="00B419CE">
            <w:pPr>
              <w:jc w:val="right"/>
            </w:pPr>
            <w:r w:rsidRPr="00B419CE">
              <w:t>445 178</w:t>
            </w:r>
          </w:p>
        </w:tc>
        <w:tc>
          <w:tcPr>
            <w:tcW w:w="1020" w:type="dxa"/>
          </w:tcPr>
          <w:p w14:paraId="110E6DEB" w14:textId="77777777" w:rsidR="00B419CE" w:rsidRPr="00B419CE" w:rsidRDefault="00B419CE" w:rsidP="00B419CE">
            <w:pPr>
              <w:jc w:val="right"/>
            </w:pPr>
            <w:r w:rsidRPr="00B419CE">
              <w:t>475 860</w:t>
            </w:r>
          </w:p>
        </w:tc>
        <w:tc>
          <w:tcPr>
            <w:tcW w:w="1020" w:type="dxa"/>
          </w:tcPr>
          <w:p w14:paraId="719B9A2D" w14:textId="77777777" w:rsidR="00B419CE" w:rsidRPr="00B419CE" w:rsidRDefault="00B419CE" w:rsidP="00B419CE">
            <w:pPr>
              <w:jc w:val="right"/>
            </w:pPr>
            <w:r w:rsidRPr="00B419CE">
              <w:t>6,9</w:t>
            </w:r>
          </w:p>
        </w:tc>
      </w:tr>
      <w:tr w:rsidR="00B419CE" w:rsidRPr="00B419CE" w14:paraId="5F8C4A82" w14:textId="77777777" w:rsidTr="00B419CE">
        <w:trPr>
          <w:trHeight w:val="640"/>
        </w:trPr>
        <w:tc>
          <w:tcPr>
            <w:tcW w:w="1020" w:type="dxa"/>
          </w:tcPr>
          <w:p w14:paraId="5697030B" w14:textId="77777777" w:rsidR="00B419CE" w:rsidRPr="00B419CE" w:rsidRDefault="00B419CE" w:rsidP="00B419CE">
            <w:r w:rsidRPr="00B419CE">
              <w:t>1605</w:t>
            </w:r>
          </w:p>
        </w:tc>
        <w:tc>
          <w:tcPr>
            <w:tcW w:w="4080" w:type="dxa"/>
          </w:tcPr>
          <w:p w14:paraId="7A5C8FA4" w14:textId="77777777" w:rsidR="00B419CE" w:rsidRPr="00B419CE" w:rsidRDefault="00B419CE" w:rsidP="00B419CE">
            <w:r w:rsidRPr="00B419CE">
              <w:t xml:space="preserve">Direktoratet for forvaltning </w:t>
            </w:r>
            <w:r w:rsidRPr="00B419CE">
              <w:br/>
              <w:t>og økonomistyring</w:t>
            </w:r>
          </w:p>
        </w:tc>
        <w:tc>
          <w:tcPr>
            <w:tcW w:w="1020" w:type="dxa"/>
          </w:tcPr>
          <w:p w14:paraId="4BFF6DD4" w14:textId="77777777" w:rsidR="00B419CE" w:rsidRPr="00B419CE" w:rsidRDefault="00B419CE" w:rsidP="00B419CE">
            <w:pPr>
              <w:jc w:val="right"/>
            </w:pPr>
            <w:r w:rsidRPr="00B419CE">
              <w:t>806 685</w:t>
            </w:r>
          </w:p>
        </w:tc>
        <w:tc>
          <w:tcPr>
            <w:tcW w:w="1020" w:type="dxa"/>
          </w:tcPr>
          <w:p w14:paraId="2125438C" w14:textId="77777777" w:rsidR="00B419CE" w:rsidRPr="00B419CE" w:rsidRDefault="00B419CE" w:rsidP="00B419CE">
            <w:pPr>
              <w:jc w:val="right"/>
            </w:pPr>
            <w:r w:rsidRPr="00B419CE">
              <w:t>866 800</w:t>
            </w:r>
          </w:p>
        </w:tc>
        <w:tc>
          <w:tcPr>
            <w:tcW w:w="1020" w:type="dxa"/>
          </w:tcPr>
          <w:p w14:paraId="2D9D0A0F" w14:textId="77777777" w:rsidR="00B419CE" w:rsidRPr="00B419CE" w:rsidRDefault="00B419CE" w:rsidP="00B419CE">
            <w:pPr>
              <w:jc w:val="right"/>
            </w:pPr>
            <w:r w:rsidRPr="00B419CE">
              <w:t>932 857</w:t>
            </w:r>
          </w:p>
        </w:tc>
        <w:tc>
          <w:tcPr>
            <w:tcW w:w="1020" w:type="dxa"/>
          </w:tcPr>
          <w:p w14:paraId="7C979DC3" w14:textId="77777777" w:rsidR="00B419CE" w:rsidRPr="00B419CE" w:rsidRDefault="00B419CE" w:rsidP="00B419CE">
            <w:pPr>
              <w:jc w:val="right"/>
            </w:pPr>
            <w:r w:rsidRPr="00B419CE">
              <w:t>7,6</w:t>
            </w:r>
          </w:p>
        </w:tc>
      </w:tr>
      <w:tr w:rsidR="00B419CE" w:rsidRPr="00B419CE" w14:paraId="633E51C4" w14:textId="77777777" w:rsidTr="00B419CE">
        <w:trPr>
          <w:trHeight w:val="380"/>
        </w:trPr>
        <w:tc>
          <w:tcPr>
            <w:tcW w:w="1020" w:type="dxa"/>
          </w:tcPr>
          <w:p w14:paraId="2413430E" w14:textId="77777777" w:rsidR="00B419CE" w:rsidRPr="00B419CE" w:rsidRDefault="00B419CE" w:rsidP="00B419CE"/>
        </w:tc>
        <w:tc>
          <w:tcPr>
            <w:tcW w:w="4080" w:type="dxa"/>
          </w:tcPr>
          <w:p w14:paraId="12004429" w14:textId="77777777" w:rsidR="00B419CE" w:rsidRPr="00B419CE" w:rsidRDefault="00B419CE" w:rsidP="00B419CE">
            <w:r w:rsidRPr="00B419CE">
              <w:t>Sum kategori 23.10</w:t>
            </w:r>
          </w:p>
        </w:tc>
        <w:tc>
          <w:tcPr>
            <w:tcW w:w="1020" w:type="dxa"/>
          </w:tcPr>
          <w:p w14:paraId="2F4384BB" w14:textId="77777777" w:rsidR="00B419CE" w:rsidRPr="00B419CE" w:rsidRDefault="00B419CE" w:rsidP="00B419CE">
            <w:pPr>
              <w:jc w:val="right"/>
            </w:pPr>
            <w:r w:rsidRPr="00B419CE">
              <w:t>51 752 589</w:t>
            </w:r>
          </w:p>
        </w:tc>
        <w:tc>
          <w:tcPr>
            <w:tcW w:w="1020" w:type="dxa"/>
          </w:tcPr>
          <w:p w14:paraId="4C47B760" w14:textId="77777777" w:rsidR="00B419CE" w:rsidRPr="00B419CE" w:rsidRDefault="00B419CE" w:rsidP="00B419CE">
            <w:pPr>
              <w:jc w:val="right"/>
            </w:pPr>
            <w:r w:rsidRPr="00B419CE">
              <w:t>1 854 959</w:t>
            </w:r>
          </w:p>
        </w:tc>
        <w:tc>
          <w:tcPr>
            <w:tcW w:w="1020" w:type="dxa"/>
          </w:tcPr>
          <w:p w14:paraId="7652B59D" w14:textId="77777777" w:rsidR="00B419CE" w:rsidRPr="00B419CE" w:rsidRDefault="00B419CE" w:rsidP="00B419CE">
            <w:pPr>
              <w:jc w:val="right"/>
            </w:pPr>
            <w:r w:rsidRPr="00B419CE">
              <w:t>1 940 638</w:t>
            </w:r>
          </w:p>
        </w:tc>
        <w:tc>
          <w:tcPr>
            <w:tcW w:w="1020" w:type="dxa"/>
          </w:tcPr>
          <w:p w14:paraId="5E0E3CC6" w14:textId="77777777" w:rsidR="00B419CE" w:rsidRPr="00B419CE" w:rsidRDefault="00B419CE" w:rsidP="00B419CE">
            <w:pPr>
              <w:jc w:val="right"/>
            </w:pPr>
            <w:r w:rsidRPr="00B419CE">
              <w:t>4,6</w:t>
            </w:r>
          </w:p>
        </w:tc>
      </w:tr>
    </w:tbl>
    <w:p w14:paraId="68D3C43C" w14:textId="77777777" w:rsidR="00B419CE" w:rsidRPr="00B419CE" w:rsidRDefault="00B419CE" w:rsidP="00B419CE">
      <w:pPr>
        <w:pStyle w:val="b-budkaptit"/>
      </w:pPr>
      <w:r w:rsidRPr="00B419CE">
        <w:t>Kap. 1600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28C8AD91" w14:textId="77777777" w:rsidTr="00B419CE">
        <w:trPr>
          <w:trHeight w:val="640"/>
          <w:hidden/>
        </w:trPr>
        <w:tc>
          <w:tcPr>
            <w:tcW w:w="1140" w:type="dxa"/>
            <w:shd w:val="clear" w:color="auto" w:fill="FFFFFF"/>
          </w:tcPr>
          <w:p w14:paraId="1F1C318D" w14:textId="77777777" w:rsidR="00B419CE" w:rsidRPr="00B419CE" w:rsidRDefault="00B419CE" w:rsidP="00B419CE">
            <w:pPr>
              <w:pStyle w:val="Tabellnavn"/>
            </w:pPr>
            <w:r w:rsidRPr="00B419CE">
              <w:t>KPAL</w:t>
            </w:r>
          </w:p>
        </w:tc>
        <w:tc>
          <w:tcPr>
            <w:tcW w:w="4560" w:type="dxa"/>
          </w:tcPr>
          <w:p w14:paraId="17A5BC73" w14:textId="77777777" w:rsidR="00B419CE" w:rsidRPr="00B419CE" w:rsidRDefault="00B419CE" w:rsidP="00B419CE"/>
        </w:tc>
        <w:tc>
          <w:tcPr>
            <w:tcW w:w="1140" w:type="dxa"/>
          </w:tcPr>
          <w:p w14:paraId="4C3B5388" w14:textId="77777777" w:rsidR="00B419CE" w:rsidRPr="00B419CE" w:rsidRDefault="00B419CE" w:rsidP="00B419CE">
            <w:pPr>
              <w:jc w:val="right"/>
            </w:pPr>
          </w:p>
        </w:tc>
        <w:tc>
          <w:tcPr>
            <w:tcW w:w="1140" w:type="dxa"/>
          </w:tcPr>
          <w:p w14:paraId="1B005463" w14:textId="77777777" w:rsidR="00B419CE" w:rsidRPr="00B419CE" w:rsidRDefault="00B419CE" w:rsidP="00B419CE">
            <w:pPr>
              <w:jc w:val="right"/>
            </w:pPr>
          </w:p>
        </w:tc>
        <w:tc>
          <w:tcPr>
            <w:tcW w:w="1140" w:type="dxa"/>
          </w:tcPr>
          <w:p w14:paraId="76B2147B" w14:textId="77777777" w:rsidR="00B419CE" w:rsidRPr="00B419CE" w:rsidRDefault="00B419CE" w:rsidP="00B419CE">
            <w:pPr>
              <w:jc w:val="right"/>
            </w:pPr>
            <w:r w:rsidRPr="00B419CE">
              <w:t>(i 1 000 kr)</w:t>
            </w:r>
          </w:p>
        </w:tc>
      </w:tr>
      <w:tr w:rsidR="00B419CE" w:rsidRPr="00B419CE" w14:paraId="69F2A585" w14:textId="77777777" w:rsidTr="00B419CE">
        <w:trPr>
          <w:trHeight w:val="600"/>
        </w:trPr>
        <w:tc>
          <w:tcPr>
            <w:tcW w:w="1140" w:type="dxa"/>
          </w:tcPr>
          <w:p w14:paraId="35B76952" w14:textId="77777777" w:rsidR="00B419CE" w:rsidRPr="00B419CE" w:rsidRDefault="00B419CE" w:rsidP="00B419CE">
            <w:r w:rsidRPr="00B419CE">
              <w:t>Post</w:t>
            </w:r>
          </w:p>
        </w:tc>
        <w:tc>
          <w:tcPr>
            <w:tcW w:w="4560" w:type="dxa"/>
          </w:tcPr>
          <w:p w14:paraId="585039DE" w14:textId="77777777" w:rsidR="00B419CE" w:rsidRPr="00B419CE" w:rsidRDefault="00B419CE" w:rsidP="00B419CE">
            <w:proofErr w:type="spellStart"/>
            <w:r w:rsidRPr="00B419CE">
              <w:t>Nemning</w:t>
            </w:r>
            <w:proofErr w:type="spellEnd"/>
          </w:p>
        </w:tc>
        <w:tc>
          <w:tcPr>
            <w:tcW w:w="1140" w:type="dxa"/>
          </w:tcPr>
          <w:p w14:paraId="18C8D3A4"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B6BF3D2" w14:textId="77777777" w:rsidR="00B419CE" w:rsidRPr="00B419CE" w:rsidRDefault="00B419CE" w:rsidP="00B419CE">
            <w:pPr>
              <w:jc w:val="right"/>
            </w:pPr>
            <w:r w:rsidRPr="00B419CE">
              <w:t>Saldert</w:t>
            </w:r>
            <w:r w:rsidRPr="00B419CE">
              <w:br/>
              <w:t xml:space="preserve"> budsjett 2021</w:t>
            </w:r>
          </w:p>
        </w:tc>
        <w:tc>
          <w:tcPr>
            <w:tcW w:w="1140" w:type="dxa"/>
          </w:tcPr>
          <w:p w14:paraId="2775B6CD" w14:textId="77777777" w:rsidR="00B419CE" w:rsidRPr="00B419CE" w:rsidRDefault="00B419CE" w:rsidP="00B419CE">
            <w:pPr>
              <w:jc w:val="right"/>
            </w:pPr>
            <w:r w:rsidRPr="00B419CE">
              <w:t>Forslag</w:t>
            </w:r>
            <w:r w:rsidRPr="00B419CE">
              <w:br/>
              <w:t xml:space="preserve"> 2022</w:t>
            </w:r>
          </w:p>
        </w:tc>
      </w:tr>
      <w:tr w:rsidR="00B419CE" w:rsidRPr="00B419CE" w14:paraId="51AB29D1" w14:textId="77777777" w:rsidTr="00B419CE">
        <w:trPr>
          <w:trHeight w:val="380"/>
        </w:trPr>
        <w:tc>
          <w:tcPr>
            <w:tcW w:w="1140" w:type="dxa"/>
          </w:tcPr>
          <w:p w14:paraId="1CC4D15C" w14:textId="77777777" w:rsidR="00B419CE" w:rsidRPr="00B419CE" w:rsidRDefault="00B419CE" w:rsidP="00B419CE">
            <w:r w:rsidRPr="00B419CE">
              <w:t>01</w:t>
            </w:r>
          </w:p>
        </w:tc>
        <w:tc>
          <w:tcPr>
            <w:tcW w:w="4560" w:type="dxa"/>
          </w:tcPr>
          <w:p w14:paraId="45A07B6E" w14:textId="77777777" w:rsidR="00B419CE" w:rsidRPr="00B419CE" w:rsidRDefault="00B419CE" w:rsidP="00B419CE">
            <w:r w:rsidRPr="00B419CE">
              <w:t>Driftsutgifter</w:t>
            </w:r>
          </w:p>
        </w:tc>
        <w:tc>
          <w:tcPr>
            <w:tcW w:w="1140" w:type="dxa"/>
          </w:tcPr>
          <w:p w14:paraId="38AC0FF7" w14:textId="77777777" w:rsidR="00B419CE" w:rsidRPr="00B419CE" w:rsidRDefault="00B419CE" w:rsidP="00B419CE">
            <w:pPr>
              <w:jc w:val="right"/>
            </w:pPr>
            <w:r w:rsidRPr="00B419CE">
              <w:t>403 480</w:t>
            </w:r>
          </w:p>
        </w:tc>
        <w:tc>
          <w:tcPr>
            <w:tcW w:w="1140" w:type="dxa"/>
          </w:tcPr>
          <w:p w14:paraId="3BED4AE0" w14:textId="77777777" w:rsidR="00B419CE" w:rsidRPr="00B419CE" w:rsidRDefault="00B419CE" w:rsidP="00B419CE">
            <w:pPr>
              <w:jc w:val="right"/>
            </w:pPr>
            <w:r w:rsidRPr="00B419CE">
              <w:t>417 686</w:t>
            </w:r>
          </w:p>
        </w:tc>
        <w:tc>
          <w:tcPr>
            <w:tcW w:w="1140" w:type="dxa"/>
          </w:tcPr>
          <w:p w14:paraId="195E4C8B" w14:textId="77777777" w:rsidR="00B419CE" w:rsidRPr="00B419CE" w:rsidRDefault="00B419CE" w:rsidP="00B419CE">
            <w:pPr>
              <w:jc w:val="right"/>
            </w:pPr>
            <w:r w:rsidRPr="00B419CE">
              <w:t>416 321</w:t>
            </w:r>
          </w:p>
        </w:tc>
      </w:tr>
      <w:tr w:rsidR="00B419CE" w:rsidRPr="00B419CE" w14:paraId="4F76477B" w14:textId="77777777" w:rsidTr="00B419CE">
        <w:trPr>
          <w:trHeight w:val="380"/>
        </w:trPr>
        <w:tc>
          <w:tcPr>
            <w:tcW w:w="1140" w:type="dxa"/>
          </w:tcPr>
          <w:p w14:paraId="2E700F0B" w14:textId="77777777" w:rsidR="00B419CE" w:rsidRPr="00B419CE" w:rsidRDefault="00B419CE" w:rsidP="00B419CE">
            <w:r w:rsidRPr="00B419CE">
              <w:t>21</w:t>
            </w:r>
          </w:p>
        </w:tc>
        <w:tc>
          <w:tcPr>
            <w:tcW w:w="4560" w:type="dxa"/>
          </w:tcPr>
          <w:p w14:paraId="1BFDE3DA" w14:textId="77777777" w:rsidR="00B419CE" w:rsidRPr="00B419CE" w:rsidRDefault="00B419CE" w:rsidP="00B419CE">
            <w:r w:rsidRPr="00B419CE">
              <w:t>Spesielle driftsutgifter</w:t>
            </w:r>
            <w:r w:rsidRPr="00B419CE">
              <w:rPr>
                <w:rStyle w:val="kursiv"/>
              </w:rPr>
              <w:t xml:space="preserve">, kan </w:t>
            </w:r>
            <w:proofErr w:type="spellStart"/>
            <w:r w:rsidRPr="00B419CE">
              <w:rPr>
                <w:rStyle w:val="kursiv"/>
              </w:rPr>
              <w:t>overførast</w:t>
            </w:r>
            <w:proofErr w:type="spellEnd"/>
          </w:p>
        </w:tc>
        <w:tc>
          <w:tcPr>
            <w:tcW w:w="1140" w:type="dxa"/>
          </w:tcPr>
          <w:p w14:paraId="761AE747" w14:textId="77777777" w:rsidR="00B419CE" w:rsidRPr="00B419CE" w:rsidRDefault="00B419CE" w:rsidP="00B419CE">
            <w:pPr>
              <w:jc w:val="right"/>
            </w:pPr>
            <w:r w:rsidRPr="00B419CE">
              <w:t>76 744</w:t>
            </w:r>
          </w:p>
        </w:tc>
        <w:tc>
          <w:tcPr>
            <w:tcW w:w="1140" w:type="dxa"/>
          </w:tcPr>
          <w:p w14:paraId="01277AC5" w14:textId="77777777" w:rsidR="00B419CE" w:rsidRPr="00B419CE" w:rsidRDefault="00B419CE" w:rsidP="00B419CE">
            <w:pPr>
              <w:jc w:val="right"/>
            </w:pPr>
            <w:r w:rsidRPr="00B419CE">
              <w:t>111 795</w:t>
            </w:r>
          </w:p>
        </w:tc>
        <w:tc>
          <w:tcPr>
            <w:tcW w:w="1140" w:type="dxa"/>
          </w:tcPr>
          <w:p w14:paraId="629D814D" w14:textId="77777777" w:rsidR="00B419CE" w:rsidRPr="00B419CE" w:rsidRDefault="00B419CE" w:rsidP="00B419CE">
            <w:pPr>
              <w:jc w:val="right"/>
            </w:pPr>
            <w:r w:rsidRPr="00B419CE">
              <w:t>101 700</w:t>
            </w:r>
          </w:p>
        </w:tc>
      </w:tr>
      <w:tr w:rsidR="00B419CE" w:rsidRPr="00B419CE" w14:paraId="7E7006DB" w14:textId="77777777" w:rsidTr="00B419CE">
        <w:trPr>
          <w:trHeight w:val="640"/>
        </w:trPr>
        <w:tc>
          <w:tcPr>
            <w:tcW w:w="1140" w:type="dxa"/>
          </w:tcPr>
          <w:p w14:paraId="07A11D31" w14:textId="77777777" w:rsidR="00B419CE" w:rsidRPr="00B419CE" w:rsidRDefault="00B419CE" w:rsidP="00B419CE">
            <w:r w:rsidRPr="00B419CE">
              <w:t>70</w:t>
            </w:r>
          </w:p>
        </w:tc>
        <w:tc>
          <w:tcPr>
            <w:tcW w:w="4560" w:type="dxa"/>
          </w:tcPr>
          <w:p w14:paraId="4AE99CAB" w14:textId="77777777" w:rsidR="00B419CE" w:rsidRPr="00B419CE" w:rsidRDefault="00B419CE" w:rsidP="00B419CE">
            <w:r w:rsidRPr="00B419CE">
              <w:t xml:space="preserve">Forsking på og allmennopplysning </w:t>
            </w:r>
            <w:r w:rsidRPr="00B419CE">
              <w:br/>
              <w:t xml:space="preserve">om </w:t>
            </w:r>
            <w:proofErr w:type="spellStart"/>
            <w:r w:rsidRPr="00B419CE">
              <w:t>finansmarknaden</w:t>
            </w:r>
            <w:proofErr w:type="spellEnd"/>
          </w:p>
        </w:tc>
        <w:tc>
          <w:tcPr>
            <w:tcW w:w="1140" w:type="dxa"/>
          </w:tcPr>
          <w:p w14:paraId="7F2C2AFA" w14:textId="77777777" w:rsidR="00B419CE" w:rsidRPr="00B419CE" w:rsidRDefault="00B419CE" w:rsidP="00B419CE">
            <w:pPr>
              <w:jc w:val="right"/>
            </w:pPr>
            <w:r w:rsidRPr="00B419CE">
              <w:t>13 100</w:t>
            </w:r>
          </w:p>
        </w:tc>
        <w:tc>
          <w:tcPr>
            <w:tcW w:w="1140" w:type="dxa"/>
          </w:tcPr>
          <w:p w14:paraId="5C79B75F" w14:textId="77777777" w:rsidR="00B419CE" w:rsidRPr="00B419CE" w:rsidRDefault="00B419CE" w:rsidP="00B419CE">
            <w:pPr>
              <w:jc w:val="right"/>
            </w:pPr>
            <w:r w:rsidRPr="00B419CE">
              <w:t>13 500</w:t>
            </w:r>
          </w:p>
        </w:tc>
        <w:tc>
          <w:tcPr>
            <w:tcW w:w="1140" w:type="dxa"/>
          </w:tcPr>
          <w:p w14:paraId="447CAFC6" w14:textId="77777777" w:rsidR="00B419CE" w:rsidRPr="00B419CE" w:rsidRDefault="00B419CE" w:rsidP="00B419CE">
            <w:pPr>
              <w:jc w:val="right"/>
            </w:pPr>
            <w:r w:rsidRPr="00B419CE">
              <w:t>13 900</w:t>
            </w:r>
          </w:p>
        </w:tc>
      </w:tr>
      <w:tr w:rsidR="00B419CE" w:rsidRPr="00B419CE" w14:paraId="1182D5D0" w14:textId="77777777" w:rsidTr="00B419CE">
        <w:trPr>
          <w:trHeight w:val="640"/>
        </w:trPr>
        <w:tc>
          <w:tcPr>
            <w:tcW w:w="1140" w:type="dxa"/>
          </w:tcPr>
          <w:p w14:paraId="2AC40E26" w14:textId="77777777" w:rsidR="00B419CE" w:rsidRPr="00B419CE" w:rsidRDefault="00B419CE" w:rsidP="00B419CE">
            <w:r w:rsidRPr="00B419CE">
              <w:lastRenderedPageBreak/>
              <w:t>95</w:t>
            </w:r>
          </w:p>
        </w:tc>
        <w:tc>
          <w:tcPr>
            <w:tcW w:w="4560" w:type="dxa"/>
          </w:tcPr>
          <w:p w14:paraId="3E5F94C2" w14:textId="77777777" w:rsidR="00B419CE" w:rsidRPr="00B419CE" w:rsidRDefault="00B419CE" w:rsidP="00B419CE">
            <w:proofErr w:type="spellStart"/>
            <w:r w:rsidRPr="00B419CE">
              <w:t>Kapitalinnskot</w:t>
            </w:r>
            <w:proofErr w:type="spellEnd"/>
            <w:r w:rsidRPr="00B419CE">
              <w:t>, Statens obligasjonsfond</w:t>
            </w:r>
            <w:r w:rsidRPr="00B419CE">
              <w:rPr>
                <w:rStyle w:val="kursiv"/>
              </w:rPr>
              <w:t xml:space="preserve">, </w:t>
            </w:r>
            <w:r w:rsidRPr="00B419CE">
              <w:rPr>
                <w:rStyle w:val="kursiv"/>
              </w:rPr>
              <w:br/>
              <w:t xml:space="preserve">kan </w:t>
            </w:r>
            <w:proofErr w:type="spellStart"/>
            <w:r w:rsidRPr="00B419CE">
              <w:rPr>
                <w:rStyle w:val="kursiv"/>
              </w:rPr>
              <w:t>overførast</w:t>
            </w:r>
            <w:proofErr w:type="spellEnd"/>
          </w:p>
        </w:tc>
        <w:tc>
          <w:tcPr>
            <w:tcW w:w="1140" w:type="dxa"/>
          </w:tcPr>
          <w:p w14:paraId="73DA9EDB" w14:textId="77777777" w:rsidR="00B419CE" w:rsidRPr="00B419CE" w:rsidRDefault="00B419CE" w:rsidP="00B419CE">
            <w:pPr>
              <w:jc w:val="right"/>
            </w:pPr>
            <w:r w:rsidRPr="00B419CE">
              <w:t>50 000 000</w:t>
            </w:r>
          </w:p>
        </w:tc>
        <w:tc>
          <w:tcPr>
            <w:tcW w:w="1140" w:type="dxa"/>
          </w:tcPr>
          <w:p w14:paraId="250D233C" w14:textId="77777777" w:rsidR="00B419CE" w:rsidRPr="00B419CE" w:rsidRDefault="00B419CE" w:rsidP="00B419CE">
            <w:pPr>
              <w:jc w:val="right"/>
            </w:pPr>
          </w:p>
        </w:tc>
        <w:tc>
          <w:tcPr>
            <w:tcW w:w="1140" w:type="dxa"/>
          </w:tcPr>
          <w:p w14:paraId="040D6907" w14:textId="77777777" w:rsidR="00B419CE" w:rsidRPr="00B419CE" w:rsidRDefault="00B419CE" w:rsidP="00B419CE">
            <w:pPr>
              <w:jc w:val="right"/>
            </w:pPr>
          </w:p>
        </w:tc>
      </w:tr>
      <w:tr w:rsidR="00B419CE" w:rsidRPr="00B419CE" w14:paraId="19D41675" w14:textId="77777777" w:rsidTr="00B419CE">
        <w:trPr>
          <w:trHeight w:val="380"/>
        </w:trPr>
        <w:tc>
          <w:tcPr>
            <w:tcW w:w="1140" w:type="dxa"/>
          </w:tcPr>
          <w:p w14:paraId="63513CBD" w14:textId="77777777" w:rsidR="00B419CE" w:rsidRPr="00B419CE" w:rsidRDefault="00B419CE" w:rsidP="00B419CE"/>
        </w:tc>
        <w:tc>
          <w:tcPr>
            <w:tcW w:w="4560" w:type="dxa"/>
          </w:tcPr>
          <w:p w14:paraId="3E9416FF" w14:textId="77777777" w:rsidR="00B419CE" w:rsidRPr="00B419CE" w:rsidRDefault="00B419CE" w:rsidP="00B419CE">
            <w:r w:rsidRPr="00B419CE">
              <w:t>Sum kap. 1600</w:t>
            </w:r>
          </w:p>
        </w:tc>
        <w:tc>
          <w:tcPr>
            <w:tcW w:w="1140" w:type="dxa"/>
          </w:tcPr>
          <w:p w14:paraId="52430389" w14:textId="77777777" w:rsidR="00B419CE" w:rsidRPr="00B419CE" w:rsidRDefault="00B419CE" w:rsidP="00B419CE">
            <w:pPr>
              <w:jc w:val="right"/>
            </w:pPr>
            <w:r w:rsidRPr="00B419CE">
              <w:t>50 493 324</w:t>
            </w:r>
          </w:p>
        </w:tc>
        <w:tc>
          <w:tcPr>
            <w:tcW w:w="1140" w:type="dxa"/>
          </w:tcPr>
          <w:p w14:paraId="6FEB82DF" w14:textId="77777777" w:rsidR="00B419CE" w:rsidRPr="00B419CE" w:rsidRDefault="00B419CE" w:rsidP="00B419CE">
            <w:pPr>
              <w:jc w:val="right"/>
            </w:pPr>
            <w:r w:rsidRPr="00B419CE">
              <w:t>542 981</w:t>
            </w:r>
          </w:p>
        </w:tc>
        <w:tc>
          <w:tcPr>
            <w:tcW w:w="1140" w:type="dxa"/>
          </w:tcPr>
          <w:p w14:paraId="390898A0" w14:textId="77777777" w:rsidR="00B419CE" w:rsidRPr="00B419CE" w:rsidRDefault="00B419CE" w:rsidP="00B419CE">
            <w:pPr>
              <w:jc w:val="right"/>
            </w:pPr>
            <w:r w:rsidRPr="00B419CE">
              <w:t>531 921</w:t>
            </w:r>
          </w:p>
        </w:tc>
      </w:tr>
    </w:tbl>
    <w:p w14:paraId="786E424B" w14:textId="77777777" w:rsidR="00B419CE" w:rsidRPr="00B419CE" w:rsidRDefault="00B419CE" w:rsidP="00B419CE">
      <w:pPr>
        <w:pStyle w:val="Undertittel"/>
      </w:pPr>
      <w:proofErr w:type="spellStart"/>
      <w:r w:rsidRPr="00B419CE">
        <w:t>Hovudoppgåver</w:t>
      </w:r>
      <w:proofErr w:type="spellEnd"/>
    </w:p>
    <w:p w14:paraId="38F23580" w14:textId="77777777" w:rsidR="00B419CE" w:rsidRPr="00B419CE" w:rsidRDefault="00B419CE" w:rsidP="00B419CE">
      <w:proofErr w:type="spellStart"/>
      <w:r w:rsidRPr="00B419CE">
        <w:t>Arbeidsoppgåvene</w:t>
      </w:r>
      <w:proofErr w:type="spellEnd"/>
      <w:r w:rsidRPr="00B419CE">
        <w:t xml:space="preserve"> til Finansdepartementet kan </w:t>
      </w:r>
      <w:proofErr w:type="spellStart"/>
      <w:r w:rsidRPr="00B419CE">
        <w:t>delast</w:t>
      </w:r>
      <w:proofErr w:type="spellEnd"/>
      <w:r w:rsidRPr="00B419CE">
        <w:t xml:space="preserve"> inn i fem </w:t>
      </w:r>
      <w:proofErr w:type="spellStart"/>
      <w:r w:rsidRPr="00B419CE">
        <w:t>hovudområde</w:t>
      </w:r>
      <w:proofErr w:type="spellEnd"/>
      <w:r w:rsidRPr="00B419CE">
        <w:t>:</w:t>
      </w:r>
    </w:p>
    <w:p w14:paraId="3EFB4BE3" w14:textId="77777777" w:rsidR="00B419CE" w:rsidRPr="00B419CE" w:rsidRDefault="00B419CE" w:rsidP="00B419CE">
      <w:pPr>
        <w:pStyle w:val="Nummerertliste"/>
      </w:pPr>
      <w:r w:rsidRPr="00B419CE">
        <w:t xml:space="preserve">Samordning av den økonomiske politikken, som </w:t>
      </w:r>
      <w:proofErr w:type="spellStart"/>
      <w:r w:rsidRPr="00B419CE">
        <w:t>omfattar</w:t>
      </w:r>
      <w:proofErr w:type="spellEnd"/>
    </w:p>
    <w:p w14:paraId="499B1BE1" w14:textId="77777777" w:rsidR="00B419CE" w:rsidRPr="00B419CE" w:rsidRDefault="00B419CE" w:rsidP="00B419CE">
      <w:pPr>
        <w:pStyle w:val="Liste2"/>
      </w:pPr>
      <w:proofErr w:type="spellStart"/>
      <w:r w:rsidRPr="00B419CE">
        <w:t>overvaking</w:t>
      </w:r>
      <w:proofErr w:type="spellEnd"/>
      <w:r w:rsidRPr="00B419CE">
        <w:t xml:space="preserve"> og analyse av den økonomiske utviklinga</w:t>
      </w:r>
    </w:p>
    <w:p w14:paraId="5E896D77" w14:textId="77777777" w:rsidR="00B419CE" w:rsidRPr="00B419CE" w:rsidRDefault="00B419CE" w:rsidP="00B419CE">
      <w:pPr>
        <w:pStyle w:val="Liste2"/>
      </w:pPr>
      <w:r w:rsidRPr="00B419CE">
        <w:t>finanspolitikk</w:t>
      </w:r>
    </w:p>
    <w:p w14:paraId="59394931" w14:textId="77777777" w:rsidR="00B419CE" w:rsidRPr="00B419CE" w:rsidRDefault="00B419CE" w:rsidP="00B419CE">
      <w:pPr>
        <w:pStyle w:val="Liste2"/>
      </w:pPr>
      <w:r w:rsidRPr="00B419CE">
        <w:t>pengepolitikk</w:t>
      </w:r>
    </w:p>
    <w:p w14:paraId="05B9CA46" w14:textId="77777777" w:rsidR="00B419CE" w:rsidRPr="00B419CE" w:rsidRDefault="00B419CE" w:rsidP="00B419CE">
      <w:pPr>
        <w:pStyle w:val="Liste2"/>
      </w:pPr>
      <w:r w:rsidRPr="00B419CE">
        <w:t>inntekts- og fordelingspolitikk</w:t>
      </w:r>
    </w:p>
    <w:p w14:paraId="4391A15E" w14:textId="77777777" w:rsidR="00B419CE" w:rsidRPr="00B419CE" w:rsidRDefault="00B419CE" w:rsidP="00B419CE">
      <w:pPr>
        <w:pStyle w:val="Liste2"/>
      </w:pPr>
      <w:r w:rsidRPr="00B419CE">
        <w:t xml:space="preserve">strukturpolitikk, mellom anna </w:t>
      </w:r>
      <w:proofErr w:type="spellStart"/>
      <w:r w:rsidRPr="00B419CE">
        <w:t>verkemåten</w:t>
      </w:r>
      <w:proofErr w:type="spellEnd"/>
      <w:r w:rsidRPr="00B419CE">
        <w:t xml:space="preserve"> til </w:t>
      </w:r>
      <w:proofErr w:type="spellStart"/>
      <w:r w:rsidRPr="00B419CE">
        <w:t>arbeidsmarknaden</w:t>
      </w:r>
      <w:proofErr w:type="spellEnd"/>
      <w:r w:rsidRPr="00B419CE">
        <w:t xml:space="preserve"> og </w:t>
      </w:r>
      <w:proofErr w:type="spellStart"/>
      <w:r w:rsidRPr="00B419CE">
        <w:t>produktmarknadene</w:t>
      </w:r>
      <w:proofErr w:type="spellEnd"/>
    </w:p>
    <w:p w14:paraId="44E866FE" w14:textId="77777777" w:rsidR="00B419CE" w:rsidRPr="00B419CE" w:rsidRDefault="00B419CE" w:rsidP="00B419CE">
      <w:pPr>
        <w:pStyle w:val="Liste2"/>
      </w:pPr>
      <w:r w:rsidRPr="00B419CE">
        <w:t xml:space="preserve">samordning av regjeringa sitt arbeid med </w:t>
      </w:r>
      <w:proofErr w:type="spellStart"/>
      <w:r w:rsidRPr="00B419CE">
        <w:t>berekraftig</w:t>
      </w:r>
      <w:proofErr w:type="spellEnd"/>
      <w:r w:rsidRPr="00B419CE">
        <w:t xml:space="preserve"> utvikling</w:t>
      </w:r>
    </w:p>
    <w:p w14:paraId="22C401EE" w14:textId="77777777" w:rsidR="00B419CE" w:rsidRPr="00B419CE" w:rsidRDefault="00B419CE" w:rsidP="00B419CE">
      <w:pPr>
        <w:pStyle w:val="Liste2"/>
      </w:pPr>
      <w:r w:rsidRPr="00B419CE">
        <w:t>internasjonalt økonomisk samarbeid</w:t>
      </w:r>
    </w:p>
    <w:p w14:paraId="548AD144" w14:textId="77777777" w:rsidR="00B419CE" w:rsidRPr="00B419CE" w:rsidRDefault="00B419CE" w:rsidP="00B419CE">
      <w:pPr>
        <w:pStyle w:val="Liste2"/>
      </w:pPr>
      <w:r w:rsidRPr="00B419CE">
        <w:t xml:space="preserve">offisiell statistikk, </w:t>
      </w:r>
      <w:proofErr w:type="spellStart"/>
      <w:r w:rsidRPr="00B419CE">
        <w:t>irekna</w:t>
      </w:r>
      <w:proofErr w:type="spellEnd"/>
      <w:r w:rsidRPr="00B419CE">
        <w:t xml:space="preserve"> overordna styring av Statistisk sentralbyrå</w:t>
      </w:r>
    </w:p>
    <w:p w14:paraId="6C8AF451" w14:textId="77777777" w:rsidR="00B419CE" w:rsidRPr="00B419CE" w:rsidRDefault="00B419CE" w:rsidP="00B419CE">
      <w:pPr>
        <w:pStyle w:val="Nummerertliste"/>
      </w:pPr>
      <w:r w:rsidRPr="00B419CE">
        <w:t xml:space="preserve">Arbeidet med formues- og gjeldsforvalting, som </w:t>
      </w:r>
      <w:proofErr w:type="spellStart"/>
      <w:r w:rsidRPr="00B419CE">
        <w:t>omfattar</w:t>
      </w:r>
      <w:proofErr w:type="spellEnd"/>
    </w:p>
    <w:p w14:paraId="29CBC6BB" w14:textId="77777777" w:rsidR="00B419CE" w:rsidRPr="00B419CE" w:rsidRDefault="00B419CE" w:rsidP="00B419CE">
      <w:pPr>
        <w:pStyle w:val="Liste2"/>
      </w:pPr>
      <w:r w:rsidRPr="00B419CE">
        <w:t xml:space="preserve">investeringsstrategien til Statens pensjonsfond utland og Statens pensjonsfond </w:t>
      </w:r>
      <w:proofErr w:type="spellStart"/>
      <w:r w:rsidRPr="00B419CE">
        <w:t>Noreg</w:t>
      </w:r>
      <w:proofErr w:type="spellEnd"/>
      <w:r w:rsidRPr="00B419CE">
        <w:t xml:space="preserve">, </w:t>
      </w:r>
      <w:proofErr w:type="spellStart"/>
      <w:r w:rsidRPr="00B419CE">
        <w:t>irekna</w:t>
      </w:r>
      <w:proofErr w:type="spellEnd"/>
      <w:r w:rsidRPr="00B419CE">
        <w:t xml:space="preserve"> rammeverk for </w:t>
      </w:r>
      <w:proofErr w:type="spellStart"/>
      <w:r w:rsidRPr="00B419CE">
        <w:t>ansvarleg</w:t>
      </w:r>
      <w:proofErr w:type="spellEnd"/>
      <w:r w:rsidRPr="00B419CE">
        <w:t xml:space="preserve"> forvalting</w:t>
      </w:r>
    </w:p>
    <w:p w14:paraId="0993BECA" w14:textId="77777777" w:rsidR="00B419CE" w:rsidRPr="00B419CE" w:rsidRDefault="00B419CE" w:rsidP="00B419CE">
      <w:pPr>
        <w:pStyle w:val="Liste2"/>
      </w:pPr>
      <w:r w:rsidRPr="00B419CE">
        <w:t>oppfølging av forvaltinga av rammeverket for Statens pensjonsfond</w:t>
      </w:r>
    </w:p>
    <w:p w14:paraId="040B1078" w14:textId="77777777" w:rsidR="00B419CE" w:rsidRPr="00B419CE" w:rsidRDefault="00B419CE" w:rsidP="00B419CE">
      <w:pPr>
        <w:pStyle w:val="Liste2"/>
      </w:pPr>
      <w:proofErr w:type="spellStart"/>
      <w:r w:rsidRPr="00B419CE">
        <w:t>statleg</w:t>
      </w:r>
      <w:proofErr w:type="spellEnd"/>
      <w:r w:rsidRPr="00B419CE">
        <w:t xml:space="preserve"> gjeldsforvalting</w:t>
      </w:r>
    </w:p>
    <w:p w14:paraId="37839134" w14:textId="77777777" w:rsidR="00B419CE" w:rsidRPr="00B419CE" w:rsidRDefault="00B419CE" w:rsidP="00B419CE">
      <w:pPr>
        <w:pStyle w:val="Nummerertliste"/>
      </w:pPr>
      <w:r w:rsidRPr="00B419CE">
        <w:t xml:space="preserve">Arbeidet med statsbudsjettet, som </w:t>
      </w:r>
      <w:proofErr w:type="spellStart"/>
      <w:r w:rsidRPr="00B419CE">
        <w:t>omfattar</w:t>
      </w:r>
      <w:proofErr w:type="spellEnd"/>
    </w:p>
    <w:p w14:paraId="4D6647EA" w14:textId="77777777" w:rsidR="00B419CE" w:rsidRPr="00B419CE" w:rsidRDefault="00B419CE" w:rsidP="00B419CE">
      <w:pPr>
        <w:pStyle w:val="Liste2"/>
      </w:pPr>
      <w:r w:rsidRPr="00B419CE">
        <w:t xml:space="preserve">avgjersler om utgifter og inntekter på statsbudsjettet under </w:t>
      </w:r>
      <w:proofErr w:type="spellStart"/>
      <w:r w:rsidRPr="00B419CE">
        <w:t>dei</w:t>
      </w:r>
      <w:proofErr w:type="spellEnd"/>
      <w:r w:rsidRPr="00B419CE">
        <w:t xml:space="preserve"> </w:t>
      </w:r>
      <w:proofErr w:type="spellStart"/>
      <w:r w:rsidRPr="00B419CE">
        <w:t>einskilde</w:t>
      </w:r>
      <w:proofErr w:type="spellEnd"/>
      <w:r w:rsidRPr="00B419CE">
        <w:t xml:space="preserve"> fagdepartementa</w:t>
      </w:r>
    </w:p>
    <w:p w14:paraId="67E1B58C" w14:textId="77777777" w:rsidR="00B419CE" w:rsidRPr="00B419CE" w:rsidRDefault="00B419CE" w:rsidP="00B419CE">
      <w:pPr>
        <w:pStyle w:val="Liste2"/>
      </w:pPr>
      <w:r w:rsidRPr="00B419CE">
        <w:t xml:space="preserve">tiltak som </w:t>
      </w:r>
      <w:proofErr w:type="spellStart"/>
      <w:r w:rsidRPr="00B419CE">
        <w:t>legg</w:t>
      </w:r>
      <w:proofErr w:type="spellEnd"/>
      <w:r w:rsidRPr="00B419CE">
        <w:t xml:space="preserve"> til rette for effektivitet og god </w:t>
      </w:r>
      <w:proofErr w:type="spellStart"/>
      <w:r w:rsidRPr="00B419CE">
        <w:t>offentleg</w:t>
      </w:r>
      <w:proofErr w:type="spellEnd"/>
      <w:r w:rsidRPr="00B419CE">
        <w:t xml:space="preserve"> ressursbruk</w:t>
      </w:r>
    </w:p>
    <w:p w14:paraId="58FE9805" w14:textId="77777777" w:rsidR="00B419CE" w:rsidRPr="00B419CE" w:rsidRDefault="00B419CE" w:rsidP="00B419CE">
      <w:pPr>
        <w:pStyle w:val="Liste2"/>
      </w:pPr>
      <w:r w:rsidRPr="00B419CE">
        <w:t xml:space="preserve">utgreiing av økonomiske og administrative verknader av </w:t>
      </w:r>
      <w:proofErr w:type="spellStart"/>
      <w:r w:rsidRPr="00B419CE">
        <w:t>offentlege</w:t>
      </w:r>
      <w:proofErr w:type="spellEnd"/>
      <w:r w:rsidRPr="00B419CE">
        <w:t xml:space="preserve"> tiltak</w:t>
      </w:r>
    </w:p>
    <w:p w14:paraId="3A1AE1B1" w14:textId="77777777" w:rsidR="00B419CE" w:rsidRPr="00B419CE" w:rsidRDefault="00B419CE" w:rsidP="00B419CE">
      <w:pPr>
        <w:pStyle w:val="Liste2"/>
      </w:pPr>
      <w:r w:rsidRPr="00B419CE">
        <w:t xml:space="preserve">forvalting av prosjektmodellen til staten med kvalitetssikring av større </w:t>
      </w:r>
      <w:proofErr w:type="spellStart"/>
      <w:r w:rsidRPr="00B419CE">
        <w:t>statlege</w:t>
      </w:r>
      <w:proofErr w:type="spellEnd"/>
      <w:r w:rsidRPr="00B419CE">
        <w:t xml:space="preserve"> investeringsprosjekt, forvalting og utvikling av regelverket for økonomistyring i </w:t>
      </w:r>
      <w:proofErr w:type="spellStart"/>
      <w:r w:rsidRPr="00B419CE">
        <w:t>statsforvaltinga</w:t>
      </w:r>
      <w:proofErr w:type="spellEnd"/>
      <w:r w:rsidRPr="00B419CE">
        <w:t xml:space="preserve">, tiltak for å </w:t>
      </w:r>
      <w:proofErr w:type="spellStart"/>
      <w:r w:rsidRPr="00B419CE">
        <w:t>leggje</w:t>
      </w:r>
      <w:proofErr w:type="spellEnd"/>
      <w:r w:rsidRPr="00B419CE">
        <w:t xml:space="preserve"> til rette for økonomistyringa i </w:t>
      </w:r>
      <w:proofErr w:type="spellStart"/>
      <w:r w:rsidRPr="00B419CE">
        <w:t>verksemdene</w:t>
      </w:r>
      <w:proofErr w:type="spellEnd"/>
      <w:r w:rsidRPr="00B419CE">
        <w:t xml:space="preserve"> og overordna styring av Direktoratet for forvaltning og økonomistyring</w:t>
      </w:r>
    </w:p>
    <w:p w14:paraId="34511007" w14:textId="77777777" w:rsidR="00B419CE" w:rsidRPr="00B419CE" w:rsidRDefault="00B419CE" w:rsidP="00B419CE">
      <w:pPr>
        <w:pStyle w:val="Liste2"/>
      </w:pPr>
      <w:r w:rsidRPr="00B419CE">
        <w:t xml:space="preserve">saker </w:t>
      </w:r>
      <w:proofErr w:type="spellStart"/>
      <w:r w:rsidRPr="00B419CE">
        <w:t>frå</w:t>
      </w:r>
      <w:proofErr w:type="spellEnd"/>
      <w:r w:rsidRPr="00B419CE">
        <w:t xml:space="preserve"> fagdepartementa med økonomiske og administrative følgjer</w:t>
      </w:r>
    </w:p>
    <w:p w14:paraId="24E0B662" w14:textId="77777777" w:rsidR="00B419CE" w:rsidRPr="00B419CE" w:rsidRDefault="00B419CE" w:rsidP="00B419CE">
      <w:pPr>
        <w:pStyle w:val="Nummerertliste"/>
      </w:pPr>
      <w:r w:rsidRPr="00B419CE">
        <w:t xml:space="preserve">Arbeidet på skatte- og avgiftsområdet, som </w:t>
      </w:r>
      <w:proofErr w:type="spellStart"/>
      <w:r w:rsidRPr="00B419CE">
        <w:t>omfattar</w:t>
      </w:r>
      <w:proofErr w:type="spellEnd"/>
    </w:p>
    <w:p w14:paraId="5BC19F46" w14:textId="77777777" w:rsidR="00B419CE" w:rsidRPr="00B419CE" w:rsidRDefault="00B419CE" w:rsidP="00B419CE">
      <w:pPr>
        <w:pStyle w:val="Liste2"/>
      </w:pPr>
      <w:r w:rsidRPr="00B419CE">
        <w:t xml:space="preserve">skatte- og </w:t>
      </w:r>
      <w:proofErr w:type="spellStart"/>
      <w:r w:rsidRPr="00B419CE">
        <w:t>avgiftsframlegg</w:t>
      </w:r>
      <w:proofErr w:type="spellEnd"/>
      <w:r w:rsidRPr="00B419CE">
        <w:t xml:space="preserve"> som ledd i den samla finanspolitikken</w:t>
      </w:r>
    </w:p>
    <w:p w14:paraId="2E0819D2" w14:textId="77777777" w:rsidR="00B419CE" w:rsidRPr="00B419CE" w:rsidRDefault="00B419CE" w:rsidP="00B419CE">
      <w:pPr>
        <w:pStyle w:val="Liste2"/>
      </w:pPr>
      <w:r w:rsidRPr="00B419CE">
        <w:t xml:space="preserve">utvikling av regelverk for </w:t>
      </w:r>
      <w:proofErr w:type="spellStart"/>
      <w:r w:rsidRPr="00B419CE">
        <w:t>skattar</w:t>
      </w:r>
      <w:proofErr w:type="spellEnd"/>
      <w:r w:rsidRPr="00B419CE">
        <w:t>, avgifter og toll</w:t>
      </w:r>
    </w:p>
    <w:p w14:paraId="07D35B85" w14:textId="77777777" w:rsidR="00B419CE" w:rsidRPr="00B419CE" w:rsidRDefault="00B419CE" w:rsidP="00B419CE">
      <w:pPr>
        <w:pStyle w:val="Liste2"/>
      </w:pPr>
      <w:r w:rsidRPr="00B419CE">
        <w:t xml:space="preserve">fordelingsverknadene av skatte- og avgiftssystema og verknader på inntektene til det </w:t>
      </w:r>
      <w:proofErr w:type="spellStart"/>
      <w:r w:rsidRPr="00B419CE">
        <w:t>offentlege</w:t>
      </w:r>
      <w:proofErr w:type="spellEnd"/>
      <w:r w:rsidRPr="00B419CE">
        <w:t xml:space="preserve"> og ressursutnyttinga i økonomien</w:t>
      </w:r>
    </w:p>
    <w:p w14:paraId="526AA2B4" w14:textId="77777777" w:rsidR="00B419CE" w:rsidRPr="00B419CE" w:rsidRDefault="00B419CE" w:rsidP="00B419CE">
      <w:pPr>
        <w:pStyle w:val="Liste2"/>
      </w:pPr>
      <w:r w:rsidRPr="00B419CE">
        <w:t>overordna styring av Skatteetaten og Tolletaten</w:t>
      </w:r>
    </w:p>
    <w:p w14:paraId="5FF0C5BB" w14:textId="77777777" w:rsidR="00B419CE" w:rsidRPr="00B419CE" w:rsidRDefault="00B419CE" w:rsidP="00B419CE">
      <w:pPr>
        <w:pStyle w:val="Liste2"/>
      </w:pPr>
      <w:r w:rsidRPr="00B419CE">
        <w:t>internasjonalt samarbeid på skatte-, avgifts- og tollområdet</w:t>
      </w:r>
    </w:p>
    <w:p w14:paraId="32DE77D1" w14:textId="77777777" w:rsidR="00B419CE" w:rsidRPr="00B419CE" w:rsidRDefault="00B419CE" w:rsidP="00B419CE">
      <w:pPr>
        <w:pStyle w:val="Nummerertliste"/>
      </w:pPr>
      <w:r w:rsidRPr="00B419CE">
        <w:t xml:space="preserve">Arbeidet med </w:t>
      </w:r>
      <w:proofErr w:type="spellStart"/>
      <w:r w:rsidRPr="00B419CE">
        <w:t>finansmarknadsspørsmål</w:t>
      </w:r>
      <w:proofErr w:type="spellEnd"/>
      <w:r w:rsidRPr="00B419CE">
        <w:t xml:space="preserve">, som </w:t>
      </w:r>
      <w:proofErr w:type="spellStart"/>
      <w:r w:rsidRPr="00B419CE">
        <w:t>omfattar</w:t>
      </w:r>
      <w:proofErr w:type="spellEnd"/>
      <w:r w:rsidRPr="00B419CE">
        <w:t xml:space="preserve"> overordna styring av Finanstilsynet og utforming av regelverk for og </w:t>
      </w:r>
      <w:proofErr w:type="spellStart"/>
      <w:r w:rsidRPr="00B419CE">
        <w:t>overvaking</w:t>
      </w:r>
      <w:proofErr w:type="spellEnd"/>
      <w:r w:rsidRPr="00B419CE">
        <w:t xml:space="preserve"> av</w:t>
      </w:r>
    </w:p>
    <w:p w14:paraId="1BA76173" w14:textId="77777777" w:rsidR="00B419CE" w:rsidRPr="00B419CE" w:rsidRDefault="00B419CE" w:rsidP="00B419CE">
      <w:pPr>
        <w:pStyle w:val="Liste2"/>
      </w:pPr>
      <w:proofErr w:type="spellStart"/>
      <w:r w:rsidRPr="00B419CE">
        <w:lastRenderedPageBreak/>
        <w:t>finansføretaka</w:t>
      </w:r>
      <w:proofErr w:type="spellEnd"/>
      <w:r w:rsidRPr="00B419CE">
        <w:t xml:space="preserve"> (</w:t>
      </w:r>
      <w:proofErr w:type="spellStart"/>
      <w:r w:rsidRPr="00B419CE">
        <w:t>bankar</w:t>
      </w:r>
      <w:proofErr w:type="spellEnd"/>
      <w:r w:rsidRPr="00B419CE">
        <w:t xml:space="preserve">, andre </w:t>
      </w:r>
      <w:proofErr w:type="spellStart"/>
      <w:r w:rsidRPr="00B419CE">
        <w:t>kredittinstitusjonar</w:t>
      </w:r>
      <w:proofErr w:type="spellEnd"/>
      <w:r w:rsidRPr="00B419CE">
        <w:t>, forsikringsselskap, m.m.)</w:t>
      </w:r>
    </w:p>
    <w:p w14:paraId="7F52280E" w14:textId="77777777" w:rsidR="00B419CE" w:rsidRPr="00B419CE" w:rsidRDefault="00B419CE" w:rsidP="00B419CE">
      <w:pPr>
        <w:pStyle w:val="Liste2"/>
      </w:pPr>
      <w:proofErr w:type="spellStart"/>
      <w:r w:rsidRPr="00B419CE">
        <w:t>verdipapirmarknaden</w:t>
      </w:r>
      <w:proofErr w:type="spellEnd"/>
      <w:r w:rsidRPr="00B419CE">
        <w:t xml:space="preserve"> og </w:t>
      </w:r>
      <w:proofErr w:type="spellStart"/>
      <w:r w:rsidRPr="00B419CE">
        <w:t>infrastrukturføretaka</w:t>
      </w:r>
      <w:proofErr w:type="spellEnd"/>
      <w:r w:rsidRPr="00B419CE">
        <w:t xml:space="preserve"> for </w:t>
      </w:r>
      <w:proofErr w:type="spellStart"/>
      <w:r w:rsidRPr="00B419CE">
        <w:t>verdipapirmarknaden</w:t>
      </w:r>
      <w:proofErr w:type="spellEnd"/>
      <w:r w:rsidRPr="00B419CE">
        <w:t xml:space="preserve"> (autoriserte </w:t>
      </w:r>
      <w:proofErr w:type="spellStart"/>
      <w:r w:rsidRPr="00B419CE">
        <w:t>marknadsplassar</w:t>
      </w:r>
      <w:proofErr w:type="spellEnd"/>
      <w:r w:rsidRPr="00B419CE">
        <w:t>, verdipapirregister m.m.)</w:t>
      </w:r>
    </w:p>
    <w:p w14:paraId="0DD79288" w14:textId="77777777" w:rsidR="00B419CE" w:rsidRPr="00B419CE" w:rsidRDefault="00B419CE" w:rsidP="00B419CE">
      <w:pPr>
        <w:pStyle w:val="Liste2"/>
      </w:pPr>
      <w:proofErr w:type="spellStart"/>
      <w:r w:rsidRPr="00B419CE">
        <w:t>eigedomsmeklarar</w:t>
      </w:r>
      <w:proofErr w:type="spellEnd"/>
      <w:r w:rsidRPr="00B419CE">
        <w:t xml:space="preserve">, </w:t>
      </w:r>
      <w:proofErr w:type="spellStart"/>
      <w:r w:rsidRPr="00B419CE">
        <w:t>rekneskapsførarar</w:t>
      </w:r>
      <w:proofErr w:type="spellEnd"/>
      <w:r w:rsidRPr="00B419CE">
        <w:t xml:space="preserve"> og </w:t>
      </w:r>
      <w:proofErr w:type="spellStart"/>
      <w:r w:rsidRPr="00B419CE">
        <w:t>revisorar</w:t>
      </w:r>
      <w:proofErr w:type="spellEnd"/>
    </w:p>
    <w:p w14:paraId="221D1F2F" w14:textId="77777777" w:rsidR="00B419CE" w:rsidRPr="00B419CE" w:rsidRDefault="00B419CE" w:rsidP="00B419CE">
      <w:pPr>
        <w:pStyle w:val="Liste2"/>
      </w:pPr>
      <w:r w:rsidRPr="00B419CE">
        <w:t xml:space="preserve">struktur- og konkurransepolitikk for </w:t>
      </w:r>
      <w:proofErr w:type="spellStart"/>
      <w:r w:rsidRPr="00B419CE">
        <w:t>finansmarknaden</w:t>
      </w:r>
      <w:proofErr w:type="spellEnd"/>
    </w:p>
    <w:p w14:paraId="52421541" w14:textId="77777777" w:rsidR="00B419CE" w:rsidRPr="00B419CE" w:rsidRDefault="00B419CE" w:rsidP="00B419CE">
      <w:pPr>
        <w:pStyle w:val="Liste2"/>
      </w:pPr>
      <w:r w:rsidRPr="00B419CE">
        <w:t>finansiell stabilitet</w:t>
      </w:r>
    </w:p>
    <w:p w14:paraId="4C364DE2" w14:textId="77777777" w:rsidR="00B419CE" w:rsidRPr="00B419CE" w:rsidRDefault="00B419CE" w:rsidP="00B419CE">
      <w:pPr>
        <w:pStyle w:val="Undertittel"/>
      </w:pPr>
      <w:r w:rsidRPr="00B419CE">
        <w:t>Rapport</w:t>
      </w:r>
    </w:p>
    <w:p w14:paraId="5A56A6D3" w14:textId="77777777" w:rsidR="00B419CE" w:rsidRPr="00B419CE" w:rsidRDefault="00B419CE" w:rsidP="00B419CE">
      <w:pPr>
        <w:pStyle w:val="avsnitt-tittel"/>
      </w:pPr>
      <w:r w:rsidRPr="00B419CE">
        <w:t>Økonomisk politikk og forvalting av statsgjelda</w:t>
      </w:r>
    </w:p>
    <w:p w14:paraId="494AD0AE" w14:textId="77777777" w:rsidR="00B419CE" w:rsidRPr="00B419CE" w:rsidRDefault="00B419CE" w:rsidP="00B419CE">
      <w:r w:rsidRPr="00B419CE">
        <w:t xml:space="preserve">Arbeidet med å utforme og samordne den økonomiske politikken til regjeringa er ei av </w:t>
      </w:r>
      <w:proofErr w:type="spellStart"/>
      <w:r w:rsidRPr="00B419CE">
        <w:t>hovudoppgåvene</w:t>
      </w:r>
      <w:proofErr w:type="spellEnd"/>
      <w:r w:rsidRPr="00B419CE">
        <w:t xml:space="preserve"> til Finansdepartementet, jf. nasjonalbudsjettet og revidert nasjonalbudsjett. Sjå </w:t>
      </w:r>
      <w:proofErr w:type="spellStart"/>
      <w:r w:rsidRPr="00B419CE">
        <w:t>nærare</w:t>
      </w:r>
      <w:proofErr w:type="spellEnd"/>
      <w:r w:rsidRPr="00B419CE">
        <w:t xml:space="preserve"> i Meld. St. 1 (2021–2022) </w:t>
      </w:r>
      <w:r w:rsidRPr="00B419CE">
        <w:rPr>
          <w:rStyle w:val="kursiv"/>
        </w:rPr>
        <w:t>Nasjonalbudsjettet 2022</w:t>
      </w:r>
      <w:r w:rsidRPr="00B419CE">
        <w:t xml:space="preserve"> for </w:t>
      </w:r>
      <w:proofErr w:type="spellStart"/>
      <w:r w:rsidRPr="00B419CE">
        <w:t>ein</w:t>
      </w:r>
      <w:proofErr w:type="spellEnd"/>
      <w:r w:rsidRPr="00B419CE">
        <w:t xml:space="preserve"> </w:t>
      </w:r>
      <w:proofErr w:type="spellStart"/>
      <w:r w:rsidRPr="00B419CE">
        <w:t>nærare</w:t>
      </w:r>
      <w:proofErr w:type="spellEnd"/>
      <w:r w:rsidRPr="00B419CE">
        <w:t xml:space="preserve"> omtale av </w:t>
      </w:r>
      <w:proofErr w:type="spellStart"/>
      <w:r w:rsidRPr="00B419CE">
        <w:t>stoda</w:t>
      </w:r>
      <w:proofErr w:type="spellEnd"/>
      <w:r w:rsidRPr="00B419CE">
        <w:t xml:space="preserve"> i landets økonomi og utsiktene framover. Departementet </w:t>
      </w:r>
      <w:proofErr w:type="spellStart"/>
      <w:r w:rsidRPr="00B419CE">
        <w:t>si</w:t>
      </w:r>
      <w:proofErr w:type="spellEnd"/>
      <w:r w:rsidRPr="00B419CE">
        <w:t xml:space="preserve"> vurdering av korleis pengepolitikken vert </w:t>
      </w:r>
      <w:proofErr w:type="spellStart"/>
      <w:r w:rsidRPr="00B419CE">
        <w:t>utøvt</w:t>
      </w:r>
      <w:proofErr w:type="spellEnd"/>
      <w:r w:rsidRPr="00B419CE">
        <w:t xml:space="preserve"> går fram av den </w:t>
      </w:r>
      <w:proofErr w:type="spellStart"/>
      <w:r w:rsidRPr="00B419CE">
        <w:t>årlege</w:t>
      </w:r>
      <w:proofErr w:type="spellEnd"/>
      <w:r w:rsidRPr="00B419CE">
        <w:t xml:space="preserve"> </w:t>
      </w:r>
      <w:proofErr w:type="spellStart"/>
      <w:r w:rsidRPr="00B419CE">
        <w:t>finansmarknadsmeldinga</w:t>
      </w:r>
      <w:proofErr w:type="spellEnd"/>
      <w:r w:rsidRPr="00B419CE">
        <w:t>.</w:t>
      </w:r>
    </w:p>
    <w:p w14:paraId="56348FDB" w14:textId="77777777" w:rsidR="00B419CE" w:rsidRPr="00B419CE" w:rsidRDefault="00B419CE" w:rsidP="00B419CE">
      <w:r w:rsidRPr="00B419CE">
        <w:t xml:space="preserve">For 2022 ber Finansdepartementet om fullmakter for </w:t>
      </w:r>
      <w:proofErr w:type="spellStart"/>
      <w:r w:rsidRPr="00B419CE">
        <w:t>statleg</w:t>
      </w:r>
      <w:proofErr w:type="spellEnd"/>
      <w:r w:rsidRPr="00B419CE">
        <w:t xml:space="preserve"> opplåning i </w:t>
      </w:r>
      <w:proofErr w:type="spellStart"/>
      <w:r w:rsidRPr="00B419CE">
        <w:t>Prop</w:t>
      </w:r>
      <w:proofErr w:type="spellEnd"/>
      <w:r w:rsidRPr="00B419CE">
        <w:t xml:space="preserve">. 1 S (2021–2022) </w:t>
      </w:r>
      <w:r w:rsidRPr="00B419CE">
        <w:rPr>
          <w:rStyle w:val="kursiv"/>
        </w:rPr>
        <w:t>Statsbudsjettet for budsjettåret 2022 (Gul bok),</w:t>
      </w:r>
      <w:r w:rsidRPr="00B419CE">
        <w:t xml:space="preserve"> </w:t>
      </w:r>
      <w:proofErr w:type="spellStart"/>
      <w:r w:rsidRPr="00B419CE">
        <w:t>medan</w:t>
      </w:r>
      <w:proofErr w:type="spellEnd"/>
      <w:r w:rsidRPr="00B419CE">
        <w:t xml:space="preserve"> Meld. St. 1 (2021–2022) </w:t>
      </w:r>
      <w:r w:rsidRPr="00B419CE">
        <w:rPr>
          <w:rStyle w:val="kursiv"/>
        </w:rPr>
        <w:t>Nasjonalbudsjettet 2022</w:t>
      </w:r>
      <w:r w:rsidRPr="00B419CE">
        <w:t xml:space="preserve"> </w:t>
      </w:r>
      <w:proofErr w:type="spellStart"/>
      <w:r w:rsidRPr="00B419CE">
        <w:t>inneheld</w:t>
      </w:r>
      <w:proofErr w:type="spellEnd"/>
      <w:r w:rsidRPr="00B419CE">
        <w:t xml:space="preserve"> </w:t>
      </w:r>
      <w:proofErr w:type="spellStart"/>
      <w:r w:rsidRPr="00B419CE">
        <w:t>ein</w:t>
      </w:r>
      <w:proofErr w:type="spellEnd"/>
      <w:r w:rsidRPr="00B419CE">
        <w:t xml:space="preserve"> generell omtale av gjeldsforvaltinga.</w:t>
      </w:r>
    </w:p>
    <w:p w14:paraId="397FACEF" w14:textId="77777777" w:rsidR="00B419CE" w:rsidRPr="00B419CE" w:rsidRDefault="00B419CE" w:rsidP="00B419CE">
      <w:r w:rsidRPr="00B419CE">
        <w:t xml:space="preserve">Finansdepartementet overførte i 2015 alle operative </w:t>
      </w:r>
      <w:proofErr w:type="spellStart"/>
      <w:r w:rsidRPr="00B419CE">
        <w:t>oppgåver</w:t>
      </w:r>
      <w:proofErr w:type="spellEnd"/>
      <w:r w:rsidRPr="00B419CE">
        <w:t xml:space="preserve"> på statsgjeldområdet til </w:t>
      </w:r>
      <w:proofErr w:type="spellStart"/>
      <w:r w:rsidRPr="00B419CE">
        <w:t>Noregs</w:t>
      </w:r>
      <w:proofErr w:type="spellEnd"/>
      <w:r w:rsidRPr="00B419CE">
        <w:t xml:space="preserve"> Bank. Banken utfører </w:t>
      </w:r>
      <w:proofErr w:type="spellStart"/>
      <w:r w:rsidRPr="00B419CE">
        <w:t>oppgåvene</w:t>
      </w:r>
      <w:proofErr w:type="spellEnd"/>
      <w:r w:rsidRPr="00B419CE">
        <w:t xml:space="preserve"> etter </w:t>
      </w:r>
      <w:proofErr w:type="spellStart"/>
      <w:r w:rsidRPr="00B419CE">
        <w:t>eit</w:t>
      </w:r>
      <w:proofErr w:type="spellEnd"/>
      <w:r w:rsidRPr="00B419CE">
        <w:t xml:space="preserve"> mandat </w:t>
      </w:r>
      <w:proofErr w:type="spellStart"/>
      <w:r w:rsidRPr="00B419CE">
        <w:t>frå</w:t>
      </w:r>
      <w:proofErr w:type="spellEnd"/>
      <w:r w:rsidRPr="00B419CE">
        <w:t xml:space="preserve"> Finansdepartementet. Mandatet gjev banken i oppdrag å </w:t>
      </w:r>
      <w:proofErr w:type="spellStart"/>
      <w:r w:rsidRPr="00B419CE">
        <w:t>dekkje</w:t>
      </w:r>
      <w:proofErr w:type="spellEnd"/>
      <w:r w:rsidRPr="00B419CE">
        <w:t xml:space="preserve"> statens lånebehov slik dette er definert av departementet, samt forvalte </w:t>
      </w:r>
      <w:proofErr w:type="spellStart"/>
      <w:r w:rsidRPr="00B419CE">
        <w:t>uteståande</w:t>
      </w:r>
      <w:proofErr w:type="spellEnd"/>
      <w:r w:rsidRPr="00B419CE">
        <w:t xml:space="preserve"> statsgjeld.</w:t>
      </w:r>
    </w:p>
    <w:p w14:paraId="721A27A2" w14:textId="77777777" w:rsidR="00B419CE" w:rsidRPr="00B419CE" w:rsidRDefault="00B419CE" w:rsidP="00B419CE">
      <w:pPr>
        <w:pStyle w:val="avsnitt-tittel"/>
      </w:pPr>
      <w:proofErr w:type="spellStart"/>
      <w:r w:rsidRPr="00B419CE">
        <w:t>Formuesforvalting</w:t>
      </w:r>
      <w:proofErr w:type="spellEnd"/>
    </w:p>
    <w:p w14:paraId="706F77BF" w14:textId="77777777" w:rsidR="00B419CE" w:rsidRPr="00B419CE" w:rsidRDefault="00B419CE" w:rsidP="00B419CE">
      <w:r w:rsidRPr="00B419CE">
        <w:t xml:space="preserve">Departementet rapporterte om forvaltinga av Statens pensjonsfond i 2020 i Meld. St. 24 (2020–2021) </w:t>
      </w:r>
      <w:r w:rsidRPr="00B419CE">
        <w:rPr>
          <w:rStyle w:val="kursiv"/>
        </w:rPr>
        <w:t>Statens pensjonsfond 2021.</w:t>
      </w:r>
    </w:p>
    <w:p w14:paraId="7F51CB00" w14:textId="77777777" w:rsidR="00B419CE" w:rsidRPr="00B419CE" w:rsidRDefault="00B419CE" w:rsidP="00B419CE">
      <w:r w:rsidRPr="00B419CE">
        <w:t xml:space="preserve">Meldinga drøfta mellom anna </w:t>
      </w:r>
      <w:proofErr w:type="spellStart"/>
      <w:r w:rsidRPr="00B419CE">
        <w:t>fleire</w:t>
      </w:r>
      <w:proofErr w:type="spellEnd"/>
      <w:r w:rsidRPr="00B419CE">
        <w:t xml:space="preserve"> sider ved strategien for Statens pensjonsfond og gjorde greie for resultata i forvaltinga og arbeidet med </w:t>
      </w:r>
      <w:proofErr w:type="spellStart"/>
      <w:r w:rsidRPr="00B419CE">
        <w:t>ansvarleg</w:t>
      </w:r>
      <w:proofErr w:type="spellEnd"/>
      <w:r w:rsidRPr="00B419CE">
        <w:t xml:space="preserve"> forvalting. For Statens pensjonsfond utland vart det i meldinga mellom anna lagt opp til å endre referanseindeksen for </w:t>
      </w:r>
      <w:proofErr w:type="spellStart"/>
      <w:r w:rsidRPr="00B419CE">
        <w:t>investeringar</w:t>
      </w:r>
      <w:proofErr w:type="spellEnd"/>
      <w:r w:rsidRPr="00B419CE">
        <w:t xml:space="preserve"> i </w:t>
      </w:r>
      <w:proofErr w:type="spellStart"/>
      <w:r w:rsidRPr="00B419CE">
        <w:t>aksjar</w:t>
      </w:r>
      <w:proofErr w:type="spellEnd"/>
      <w:r w:rsidRPr="00B419CE">
        <w:t xml:space="preserve">. Departementet gjorde òg greie for oppfølginga av forslaga </w:t>
      </w:r>
      <w:proofErr w:type="spellStart"/>
      <w:r w:rsidRPr="00B419CE">
        <w:t>frå</w:t>
      </w:r>
      <w:proofErr w:type="spellEnd"/>
      <w:r w:rsidRPr="00B419CE">
        <w:t xml:space="preserve"> </w:t>
      </w:r>
      <w:proofErr w:type="spellStart"/>
      <w:r w:rsidRPr="00B419CE">
        <w:t>utvalet</w:t>
      </w:r>
      <w:proofErr w:type="spellEnd"/>
      <w:r w:rsidRPr="00B419CE">
        <w:t xml:space="preserve"> som så på </w:t>
      </w:r>
      <w:proofErr w:type="spellStart"/>
      <w:r w:rsidRPr="00B419CE">
        <w:t>dei</w:t>
      </w:r>
      <w:proofErr w:type="spellEnd"/>
      <w:r w:rsidRPr="00B419CE">
        <w:t xml:space="preserve"> etiske </w:t>
      </w:r>
      <w:proofErr w:type="spellStart"/>
      <w:r w:rsidRPr="00B419CE">
        <w:t>retningslinene</w:t>
      </w:r>
      <w:proofErr w:type="spellEnd"/>
      <w:r w:rsidRPr="00B419CE">
        <w:t xml:space="preserve"> for SPU. For Statens pensjonsfond </w:t>
      </w:r>
      <w:proofErr w:type="spellStart"/>
      <w:r w:rsidRPr="00B419CE">
        <w:t>Noreg</w:t>
      </w:r>
      <w:proofErr w:type="spellEnd"/>
      <w:r w:rsidRPr="00B419CE">
        <w:t xml:space="preserve"> (SPN) </w:t>
      </w:r>
      <w:proofErr w:type="spellStart"/>
      <w:r w:rsidRPr="00B419CE">
        <w:t>vart</w:t>
      </w:r>
      <w:proofErr w:type="spellEnd"/>
      <w:r w:rsidRPr="00B419CE">
        <w:t xml:space="preserve"> det vurdert kva </w:t>
      </w:r>
      <w:proofErr w:type="spellStart"/>
      <w:r w:rsidRPr="00B419CE">
        <w:t>ein</w:t>
      </w:r>
      <w:proofErr w:type="spellEnd"/>
      <w:r w:rsidRPr="00B419CE">
        <w:t xml:space="preserve"> skal </w:t>
      </w:r>
      <w:proofErr w:type="spellStart"/>
      <w:r w:rsidRPr="00B419CE">
        <w:t>gjere</w:t>
      </w:r>
      <w:proofErr w:type="spellEnd"/>
      <w:r w:rsidRPr="00B419CE">
        <w:t xml:space="preserve"> med aksjeporteføljen si storleik på Oslo Børs. Meldinga </w:t>
      </w:r>
      <w:proofErr w:type="spellStart"/>
      <w:r w:rsidRPr="00B419CE">
        <w:t>inneheld</w:t>
      </w:r>
      <w:proofErr w:type="spellEnd"/>
      <w:r w:rsidRPr="00B419CE">
        <w:t xml:space="preserve"> òg </w:t>
      </w:r>
      <w:proofErr w:type="spellStart"/>
      <w:r w:rsidRPr="00B419CE">
        <w:t>analysar</w:t>
      </w:r>
      <w:proofErr w:type="spellEnd"/>
      <w:r w:rsidRPr="00B419CE">
        <w:t xml:space="preserve"> av resultata i forvaltinga av SPU og SPN i 2020 og </w:t>
      </w:r>
      <w:proofErr w:type="spellStart"/>
      <w:r w:rsidRPr="00B419CE">
        <w:t>ein</w:t>
      </w:r>
      <w:proofErr w:type="spellEnd"/>
      <w:r w:rsidRPr="00B419CE">
        <w:t xml:space="preserve"> brei omtale av arbeidet med </w:t>
      </w:r>
      <w:proofErr w:type="spellStart"/>
      <w:r w:rsidRPr="00B419CE">
        <w:t>ansvarleg</w:t>
      </w:r>
      <w:proofErr w:type="spellEnd"/>
      <w:r w:rsidRPr="00B419CE">
        <w:t xml:space="preserve"> forvalting.</w:t>
      </w:r>
    </w:p>
    <w:p w14:paraId="7FE5BF80" w14:textId="77777777" w:rsidR="00B419CE" w:rsidRPr="00B419CE" w:rsidRDefault="00B419CE" w:rsidP="00B419CE">
      <w:r w:rsidRPr="00B419CE">
        <w:t>Sjå elles omtale i del I, pkt. 2.2 Statens pensjonsfond.</w:t>
      </w:r>
    </w:p>
    <w:p w14:paraId="2BF07F1F" w14:textId="77777777" w:rsidR="00B419CE" w:rsidRPr="00B419CE" w:rsidRDefault="00B419CE" w:rsidP="00B419CE">
      <w:pPr>
        <w:pStyle w:val="avsnitt-tittel"/>
      </w:pPr>
      <w:r w:rsidRPr="00B419CE">
        <w:lastRenderedPageBreak/>
        <w:t>Arbeidet med statsbudsjettet og økonomistyring i staten</w:t>
      </w:r>
    </w:p>
    <w:p w14:paraId="44499836" w14:textId="77777777" w:rsidR="00B419CE" w:rsidRPr="00B419CE" w:rsidRDefault="00B419CE" w:rsidP="00B419CE">
      <w:r w:rsidRPr="00B419CE">
        <w:t xml:space="preserve">Finansdepartementet </w:t>
      </w:r>
      <w:proofErr w:type="spellStart"/>
      <w:r w:rsidRPr="00B419CE">
        <w:t>forvaltar</w:t>
      </w:r>
      <w:proofErr w:type="spellEnd"/>
      <w:r w:rsidRPr="00B419CE">
        <w:t xml:space="preserve"> ordninga med ekstern kvalitetssikring av </w:t>
      </w:r>
      <w:proofErr w:type="spellStart"/>
      <w:r w:rsidRPr="00B419CE">
        <w:t>statlege</w:t>
      </w:r>
      <w:proofErr w:type="spellEnd"/>
      <w:r w:rsidRPr="00B419CE">
        <w:t xml:space="preserve"> investeringsprosjekt med anslått kostnadsramme over </w:t>
      </w:r>
      <w:proofErr w:type="spellStart"/>
      <w:r w:rsidRPr="00B419CE">
        <w:t>ein</w:t>
      </w:r>
      <w:proofErr w:type="spellEnd"/>
      <w:r w:rsidRPr="00B419CE">
        <w:t xml:space="preserve"> fastsett terskelverdi. Ordninga skal bidra til betre avgjerdsgrunnlag før vedtak i store investeringsprosjekt vert fatta.</w:t>
      </w:r>
    </w:p>
    <w:p w14:paraId="56612230" w14:textId="77777777" w:rsidR="00B419CE" w:rsidRPr="00B419CE" w:rsidRDefault="00B419CE" w:rsidP="00B419CE">
      <w:r w:rsidRPr="00B419CE">
        <w:t xml:space="preserve">Finansdepartementet samla krav som </w:t>
      </w:r>
      <w:proofErr w:type="spellStart"/>
      <w:r w:rsidRPr="00B419CE">
        <w:t>gjeld</w:t>
      </w:r>
      <w:proofErr w:type="spellEnd"/>
      <w:r w:rsidRPr="00B419CE">
        <w:t xml:space="preserve"> utgreiing, planlegging og kvalitetssikring av store investeringsprosjekt i </w:t>
      </w:r>
      <w:proofErr w:type="spellStart"/>
      <w:r w:rsidRPr="00B419CE">
        <w:t>eit</w:t>
      </w:r>
      <w:proofErr w:type="spellEnd"/>
      <w:r w:rsidRPr="00B419CE">
        <w:t xml:space="preserve"> eige rundskriv, R-108/19, som </w:t>
      </w:r>
      <w:proofErr w:type="gramStart"/>
      <w:r w:rsidRPr="00B419CE">
        <w:t>trådde</w:t>
      </w:r>
      <w:proofErr w:type="gramEnd"/>
      <w:r w:rsidRPr="00B419CE">
        <w:t xml:space="preserve"> i kraft 21. september 2019. Det er fastsett </w:t>
      </w:r>
      <w:proofErr w:type="spellStart"/>
      <w:r w:rsidRPr="00B419CE">
        <w:t>ein</w:t>
      </w:r>
      <w:proofErr w:type="spellEnd"/>
      <w:r w:rsidRPr="00B419CE">
        <w:t xml:space="preserve"> terskelverdi på 300 mill. kroner for digitaliseringsprosjekt og 1 mrd. kroner for prosjekt elles. Kvalitetssikringa skal </w:t>
      </w:r>
      <w:proofErr w:type="spellStart"/>
      <w:r w:rsidRPr="00B419CE">
        <w:t>utførast</w:t>
      </w:r>
      <w:proofErr w:type="spellEnd"/>
      <w:r w:rsidRPr="00B419CE">
        <w:t xml:space="preserve"> av </w:t>
      </w:r>
      <w:proofErr w:type="spellStart"/>
      <w:r w:rsidRPr="00B419CE">
        <w:t>særleg</w:t>
      </w:r>
      <w:proofErr w:type="spellEnd"/>
      <w:r w:rsidRPr="00B419CE">
        <w:t xml:space="preserve"> kvalifiserte private </w:t>
      </w:r>
      <w:proofErr w:type="spellStart"/>
      <w:r w:rsidRPr="00B419CE">
        <w:t>verksemder</w:t>
      </w:r>
      <w:proofErr w:type="spellEnd"/>
      <w:r w:rsidRPr="00B419CE">
        <w:t xml:space="preserve"> som etter konkurranse har fått </w:t>
      </w:r>
      <w:proofErr w:type="spellStart"/>
      <w:r w:rsidRPr="00B419CE">
        <w:t>ein</w:t>
      </w:r>
      <w:proofErr w:type="spellEnd"/>
      <w:r w:rsidRPr="00B419CE">
        <w:t xml:space="preserve"> rammeavtale med Finansdepartementet. I september 2019 inngjekk Finansdepartementet avtale med sju ulike </w:t>
      </w:r>
      <w:proofErr w:type="spellStart"/>
      <w:r w:rsidRPr="00B419CE">
        <w:t>føretakskonstellasjonar</w:t>
      </w:r>
      <w:proofErr w:type="spellEnd"/>
      <w:r w:rsidRPr="00B419CE">
        <w:t xml:space="preserve">. Rammeavtalen gjeld i 2 år med opsjon på forlenging i 2 år. Finansdepartementet har nytta opsjonen til å forlenge rammeavtalen fram til september 2023. I løpet av </w:t>
      </w:r>
      <w:proofErr w:type="spellStart"/>
      <w:r w:rsidRPr="00B419CE">
        <w:t>dei</w:t>
      </w:r>
      <w:proofErr w:type="spellEnd"/>
      <w:r w:rsidRPr="00B419CE">
        <w:t xml:space="preserve"> to fyrste avtaleåra er det gjennomført 18 eksterne </w:t>
      </w:r>
      <w:proofErr w:type="spellStart"/>
      <w:r w:rsidRPr="00B419CE">
        <w:t>kvalitetssikringar</w:t>
      </w:r>
      <w:proofErr w:type="spellEnd"/>
      <w:r w:rsidRPr="00B419CE">
        <w:t xml:space="preserve"> (KS1) av </w:t>
      </w:r>
      <w:proofErr w:type="spellStart"/>
      <w:r w:rsidRPr="00B419CE">
        <w:t>utgreiingar</w:t>
      </w:r>
      <w:proofErr w:type="spellEnd"/>
      <w:r w:rsidRPr="00B419CE">
        <w:t xml:space="preserve"> av </w:t>
      </w:r>
      <w:proofErr w:type="spellStart"/>
      <w:r w:rsidRPr="00B419CE">
        <w:t>konseptval</w:t>
      </w:r>
      <w:proofErr w:type="spellEnd"/>
      <w:r w:rsidRPr="00B419CE">
        <w:t xml:space="preserve">. Det er òg gjort 21 eksterne </w:t>
      </w:r>
      <w:proofErr w:type="spellStart"/>
      <w:r w:rsidRPr="00B419CE">
        <w:t>kvalitetssikringar</w:t>
      </w:r>
      <w:proofErr w:type="spellEnd"/>
      <w:r w:rsidRPr="00B419CE">
        <w:t xml:space="preserve"> (KS2) av kostnadsestimat og styringsunderlag for </w:t>
      </w:r>
      <w:proofErr w:type="spellStart"/>
      <w:r w:rsidRPr="00B419CE">
        <w:t>planlagde</w:t>
      </w:r>
      <w:proofErr w:type="spellEnd"/>
      <w:r w:rsidRPr="00B419CE">
        <w:t xml:space="preserve"> investeringsprosjekt før </w:t>
      </w:r>
      <w:proofErr w:type="spellStart"/>
      <w:r w:rsidRPr="00B419CE">
        <w:t>desse</w:t>
      </w:r>
      <w:proofErr w:type="spellEnd"/>
      <w:r w:rsidRPr="00B419CE">
        <w:t xml:space="preserve"> er lagde fram for Stortinget. Finansdepartementet </w:t>
      </w:r>
      <w:proofErr w:type="spellStart"/>
      <w:r w:rsidRPr="00B419CE">
        <w:t>arbeidar</w:t>
      </w:r>
      <w:proofErr w:type="spellEnd"/>
      <w:r w:rsidRPr="00B419CE">
        <w:t xml:space="preserve"> </w:t>
      </w:r>
      <w:proofErr w:type="spellStart"/>
      <w:r w:rsidRPr="00B419CE">
        <w:t>vidare</w:t>
      </w:r>
      <w:proofErr w:type="spellEnd"/>
      <w:r w:rsidRPr="00B419CE">
        <w:t xml:space="preserve"> med </w:t>
      </w:r>
      <w:proofErr w:type="spellStart"/>
      <w:r w:rsidRPr="00B419CE">
        <w:t>fagleg</w:t>
      </w:r>
      <w:proofErr w:type="spellEnd"/>
      <w:r w:rsidRPr="00B419CE">
        <w:t xml:space="preserve"> utvikling av metodikk for utgreiing og god prosjektstyring i staten som </w:t>
      </w:r>
      <w:proofErr w:type="spellStart"/>
      <w:r w:rsidRPr="00B419CE">
        <w:t>ein</w:t>
      </w:r>
      <w:proofErr w:type="spellEnd"/>
      <w:r w:rsidRPr="00B419CE">
        <w:t xml:space="preserve"> del av ordninga.</w:t>
      </w:r>
    </w:p>
    <w:p w14:paraId="67696BB8" w14:textId="77777777" w:rsidR="00B419CE" w:rsidRPr="00B419CE" w:rsidRDefault="00B419CE" w:rsidP="00B419CE">
      <w:r w:rsidRPr="00B419CE">
        <w:t xml:space="preserve">Finansdepartementet har </w:t>
      </w:r>
      <w:proofErr w:type="spellStart"/>
      <w:r w:rsidRPr="00B419CE">
        <w:t>sidan</w:t>
      </w:r>
      <w:proofErr w:type="spellEnd"/>
      <w:r w:rsidRPr="00B419CE">
        <w:t xml:space="preserve"> 2002 finansiert </w:t>
      </w:r>
      <w:proofErr w:type="spellStart"/>
      <w:r w:rsidRPr="00B419CE">
        <w:t>eit</w:t>
      </w:r>
      <w:proofErr w:type="spellEnd"/>
      <w:r w:rsidRPr="00B419CE">
        <w:t xml:space="preserve"> eige </w:t>
      </w:r>
      <w:proofErr w:type="spellStart"/>
      <w:r w:rsidRPr="00B419CE">
        <w:t>tverrfagleg</w:t>
      </w:r>
      <w:proofErr w:type="spellEnd"/>
      <w:r w:rsidRPr="00B419CE">
        <w:t xml:space="preserve"> forskingsprogram – </w:t>
      </w:r>
      <w:proofErr w:type="spellStart"/>
      <w:r w:rsidRPr="00B419CE">
        <w:t>Concept</w:t>
      </w:r>
      <w:proofErr w:type="spellEnd"/>
      <w:r w:rsidRPr="00B419CE">
        <w:t xml:space="preserve">-programmet. Dette skal utvikle ny kunnskap om tilrettelegging, kvalitetssikring og styring av store </w:t>
      </w:r>
      <w:proofErr w:type="spellStart"/>
      <w:r w:rsidRPr="00B419CE">
        <w:t>statlege</w:t>
      </w:r>
      <w:proofErr w:type="spellEnd"/>
      <w:r w:rsidRPr="00B419CE">
        <w:t xml:space="preserve"> investeringsprosjekt. Målet er å sikre gode </w:t>
      </w:r>
      <w:proofErr w:type="spellStart"/>
      <w:r w:rsidRPr="00B419CE">
        <w:t>konseptval</w:t>
      </w:r>
      <w:proofErr w:type="spellEnd"/>
      <w:r w:rsidRPr="00B419CE">
        <w:t xml:space="preserve">, ressursutnytting og effekt av </w:t>
      </w:r>
      <w:proofErr w:type="spellStart"/>
      <w:r w:rsidRPr="00B419CE">
        <w:t>investeringane</w:t>
      </w:r>
      <w:proofErr w:type="spellEnd"/>
      <w:r w:rsidRPr="00B419CE">
        <w:t xml:space="preserve">. Programmet skal </w:t>
      </w:r>
      <w:proofErr w:type="spellStart"/>
      <w:r w:rsidRPr="00B419CE">
        <w:t>vektleggje</w:t>
      </w:r>
      <w:proofErr w:type="spellEnd"/>
      <w:r w:rsidRPr="00B419CE">
        <w:t xml:space="preserve"> </w:t>
      </w:r>
      <w:proofErr w:type="spellStart"/>
      <w:r w:rsidRPr="00B419CE">
        <w:t>tidlegfasen</w:t>
      </w:r>
      <w:proofErr w:type="spellEnd"/>
      <w:r w:rsidRPr="00B419CE">
        <w:t xml:space="preserve"> i prosjekta, </w:t>
      </w:r>
      <w:proofErr w:type="spellStart"/>
      <w:r w:rsidRPr="00B419CE">
        <w:t>frå</w:t>
      </w:r>
      <w:proofErr w:type="spellEnd"/>
      <w:r w:rsidRPr="00B419CE">
        <w:t xml:space="preserve"> den fyrste ideen oppstår til </w:t>
      </w:r>
      <w:proofErr w:type="spellStart"/>
      <w:r w:rsidRPr="00B419CE">
        <w:t>endeleg</w:t>
      </w:r>
      <w:proofErr w:type="spellEnd"/>
      <w:r w:rsidRPr="00B419CE">
        <w:t xml:space="preserve"> finansiering av gjennomføringa er </w:t>
      </w:r>
      <w:proofErr w:type="spellStart"/>
      <w:r w:rsidRPr="00B419CE">
        <w:t>vedteken</w:t>
      </w:r>
      <w:proofErr w:type="spellEnd"/>
      <w:r w:rsidRPr="00B419CE">
        <w:t xml:space="preserve">. Programmet er organisatorisk forankra ved NTNU, og tilhøvet mellom institusjonen og Finansdepartementet er formalisert i </w:t>
      </w:r>
      <w:proofErr w:type="spellStart"/>
      <w:r w:rsidRPr="00B419CE">
        <w:t>ein</w:t>
      </w:r>
      <w:proofErr w:type="spellEnd"/>
      <w:r w:rsidRPr="00B419CE">
        <w:t xml:space="preserve"> samarbeidsavtale.</w:t>
      </w:r>
    </w:p>
    <w:p w14:paraId="52565B58" w14:textId="77777777" w:rsidR="00B419CE" w:rsidRPr="00B419CE" w:rsidRDefault="00B419CE" w:rsidP="00B419CE">
      <w:r w:rsidRPr="00B419CE">
        <w:t xml:space="preserve">Etter kvart som </w:t>
      </w:r>
      <w:proofErr w:type="spellStart"/>
      <w:r w:rsidRPr="00B419CE">
        <w:t>tidlegare</w:t>
      </w:r>
      <w:proofErr w:type="spellEnd"/>
      <w:r w:rsidRPr="00B419CE">
        <w:t xml:space="preserve"> kvalitetssikra prosjekt vert fullførte, </w:t>
      </w:r>
      <w:proofErr w:type="spellStart"/>
      <w:r w:rsidRPr="00B419CE">
        <w:t>samlar</w:t>
      </w:r>
      <w:proofErr w:type="spellEnd"/>
      <w:r w:rsidRPr="00B419CE">
        <w:t xml:space="preserve"> </w:t>
      </w:r>
      <w:proofErr w:type="spellStart"/>
      <w:r w:rsidRPr="00B419CE">
        <w:t>Concept</w:t>
      </w:r>
      <w:proofErr w:type="spellEnd"/>
      <w:r w:rsidRPr="00B419CE">
        <w:t xml:space="preserve"> </w:t>
      </w:r>
      <w:proofErr w:type="spellStart"/>
      <w:r w:rsidRPr="00B419CE">
        <w:t>røynsledata</w:t>
      </w:r>
      <w:proofErr w:type="spellEnd"/>
      <w:r w:rsidRPr="00B419CE">
        <w:t xml:space="preserve"> som kan </w:t>
      </w:r>
      <w:proofErr w:type="spellStart"/>
      <w:r w:rsidRPr="00B419CE">
        <w:t>samanliknast</w:t>
      </w:r>
      <w:proofErr w:type="spellEnd"/>
      <w:r w:rsidRPr="00B419CE">
        <w:t xml:space="preserve"> på tvers av prosjekt og </w:t>
      </w:r>
      <w:proofErr w:type="spellStart"/>
      <w:r w:rsidRPr="00B419CE">
        <w:t>sektorar</w:t>
      </w:r>
      <w:proofErr w:type="spellEnd"/>
      <w:r w:rsidRPr="00B419CE">
        <w:t xml:space="preserve"> for å </w:t>
      </w:r>
      <w:proofErr w:type="spellStart"/>
      <w:r w:rsidRPr="00B419CE">
        <w:t>gje</w:t>
      </w:r>
      <w:proofErr w:type="spellEnd"/>
      <w:r w:rsidRPr="00B419CE">
        <w:t xml:space="preserve"> kunnskap og råd til </w:t>
      </w:r>
      <w:proofErr w:type="spellStart"/>
      <w:r w:rsidRPr="00B419CE">
        <w:t>dei</w:t>
      </w:r>
      <w:proofErr w:type="spellEnd"/>
      <w:r w:rsidRPr="00B419CE">
        <w:t xml:space="preserve"> som skal ta avgjerder og stå for kvalitetssikring av statens investeringsprosjekt. </w:t>
      </w:r>
      <w:proofErr w:type="spellStart"/>
      <w:r w:rsidRPr="00B419CE">
        <w:t>Concept</w:t>
      </w:r>
      <w:proofErr w:type="spellEnd"/>
      <w:r w:rsidRPr="00B419CE">
        <w:t xml:space="preserve">-programmet har utvikla evalueringsformatet og prøvd det ut slik at </w:t>
      </w:r>
      <w:proofErr w:type="spellStart"/>
      <w:r w:rsidRPr="00B419CE">
        <w:t>ein</w:t>
      </w:r>
      <w:proofErr w:type="spellEnd"/>
      <w:r w:rsidRPr="00B419CE">
        <w:t xml:space="preserve"> kan evaluere verknadene etter kvart som prosjekta vert ferdigstilte og har </w:t>
      </w:r>
      <w:proofErr w:type="spellStart"/>
      <w:r w:rsidRPr="00B419CE">
        <w:t>vore</w:t>
      </w:r>
      <w:proofErr w:type="spellEnd"/>
      <w:r w:rsidRPr="00B419CE">
        <w:t xml:space="preserve"> i drift ei stund. I 2020 </w:t>
      </w:r>
      <w:proofErr w:type="spellStart"/>
      <w:r w:rsidRPr="00B419CE">
        <w:t>vart</w:t>
      </w:r>
      <w:proofErr w:type="spellEnd"/>
      <w:r w:rsidRPr="00B419CE">
        <w:t xml:space="preserve"> det levert 2 </w:t>
      </w:r>
      <w:proofErr w:type="spellStart"/>
      <w:r w:rsidRPr="00B419CE">
        <w:t>evalueringar</w:t>
      </w:r>
      <w:proofErr w:type="spellEnd"/>
      <w:r w:rsidRPr="00B419CE">
        <w:t xml:space="preserve"> av ferdigstilte prosjekt og igangsett fire nye </w:t>
      </w:r>
      <w:proofErr w:type="spellStart"/>
      <w:r w:rsidRPr="00B419CE">
        <w:t>evalueringar</w:t>
      </w:r>
      <w:proofErr w:type="spellEnd"/>
      <w:r w:rsidRPr="00B419CE">
        <w:t xml:space="preserve">. Programmet driv i tillegg metodeutvikling, følgjeforskning og formidling av kompetanse til </w:t>
      </w:r>
      <w:proofErr w:type="spellStart"/>
      <w:r w:rsidRPr="00B419CE">
        <w:t>statleg</w:t>
      </w:r>
      <w:proofErr w:type="spellEnd"/>
      <w:r w:rsidRPr="00B419CE">
        <w:t xml:space="preserve"> sektor. Forskingsresultata og </w:t>
      </w:r>
      <w:proofErr w:type="spellStart"/>
      <w:r w:rsidRPr="00B419CE">
        <w:t>publikasjonane</w:t>
      </w:r>
      <w:proofErr w:type="spellEnd"/>
      <w:r w:rsidRPr="00B419CE">
        <w:t xml:space="preserve"> til </w:t>
      </w:r>
      <w:proofErr w:type="spellStart"/>
      <w:r w:rsidRPr="00B419CE">
        <w:t>Concept</w:t>
      </w:r>
      <w:proofErr w:type="spellEnd"/>
      <w:r w:rsidRPr="00B419CE">
        <w:t xml:space="preserve">-programmet er fritt </w:t>
      </w:r>
      <w:proofErr w:type="spellStart"/>
      <w:r w:rsidRPr="00B419CE">
        <w:t>tilgjengelege</w:t>
      </w:r>
      <w:proofErr w:type="spellEnd"/>
      <w:r w:rsidRPr="00B419CE">
        <w:t xml:space="preserve"> </w:t>
      </w:r>
      <w:proofErr w:type="spellStart"/>
      <w:r w:rsidRPr="00B419CE">
        <w:t>frå</w:t>
      </w:r>
      <w:proofErr w:type="spellEnd"/>
      <w:r w:rsidRPr="00B419CE">
        <w:t xml:space="preserve"> nettsidene til programmet.</w:t>
      </w:r>
    </w:p>
    <w:p w14:paraId="55FB0F37" w14:textId="77777777" w:rsidR="00B419CE" w:rsidRPr="00B419CE" w:rsidRDefault="00B419CE" w:rsidP="00B419CE">
      <w:r w:rsidRPr="00B419CE">
        <w:t xml:space="preserve">Finansdepartementet har </w:t>
      </w:r>
      <w:proofErr w:type="spellStart"/>
      <w:r w:rsidRPr="00B419CE">
        <w:t>sidan</w:t>
      </w:r>
      <w:proofErr w:type="spellEnd"/>
      <w:r w:rsidRPr="00B419CE">
        <w:t xml:space="preserve"> 2016 gjort </w:t>
      </w:r>
      <w:proofErr w:type="spellStart"/>
      <w:r w:rsidRPr="00B419CE">
        <w:t>djupare</w:t>
      </w:r>
      <w:proofErr w:type="spellEnd"/>
      <w:r w:rsidRPr="00B419CE">
        <w:t xml:space="preserve"> analyse av </w:t>
      </w:r>
      <w:proofErr w:type="spellStart"/>
      <w:r w:rsidRPr="00B419CE">
        <w:t>utvalde</w:t>
      </w:r>
      <w:proofErr w:type="spellEnd"/>
      <w:r w:rsidRPr="00B419CE">
        <w:t xml:space="preserve"> område for effektivisering og betre målretting av ressursbruken over statsbudsjettet (områdegjennomgangar). Målet med arbeidet er å identifisere og </w:t>
      </w:r>
      <w:proofErr w:type="spellStart"/>
      <w:r w:rsidRPr="00B419CE">
        <w:t>leggje</w:t>
      </w:r>
      <w:proofErr w:type="spellEnd"/>
      <w:r w:rsidRPr="00B419CE">
        <w:t xml:space="preserve"> til rette for </w:t>
      </w:r>
      <w:proofErr w:type="spellStart"/>
      <w:r w:rsidRPr="00B419CE">
        <w:t>budsjettinnsparingar</w:t>
      </w:r>
      <w:proofErr w:type="spellEnd"/>
      <w:r w:rsidRPr="00B419CE">
        <w:t xml:space="preserve">, </w:t>
      </w:r>
      <w:proofErr w:type="spellStart"/>
      <w:r w:rsidRPr="00B419CE">
        <w:t>moglegheit</w:t>
      </w:r>
      <w:proofErr w:type="spellEnd"/>
      <w:r w:rsidRPr="00B419CE">
        <w:t xml:space="preserve"> for betre måloppnåing med uendra ressursbruk eller å finne nye </w:t>
      </w:r>
      <w:proofErr w:type="spellStart"/>
      <w:r w:rsidRPr="00B419CE">
        <w:t>måtar</w:t>
      </w:r>
      <w:proofErr w:type="spellEnd"/>
      <w:r w:rsidRPr="00B419CE">
        <w:t xml:space="preserve"> å løyse </w:t>
      </w:r>
      <w:proofErr w:type="spellStart"/>
      <w:r w:rsidRPr="00B419CE">
        <w:t>oppgåver</w:t>
      </w:r>
      <w:proofErr w:type="spellEnd"/>
      <w:r w:rsidRPr="00B419CE">
        <w:t xml:space="preserve"> på som kan </w:t>
      </w:r>
      <w:proofErr w:type="spellStart"/>
      <w:r w:rsidRPr="00B419CE">
        <w:t>gje</w:t>
      </w:r>
      <w:proofErr w:type="spellEnd"/>
      <w:r w:rsidRPr="00B419CE">
        <w:t xml:space="preserve"> redusert kostnadsvekst på sikt. I 2020 er det gjort slike </w:t>
      </w:r>
      <w:proofErr w:type="spellStart"/>
      <w:r w:rsidRPr="00B419CE">
        <w:t>analysar</w:t>
      </w:r>
      <w:proofErr w:type="spellEnd"/>
      <w:r w:rsidRPr="00B419CE">
        <w:t xml:space="preserve"> av legemiddel under folketrygda, styring av politi- og lensmannsetaten og </w:t>
      </w:r>
      <w:proofErr w:type="spellStart"/>
      <w:r w:rsidRPr="00B419CE">
        <w:t>utanrikstenesta</w:t>
      </w:r>
      <w:proofErr w:type="spellEnd"/>
      <w:r w:rsidRPr="00B419CE">
        <w:t xml:space="preserve">. I 2021 pågår det </w:t>
      </w:r>
      <w:proofErr w:type="spellStart"/>
      <w:r w:rsidRPr="00B419CE">
        <w:t>analysar</w:t>
      </w:r>
      <w:proofErr w:type="spellEnd"/>
      <w:r w:rsidRPr="00B419CE">
        <w:t xml:space="preserve"> om </w:t>
      </w:r>
      <w:proofErr w:type="spellStart"/>
      <w:r w:rsidRPr="00B419CE">
        <w:t>utanrikstenesta</w:t>
      </w:r>
      <w:proofErr w:type="spellEnd"/>
      <w:r w:rsidRPr="00B419CE">
        <w:t xml:space="preserve">, </w:t>
      </w:r>
      <w:proofErr w:type="spellStart"/>
      <w:r w:rsidRPr="00B419CE">
        <w:t>bustadsløysingar</w:t>
      </w:r>
      <w:proofErr w:type="spellEnd"/>
      <w:r w:rsidRPr="00B419CE">
        <w:t xml:space="preserve"> og helse- og </w:t>
      </w:r>
      <w:proofErr w:type="spellStart"/>
      <w:r w:rsidRPr="00B419CE">
        <w:t>omsorgstenester</w:t>
      </w:r>
      <w:proofErr w:type="spellEnd"/>
      <w:r w:rsidRPr="00B419CE">
        <w:t xml:space="preserve"> for eldre og kartlegging av IKT og arkiv- og dokumentasjonsfunksjonen i staten. DFØ evaluerte i 2020 arbeidet med </w:t>
      </w:r>
      <w:r w:rsidRPr="00B419CE">
        <w:lastRenderedPageBreak/>
        <w:t xml:space="preserve">områdegjennomgangar, og som oppfølging av det pågår det mellom anna arbeid med metodeutvikling og å </w:t>
      </w:r>
      <w:proofErr w:type="spellStart"/>
      <w:r w:rsidRPr="00B419CE">
        <w:t>leggje</w:t>
      </w:r>
      <w:proofErr w:type="spellEnd"/>
      <w:r w:rsidRPr="00B419CE">
        <w:t xml:space="preserve"> til rette for betre produksjon og bruk av data i </w:t>
      </w:r>
      <w:proofErr w:type="spellStart"/>
      <w:r w:rsidRPr="00B419CE">
        <w:t>fleire</w:t>
      </w:r>
      <w:proofErr w:type="spellEnd"/>
      <w:r w:rsidRPr="00B419CE">
        <w:t xml:space="preserve"> </w:t>
      </w:r>
      <w:proofErr w:type="spellStart"/>
      <w:r w:rsidRPr="00B419CE">
        <w:t>delar</w:t>
      </w:r>
      <w:proofErr w:type="spellEnd"/>
      <w:r w:rsidRPr="00B419CE">
        <w:t xml:space="preserve"> av forvaltninga.</w:t>
      </w:r>
    </w:p>
    <w:p w14:paraId="1B839F6D" w14:textId="77777777" w:rsidR="00B419CE" w:rsidRPr="00B419CE" w:rsidRDefault="00B419CE" w:rsidP="00B419CE">
      <w:pPr>
        <w:pStyle w:val="avsnitt-tittel"/>
      </w:pPr>
      <w:r w:rsidRPr="00B419CE">
        <w:t>Skatte- og avgiftsområdet</w:t>
      </w:r>
    </w:p>
    <w:p w14:paraId="2387E866" w14:textId="77777777" w:rsidR="00B419CE" w:rsidRPr="00B419CE" w:rsidRDefault="00B419CE" w:rsidP="00B419CE">
      <w:pPr>
        <w:pStyle w:val="avsnitt-under-undertittel"/>
      </w:pPr>
      <w:r w:rsidRPr="00B419CE">
        <w:t>Digital økonomi og skatt</w:t>
      </w:r>
    </w:p>
    <w:p w14:paraId="2FEB55B1" w14:textId="77777777" w:rsidR="00B419CE" w:rsidRPr="00B419CE" w:rsidRDefault="00B419CE" w:rsidP="00B419CE">
      <w:r w:rsidRPr="00B419CE">
        <w:t xml:space="preserve">Skattlegging av </w:t>
      </w:r>
      <w:proofErr w:type="spellStart"/>
      <w:r w:rsidRPr="00B419CE">
        <w:t>fleirnasjonale</w:t>
      </w:r>
      <w:proofErr w:type="spellEnd"/>
      <w:r w:rsidRPr="00B419CE">
        <w:t xml:space="preserve"> selskap reiser </w:t>
      </w:r>
      <w:proofErr w:type="spellStart"/>
      <w:r w:rsidRPr="00B419CE">
        <w:t>problemstillingar</w:t>
      </w:r>
      <w:proofErr w:type="spellEnd"/>
      <w:r w:rsidRPr="00B419CE">
        <w:t xml:space="preserve"> som </w:t>
      </w:r>
      <w:proofErr w:type="spellStart"/>
      <w:r w:rsidRPr="00B419CE">
        <w:t>omfattar</w:t>
      </w:r>
      <w:proofErr w:type="spellEnd"/>
      <w:r w:rsidRPr="00B419CE">
        <w:t xml:space="preserve"> mange land og krev internasjonale </w:t>
      </w:r>
      <w:proofErr w:type="spellStart"/>
      <w:r w:rsidRPr="00B419CE">
        <w:t>løysingar</w:t>
      </w:r>
      <w:proofErr w:type="spellEnd"/>
      <w:r w:rsidRPr="00B419CE">
        <w:t xml:space="preserve">. Gjennom OECD/G20 sitt BEPS-prosjekt (Base </w:t>
      </w:r>
      <w:proofErr w:type="spellStart"/>
      <w:r w:rsidRPr="00B419CE">
        <w:t>Erosion</w:t>
      </w:r>
      <w:proofErr w:type="spellEnd"/>
      <w:r w:rsidRPr="00B419CE">
        <w:t xml:space="preserve"> and Profit </w:t>
      </w:r>
      <w:proofErr w:type="spellStart"/>
      <w:r w:rsidRPr="00B419CE">
        <w:t>Shifting</w:t>
      </w:r>
      <w:proofErr w:type="spellEnd"/>
      <w:r w:rsidRPr="00B419CE">
        <w:t xml:space="preserve"> Project) er det oppnådd semje om ei </w:t>
      </w:r>
      <w:proofErr w:type="spellStart"/>
      <w:r w:rsidRPr="00B419CE">
        <w:t>rekkje</w:t>
      </w:r>
      <w:proofErr w:type="spellEnd"/>
      <w:r w:rsidRPr="00B419CE">
        <w:t xml:space="preserve"> tiltak mot flytting av </w:t>
      </w:r>
      <w:proofErr w:type="spellStart"/>
      <w:r w:rsidRPr="00B419CE">
        <w:t>overskot</w:t>
      </w:r>
      <w:proofErr w:type="spellEnd"/>
      <w:r w:rsidRPr="00B419CE">
        <w:t xml:space="preserve"> og utholing av skattegrunnlag. Den digitale økonomien </w:t>
      </w:r>
      <w:proofErr w:type="spellStart"/>
      <w:r w:rsidRPr="00B419CE">
        <w:t>forsterkar</w:t>
      </w:r>
      <w:proofErr w:type="spellEnd"/>
      <w:r w:rsidRPr="00B419CE">
        <w:t xml:space="preserve"> </w:t>
      </w:r>
      <w:proofErr w:type="spellStart"/>
      <w:r w:rsidRPr="00B419CE">
        <w:t>utfordringane</w:t>
      </w:r>
      <w:proofErr w:type="spellEnd"/>
      <w:r w:rsidRPr="00B419CE">
        <w:t xml:space="preserve"> med skattlegging av </w:t>
      </w:r>
      <w:proofErr w:type="spellStart"/>
      <w:r w:rsidRPr="00B419CE">
        <w:t>fleirnasjonale</w:t>
      </w:r>
      <w:proofErr w:type="spellEnd"/>
      <w:r w:rsidRPr="00B419CE">
        <w:t xml:space="preserve"> selskap, samstundes som nye </w:t>
      </w:r>
      <w:proofErr w:type="spellStart"/>
      <w:r w:rsidRPr="00B419CE">
        <w:t>problemstillingar</w:t>
      </w:r>
      <w:proofErr w:type="spellEnd"/>
      <w:r w:rsidRPr="00B419CE">
        <w:t xml:space="preserve"> oppstår. </w:t>
      </w:r>
      <w:proofErr w:type="spellStart"/>
      <w:r w:rsidRPr="00B419CE">
        <w:rPr>
          <w:rStyle w:val="kursiv"/>
        </w:rPr>
        <w:t>Inclusive</w:t>
      </w:r>
      <w:proofErr w:type="spellEnd"/>
      <w:r w:rsidRPr="00B419CE">
        <w:rPr>
          <w:rStyle w:val="kursiv"/>
        </w:rPr>
        <w:t xml:space="preserve"> Framework</w:t>
      </w:r>
      <w:r w:rsidRPr="00B419CE">
        <w:t xml:space="preserve"> (IF) er </w:t>
      </w:r>
      <w:proofErr w:type="spellStart"/>
      <w:r w:rsidRPr="00B419CE">
        <w:t>eit</w:t>
      </w:r>
      <w:proofErr w:type="spellEnd"/>
      <w:r w:rsidRPr="00B419CE">
        <w:t xml:space="preserve"> samarbeidsorgan med 139 medlemsland som vert oppretta for å </w:t>
      </w:r>
      <w:proofErr w:type="spellStart"/>
      <w:r w:rsidRPr="00B419CE">
        <w:t>følgje</w:t>
      </w:r>
      <w:proofErr w:type="spellEnd"/>
      <w:r w:rsidRPr="00B419CE">
        <w:t xml:space="preserve"> opp BEPS-prosjektet. IF leier det internasjonale arbeidet med globale </w:t>
      </w:r>
      <w:proofErr w:type="spellStart"/>
      <w:r w:rsidRPr="00B419CE">
        <w:t>løysingar</w:t>
      </w:r>
      <w:proofErr w:type="spellEnd"/>
      <w:r w:rsidRPr="00B419CE">
        <w:t xml:space="preserve"> for </w:t>
      </w:r>
      <w:proofErr w:type="spellStart"/>
      <w:r w:rsidRPr="00B419CE">
        <w:t>meir</w:t>
      </w:r>
      <w:proofErr w:type="spellEnd"/>
      <w:r w:rsidRPr="00B419CE">
        <w:t xml:space="preserve"> effektiv og rettferdig skattlegging av den digitale økonomien. 1. juli 2021 vart 130 land og </w:t>
      </w:r>
      <w:proofErr w:type="spellStart"/>
      <w:r w:rsidRPr="00B419CE">
        <w:t>jurisdiksjonar</w:t>
      </w:r>
      <w:proofErr w:type="spellEnd"/>
      <w:r w:rsidRPr="00B419CE">
        <w:t xml:space="preserve"> samde om </w:t>
      </w:r>
      <w:proofErr w:type="spellStart"/>
      <w:r w:rsidRPr="00B419CE">
        <w:t>hovudelementa</w:t>
      </w:r>
      <w:proofErr w:type="spellEnd"/>
      <w:r w:rsidRPr="00B419CE">
        <w:t xml:space="preserve"> i </w:t>
      </w:r>
      <w:proofErr w:type="spellStart"/>
      <w:r w:rsidRPr="00B419CE">
        <w:t>ein</w:t>
      </w:r>
      <w:proofErr w:type="spellEnd"/>
      <w:r w:rsidRPr="00B419CE">
        <w:t xml:space="preserve"> internasjonal reform for skattlegging av multinasjonale selskap. IF arbeider videre med </w:t>
      </w:r>
      <w:proofErr w:type="spellStart"/>
      <w:r w:rsidRPr="00B419CE">
        <w:t>dei</w:t>
      </w:r>
      <w:proofErr w:type="spellEnd"/>
      <w:r w:rsidRPr="00B419CE">
        <w:t xml:space="preserve"> detaljerte </w:t>
      </w:r>
      <w:proofErr w:type="spellStart"/>
      <w:r w:rsidRPr="00B419CE">
        <w:t>løysingane</w:t>
      </w:r>
      <w:proofErr w:type="spellEnd"/>
      <w:r w:rsidRPr="00B419CE">
        <w:t xml:space="preserve"> og </w:t>
      </w:r>
      <w:proofErr w:type="spellStart"/>
      <w:r w:rsidRPr="00B419CE">
        <w:t>ein</w:t>
      </w:r>
      <w:proofErr w:type="spellEnd"/>
      <w:r w:rsidRPr="00B419CE">
        <w:t xml:space="preserve"> plan for gjennomføring av </w:t>
      </w:r>
      <w:proofErr w:type="spellStart"/>
      <w:r w:rsidRPr="00B419CE">
        <w:t>endringane</w:t>
      </w:r>
      <w:proofErr w:type="spellEnd"/>
      <w:r w:rsidRPr="00B419CE">
        <w:t xml:space="preserve">. </w:t>
      </w:r>
      <w:proofErr w:type="spellStart"/>
      <w:r w:rsidRPr="00B419CE">
        <w:t>Noreg</w:t>
      </w:r>
      <w:proofErr w:type="spellEnd"/>
      <w:r w:rsidRPr="00B419CE">
        <w:t xml:space="preserve"> </w:t>
      </w:r>
      <w:proofErr w:type="spellStart"/>
      <w:r w:rsidRPr="00B419CE">
        <w:t>deltek</w:t>
      </w:r>
      <w:proofErr w:type="spellEnd"/>
      <w:r w:rsidRPr="00B419CE">
        <w:t xml:space="preserve"> i </w:t>
      </w:r>
      <w:proofErr w:type="spellStart"/>
      <w:r w:rsidRPr="00B419CE">
        <w:t>Inclusive</w:t>
      </w:r>
      <w:proofErr w:type="spellEnd"/>
      <w:r w:rsidRPr="00B419CE">
        <w:t xml:space="preserve"> Framework og i </w:t>
      </w:r>
      <w:proofErr w:type="spellStart"/>
      <w:r w:rsidRPr="00B419CE">
        <w:t>fleire</w:t>
      </w:r>
      <w:proofErr w:type="spellEnd"/>
      <w:r w:rsidRPr="00B419CE">
        <w:t xml:space="preserve"> arbeidsgrupper som greier ut ulike sider av forslaga.</w:t>
      </w:r>
    </w:p>
    <w:p w14:paraId="72432976" w14:textId="77777777" w:rsidR="00B419CE" w:rsidRPr="00B419CE" w:rsidRDefault="00B419CE" w:rsidP="00B419CE">
      <w:pPr>
        <w:pStyle w:val="avsnitt-under-undertittel"/>
      </w:pPr>
      <w:proofErr w:type="spellStart"/>
      <w:r w:rsidRPr="00B419CE">
        <w:t>Verdsetjing</w:t>
      </w:r>
      <w:proofErr w:type="spellEnd"/>
      <w:r w:rsidRPr="00B419CE">
        <w:t xml:space="preserve"> av </w:t>
      </w:r>
      <w:proofErr w:type="spellStart"/>
      <w:r w:rsidRPr="00B419CE">
        <w:t>fritidseigedom</w:t>
      </w:r>
      <w:proofErr w:type="spellEnd"/>
    </w:p>
    <w:p w14:paraId="159A7C9F" w14:textId="77777777" w:rsidR="00B419CE" w:rsidRPr="00B419CE" w:rsidRDefault="00B419CE" w:rsidP="00B419CE">
      <w:r w:rsidRPr="00B419CE">
        <w:t xml:space="preserve">Til 2010-budsjettet vart det utvikla </w:t>
      </w:r>
      <w:proofErr w:type="spellStart"/>
      <w:r w:rsidRPr="00B419CE">
        <w:t>eit</w:t>
      </w:r>
      <w:proofErr w:type="spellEnd"/>
      <w:r w:rsidRPr="00B419CE">
        <w:t xml:space="preserve"> nytt </w:t>
      </w:r>
      <w:proofErr w:type="spellStart"/>
      <w:r w:rsidRPr="00B419CE">
        <w:t>verdsetjingssystem</w:t>
      </w:r>
      <w:proofErr w:type="spellEnd"/>
      <w:r w:rsidRPr="00B419CE">
        <w:t xml:space="preserve"> for </w:t>
      </w:r>
      <w:proofErr w:type="spellStart"/>
      <w:r w:rsidRPr="00B419CE">
        <w:t>bustader</w:t>
      </w:r>
      <w:proofErr w:type="spellEnd"/>
      <w:r w:rsidRPr="00B419CE">
        <w:t xml:space="preserve"> i formuesskatten. Dette omfatta </w:t>
      </w:r>
      <w:proofErr w:type="spellStart"/>
      <w:r w:rsidRPr="00B419CE">
        <w:t>ikkje</w:t>
      </w:r>
      <w:proofErr w:type="spellEnd"/>
      <w:r w:rsidRPr="00B419CE">
        <w:t xml:space="preserve"> </w:t>
      </w:r>
      <w:proofErr w:type="spellStart"/>
      <w:r w:rsidRPr="00B419CE">
        <w:t>fritidseigedom</w:t>
      </w:r>
      <w:proofErr w:type="spellEnd"/>
      <w:r w:rsidRPr="00B419CE">
        <w:t xml:space="preserve">. I samband med </w:t>
      </w:r>
      <w:proofErr w:type="spellStart"/>
      <w:r w:rsidRPr="00B419CE">
        <w:t>behandlinga</w:t>
      </w:r>
      <w:proofErr w:type="spellEnd"/>
      <w:r w:rsidRPr="00B419CE">
        <w:t xml:space="preserve"> av Meld. St. 4 (2015–2016) </w:t>
      </w:r>
      <w:r w:rsidRPr="00B419CE">
        <w:rPr>
          <w:rStyle w:val="kursiv"/>
        </w:rPr>
        <w:t>Bedre skatt – En skattereform for omstilling og vekst,</w:t>
      </w:r>
      <w:r w:rsidRPr="00B419CE">
        <w:t xml:space="preserve"> fatta Stortinget 31. mai 2016 vedtak 738 nr. 15 som del av forliket om skattereform:</w:t>
      </w:r>
    </w:p>
    <w:p w14:paraId="62AB90D7" w14:textId="77777777" w:rsidR="00B419CE" w:rsidRPr="00B419CE" w:rsidRDefault="00B419CE" w:rsidP="00B419CE">
      <w:pPr>
        <w:pStyle w:val="blokksit"/>
        <w:rPr>
          <w:rStyle w:val="kursiv"/>
        </w:rPr>
      </w:pPr>
      <w:r w:rsidRPr="00B419CE">
        <w:rPr>
          <w:rStyle w:val="kursiv"/>
        </w:rPr>
        <w:t>«Regjeringen bes gjennomgå og forbedre systemet for verdivurdering av fritidseiendom.»</w:t>
      </w:r>
    </w:p>
    <w:p w14:paraId="6AE060F8" w14:textId="77777777" w:rsidR="00B419CE" w:rsidRPr="00B419CE" w:rsidRDefault="00B419CE" w:rsidP="00B419CE">
      <w:proofErr w:type="spellStart"/>
      <w:r w:rsidRPr="00B419CE">
        <w:t>Ein</w:t>
      </w:r>
      <w:proofErr w:type="spellEnd"/>
      <w:r w:rsidRPr="00B419CE">
        <w:t xml:space="preserve"> </w:t>
      </w:r>
      <w:proofErr w:type="spellStart"/>
      <w:r w:rsidRPr="00B419CE">
        <w:t>mogleg</w:t>
      </w:r>
      <w:proofErr w:type="spellEnd"/>
      <w:r w:rsidRPr="00B419CE">
        <w:t xml:space="preserve"> ny </w:t>
      </w:r>
      <w:proofErr w:type="spellStart"/>
      <w:r w:rsidRPr="00B419CE">
        <w:t>verdsetjingsmodell</w:t>
      </w:r>
      <w:proofErr w:type="spellEnd"/>
      <w:r w:rsidRPr="00B419CE">
        <w:t xml:space="preserve"> bygd på maskinlæring vart ferdigutvikla </w:t>
      </w:r>
      <w:proofErr w:type="spellStart"/>
      <w:r w:rsidRPr="00B419CE">
        <w:t>hausten</w:t>
      </w:r>
      <w:proofErr w:type="spellEnd"/>
      <w:r w:rsidRPr="00B419CE">
        <w:t xml:space="preserve"> 2020 av </w:t>
      </w:r>
      <w:proofErr w:type="spellStart"/>
      <w:r w:rsidRPr="00B419CE">
        <w:t>ein</w:t>
      </w:r>
      <w:proofErr w:type="spellEnd"/>
      <w:r w:rsidRPr="00B419CE">
        <w:t xml:space="preserve"> ekstern leverandør (</w:t>
      </w:r>
      <w:proofErr w:type="spellStart"/>
      <w:r w:rsidRPr="00B419CE">
        <w:t>PwC</w:t>
      </w:r>
      <w:proofErr w:type="spellEnd"/>
      <w:r w:rsidRPr="00B419CE">
        <w:t xml:space="preserve">) i samarbeid med Statistisk sentralbyrå. I september 2021 er forslag til nytt </w:t>
      </w:r>
      <w:proofErr w:type="spellStart"/>
      <w:r w:rsidRPr="00B419CE">
        <w:t>verdsetjingssystem</w:t>
      </w:r>
      <w:proofErr w:type="spellEnd"/>
      <w:r w:rsidRPr="00B419CE">
        <w:t xml:space="preserve"> sendt på </w:t>
      </w:r>
      <w:proofErr w:type="spellStart"/>
      <w:r w:rsidRPr="00B419CE">
        <w:t>høyring</w:t>
      </w:r>
      <w:proofErr w:type="spellEnd"/>
      <w:r w:rsidRPr="00B419CE">
        <w:t xml:space="preserve"> </w:t>
      </w:r>
      <w:proofErr w:type="spellStart"/>
      <w:r w:rsidRPr="00B419CE">
        <w:t>frå</w:t>
      </w:r>
      <w:proofErr w:type="spellEnd"/>
      <w:r w:rsidRPr="00B419CE">
        <w:t xml:space="preserve"> Finansdepartementet. Nytt </w:t>
      </w:r>
      <w:proofErr w:type="spellStart"/>
      <w:r w:rsidRPr="00B419CE">
        <w:t>verdsetjingssystem</w:t>
      </w:r>
      <w:proofErr w:type="spellEnd"/>
      <w:r w:rsidRPr="00B419CE">
        <w:t xml:space="preserve"> vil </w:t>
      </w:r>
      <w:proofErr w:type="spellStart"/>
      <w:r w:rsidRPr="00B419CE">
        <w:t>krevje</w:t>
      </w:r>
      <w:proofErr w:type="spellEnd"/>
      <w:r w:rsidRPr="00B419CE">
        <w:t xml:space="preserve"> administrative </w:t>
      </w:r>
      <w:proofErr w:type="spellStart"/>
      <w:r w:rsidRPr="00B419CE">
        <w:t>tilpassingar</w:t>
      </w:r>
      <w:proofErr w:type="spellEnd"/>
      <w:r w:rsidRPr="00B419CE">
        <w:t xml:space="preserve"> i Kartverket, Skatteetaten og Statistisk sentralbyrå. Det nye </w:t>
      </w:r>
      <w:proofErr w:type="spellStart"/>
      <w:r w:rsidRPr="00B419CE">
        <w:t>verdsetjingssystemet</w:t>
      </w:r>
      <w:proofErr w:type="spellEnd"/>
      <w:r w:rsidRPr="00B419CE">
        <w:t xml:space="preserve"> kan </w:t>
      </w:r>
      <w:proofErr w:type="spellStart"/>
      <w:r w:rsidRPr="00B419CE">
        <w:t>tidlegast</w:t>
      </w:r>
      <w:proofErr w:type="spellEnd"/>
      <w:r w:rsidRPr="00B419CE">
        <w:t xml:space="preserve"> gjelde </w:t>
      </w:r>
      <w:proofErr w:type="spellStart"/>
      <w:r w:rsidRPr="00B419CE">
        <w:t>frå</w:t>
      </w:r>
      <w:proofErr w:type="spellEnd"/>
      <w:r w:rsidRPr="00B419CE">
        <w:t xml:space="preserve"> 2024.</w:t>
      </w:r>
    </w:p>
    <w:p w14:paraId="3CF4F445" w14:textId="77777777" w:rsidR="00B419CE" w:rsidRPr="00B419CE" w:rsidRDefault="00B419CE" w:rsidP="00B419CE">
      <w:pPr>
        <w:pStyle w:val="avsnitt-under-undertittel"/>
      </w:pPr>
      <w:r w:rsidRPr="00B419CE">
        <w:t xml:space="preserve">Ny ordning for </w:t>
      </w:r>
      <w:proofErr w:type="spellStart"/>
      <w:r w:rsidRPr="00B419CE">
        <w:t>tilsetteopsjonar</w:t>
      </w:r>
      <w:proofErr w:type="spellEnd"/>
      <w:r w:rsidRPr="00B419CE">
        <w:t xml:space="preserve"> i selskap i oppstarts- og </w:t>
      </w:r>
      <w:proofErr w:type="spellStart"/>
      <w:r w:rsidRPr="00B419CE">
        <w:t>vekstfasa</w:t>
      </w:r>
      <w:proofErr w:type="spellEnd"/>
    </w:p>
    <w:p w14:paraId="1C4BBD61" w14:textId="77777777" w:rsidR="00B419CE" w:rsidRPr="00B419CE" w:rsidRDefault="00B419CE" w:rsidP="00B419CE">
      <w:r w:rsidRPr="00B419CE">
        <w:t xml:space="preserve">Finansdepartementet sende i juni 2021 på </w:t>
      </w:r>
      <w:proofErr w:type="spellStart"/>
      <w:r w:rsidRPr="00B419CE">
        <w:t>høyring</w:t>
      </w:r>
      <w:proofErr w:type="spellEnd"/>
      <w:r w:rsidRPr="00B419CE">
        <w:t xml:space="preserve"> </w:t>
      </w:r>
      <w:proofErr w:type="spellStart"/>
      <w:r w:rsidRPr="00B419CE">
        <w:t>eit</w:t>
      </w:r>
      <w:proofErr w:type="spellEnd"/>
      <w:r w:rsidRPr="00B419CE">
        <w:t xml:space="preserve"> forslag om ny ordning for </w:t>
      </w:r>
      <w:proofErr w:type="spellStart"/>
      <w:r w:rsidRPr="00B419CE">
        <w:t>tilsetteopsjonar</w:t>
      </w:r>
      <w:proofErr w:type="spellEnd"/>
      <w:r w:rsidRPr="00B419CE">
        <w:t xml:space="preserve"> i selskap i oppstarts- og </w:t>
      </w:r>
      <w:proofErr w:type="spellStart"/>
      <w:r w:rsidRPr="00B419CE">
        <w:t>vekstfasa</w:t>
      </w:r>
      <w:proofErr w:type="spellEnd"/>
      <w:r w:rsidRPr="00B419CE">
        <w:t xml:space="preserve">. </w:t>
      </w:r>
      <w:proofErr w:type="spellStart"/>
      <w:r w:rsidRPr="00B419CE">
        <w:t>Eit</w:t>
      </w:r>
      <w:proofErr w:type="spellEnd"/>
      <w:r w:rsidRPr="00B419CE">
        <w:t xml:space="preserve"> lovforslag er lagt fram i </w:t>
      </w:r>
      <w:proofErr w:type="spellStart"/>
      <w:r w:rsidRPr="00B419CE">
        <w:t>Prop</w:t>
      </w:r>
      <w:proofErr w:type="spellEnd"/>
      <w:r w:rsidRPr="00B419CE">
        <w:t>. 1 LS (2021–2022) Skatter, avgifter og toll 2022, kapittel 4.</w:t>
      </w:r>
    </w:p>
    <w:p w14:paraId="20AD0290" w14:textId="77777777" w:rsidR="00B419CE" w:rsidRPr="00B419CE" w:rsidRDefault="00B419CE" w:rsidP="00B419CE">
      <w:pPr>
        <w:pStyle w:val="avsnitt-under-undertittel"/>
      </w:pPr>
      <w:r w:rsidRPr="00B419CE">
        <w:t xml:space="preserve">Endring i </w:t>
      </w:r>
      <w:proofErr w:type="spellStart"/>
      <w:r w:rsidRPr="00B419CE">
        <w:t>reglane</w:t>
      </w:r>
      <w:proofErr w:type="spellEnd"/>
      <w:r w:rsidRPr="00B419CE">
        <w:t xml:space="preserve"> om konsernbidrag – </w:t>
      </w:r>
      <w:proofErr w:type="spellStart"/>
      <w:r w:rsidRPr="00B419CE">
        <w:t>frådrag</w:t>
      </w:r>
      <w:proofErr w:type="spellEnd"/>
      <w:r w:rsidRPr="00B419CE">
        <w:t xml:space="preserve"> for konsernbidrag til dotterselskap i utlandet</w:t>
      </w:r>
    </w:p>
    <w:p w14:paraId="28481D5D" w14:textId="77777777" w:rsidR="00B419CE" w:rsidRPr="00B419CE" w:rsidRDefault="00B419CE" w:rsidP="00B419CE">
      <w:r w:rsidRPr="00B419CE">
        <w:t xml:space="preserve">Finansdepartementet legg i </w:t>
      </w:r>
      <w:proofErr w:type="spellStart"/>
      <w:r w:rsidRPr="00B419CE">
        <w:t>Prop</w:t>
      </w:r>
      <w:proofErr w:type="spellEnd"/>
      <w:r w:rsidRPr="00B419CE">
        <w:t xml:space="preserve">. 1 LS (2021–2022) Skatter, avgifter og toll 2022, kapittel 6 fram forslag til endring i </w:t>
      </w:r>
      <w:proofErr w:type="spellStart"/>
      <w:r w:rsidRPr="00B419CE">
        <w:t>reglane</w:t>
      </w:r>
      <w:proofErr w:type="spellEnd"/>
      <w:r w:rsidRPr="00B419CE">
        <w:t xml:space="preserve"> om konsernbidrag. Forslaget skal sikre at </w:t>
      </w:r>
      <w:proofErr w:type="spellStart"/>
      <w:r w:rsidRPr="00B419CE">
        <w:t>reglane</w:t>
      </w:r>
      <w:proofErr w:type="spellEnd"/>
      <w:r w:rsidRPr="00B419CE">
        <w:t xml:space="preserve"> er i tråd med EØS-avtalens </w:t>
      </w:r>
      <w:proofErr w:type="spellStart"/>
      <w:r w:rsidRPr="00B419CE">
        <w:t>reglar</w:t>
      </w:r>
      <w:proofErr w:type="spellEnd"/>
      <w:r w:rsidRPr="00B419CE">
        <w:t xml:space="preserve"> om fri etableringsrett.</w:t>
      </w:r>
    </w:p>
    <w:p w14:paraId="719B4476" w14:textId="77777777" w:rsidR="00B419CE" w:rsidRPr="00B419CE" w:rsidRDefault="00B419CE" w:rsidP="00B419CE">
      <w:pPr>
        <w:pStyle w:val="avsnitt-under-undertittel"/>
      </w:pPr>
      <w:r w:rsidRPr="00B419CE">
        <w:lastRenderedPageBreak/>
        <w:t>Forslag til ny lov om inn- og utførsel av varer og ny lov om tollavgift</w:t>
      </w:r>
    </w:p>
    <w:p w14:paraId="6C9E4E3D" w14:textId="77777777" w:rsidR="00B419CE" w:rsidRPr="00B419CE" w:rsidRDefault="00B419CE" w:rsidP="00B419CE">
      <w:r w:rsidRPr="00B419CE">
        <w:t xml:space="preserve">Finansdepartementet sende i mai 2019 på </w:t>
      </w:r>
      <w:proofErr w:type="spellStart"/>
      <w:r w:rsidRPr="00B419CE">
        <w:t>høyring</w:t>
      </w:r>
      <w:proofErr w:type="spellEnd"/>
      <w:r w:rsidRPr="00B419CE">
        <w:t xml:space="preserve"> forslag til ny lov om inn- og utførsel av varer og ny lov om tollavgift. Dei to nye lovene skal </w:t>
      </w:r>
      <w:proofErr w:type="spellStart"/>
      <w:r w:rsidRPr="00B419CE">
        <w:t>kome</w:t>
      </w:r>
      <w:proofErr w:type="spellEnd"/>
      <w:r w:rsidRPr="00B419CE">
        <w:t xml:space="preserve"> i staden for tollova. Det overordna målet for lovarbeidet har vært </w:t>
      </w:r>
      <w:proofErr w:type="spellStart"/>
      <w:r w:rsidRPr="00B419CE">
        <w:t>eit</w:t>
      </w:r>
      <w:proofErr w:type="spellEnd"/>
      <w:r w:rsidRPr="00B419CE">
        <w:t xml:space="preserve"> oppdatert lovverk som </w:t>
      </w:r>
      <w:proofErr w:type="spellStart"/>
      <w:r w:rsidRPr="00B419CE">
        <w:t>passar</w:t>
      </w:r>
      <w:proofErr w:type="spellEnd"/>
      <w:r w:rsidRPr="00B419CE">
        <w:t xml:space="preserve"> betre til Tolletatens </w:t>
      </w:r>
      <w:proofErr w:type="spellStart"/>
      <w:r w:rsidRPr="00B419CE">
        <w:t>oppgåver</w:t>
      </w:r>
      <w:proofErr w:type="spellEnd"/>
      <w:r w:rsidRPr="00B419CE">
        <w:t xml:space="preserve">. Departementet har etter </w:t>
      </w:r>
      <w:proofErr w:type="spellStart"/>
      <w:r w:rsidRPr="00B419CE">
        <w:t>høyringa</w:t>
      </w:r>
      <w:proofErr w:type="spellEnd"/>
      <w:r w:rsidRPr="00B419CE">
        <w:t xml:space="preserve"> arbeidd </w:t>
      </w:r>
      <w:proofErr w:type="spellStart"/>
      <w:r w:rsidRPr="00B419CE">
        <w:t>vidare</w:t>
      </w:r>
      <w:proofErr w:type="spellEnd"/>
      <w:r w:rsidRPr="00B419CE">
        <w:t xml:space="preserve"> med forslag til </w:t>
      </w:r>
      <w:proofErr w:type="spellStart"/>
      <w:r w:rsidRPr="00B419CE">
        <w:t>dei</w:t>
      </w:r>
      <w:proofErr w:type="spellEnd"/>
      <w:r w:rsidRPr="00B419CE">
        <w:t xml:space="preserve"> nye lovene, og proposisjon med lovforslag </w:t>
      </w:r>
      <w:proofErr w:type="spellStart"/>
      <w:r w:rsidRPr="00B419CE">
        <w:t>vart</w:t>
      </w:r>
      <w:proofErr w:type="spellEnd"/>
      <w:r w:rsidRPr="00B419CE">
        <w:t xml:space="preserve"> lagt fram for Stortinget 17. september 2021.</w:t>
      </w:r>
    </w:p>
    <w:p w14:paraId="102C5F3E" w14:textId="77777777" w:rsidR="00B419CE" w:rsidRPr="00B419CE" w:rsidRDefault="00B419CE" w:rsidP="00B419CE">
      <w:pPr>
        <w:pStyle w:val="avsnitt-under-undertittel"/>
      </w:pPr>
      <w:r w:rsidRPr="00B419CE">
        <w:t xml:space="preserve">Samordning av </w:t>
      </w:r>
      <w:proofErr w:type="spellStart"/>
      <w:r w:rsidRPr="00B419CE">
        <w:t>reglane</w:t>
      </w:r>
      <w:proofErr w:type="spellEnd"/>
      <w:r w:rsidRPr="00B419CE">
        <w:t xml:space="preserve"> for </w:t>
      </w:r>
      <w:proofErr w:type="spellStart"/>
      <w:r w:rsidRPr="00B419CE">
        <w:t>innkrevjing</w:t>
      </w:r>
      <w:proofErr w:type="spellEnd"/>
      <w:r w:rsidRPr="00B419CE">
        <w:t xml:space="preserve"> av </w:t>
      </w:r>
      <w:proofErr w:type="spellStart"/>
      <w:r w:rsidRPr="00B419CE">
        <w:t>offentlege</w:t>
      </w:r>
      <w:proofErr w:type="spellEnd"/>
      <w:r w:rsidRPr="00B419CE">
        <w:t xml:space="preserve"> krav</w:t>
      </w:r>
    </w:p>
    <w:p w14:paraId="114E825A" w14:textId="77777777" w:rsidR="00B419CE" w:rsidRPr="00B419CE" w:rsidRDefault="00B419CE" w:rsidP="00B419CE">
      <w:r w:rsidRPr="00B419CE">
        <w:t xml:space="preserve">Finansdepartementet har i samarbeid med Skatteetaten sett i gang </w:t>
      </w:r>
      <w:proofErr w:type="spellStart"/>
      <w:r w:rsidRPr="00B419CE">
        <w:t>eit</w:t>
      </w:r>
      <w:proofErr w:type="spellEnd"/>
      <w:r w:rsidRPr="00B419CE">
        <w:t xml:space="preserve"> arbeid med å samordne og modernisere </w:t>
      </w:r>
      <w:proofErr w:type="spellStart"/>
      <w:r w:rsidRPr="00B419CE">
        <w:t>reglane</w:t>
      </w:r>
      <w:proofErr w:type="spellEnd"/>
      <w:r w:rsidRPr="00B419CE">
        <w:t xml:space="preserve"> for Skatteetatens </w:t>
      </w:r>
      <w:proofErr w:type="spellStart"/>
      <w:r w:rsidRPr="00B419CE">
        <w:t>innkrevjingsoppgåver</w:t>
      </w:r>
      <w:proofErr w:type="spellEnd"/>
      <w:r w:rsidRPr="00B419CE">
        <w:t xml:space="preserve"> (skattebetalingslova, SI-lova og bidragsinnkrevingslova). Prosjektet vil i </w:t>
      </w:r>
      <w:proofErr w:type="spellStart"/>
      <w:r w:rsidRPr="00B419CE">
        <w:t>hovudsak</w:t>
      </w:r>
      <w:proofErr w:type="spellEnd"/>
      <w:r w:rsidRPr="00B419CE">
        <w:t xml:space="preserve"> samordne </w:t>
      </w:r>
      <w:proofErr w:type="spellStart"/>
      <w:r w:rsidRPr="00B419CE">
        <w:t>dei</w:t>
      </w:r>
      <w:proofErr w:type="spellEnd"/>
      <w:r w:rsidRPr="00B419CE">
        <w:t xml:space="preserve"> tre lovene som i dag gjeld for Skatteetatens </w:t>
      </w:r>
      <w:proofErr w:type="spellStart"/>
      <w:r w:rsidRPr="00B419CE">
        <w:t>innkrevingsoppgåver</w:t>
      </w:r>
      <w:proofErr w:type="spellEnd"/>
      <w:r w:rsidRPr="00B419CE">
        <w:t xml:space="preserve">. </w:t>
      </w:r>
      <w:proofErr w:type="spellStart"/>
      <w:r w:rsidRPr="00B419CE">
        <w:t>Føremålet</w:t>
      </w:r>
      <w:proofErr w:type="spellEnd"/>
      <w:r w:rsidRPr="00B419CE">
        <w:t xml:space="preserve"> er </w:t>
      </w:r>
      <w:proofErr w:type="spellStart"/>
      <w:r w:rsidRPr="00B419CE">
        <w:t>eit</w:t>
      </w:r>
      <w:proofErr w:type="spellEnd"/>
      <w:r w:rsidRPr="00B419CE">
        <w:t xml:space="preserve"> moderne og </w:t>
      </w:r>
      <w:proofErr w:type="spellStart"/>
      <w:r w:rsidRPr="00B419CE">
        <w:t>meir</w:t>
      </w:r>
      <w:proofErr w:type="spellEnd"/>
      <w:r w:rsidRPr="00B419CE">
        <w:t xml:space="preserve"> </w:t>
      </w:r>
      <w:proofErr w:type="spellStart"/>
      <w:r w:rsidRPr="00B419CE">
        <w:t>brukarvennleg</w:t>
      </w:r>
      <w:proofErr w:type="spellEnd"/>
      <w:r w:rsidRPr="00B419CE">
        <w:t xml:space="preserve"> regelverk som </w:t>
      </w:r>
      <w:proofErr w:type="spellStart"/>
      <w:r w:rsidRPr="00B419CE">
        <w:t>legg</w:t>
      </w:r>
      <w:proofErr w:type="spellEnd"/>
      <w:r w:rsidRPr="00B419CE">
        <w:t xml:space="preserve"> til rette for å </w:t>
      </w:r>
      <w:proofErr w:type="spellStart"/>
      <w:r w:rsidRPr="00B419CE">
        <w:t>gjere</w:t>
      </w:r>
      <w:proofErr w:type="spellEnd"/>
      <w:r w:rsidRPr="00B419CE">
        <w:t xml:space="preserve"> Skatteetatens </w:t>
      </w:r>
      <w:proofErr w:type="spellStart"/>
      <w:r w:rsidRPr="00B419CE">
        <w:t>innkrevjingsoppgåver</w:t>
      </w:r>
      <w:proofErr w:type="spellEnd"/>
      <w:r w:rsidRPr="00B419CE">
        <w:t xml:space="preserve"> </w:t>
      </w:r>
      <w:proofErr w:type="spellStart"/>
      <w:r w:rsidRPr="00B419CE">
        <w:t>meir</w:t>
      </w:r>
      <w:proofErr w:type="spellEnd"/>
      <w:r w:rsidRPr="00B419CE">
        <w:t xml:space="preserve"> effektive.</w:t>
      </w:r>
    </w:p>
    <w:p w14:paraId="0BEB6C59" w14:textId="77777777" w:rsidR="00B419CE" w:rsidRPr="00B419CE" w:rsidRDefault="00B419CE" w:rsidP="00B419CE">
      <w:pPr>
        <w:pStyle w:val="avsnitt-tittel"/>
      </w:pPr>
      <w:proofErr w:type="spellStart"/>
      <w:r w:rsidRPr="00B419CE">
        <w:t>Finansmarknadsområdet</w:t>
      </w:r>
      <w:proofErr w:type="spellEnd"/>
    </w:p>
    <w:p w14:paraId="61A847E7" w14:textId="77777777" w:rsidR="00B419CE" w:rsidRPr="00B419CE" w:rsidRDefault="00B419CE" w:rsidP="00B419CE">
      <w:r w:rsidRPr="00B419CE">
        <w:t xml:space="preserve">Regelverksarbeidet på </w:t>
      </w:r>
      <w:proofErr w:type="spellStart"/>
      <w:r w:rsidRPr="00B419CE">
        <w:t>finansmarknadsområdet</w:t>
      </w:r>
      <w:proofErr w:type="spellEnd"/>
      <w:r w:rsidRPr="00B419CE">
        <w:t xml:space="preserve"> har i stortingssesjonen 2020–2021 resultert i </w:t>
      </w:r>
      <w:proofErr w:type="spellStart"/>
      <w:r w:rsidRPr="00B419CE">
        <w:t>desse</w:t>
      </w:r>
      <w:proofErr w:type="spellEnd"/>
      <w:r w:rsidRPr="00B419CE">
        <w:t xml:space="preserve"> </w:t>
      </w:r>
      <w:proofErr w:type="spellStart"/>
      <w:r w:rsidRPr="00B419CE">
        <w:t>lovendringane</w:t>
      </w:r>
      <w:proofErr w:type="spellEnd"/>
      <w:r w:rsidRPr="00B419CE">
        <w:t xml:space="preserve"> og lovframlegga:</w:t>
      </w:r>
    </w:p>
    <w:p w14:paraId="0FDB6441" w14:textId="77777777" w:rsidR="00B419CE" w:rsidRPr="00B419CE" w:rsidRDefault="00B419CE" w:rsidP="00B419CE">
      <w:r w:rsidRPr="00B419CE">
        <w:t xml:space="preserve">Stortinget vedtok 8. april 2021, etter framlegg i </w:t>
      </w:r>
      <w:proofErr w:type="spellStart"/>
      <w:r w:rsidRPr="00B419CE">
        <w:t>Prop</w:t>
      </w:r>
      <w:proofErr w:type="spellEnd"/>
      <w:r w:rsidRPr="00B419CE">
        <w:t xml:space="preserve">. 57 LS (2020–2021), </w:t>
      </w:r>
      <w:r w:rsidRPr="00B419CE">
        <w:rPr>
          <w:rStyle w:val="kursiv"/>
        </w:rPr>
        <w:t>Lov om endringer i finansforetaksloven mv. (</w:t>
      </w:r>
      <w:proofErr w:type="spellStart"/>
      <w:r w:rsidRPr="00B419CE">
        <w:rPr>
          <w:rStyle w:val="kursiv"/>
        </w:rPr>
        <w:t>verdipapirisering</w:t>
      </w:r>
      <w:proofErr w:type="spellEnd"/>
      <w:r w:rsidRPr="00B419CE">
        <w:rPr>
          <w:rStyle w:val="kursiv"/>
        </w:rPr>
        <w:t xml:space="preserve"> og kreditorhierarki).</w:t>
      </w:r>
    </w:p>
    <w:p w14:paraId="6EA1C456" w14:textId="77777777" w:rsidR="00B419CE" w:rsidRPr="00B419CE" w:rsidRDefault="00B419CE" w:rsidP="00B419CE">
      <w:r w:rsidRPr="00B419CE">
        <w:t xml:space="preserve">Stortinget vedtok 30. april 2021, etter framlegg i </w:t>
      </w:r>
      <w:proofErr w:type="spellStart"/>
      <w:r w:rsidRPr="00B419CE">
        <w:t>Prop</w:t>
      </w:r>
      <w:proofErr w:type="spellEnd"/>
      <w:r w:rsidRPr="00B419CE">
        <w:t xml:space="preserve">. 66 LS (2020–2021), </w:t>
      </w:r>
      <w:r w:rsidRPr="00B419CE">
        <w:rPr>
          <w:rStyle w:val="kursiv"/>
        </w:rPr>
        <w:t>Lov om endringer i verdipapirhandelloven og regnskapsloven mv. (periodisk rapportering og direktivgjennomføring).</w:t>
      </w:r>
    </w:p>
    <w:p w14:paraId="4EF61652" w14:textId="77777777" w:rsidR="00B419CE" w:rsidRPr="00B419CE" w:rsidRDefault="00B419CE" w:rsidP="00B419CE">
      <w:r w:rsidRPr="00B419CE">
        <w:t xml:space="preserve">Stortinget vedtok 14. juni 2021, etter framlegg i </w:t>
      </w:r>
      <w:proofErr w:type="spellStart"/>
      <w:r w:rsidRPr="00B419CE">
        <w:t>Prop</w:t>
      </w:r>
      <w:proofErr w:type="spellEnd"/>
      <w:r w:rsidRPr="00B419CE">
        <w:t xml:space="preserve">. 147 LS (2020–2021), </w:t>
      </w:r>
      <w:r w:rsidRPr="00B419CE">
        <w:rPr>
          <w:rStyle w:val="kursiv"/>
        </w:rPr>
        <w:t>Lov om endringer i finansforetaksloven mv. (kapitalkravs- og krisehåndteringsregler for finansforetak mv.).</w:t>
      </w:r>
    </w:p>
    <w:p w14:paraId="51C32406" w14:textId="77777777" w:rsidR="00B419CE" w:rsidRPr="00B419CE" w:rsidRDefault="00B419CE" w:rsidP="00B419CE">
      <w:r w:rsidRPr="00B419CE">
        <w:t xml:space="preserve">Stortinget vedtok 14. juni 2021, etter framlegg i </w:t>
      </w:r>
      <w:proofErr w:type="spellStart"/>
      <w:r w:rsidRPr="00B419CE">
        <w:t>Prop</w:t>
      </w:r>
      <w:proofErr w:type="spellEnd"/>
      <w:r w:rsidRPr="00B419CE">
        <w:t xml:space="preserve">. 155 LS (2020–2021), </w:t>
      </w:r>
      <w:r w:rsidRPr="00B419CE">
        <w:rPr>
          <w:rStyle w:val="kursiv"/>
        </w:rPr>
        <w:t>Lov om endringer i verdipapirfondloven mv. (gjennomføring av EØS-rett, administrative sanksjoner og andre forvaltningstiltak).</w:t>
      </w:r>
    </w:p>
    <w:p w14:paraId="4649EB06" w14:textId="77777777" w:rsidR="00B419CE" w:rsidRPr="00B419CE" w:rsidRDefault="00B419CE" w:rsidP="00B419CE">
      <w:r w:rsidRPr="00B419CE">
        <w:t xml:space="preserve">Stortinget vedtok 14. juni 2021, etter framlegg i </w:t>
      </w:r>
      <w:proofErr w:type="spellStart"/>
      <w:r w:rsidRPr="00B419CE">
        <w:t>Prop</w:t>
      </w:r>
      <w:proofErr w:type="spellEnd"/>
      <w:r w:rsidRPr="00B419CE">
        <w:t xml:space="preserve">. 188 L (2020–2021), </w:t>
      </w:r>
      <w:r w:rsidRPr="00B419CE">
        <w:rPr>
          <w:rStyle w:val="kursiv"/>
        </w:rPr>
        <w:t xml:space="preserve">Midlertidig lov om utsettelse av fristene for å fastsette årsregnskap mv. og avholde ordinær generalforsamling mv. for å avhjelpe konsekvenser av utbrudd av </w:t>
      </w:r>
      <w:proofErr w:type="spellStart"/>
      <w:r w:rsidRPr="00B419CE">
        <w:rPr>
          <w:rStyle w:val="kursiv"/>
        </w:rPr>
        <w:t>covid</w:t>
      </w:r>
      <w:proofErr w:type="spellEnd"/>
      <w:r w:rsidRPr="00B419CE">
        <w:rPr>
          <w:rStyle w:val="kursiv"/>
        </w:rPr>
        <w:t xml:space="preserve"> 19</w:t>
      </w:r>
      <w:r w:rsidRPr="00B419CE">
        <w:t>.</w:t>
      </w:r>
    </w:p>
    <w:p w14:paraId="1CCA0DCA" w14:textId="77777777" w:rsidR="00B419CE" w:rsidRPr="00B419CE" w:rsidRDefault="00B419CE" w:rsidP="00B419CE">
      <w:r w:rsidRPr="00B419CE">
        <w:t xml:space="preserve">Finansdepartementet la 4. juni 2021 fram </w:t>
      </w:r>
      <w:proofErr w:type="spellStart"/>
      <w:r w:rsidRPr="00B419CE">
        <w:t>Prop</w:t>
      </w:r>
      <w:proofErr w:type="spellEnd"/>
      <w:r w:rsidRPr="00B419CE">
        <w:t xml:space="preserve">. 208 LS (2020–2021) </w:t>
      </w:r>
      <w:r w:rsidRPr="00B419CE">
        <w:rPr>
          <w:rStyle w:val="kursiv"/>
        </w:rPr>
        <w:t xml:space="preserve">Lov om offentliggjøring av </w:t>
      </w:r>
      <w:proofErr w:type="spellStart"/>
      <w:r w:rsidRPr="00B419CE">
        <w:rPr>
          <w:rStyle w:val="kursiv"/>
        </w:rPr>
        <w:t>bærekraftsinformasjon</w:t>
      </w:r>
      <w:proofErr w:type="spellEnd"/>
      <w:r w:rsidRPr="00B419CE">
        <w:rPr>
          <w:rStyle w:val="kursiv"/>
        </w:rPr>
        <w:t xml:space="preserve"> i finanssektoren og et rammeverk for bærekraftige investeringer og samtykke til deltagelse i en beslutning i EØS-komiteen om innlemmelse i EØS-avtalen av forordning (EU) 2019/2088 og forordning (EU) 2020/</w:t>
      </w:r>
      <w:proofErr w:type="gramStart"/>
      <w:r w:rsidRPr="00B419CE">
        <w:rPr>
          <w:rStyle w:val="kursiv"/>
        </w:rPr>
        <w:t xml:space="preserve">852 </w:t>
      </w:r>
      <w:r w:rsidRPr="00B419CE">
        <w:t>.Finansdepartementet</w:t>
      </w:r>
      <w:proofErr w:type="gramEnd"/>
      <w:r w:rsidRPr="00B419CE">
        <w:t xml:space="preserve"> la 18. juni 2021 fram </w:t>
      </w:r>
      <w:proofErr w:type="spellStart"/>
      <w:r w:rsidRPr="00B419CE">
        <w:t>Prop</w:t>
      </w:r>
      <w:proofErr w:type="spellEnd"/>
      <w:r w:rsidRPr="00B419CE">
        <w:t>. 223 L (2020–2021) Endringer i pensjonslovgivningen mv. (pensjon fra første krone og dag, garanterte pensjonsprodukter).</w:t>
      </w:r>
    </w:p>
    <w:p w14:paraId="0E7FB23D" w14:textId="77777777" w:rsidR="00B419CE" w:rsidRPr="00B419CE" w:rsidRDefault="00B419CE" w:rsidP="00B419CE">
      <w:r w:rsidRPr="00B419CE">
        <w:lastRenderedPageBreak/>
        <w:t xml:space="preserve">Finansdepartementet la 3. september 2021 fram </w:t>
      </w:r>
      <w:proofErr w:type="spellStart"/>
      <w:r w:rsidRPr="00B419CE">
        <w:t>Prop</w:t>
      </w:r>
      <w:proofErr w:type="spellEnd"/>
      <w:r w:rsidRPr="00B419CE">
        <w:t xml:space="preserve">. 235 LS (2020–2021) </w:t>
      </w:r>
      <w:r w:rsidRPr="00B419CE">
        <w:rPr>
          <w:rStyle w:val="kursiv"/>
        </w:rPr>
        <w:t>Endringer i verdipapirhandelloven (EU-gjenopprettingsprospekt mv.) og samtykke til deltakelse i en beslutning i EØS-komiteen om innlemmelse av forordning (EU) 2021/337 om EU-gjenopprettingsprospekt i EØS-avtalen.</w:t>
      </w:r>
    </w:p>
    <w:p w14:paraId="53E575F2" w14:textId="77777777" w:rsidR="00B419CE" w:rsidRPr="00B419CE" w:rsidRDefault="00B419CE" w:rsidP="00B419CE">
      <w:r w:rsidRPr="00B419CE">
        <w:t xml:space="preserve">Finansdepartementet la 3. september 2021 fram </w:t>
      </w:r>
      <w:proofErr w:type="spellStart"/>
      <w:r w:rsidRPr="00B419CE">
        <w:t>Prop</w:t>
      </w:r>
      <w:proofErr w:type="spellEnd"/>
      <w:r w:rsidRPr="00B419CE">
        <w:t xml:space="preserve">. 233 LS (2020–2021) </w:t>
      </w:r>
      <w:r w:rsidRPr="00B419CE">
        <w:rPr>
          <w:rStyle w:val="kursiv"/>
        </w:rPr>
        <w:t>Lov om forsikringsformidling (forsikringsformidlingsloven) og samtykke til godkjenning av EØS-komiteens beslutning nr. 214/2018 av 26. oktober 2018 om innlemmelse i EØS-avtalen av direktiv (EU) 2016/97 og direktiv (EU) 2018/411.</w:t>
      </w:r>
    </w:p>
    <w:p w14:paraId="24EAB010" w14:textId="77777777" w:rsidR="00B419CE" w:rsidRPr="00B419CE" w:rsidRDefault="00B419CE" w:rsidP="00B419CE">
      <w:pPr>
        <w:pStyle w:val="avsnitt-tittel"/>
      </w:pPr>
      <w:r w:rsidRPr="00B419CE">
        <w:t>Budsjett 2022</w:t>
      </w:r>
    </w:p>
    <w:p w14:paraId="5A7125E9" w14:textId="77777777" w:rsidR="00B419CE" w:rsidRPr="00B419CE" w:rsidRDefault="00B419CE" w:rsidP="00B419CE">
      <w:r w:rsidRPr="00B419CE">
        <w:t xml:space="preserve">I kap. 2 i del I av denne proposisjonen er det omtalt </w:t>
      </w:r>
      <w:proofErr w:type="spellStart"/>
      <w:r w:rsidRPr="00B419CE">
        <w:t>nokre</w:t>
      </w:r>
      <w:proofErr w:type="spellEnd"/>
      <w:r w:rsidRPr="00B419CE">
        <w:t xml:space="preserve"> viktige </w:t>
      </w:r>
      <w:proofErr w:type="spellStart"/>
      <w:r w:rsidRPr="00B419CE">
        <w:t>oppgåver</w:t>
      </w:r>
      <w:proofErr w:type="spellEnd"/>
      <w:r w:rsidRPr="00B419CE">
        <w:t xml:space="preserve"> for Finansdepartementet i 2022. </w:t>
      </w:r>
      <w:proofErr w:type="spellStart"/>
      <w:r w:rsidRPr="00B419CE">
        <w:t>Dessutan</w:t>
      </w:r>
      <w:proofErr w:type="spellEnd"/>
      <w:r w:rsidRPr="00B419CE">
        <w:t xml:space="preserve"> går det fram av rapportdelen </w:t>
      </w:r>
      <w:proofErr w:type="spellStart"/>
      <w:r w:rsidRPr="00B419CE">
        <w:t>ovanfor</w:t>
      </w:r>
      <w:proofErr w:type="spellEnd"/>
      <w:r w:rsidRPr="00B419CE">
        <w:t xml:space="preserve"> at </w:t>
      </w:r>
      <w:proofErr w:type="spellStart"/>
      <w:r w:rsidRPr="00B419CE">
        <w:t>fleire</w:t>
      </w:r>
      <w:proofErr w:type="spellEnd"/>
      <w:r w:rsidRPr="00B419CE">
        <w:t xml:space="preserve"> av </w:t>
      </w:r>
      <w:proofErr w:type="spellStart"/>
      <w:r w:rsidRPr="00B419CE">
        <w:t>dei</w:t>
      </w:r>
      <w:proofErr w:type="spellEnd"/>
      <w:r w:rsidRPr="00B419CE">
        <w:t xml:space="preserve"> sakene som er omtalte der, krev oppfølging i </w:t>
      </w:r>
      <w:proofErr w:type="spellStart"/>
      <w:r w:rsidRPr="00B419CE">
        <w:t>seinare</w:t>
      </w:r>
      <w:proofErr w:type="spellEnd"/>
      <w:r w:rsidRPr="00B419CE">
        <w:t xml:space="preserve"> år.</w:t>
      </w:r>
    </w:p>
    <w:p w14:paraId="41C83C27" w14:textId="77777777" w:rsidR="00B419CE" w:rsidRPr="00B419CE" w:rsidRDefault="00B419CE" w:rsidP="00B419CE">
      <w:pPr>
        <w:pStyle w:val="avsnitt-undertittel"/>
      </w:pPr>
      <w:proofErr w:type="spellStart"/>
      <w:r w:rsidRPr="00B419CE">
        <w:t>Formuesforvalting</w:t>
      </w:r>
      <w:proofErr w:type="spellEnd"/>
    </w:p>
    <w:p w14:paraId="39B87C36" w14:textId="77777777" w:rsidR="00B419CE" w:rsidRPr="00B419CE" w:rsidRDefault="00B419CE" w:rsidP="00B419CE">
      <w:r w:rsidRPr="00B419CE">
        <w:t xml:space="preserve">Departementet sitt arbeid med Statens pensjonsfond går mellom anna ut på å utvikle den langsiktige investeringsstrategien til fondet og </w:t>
      </w:r>
      <w:proofErr w:type="spellStart"/>
      <w:r w:rsidRPr="00B419CE">
        <w:t>fastsetje</w:t>
      </w:r>
      <w:proofErr w:type="spellEnd"/>
      <w:r w:rsidRPr="00B419CE">
        <w:t xml:space="preserve"> og </w:t>
      </w:r>
      <w:proofErr w:type="spellStart"/>
      <w:r w:rsidRPr="00B419CE">
        <w:t>følgje</w:t>
      </w:r>
      <w:proofErr w:type="spellEnd"/>
      <w:r w:rsidRPr="00B419CE">
        <w:t xml:space="preserve"> opp </w:t>
      </w:r>
      <w:proofErr w:type="spellStart"/>
      <w:r w:rsidRPr="00B419CE">
        <w:t>retningsliner</w:t>
      </w:r>
      <w:proofErr w:type="spellEnd"/>
      <w:r w:rsidRPr="00B419CE">
        <w:t xml:space="preserve"> for forvaltinga, </w:t>
      </w:r>
      <w:proofErr w:type="spellStart"/>
      <w:r w:rsidRPr="00B419CE">
        <w:t>irekna</w:t>
      </w:r>
      <w:proofErr w:type="spellEnd"/>
      <w:r w:rsidRPr="00B419CE">
        <w:t xml:space="preserve"> fondet </w:t>
      </w:r>
      <w:proofErr w:type="spellStart"/>
      <w:r w:rsidRPr="00B419CE">
        <w:t>si</w:t>
      </w:r>
      <w:proofErr w:type="spellEnd"/>
      <w:r w:rsidRPr="00B419CE">
        <w:t xml:space="preserve"> rolle som </w:t>
      </w:r>
      <w:proofErr w:type="spellStart"/>
      <w:r w:rsidRPr="00B419CE">
        <w:t>ansvarleg</w:t>
      </w:r>
      <w:proofErr w:type="spellEnd"/>
      <w:r w:rsidRPr="00B419CE">
        <w:t xml:space="preserve"> investor. I tillegg til eigne </w:t>
      </w:r>
      <w:proofErr w:type="spellStart"/>
      <w:r w:rsidRPr="00B419CE">
        <w:t>ressursar</w:t>
      </w:r>
      <w:proofErr w:type="spellEnd"/>
      <w:r w:rsidRPr="00B419CE">
        <w:t xml:space="preserve"> </w:t>
      </w:r>
      <w:proofErr w:type="spellStart"/>
      <w:r w:rsidRPr="00B419CE">
        <w:t>nyttar</w:t>
      </w:r>
      <w:proofErr w:type="spellEnd"/>
      <w:r w:rsidRPr="00B419CE">
        <w:t xml:space="preserve"> departementet eksterne fagmiljø i inn- og utland.</w:t>
      </w:r>
    </w:p>
    <w:p w14:paraId="7581E780" w14:textId="77777777" w:rsidR="00B419CE" w:rsidRPr="00B419CE" w:rsidRDefault="00B419CE" w:rsidP="00B419CE">
      <w:r w:rsidRPr="00B419CE">
        <w:t xml:space="preserve">Arbeidet med å utvikle investeringsstrategien for fondet i 2022 </w:t>
      </w:r>
      <w:proofErr w:type="spellStart"/>
      <w:r w:rsidRPr="00B419CE">
        <w:t>tek</w:t>
      </w:r>
      <w:proofErr w:type="spellEnd"/>
      <w:r w:rsidRPr="00B419CE">
        <w:t xml:space="preserve"> utgangspunkt i </w:t>
      </w:r>
      <w:proofErr w:type="spellStart"/>
      <w:r w:rsidRPr="00B419CE">
        <w:t>dei</w:t>
      </w:r>
      <w:proofErr w:type="spellEnd"/>
      <w:r w:rsidRPr="00B419CE">
        <w:t xml:space="preserve"> måla som er skildra i Meld. St. 24 (2020–2021) </w:t>
      </w:r>
      <w:r w:rsidRPr="00B419CE">
        <w:rPr>
          <w:rStyle w:val="kursiv"/>
        </w:rPr>
        <w:t>Statens pensjonsfond 2021</w:t>
      </w:r>
      <w:r w:rsidRPr="00B419CE">
        <w:t xml:space="preserve">. Sjå </w:t>
      </w:r>
      <w:proofErr w:type="spellStart"/>
      <w:r w:rsidRPr="00B419CE">
        <w:t>nærare</w:t>
      </w:r>
      <w:proofErr w:type="spellEnd"/>
      <w:r w:rsidRPr="00B419CE">
        <w:t xml:space="preserve"> omtale i del I, pkt. 2.2 Statens pensjonsfond, i proposisjonen her og i Meld. St. 1 (2021–2022) </w:t>
      </w:r>
      <w:r w:rsidRPr="00B419CE">
        <w:rPr>
          <w:rStyle w:val="kursiv"/>
        </w:rPr>
        <w:t>Nasjonalbudsjettet 2022.</w:t>
      </w:r>
    </w:p>
    <w:p w14:paraId="139B0912" w14:textId="77777777" w:rsidR="00B419CE" w:rsidRPr="00B419CE" w:rsidRDefault="00B419CE" w:rsidP="00B419CE">
      <w:pPr>
        <w:pStyle w:val="avsnitt-undertittel"/>
      </w:pPr>
      <w:r w:rsidRPr="00B419CE">
        <w:t>Skatte- og avgiftsområdet</w:t>
      </w:r>
    </w:p>
    <w:p w14:paraId="3DB7BCD9" w14:textId="77777777" w:rsidR="00B419CE" w:rsidRPr="00B419CE" w:rsidRDefault="00B419CE" w:rsidP="00B419CE">
      <w:pPr>
        <w:pStyle w:val="avsnitt-under-undertittel"/>
      </w:pPr>
      <w:r w:rsidRPr="00B419CE">
        <w:t>Digital økonomi og skatt</w:t>
      </w:r>
    </w:p>
    <w:p w14:paraId="4CD4AB58" w14:textId="77777777" w:rsidR="00B419CE" w:rsidRPr="00B419CE" w:rsidRDefault="00B419CE" w:rsidP="00B419CE">
      <w:r w:rsidRPr="00B419CE">
        <w:t xml:space="preserve">Arbeidet med globale </w:t>
      </w:r>
      <w:proofErr w:type="spellStart"/>
      <w:r w:rsidRPr="00B419CE">
        <w:t>løysingar</w:t>
      </w:r>
      <w:proofErr w:type="spellEnd"/>
      <w:r w:rsidRPr="00B419CE">
        <w:t xml:space="preserve"> for </w:t>
      </w:r>
      <w:proofErr w:type="spellStart"/>
      <w:r w:rsidRPr="00B419CE">
        <w:t>meir</w:t>
      </w:r>
      <w:proofErr w:type="spellEnd"/>
      <w:r w:rsidRPr="00B419CE">
        <w:t xml:space="preserve"> effektiv og rettferdig skattlegging av </w:t>
      </w:r>
      <w:proofErr w:type="spellStart"/>
      <w:r w:rsidRPr="00B419CE">
        <w:t>fleirnasjonale</w:t>
      </w:r>
      <w:proofErr w:type="spellEnd"/>
      <w:r w:rsidRPr="00B419CE">
        <w:t xml:space="preserve"> selskap held fram i 2022. Sjå </w:t>
      </w:r>
      <w:proofErr w:type="spellStart"/>
      <w:r w:rsidRPr="00B419CE">
        <w:t>nærare</w:t>
      </w:r>
      <w:proofErr w:type="spellEnd"/>
      <w:r w:rsidRPr="00B419CE">
        <w:t xml:space="preserve"> omtale av saka under rapport for 2020. </w:t>
      </w:r>
      <w:proofErr w:type="spellStart"/>
      <w:r w:rsidRPr="00B419CE">
        <w:t>Noreg</w:t>
      </w:r>
      <w:proofErr w:type="spellEnd"/>
      <w:r w:rsidRPr="00B419CE">
        <w:t xml:space="preserve"> </w:t>
      </w:r>
      <w:proofErr w:type="spellStart"/>
      <w:r w:rsidRPr="00B419CE">
        <w:t>deltek</w:t>
      </w:r>
      <w:proofErr w:type="spellEnd"/>
      <w:r w:rsidRPr="00B419CE">
        <w:t xml:space="preserve"> i </w:t>
      </w:r>
      <w:proofErr w:type="spellStart"/>
      <w:r w:rsidRPr="00B419CE">
        <w:t>Inclusive</w:t>
      </w:r>
      <w:proofErr w:type="spellEnd"/>
      <w:r w:rsidRPr="00B419CE">
        <w:t xml:space="preserve"> Framework og i </w:t>
      </w:r>
      <w:proofErr w:type="spellStart"/>
      <w:r w:rsidRPr="00B419CE">
        <w:t>fleire</w:t>
      </w:r>
      <w:proofErr w:type="spellEnd"/>
      <w:r w:rsidRPr="00B419CE">
        <w:t xml:space="preserve"> arbeidsgrupper som greier ut ulike sider av forslaga til </w:t>
      </w:r>
      <w:proofErr w:type="spellStart"/>
      <w:r w:rsidRPr="00B419CE">
        <w:t>løysingar</w:t>
      </w:r>
      <w:proofErr w:type="spellEnd"/>
      <w:r w:rsidRPr="00B419CE">
        <w:t>.</w:t>
      </w:r>
    </w:p>
    <w:p w14:paraId="15BE38FF" w14:textId="77777777" w:rsidR="00B419CE" w:rsidRPr="00B419CE" w:rsidRDefault="00B419CE" w:rsidP="00B419CE">
      <w:pPr>
        <w:pStyle w:val="avsnitt-under-undertittel"/>
      </w:pPr>
      <w:proofErr w:type="spellStart"/>
      <w:r w:rsidRPr="00B419CE">
        <w:t>Verdsetjing</w:t>
      </w:r>
      <w:proofErr w:type="spellEnd"/>
      <w:r w:rsidRPr="00B419CE">
        <w:t xml:space="preserve"> av </w:t>
      </w:r>
      <w:proofErr w:type="spellStart"/>
      <w:r w:rsidRPr="00B419CE">
        <w:t>fritidseigedom</w:t>
      </w:r>
      <w:proofErr w:type="spellEnd"/>
    </w:p>
    <w:p w14:paraId="3D9D42F0" w14:textId="77777777" w:rsidR="00B419CE" w:rsidRPr="00B419CE" w:rsidRDefault="00B419CE" w:rsidP="00B419CE">
      <w:r w:rsidRPr="00B419CE">
        <w:t xml:space="preserve">Arbeidet med </w:t>
      </w:r>
      <w:proofErr w:type="spellStart"/>
      <w:r w:rsidRPr="00B419CE">
        <w:t>eit</w:t>
      </w:r>
      <w:proofErr w:type="spellEnd"/>
      <w:r w:rsidRPr="00B419CE">
        <w:t xml:space="preserve"> nytt </w:t>
      </w:r>
      <w:proofErr w:type="spellStart"/>
      <w:r w:rsidRPr="00B419CE">
        <w:t>verdsetjingssystem</w:t>
      </w:r>
      <w:proofErr w:type="spellEnd"/>
      <w:r w:rsidRPr="00B419CE">
        <w:t xml:space="preserve"> for </w:t>
      </w:r>
      <w:proofErr w:type="spellStart"/>
      <w:r w:rsidRPr="00B419CE">
        <w:t>fritidseigedom</w:t>
      </w:r>
      <w:proofErr w:type="spellEnd"/>
      <w:r w:rsidRPr="00B419CE">
        <w:t xml:space="preserve"> held fram i 2021 og 2022. Sjå </w:t>
      </w:r>
      <w:proofErr w:type="spellStart"/>
      <w:r w:rsidRPr="00B419CE">
        <w:t>nærare</w:t>
      </w:r>
      <w:proofErr w:type="spellEnd"/>
      <w:r w:rsidRPr="00B419CE">
        <w:t xml:space="preserve"> omtale av saka under rapport for 2020. Før </w:t>
      </w:r>
      <w:proofErr w:type="spellStart"/>
      <w:r w:rsidRPr="00B419CE">
        <w:t>eit</w:t>
      </w:r>
      <w:proofErr w:type="spellEnd"/>
      <w:r w:rsidRPr="00B419CE">
        <w:t xml:space="preserve"> nytt system eventuelt vert </w:t>
      </w:r>
      <w:proofErr w:type="spellStart"/>
      <w:r w:rsidRPr="00B419CE">
        <w:t>teke</w:t>
      </w:r>
      <w:proofErr w:type="spellEnd"/>
      <w:r w:rsidRPr="00B419CE">
        <w:t xml:space="preserve"> i bruk, vil departementet i samråd med Statistisk sentralbyrå vurdere resultatet av arbeidet </w:t>
      </w:r>
      <w:proofErr w:type="spellStart"/>
      <w:r w:rsidRPr="00B419CE">
        <w:t>nærare</w:t>
      </w:r>
      <w:proofErr w:type="spellEnd"/>
      <w:r w:rsidRPr="00B419CE">
        <w:t xml:space="preserve">. Departementet vil </w:t>
      </w:r>
      <w:proofErr w:type="spellStart"/>
      <w:r w:rsidRPr="00B419CE">
        <w:t>kome</w:t>
      </w:r>
      <w:proofErr w:type="spellEnd"/>
      <w:r w:rsidRPr="00B419CE">
        <w:t xml:space="preserve"> tilbake til Stortinget på eigna måte.</w:t>
      </w:r>
    </w:p>
    <w:p w14:paraId="551DC2C9" w14:textId="77777777" w:rsidR="00B419CE" w:rsidRPr="00B419CE" w:rsidRDefault="00B419CE" w:rsidP="00B419CE">
      <w:pPr>
        <w:pStyle w:val="avsnitt-under-undertittel"/>
      </w:pPr>
      <w:r w:rsidRPr="00B419CE">
        <w:t xml:space="preserve">Samordning av </w:t>
      </w:r>
      <w:proofErr w:type="spellStart"/>
      <w:r w:rsidRPr="00B419CE">
        <w:t>reglane</w:t>
      </w:r>
      <w:proofErr w:type="spellEnd"/>
      <w:r w:rsidRPr="00B419CE">
        <w:t xml:space="preserve"> for </w:t>
      </w:r>
      <w:proofErr w:type="spellStart"/>
      <w:r w:rsidRPr="00B419CE">
        <w:t>innkrevjing</w:t>
      </w:r>
      <w:proofErr w:type="spellEnd"/>
      <w:r w:rsidRPr="00B419CE">
        <w:t xml:space="preserve"> av </w:t>
      </w:r>
      <w:proofErr w:type="spellStart"/>
      <w:r w:rsidRPr="00B419CE">
        <w:t>offentlege</w:t>
      </w:r>
      <w:proofErr w:type="spellEnd"/>
      <w:r w:rsidRPr="00B419CE">
        <w:t xml:space="preserve"> krav</w:t>
      </w:r>
    </w:p>
    <w:p w14:paraId="71C66B70" w14:textId="77777777" w:rsidR="00B419CE" w:rsidRPr="00B419CE" w:rsidRDefault="00B419CE" w:rsidP="00B419CE">
      <w:r w:rsidRPr="00B419CE">
        <w:t xml:space="preserve">Arbeidet med å samordne og modernisere </w:t>
      </w:r>
      <w:proofErr w:type="spellStart"/>
      <w:r w:rsidRPr="00B419CE">
        <w:t>reglane</w:t>
      </w:r>
      <w:proofErr w:type="spellEnd"/>
      <w:r w:rsidRPr="00B419CE">
        <w:t xml:space="preserve"> for Skatteetatens </w:t>
      </w:r>
      <w:proofErr w:type="spellStart"/>
      <w:r w:rsidRPr="00B419CE">
        <w:t>innkrevjingsoppgåver</w:t>
      </w:r>
      <w:proofErr w:type="spellEnd"/>
      <w:r w:rsidRPr="00B419CE">
        <w:t xml:space="preserve"> held fram i 2022. Sjå òg omtale av saka under rapport for 2021. Finansdepartementet </w:t>
      </w:r>
      <w:proofErr w:type="spellStart"/>
      <w:r w:rsidRPr="00B419CE">
        <w:t>tek</w:t>
      </w:r>
      <w:proofErr w:type="spellEnd"/>
      <w:r w:rsidRPr="00B419CE">
        <w:t xml:space="preserve"> </w:t>
      </w:r>
      <w:r w:rsidRPr="00B419CE">
        <w:lastRenderedPageBreak/>
        <w:t xml:space="preserve">sikte på å sende </w:t>
      </w:r>
      <w:proofErr w:type="spellStart"/>
      <w:r w:rsidRPr="00B419CE">
        <w:t>eit</w:t>
      </w:r>
      <w:proofErr w:type="spellEnd"/>
      <w:r w:rsidRPr="00B419CE">
        <w:t xml:space="preserve"> framlegg på </w:t>
      </w:r>
      <w:proofErr w:type="spellStart"/>
      <w:r w:rsidRPr="00B419CE">
        <w:t>høyring</w:t>
      </w:r>
      <w:proofErr w:type="spellEnd"/>
      <w:r w:rsidRPr="00B419CE">
        <w:t xml:space="preserve"> i 2023. Prosjektet er </w:t>
      </w:r>
      <w:proofErr w:type="spellStart"/>
      <w:r w:rsidRPr="00B419CE">
        <w:t>ein</w:t>
      </w:r>
      <w:proofErr w:type="spellEnd"/>
      <w:r w:rsidRPr="00B419CE">
        <w:t xml:space="preserve"> </w:t>
      </w:r>
      <w:proofErr w:type="spellStart"/>
      <w:r w:rsidRPr="00B419CE">
        <w:t>naudsynt</w:t>
      </w:r>
      <w:proofErr w:type="spellEnd"/>
      <w:r w:rsidRPr="00B419CE">
        <w:t xml:space="preserve"> </w:t>
      </w:r>
      <w:proofErr w:type="spellStart"/>
      <w:r w:rsidRPr="00B419CE">
        <w:t>føresetnad</w:t>
      </w:r>
      <w:proofErr w:type="spellEnd"/>
      <w:r w:rsidRPr="00B419CE">
        <w:t xml:space="preserve"> for modernisering av heile </w:t>
      </w:r>
      <w:proofErr w:type="spellStart"/>
      <w:r w:rsidRPr="00B419CE">
        <w:t>innkrevjingsområdet</w:t>
      </w:r>
      <w:proofErr w:type="spellEnd"/>
      <w:r w:rsidRPr="00B419CE">
        <w:t xml:space="preserve"> gjennom programmet </w:t>
      </w:r>
      <w:r w:rsidRPr="00B419CE">
        <w:rPr>
          <w:rStyle w:val="kursiv"/>
        </w:rPr>
        <w:t xml:space="preserve">Framtidas </w:t>
      </w:r>
      <w:proofErr w:type="spellStart"/>
      <w:r w:rsidRPr="00B419CE">
        <w:rPr>
          <w:rStyle w:val="kursiv"/>
        </w:rPr>
        <w:t>innkrevjing</w:t>
      </w:r>
      <w:proofErr w:type="spellEnd"/>
      <w:r w:rsidRPr="00B419CE">
        <w:t xml:space="preserve">. Programmet er ei tverrsektoriell satsing som skal starte i 2022. Programmet vil </w:t>
      </w:r>
      <w:proofErr w:type="spellStart"/>
      <w:r w:rsidRPr="00B419CE">
        <w:t>leggje</w:t>
      </w:r>
      <w:proofErr w:type="spellEnd"/>
      <w:r w:rsidRPr="00B419CE">
        <w:t xml:space="preserve"> til rette for å samordne og modernisere IT-systemporteføljen, </w:t>
      </w:r>
      <w:proofErr w:type="spellStart"/>
      <w:r w:rsidRPr="00B419CE">
        <w:t>prosessane</w:t>
      </w:r>
      <w:proofErr w:type="spellEnd"/>
      <w:r w:rsidRPr="00B419CE">
        <w:t xml:space="preserve"> og regelverket på </w:t>
      </w:r>
      <w:proofErr w:type="spellStart"/>
      <w:r w:rsidRPr="00B419CE">
        <w:t>innkrevjingsområdet</w:t>
      </w:r>
      <w:proofErr w:type="spellEnd"/>
      <w:r w:rsidRPr="00B419CE">
        <w:t xml:space="preserve">. Programmet er leia av Skatteetaten. I tillegg skal Skatteetaten samarbeide med politiet, Nav, Lånekassa og </w:t>
      </w:r>
      <w:proofErr w:type="spellStart"/>
      <w:r w:rsidRPr="00B419CE">
        <w:t>Brønnøysundregistrane</w:t>
      </w:r>
      <w:proofErr w:type="spellEnd"/>
      <w:r w:rsidRPr="00B419CE">
        <w:t xml:space="preserve"> om å utvikle </w:t>
      </w:r>
      <w:proofErr w:type="spellStart"/>
      <w:r w:rsidRPr="00B419CE">
        <w:t>samanhengande</w:t>
      </w:r>
      <w:proofErr w:type="spellEnd"/>
      <w:r w:rsidRPr="00B419CE">
        <w:t xml:space="preserve"> </w:t>
      </w:r>
      <w:proofErr w:type="spellStart"/>
      <w:r w:rsidRPr="00B419CE">
        <w:t>tenester</w:t>
      </w:r>
      <w:proofErr w:type="spellEnd"/>
      <w:r w:rsidRPr="00B419CE">
        <w:t>.</w:t>
      </w:r>
    </w:p>
    <w:p w14:paraId="6414A065" w14:textId="77777777" w:rsidR="00B419CE" w:rsidRPr="00B419CE" w:rsidRDefault="00B419CE" w:rsidP="00B419CE">
      <w:pPr>
        <w:pStyle w:val="avsnitt-undertittel"/>
      </w:pPr>
      <w:proofErr w:type="spellStart"/>
      <w:r w:rsidRPr="00B419CE">
        <w:t>Finansmarknadsområdet</w:t>
      </w:r>
      <w:proofErr w:type="spellEnd"/>
    </w:p>
    <w:p w14:paraId="065A3483" w14:textId="77777777" w:rsidR="00B419CE" w:rsidRPr="00B419CE" w:rsidRDefault="00B419CE" w:rsidP="00B419CE">
      <w:r w:rsidRPr="00B419CE">
        <w:t xml:space="preserve">I 2022 vil m.a. </w:t>
      </w:r>
      <w:proofErr w:type="spellStart"/>
      <w:r w:rsidRPr="00B419CE">
        <w:t>desse</w:t>
      </w:r>
      <w:proofErr w:type="spellEnd"/>
      <w:r w:rsidRPr="00B419CE">
        <w:t xml:space="preserve"> lovsakene og </w:t>
      </w:r>
      <w:proofErr w:type="spellStart"/>
      <w:r w:rsidRPr="00B419CE">
        <w:t>utgreiingane</w:t>
      </w:r>
      <w:proofErr w:type="spellEnd"/>
      <w:r w:rsidRPr="00B419CE">
        <w:t xml:space="preserve"> </w:t>
      </w:r>
      <w:proofErr w:type="spellStart"/>
      <w:r w:rsidRPr="00B419CE">
        <w:t>krevje</w:t>
      </w:r>
      <w:proofErr w:type="spellEnd"/>
      <w:r w:rsidRPr="00B419CE">
        <w:t xml:space="preserve"> </w:t>
      </w:r>
      <w:proofErr w:type="spellStart"/>
      <w:r w:rsidRPr="00B419CE">
        <w:t>særleg</w:t>
      </w:r>
      <w:proofErr w:type="spellEnd"/>
      <w:r w:rsidRPr="00B419CE">
        <w:t xml:space="preserve"> innsats på </w:t>
      </w:r>
      <w:proofErr w:type="spellStart"/>
      <w:r w:rsidRPr="00B419CE">
        <w:t>finansmarknadsområdet</w:t>
      </w:r>
      <w:proofErr w:type="spellEnd"/>
      <w:r w:rsidRPr="00B419CE">
        <w:t>:</w:t>
      </w:r>
    </w:p>
    <w:p w14:paraId="4D9D35B1"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føresegner om gjennomføring i norsk lov og forskrift av den </w:t>
      </w:r>
      <w:proofErr w:type="spellStart"/>
      <w:r w:rsidRPr="00B419CE">
        <w:t>såkalla</w:t>
      </w:r>
      <w:proofErr w:type="spellEnd"/>
      <w:r w:rsidRPr="00B419CE">
        <w:t xml:space="preserve"> PRIIPS-forordninga. Utkastet skal sikre gjennomføring i norsk rett av venta EØS-</w:t>
      </w:r>
      <w:proofErr w:type="spellStart"/>
      <w:r w:rsidRPr="00B419CE">
        <w:t>reglar</w:t>
      </w:r>
      <w:proofErr w:type="spellEnd"/>
      <w:r w:rsidRPr="00B419CE">
        <w:t xml:space="preserve"> som svarer til Europaparlaments- og rådsforordning (EU) 1286/2014 om nøkkelinformasjonsdokument om samansette og forsikringsbaserte investeringsprodukt (PRIIPS-forordninga). PRIIPS-forordninga vart innlemma i EØS-</w:t>
      </w:r>
      <w:proofErr w:type="spellStart"/>
      <w:r w:rsidRPr="00B419CE">
        <w:t>avtala</w:t>
      </w:r>
      <w:proofErr w:type="spellEnd"/>
      <w:r w:rsidRPr="00B419CE">
        <w:t xml:space="preserve"> ved EØS-komiteens avgjerd 30. april 2020. Finansdepartementet vil </w:t>
      </w:r>
      <w:proofErr w:type="spellStart"/>
      <w:r w:rsidRPr="00B419CE">
        <w:t>følgje</w:t>
      </w:r>
      <w:proofErr w:type="spellEnd"/>
      <w:r w:rsidRPr="00B419CE">
        <w:t xml:space="preserve"> opp forslaget.</w:t>
      </w:r>
    </w:p>
    <w:p w14:paraId="2321B8AB"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gjennomføring av regelverk om kapitaldekning for verdipapirforetak. Utkastet skal sikre gjennomføring i norsk rett av forordning (EU) 2019/2033 om krav til verdipapirforetak og direktiv (EU) 2019/2034 om tilsyn med verdipapirforetak. Finansdepartementet vil </w:t>
      </w:r>
      <w:proofErr w:type="spellStart"/>
      <w:r w:rsidRPr="00B419CE">
        <w:t>følgje</w:t>
      </w:r>
      <w:proofErr w:type="spellEnd"/>
      <w:r w:rsidRPr="00B419CE">
        <w:t xml:space="preserve"> opp forslaget.</w:t>
      </w:r>
    </w:p>
    <w:p w14:paraId="5FB64B24"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gjennomføring av den </w:t>
      </w:r>
      <w:proofErr w:type="spellStart"/>
      <w:r w:rsidRPr="00B419CE">
        <w:t>såkalla</w:t>
      </w:r>
      <w:proofErr w:type="spellEnd"/>
      <w:r w:rsidRPr="00B419CE">
        <w:t xml:space="preserve"> SMB-forordninga. Utkastet skal sikre gjennomføring i norsk rett av venta EØS-</w:t>
      </w:r>
      <w:proofErr w:type="spellStart"/>
      <w:r w:rsidRPr="00B419CE">
        <w:t>reglar</w:t>
      </w:r>
      <w:proofErr w:type="spellEnd"/>
      <w:r w:rsidRPr="00B419CE">
        <w:t xml:space="preserve"> som svarer til forordning (EU) 2019/2115 om </w:t>
      </w:r>
      <w:proofErr w:type="spellStart"/>
      <w:r w:rsidRPr="00B419CE">
        <w:t>fremjinga</w:t>
      </w:r>
      <w:proofErr w:type="spellEnd"/>
      <w:r w:rsidRPr="00B419CE">
        <w:t xml:space="preserve"> av SMB-</w:t>
      </w:r>
      <w:proofErr w:type="spellStart"/>
      <w:r w:rsidRPr="00B419CE">
        <w:t>vekstmarknader</w:t>
      </w:r>
      <w:proofErr w:type="spellEnd"/>
      <w:r w:rsidRPr="00B419CE">
        <w:t xml:space="preserve">. Finansdepartementet vil </w:t>
      </w:r>
      <w:proofErr w:type="spellStart"/>
      <w:r w:rsidRPr="00B419CE">
        <w:t>følgje</w:t>
      </w:r>
      <w:proofErr w:type="spellEnd"/>
      <w:r w:rsidRPr="00B419CE">
        <w:t xml:space="preserve"> opp forslaget.</w:t>
      </w:r>
    </w:p>
    <w:p w14:paraId="6F6D87CE" w14:textId="77777777" w:rsidR="00B419CE" w:rsidRPr="00B419CE" w:rsidRDefault="00B419CE" w:rsidP="00B419CE">
      <w:r w:rsidRPr="00B419CE">
        <w:t xml:space="preserve">Finansdepartementet har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gjennomføring av rettsakter som svarer til forordning (EU) 2019/1156 og direktiv (EU) 2019/1160 om </w:t>
      </w:r>
      <w:proofErr w:type="spellStart"/>
      <w:r w:rsidRPr="00B419CE">
        <w:t>grensekryssande</w:t>
      </w:r>
      <w:proofErr w:type="spellEnd"/>
      <w:r w:rsidRPr="00B419CE">
        <w:t xml:space="preserve"> distribusjon og </w:t>
      </w:r>
      <w:proofErr w:type="spellStart"/>
      <w:r w:rsidRPr="00B419CE">
        <w:t>marknadsføring</w:t>
      </w:r>
      <w:proofErr w:type="spellEnd"/>
      <w:r w:rsidRPr="00B419CE">
        <w:t xml:space="preserve"> av fond. Finansdepartementet vil </w:t>
      </w:r>
      <w:proofErr w:type="spellStart"/>
      <w:r w:rsidRPr="00B419CE">
        <w:t>følgje</w:t>
      </w:r>
      <w:proofErr w:type="spellEnd"/>
      <w:r w:rsidRPr="00B419CE">
        <w:t xml:space="preserve"> opp forslaget.</w:t>
      </w:r>
    </w:p>
    <w:p w14:paraId="57FFE0F9"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gjennomføring av regelverk om sentrale </w:t>
      </w:r>
      <w:proofErr w:type="spellStart"/>
      <w:r w:rsidRPr="00B419CE">
        <w:t>motpartar</w:t>
      </w:r>
      <w:proofErr w:type="spellEnd"/>
      <w:r w:rsidRPr="00B419CE">
        <w:t>. Utkastet skal sikre gjennomføring i norsk rett som svarer til EØS-</w:t>
      </w:r>
      <w:proofErr w:type="spellStart"/>
      <w:r w:rsidRPr="00B419CE">
        <w:t>reglane</w:t>
      </w:r>
      <w:proofErr w:type="spellEnd"/>
      <w:r w:rsidRPr="00B419CE">
        <w:t xml:space="preserve"> i forordning (EU) 2019/2099 og venta EØS-</w:t>
      </w:r>
      <w:proofErr w:type="spellStart"/>
      <w:r w:rsidRPr="00B419CE">
        <w:t>reglar</w:t>
      </w:r>
      <w:proofErr w:type="spellEnd"/>
      <w:r w:rsidRPr="00B419CE">
        <w:t xml:space="preserve"> som svarer til forordning (EU) 1095/2010. Finansdepartementet vil </w:t>
      </w:r>
      <w:proofErr w:type="spellStart"/>
      <w:r w:rsidRPr="00B419CE">
        <w:t>følgje</w:t>
      </w:r>
      <w:proofErr w:type="spellEnd"/>
      <w:r w:rsidRPr="00B419CE">
        <w:t xml:space="preserve"> opp forslaget.</w:t>
      </w:r>
    </w:p>
    <w:p w14:paraId="0E66831B"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NOU 2016: 2 </w:t>
      </w:r>
      <w:proofErr w:type="spellStart"/>
      <w:r w:rsidRPr="00B419CE">
        <w:t>frå</w:t>
      </w:r>
      <w:proofErr w:type="spellEnd"/>
      <w:r w:rsidRPr="00B419CE">
        <w:t xml:space="preserve"> Verdipapirlovutvalget, med utkast til føresegner om gjennomføring i norsk lov av </w:t>
      </w:r>
      <w:proofErr w:type="spellStart"/>
      <w:r w:rsidRPr="00B419CE">
        <w:t>endringar</w:t>
      </w:r>
      <w:proofErr w:type="spellEnd"/>
      <w:r w:rsidRPr="00B419CE">
        <w:t xml:space="preserve"> i rapporteringsdirektivet (direktiv 2004/109/EF). Finansdepartementet vil </w:t>
      </w:r>
      <w:proofErr w:type="spellStart"/>
      <w:r w:rsidRPr="00B419CE">
        <w:t>følgje</w:t>
      </w:r>
      <w:proofErr w:type="spellEnd"/>
      <w:r w:rsidRPr="00B419CE">
        <w:t xml:space="preserve"> opp </w:t>
      </w:r>
      <w:proofErr w:type="spellStart"/>
      <w:r w:rsidRPr="00B419CE">
        <w:t>uteståande</w:t>
      </w:r>
      <w:proofErr w:type="spellEnd"/>
      <w:r w:rsidRPr="00B419CE">
        <w:t xml:space="preserve"> </w:t>
      </w:r>
      <w:proofErr w:type="spellStart"/>
      <w:r w:rsidRPr="00B419CE">
        <w:t>delar</w:t>
      </w:r>
      <w:proofErr w:type="spellEnd"/>
      <w:r w:rsidRPr="00B419CE">
        <w:t xml:space="preserve"> av forslaget i lys av </w:t>
      </w:r>
      <w:proofErr w:type="spellStart"/>
      <w:r w:rsidRPr="00B419CE">
        <w:t>høyringsfråsegnene</w:t>
      </w:r>
      <w:proofErr w:type="spellEnd"/>
      <w:r w:rsidRPr="00B419CE">
        <w:t>.</w:t>
      </w:r>
    </w:p>
    <w:p w14:paraId="0DC063B3" w14:textId="77777777" w:rsidR="00B419CE" w:rsidRPr="00B419CE" w:rsidRDefault="00B419CE" w:rsidP="00B419CE">
      <w:r w:rsidRPr="00B419CE">
        <w:lastRenderedPageBreak/>
        <w:t xml:space="preserve">Finansdepartementet har hatt på </w:t>
      </w:r>
      <w:proofErr w:type="spellStart"/>
      <w:r w:rsidRPr="00B419CE">
        <w:t>høyring</w:t>
      </w:r>
      <w:proofErr w:type="spellEnd"/>
      <w:r w:rsidRPr="00B419CE">
        <w:t xml:space="preserve"> NOU 2019: 1 </w:t>
      </w:r>
      <w:r w:rsidRPr="00B419CE">
        <w:rPr>
          <w:rStyle w:val="kursiv"/>
        </w:rPr>
        <w:t>Overtakelsestilbud – frivillig og pliktig tilbud</w:t>
      </w:r>
      <w:r w:rsidRPr="00B419CE">
        <w:t xml:space="preserve"> </w:t>
      </w:r>
      <w:proofErr w:type="spellStart"/>
      <w:r w:rsidRPr="00B419CE">
        <w:t>frå</w:t>
      </w:r>
      <w:proofErr w:type="spellEnd"/>
      <w:r w:rsidRPr="00B419CE">
        <w:t xml:space="preserve"> Verdipapirlovutvalget. Utgreiinga </w:t>
      </w:r>
      <w:proofErr w:type="spellStart"/>
      <w:r w:rsidRPr="00B419CE">
        <w:t>inneheld</w:t>
      </w:r>
      <w:proofErr w:type="spellEnd"/>
      <w:r w:rsidRPr="00B419CE">
        <w:t xml:space="preserve"> forslag til revisjon av føresegna om </w:t>
      </w:r>
      <w:proofErr w:type="spellStart"/>
      <w:r w:rsidRPr="00B419CE">
        <w:t>overtakingstilbod</w:t>
      </w:r>
      <w:proofErr w:type="spellEnd"/>
      <w:r w:rsidRPr="00B419CE">
        <w:t xml:space="preserve"> i verdipapirhandelloven kapittel 6 med </w:t>
      </w:r>
      <w:proofErr w:type="spellStart"/>
      <w:r w:rsidRPr="00B419CE">
        <w:t>tilhøyrande</w:t>
      </w:r>
      <w:proofErr w:type="spellEnd"/>
      <w:r w:rsidRPr="00B419CE">
        <w:t xml:space="preserve"> forskrifter. Finansdepartementet vil vurdere forslaga </w:t>
      </w:r>
      <w:proofErr w:type="spellStart"/>
      <w:r w:rsidRPr="00B419CE">
        <w:t>frå</w:t>
      </w:r>
      <w:proofErr w:type="spellEnd"/>
      <w:r w:rsidRPr="00B419CE">
        <w:t xml:space="preserve"> </w:t>
      </w:r>
      <w:proofErr w:type="spellStart"/>
      <w:r w:rsidRPr="00B419CE">
        <w:t>utvalet</w:t>
      </w:r>
      <w:proofErr w:type="spellEnd"/>
      <w:r w:rsidRPr="00B419CE">
        <w:t xml:space="preserve"> i lys av </w:t>
      </w:r>
      <w:proofErr w:type="spellStart"/>
      <w:r w:rsidRPr="00B419CE">
        <w:t>høyringsfråsegnene</w:t>
      </w:r>
      <w:proofErr w:type="spellEnd"/>
      <w:r w:rsidRPr="00B419CE">
        <w:t>.</w:t>
      </w:r>
    </w:p>
    <w:p w14:paraId="28BD890B"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NOU 2018: 9 </w:t>
      </w:r>
      <w:proofErr w:type="spellStart"/>
      <w:r w:rsidRPr="00B419CE">
        <w:t>frå</w:t>
      </w:r>
      <w:proofErr w:type="spellEnd"/>
      <w:r w:rsidRPr="00B419CE">
        <w:t xml:space="preserve"> Revisor- og regnskapsførerlovutvalget, med utkast til ny lov om </w:t>
      </w:r>
      <w:proofErr w:type="spellStart"/>
      <w:r w:rsidRPr="00B419CE">
        <w:t>rekneskapsførarar</w:t>
      </w:r>
      <w:proofErr w:type="spellEnd"/>
      <w:r w:rsidRPr="00B419CE">
        <w:t xml:space="preserve">. Finansdepartementet vil </w:t>
      </w:r>
      <w:proofErr w:type="spellStart"/>
      <w:r w:rsidRPr="00B419CE">
        <w:t>følgje</w:t>
      </w:r>
      <w:proofErr w:type="spellEnd"/>
      <w:r w:rsidRPr="00B419CE">
        <w:t xml:space="preserve"> opp forslaget.</w:t>
      </w:r>
    </w:p>
    <w:p w14:paraId="0A3F3B9F"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føresegner om gjennomføring i norsk lov og forskrift av det </w:t>
      </w:r>
      <w:proofErr w:type="spellStart"/>
      <w:r w:rsidRPr="00B419CE">
        <w:t>såkalla</w:t>
      </w:r>
      <w:proofErr w:type="spellEnd"/>
      <w:r w:rsidRPr="00B419CE">
        <w:t xml:space="preserve"> IORP II-direktivet. Utkastet skal sikre gjennomføring i norsk rett av venta EØS-</w:t>
      </w:r>
      <w:proofErr w:type="spellStart"/>
      <w:r w:rsidRPr="00B419CE">
        <w:t>reglar</w:t>
      </w:r>
      <w:proofErr w:type="spellEnd"/>
      <w:r w:rsidRPr="00B419CE">
        <w:t xml:space="preserve"> som svarer til direktiv (EU) 2016/2341 om </w:t>
      </w:r>
      <w:proofErr w:type="spellStart"/>
      <w:r w:rsidRPr="00B419CE">
        <w:t>verksemda</w:t>
      </w:r>
      <w:proofErr w:type="spellEnd"/>
      <w:r w:rsidRPr="00B419CE">
        <w:t xml:space="preserve"> til og tilsynet med </w:t>
      </w:r>
      <w:proofErr w:type="spellStart"/>
      <w:r w:rsidRPr="00B419CE">
        <w:t>tenestepensjonsføretak</w:t>
      </w:r>
      <w:proofErr w:type="spellEnd"/>
      <w:r w:rsidRPr="00B419CE">
        <w:t xml:space="preserve"> (IORP II). Finansdepartementet vil </w:t>
      </w:r>
      <w:proofErr w:type="spellStart"/>
      <w:r w:rsidRPr="00B419CE">
        <w:t>følgje</w:t>
      </w:r>
      <w:proofErr w:type="spellEnd"/>
      <w:r w:rsidRPr="00B419CE">
        <w:t xml:space="preserve"> opp forslaget.</w:t>
      </w:r>
    </w:p>
    <w:p w14:paraId="36DF0752"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med utkast til føresegner om gjennomfører </w:t>
      </w:r>
      <w:proofErr w:type="spellStart"/>
      <w:r w:rsidRPr="00B419CE">
        <w:t>dei</w:t>
      </w:r>
      <w:proofErr w:type="spellEnd"/>
      <w:r w:rsidRPr="00B419CE">
        <w:t xml:space="preserve"> </w:t>
      </w:r>
      <w:proofErr w:type="spellStart"/>
      <w:r w:rsidRPr="00B419CE">
        <w:t>offentlegrettslege</w:t>
      </w:r>
      <w:proofErr w:type="spellEnd"/>
      <w:r w:rsidRPr="00B419CE">
        <w:t xml:space="preserve"> </w:t>
      </w:r>
      <w:proofErr w:type="spellStart"/>
      <w:r w:rsidRPr="00B419CE">
        <w:t>delane</w:t>
      </w:r>
      <w:proofErr w:type="spellEnd"/>
      <w:r w:rsidRPr="00B419CE">
        <w:t xml:space="preserve"> av direktivet om bustadlån (direktiv 2014/17/EU) i norsk lov og forskrift. Finansdepartementet vil </w:t>
      </w:r>
      <w:proofErr w:type="spellStart"/>
      <w:r w:rsidRPr="00B419CE">
        <w:t>følgje</w:t>
      </w:r>
      <w:proofErr w:type="spellEnd"/>
      <w:r w:rsidRPr="00B419CE">
        <w:t xml:space="preserve"> opp forslaget.</w:t>
      </w:r>
    </w:p>
    <w:p w14:paraId="2528B659" w14:textId="77777777" w:rsidR="00B419CE" w:rsidRPr="00B419CE" w:rsidRDefault="00B419CE" w:rsidP="00B419CE">
      <w:r w:rsidRPr="00B419CE">
        <w:t xml:space="preserve">Regjeringa sette 11. oktober 2019 ned </w:t>
      </w:r>
      <w:proofErr w:type="spellStart"/>
      <w:r w:rsidRPr="00B419CE">
        <w:t>eit</w:t>
      </w:r>
      <w:proofErr w:type="spellEnd"/>
      <w:r w:rsidRPr="00B419CE">
        <w:t xml:space="preserve"> </w:t>
      </w:r>
      <w:proofErr w:type="spellStart"/>
      <w:r w:rsidRPr="00B419CE">
        <w:t>offentleg</w:t>
      </w:r>
      <w:proofErr w:type="spellEnd"/>
      <w:r w:rsidRPr="00B419CE">
        <w:t xml:space="preserve"> </w:t>
      </w:r>
      <w:proofErr w:type="spellStart"/>
      <w:r w:rsidRPr="00B419CE">
        <w:t>utval</w:t>
      </w:r>
      <w:proofErr w:type="spellEnd"/>
      <w:r w:rsidRPr="00B419CE">
        <w:t xml:space="preserve"> som skal evaluere </w:t>
      </w:r>
      <w:proofErr w:type="spellStart"/>
      <w:r w:rsidRPr="00B419CE">
        <w:t>eigedomsmeklingslova</w:t>
      </w:r>
      <w:proofErr w:type="spellEnd"/>
      <w:r w:rsidRPr="00B419CE">
        <w:t xml:space="preserve"> og </w:t>
      </w:r>
      <w:proofErr w:type="spellStart"/>
      <w:r w:rsidRPr="00B419CE">
        <w:t>føreslå</w:t>
      </w:r>
      <w:proofErr w:type="spellEnd"/>
      <w:r w:rsidRPr="00B419CE">
        <w:t xml:space="preserve"> ei framtidsretta regulering (</w:t>
      </w:r>
      <w:proofErr w:type="spellStart"/>
      <w:r w:rsidRPr="00B419CE">
        <w:t>eigedomsmeklingsutvalet</w:t>
      </w:r>
      <w:proofErr w:type="spellEnd"/>
      <w:r w:rsidRPr="00B419CE">
        <w:t xml:space="preserve">). </w:t>
      </w:r>
      <w:proofErr w:type="spellStart"/>
      <w:r w:rsidRPr="00B419CE">
        <w:t>Utvalet</w:t>
      </w:r>
      <w:proofErr w:type="spellEnd"/>
      <w:r w:rsidRPr="00B419CE">
        <w:t xml:space="preserve"> leverte </w:t>
      </w:r>
      <w:proofErr w:type="spellStart"/>
      <w:r w:rsidRPr="00B419CE">
        <w:t>si</w:t>
      </w:r>
      <w:proofErr w:type="spellEnd"/>
      <w:r w:rsidRPr="00B419CE">
        <w:t xml:space="preserve"> innstilling, NOU 2021: 7 </w:t>
      </w:r>
      <w:r w:rsidRPr="00B419CE">
        <w:rPr>
          <w:rStyle w:val="kursiv"/>
        </w:rPr>
        <w:t>Trygg og enkel eiendomsmegling – Evaluering av eiendomsmeglingsloven og forslag til en fremtidsrettet regulering</w:t>
      </w:r>
      <w:r w:rsidRPr="00B419CE">
        <w:t xml:space="preserve"> 4. juni 2021. Utgreiinga har </w:t>
      </w:r>
      <w:proofErr w:type="spellStart"/>
      <w:r w:rsidRPr="00B419CE">
        <w:t>vore</w:t>
      </w:r>
      <w:proofErr w:type="spellEnd"/>
      <w:r w:rsidRPr="00B419CE">
        <w:t xml:space="preserve"> på </w:t>
      </w:r>
      <w:proofErr w:type="spellStart"/>
      <w:r w:rsidRPr="00B419CE">
        <w:t>høyring</w:t>
      </w:r>
      <w:proofErr w:type="spellEnd"/>
      <w:r w:rsidRPr="00B419CE">
        <w:t xml:space="preserve">, og Finansdepartementet vil vurdere forslaga </w:t>
      </w:r>
      <w:proofErr w:type="spellStart"/>
      <w:r w:rsidRPr="00B419CE">
        <w:t>frå</w:t>
      </w:r>
      <w:proofErr w:type="spellEnd"/>
      <w:r w:rsidRPr="00B419CE">
        <w:t xml:space="preserve"> </w:t>
      </w:r>
      <w:proofErr w:type="spellStart"/>
      <w:r w:rsidRPr="00B419CE">
        <w:t>utvalet</w:t>
      </w:r>
      <w:proofErr w:type="spellEnd"/>
      <w:r w:rsidRPr="00B419CE">
        <w:t>.</w:t>
      </w:r>
    </w:p>
    <w:p w14:paraId="25E83AD7" w14:textId="77777777" w:rsidR="00B419CE" w:rsidRPr="00B419CE" w:rsidRDefault="00B419CE" w:rsidP="00B419CE">
      <w:r w:rsidRPr="00B419CE">
        <w:t xml:space="preserve">Med frist 1. oktober 2021 har Finansdepartementet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føresegner om gjennomføring i norsk lov og forskrift av direktiv 2021/338. Direktivet er </w:t>
      </w:r>
      <w:proofErr w:type="spellStart"/>
      <w:r w:rsidRPr="00B419CE">
        <w:t>ein</w:t>
      </w:r>
      <w:proofErr w:type="spellEnd"/>
      <w:r w:rsidRPr="00B419CE">
        <w:t xml:space="preserve"> del av EUs </w:t>
      </w:r>
      <w:r w:rsidRPr="00B419CE">
        <w:rPr>
          <w:rStyle w:val="kursiv"/>
        </w:rPr>
        <w:t xml:space="preserve">Capital Market </w:t>
      </w:r>
      <w:proofErr w:type="spellStart"/>
      <w:r w:rsidRPr="00B419CE">
        <w:rPr>
          <w:rStyle w:val="kursiv"/>
        </w:rPr>
        <w:t>Recovery</w:t>
      </w:r>
      <w:proofErr w:type="spellEnd"/>
      <w:r w:rsidRPr="00B419CE">
        <w:rPr>
          <w:rStyle w:val="kursiv"/>
        </w:rPr>
        <w:t xml:space="preserve"> </w:t>
      </w:r>
      <w:proofErr w:type="spellStart"/>
      <w:r w:rsidRPr="00B419CE">
        <w:rPr>
          <w:rStyle w:val="kursiv"/>
        </w:rPr>
        <w:t>Package</w:t>
      </w:r>
      <w:proofErr w:type="spellEnd"/>
      <w:r w:rsidRPr="00B419CE">
        <w:t xml:space="preserve"> og </w:t>
      </w:r>
      <w:proofErr w:type="spellStart"/>
      <w:r w:rsidRPr="00B419CE">
        <w:t>gjer</w:t>
      </w:r>
      <w:proofErr w:type="spellEnd"/>
      <w:r w:rsidRPr="00B419CE">
        <w:t xml:space="preserve"> </w:t>
      </w:r>
      <w:proofErr w:type="spellStart"/>
      <w:r w:rsidRPr="00B419CE">
        <w:t>endringar</w:t>
      </w:r>
      <w:proofErr w:type="spellEnd"/>
      <w:r w:rsidRPr="00B419CE">
        <w:t xml:space="preserve"> </w:t>
      </w:r>
      <w:proofErr w:type="gramStart"/>
      <w:r w:rsidRPr="00B419CE">
        <w:t>i mellom</w:t>
      </w:r>
      <w:proofErr w:type="gramEnd"/>
      <w:r w:rsidRPr="00B419CE">
        <w:t xml:space="preserve"> anna direktiv 2014/65/EU (</w:t>
      </w:r>
      <w:proofErr w:type="spellStart"/>
      <w:r w:rsidRPr="00B419CE">
        <w:t>MiFID</w:t>
      </w:r>
      <w:proofErr w:type="spellEnd"/>
      <w:r w:rsidRPr="00B419CE">
        <w:t xml:space="preserve"> II). Utkastet skal sikre gjennomføring i norsk rett av venta EØS-</w:t>
      </w:r>
      <w:proofErr w:type="spellStart"/>
      <w:r w:rsidRPr="00B419CE">
        <w:t>reglar</w:t>
      </w:r>
      <w:proofErr w:type="spellEnd"/>
      <w:r w:rsidRPr="00B419CE">
        <w:t xml:space="preserve"> som svarer til direktivet. Finansdepartementet vil </w:t>
      </w:r>
      <w:proofErr w:type="spellStart"/>
      <w:r w:rsidRPr="00B419CE">
        <w:t>følgje</w:t>
      </w:r>
      <w:proofErr w:type="spellEnd"/>
      <w:r w:rsidRPr="00B419CE">
        <w:t xml:space="preserve"> opp forslaget i lys av </w:t>
      </w:r>
      <w:proofErr w:type="spellStart"/>
      <w:r w:rsidRPr="00B419CE">
        <w:t>høyringsfråsegnene</w:t>
      </w:r>
      <w:proofErr w:type="spellEnd"/>
      <w:r w:rsidRPr="00B419CE">
        <w:t>.</w:t>
      </w:r>
    </w:p>
    <w:p w14:paraId="59262105"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NOU 2021: 1 </w:t>
      </w:r>
      <w:proofErr w:type="spellStart"/>
      <w:r w:rsidRPr="00B419CE">
        <w:t>frå</w:t>
      </w:r>
      <w:proofErr w:type="spellEnd"/>
      <w:r w:rsidRPr="00B419CE">
        <w:t xml:space="preserve"> Verdipapirlovutvalget, med utkast til </w:t>
      </w:r>
      <w:proofErr w:type="spellStart"/>
      <w:r w:rsidRPr="00B419CE">
        <w:t>endringar</w:t>
      </w:r>
      <w:proofErr w:type="spellEnd"/>
      <w:r w:rsidRPr="00B419CE">
        <w:t xml:space="preserve"> i føresegna i verdipapirhandelloven om </w:t>
      </w:r>
      <w:proofErr w:type="spellStart"/>
      <w:r w:rsidRPr="00B419CE">
        <w:t>tilsynsmyndigheit</w:t>
      </w:r>
      <w:proofErr w:type="spellEnd"/>
      <w:r w:rsidRPr="00B419CE">
        <w:t xml:space="preserve">, sanksjonskompetanse og klageordning. </w:t>
      </w:r>
      <w:proofErr w:type="spellStart"/>
      <w:r w:rsidRPr="00B419CE">
        <w:t>Utvalet</w:t>
      </w:r>
      <w:proofErr w:type="spellEnd"/>
      <w:r w:rsidRPr="00B419CE">
        <w:t xml:space="preserve"> foreslår mellom anna at </w:t>
      </w:r>
      <w:proofErr w:type="spellStart"/>
      <w:r w:rsidRPr="00B419CE">
        <w:t>marknadsoperatørane</w:t>
      </w:r>
      <w:proofErr w:type="spellEnd"/>
      <w:r w:rsidRPr="00B419CE">
        <w:t xml:space="preserve"> </w:t>
      </w:r>
      <w:proofErr w:type="spellStart"/>
      <w:r w:rsidRPr="00B419CE">
        <w:t>ikkje</w:t>
      </w:r>
      <w:proofErr w:type="spellEnd"/>
      <w:r w:rsidRPr="00B419CE">
        <w:t xml:space="preserve"> lenger skal utføre </w:t>
      </w:r>
      <w:proofErr w:type="spellStart"/>
      <w:r w:rsidRPr="00B419CE">
        <w:t>myndigheitsoppgåver</w:t>
      </w:r>
      <w:proofErr w:type="spellEnd"/>
      <w:r w:rsidRPr="00B419CE">
        <w:t xml:space="preserve">. Finansdepartementet vil vurdere forslaga </w:t>
      </w:r>
      <w:proofErr w:type="spellStart"/>
      <w:r w:rsidRPr="00B419CE">
        <w:t>frå</w:t>
      </w:r>
      <w:proofErr w:type="spellEnd"/>
      <w:r w:rsidRPr="00B419CE">
        <w:t xml:space="preserve"> </w:t>
      </w:r>
      <w:proofErr w:type="spellStart"/>
      <w:r w:rsidRPr="00B419CE">
        <w:t>utvalet</w:t>
      </w:r>
      <w:proofErr w:type="spellEnd"/>
      <w:r w:rsidRPr="00B419CE">
        <w:t xml:space="preserve"> i lys av </w:t>
      </w:r>
      <w:proofErr w:type="spellStart"/>
      <w:r w:rsidRPr="00B419CE">
        <w:t>høyringsfråsegnene</w:t>
      </w:r>
      <w:proofErr w:type="spellEnd"/>
      <w:r w:rsidRPr="00B419CE">
        <w:t>.</w:t>
      </w:r>
    </w:p>
    <w:p w14:paraId="26CDB1A2"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høyringsnotat</w:t>
      </w:r>
      <w:proofErr w:type="spellEnd"/>
      <w:r w:rsidRPr="00B419CE">
        <w:t xml:space="preserve">, utarbeidd av Finanstilsynet, med utkast til føresegner om </w:t>
      </w:r>
      <w:proofErr w:type="spellStart"/>
      <w:r w:rsidRPr="00B419CE">
        <w:t>endringar</w:t>
      </w:r>
      <w:proofErr w:type="spellEnd"/>
      <w:r w:rsidRPr="00B419CE">
        <w:t xml:space="preserve"> av kvitvaskingslova. </w:t>
      </w:r>
      <w:proofErr w:type="spellStart"/>
      <w:r w:rsidRPr="00B419CE">
        <w:t>Desse</w:t>
      </w:r>
      <w:proofErr w:type="spellEnd"/>
      <w:r w:rsidRPr="00B419CE">
        <w:t xml:space="preserve"> </w:t>
      </w:r>
      <w:proofErr w:type="spellStart"/>
      <w:r w:rsidRPr="00B419CE">
        <w:t>endringane</w:t>
      </w:r>
      <w:proofErr w:type="spellEnd"/>
      <w:r w:rsidRPr="00B419CE">
        <w:t xml:space="preserve"> gjeld foreldingsfristen for å vedta </w:t>
      </w:r>
      <w:proofErr w:type="spellStart"/>
      <w:r w:rsidRPr="00B419CE">
        <w:t>lovbrotsgebyr</w:t>
      </w:r>
      <w:proofErr w:type="spellEnd"/>
      <w:r w:rsidRPr="00B419CE">
        <w:t xml:space="preserve"> samt utviding av verkeområdet til lova til å gjelde </w:t>
      </w:r>
      <w:proofErr w:type="spellStart"/>
      <w:r w:rsidRPr="00B419CE">
        <w:t>samvirkeføretak</w:t>
      </w:r>
      <w:proofErr w:type="spellEnd"/>
      <w:r w:rsidRPr="00B419CE">
        <w:t xml:space="preserve"> Finansdepartementet vil vurdere å </w:t>
      </w:r>
      <w:proofErr w:type="spellStart"/>
      <w:r w:rsidRPr="00B419CE">
        <w:t>følgje</w:t>
      </w:r>
      <w:proofErr w:type="spellEnd"/>
      <w:r w:rsidRPr="00B419CE">
        <w:t xml:space="preserve"> opp forslaga i lys av </w:t>
      </w:r>
      <w:proofErr w:type="spellStart"/>
      <w:r w:rsidRPr="00B419CE">
        <w:t>høyringsfråsegna</w:t>
      </w:r>
      <w:proofErr w:type="spellEnd"/>
      <w:r w:rsidRPr="00B419CE">
        <w:t>.</w:t>
      </w:r>
    </w:p>
    <w:p w14:paraId="3C244E25" w14:textId="77777777" w:rsidR="00B419CE" w:rsidRPr="00B419CE" w:rsidRDefault="00B419CE" w:rsidP="00B419CE">
      <w:r w:rsidRPr="00B419CE">
        <w:t xml:space="preserve">Finansdepartementet vil utgreie og høyre </w:t>
      </w:r>
      <w:proofErr w:type="spellStart"/>
      <w:r w:rsidRPr="00B419CE">
        <w:t>naudsynte</w:t>
      </w:r>
      <w:proofErr w:type="spellEnd"/>
      <w:r w:rsidRPr="00B419CE">
        <w:t xml:space="preserve"> </w:t>
      </w:r>
      <w:proofErr w:type="spellStart"/>
      <w:r w:rsidRPr="00B419CE">
        <w:t>endringar</w:t>
      </w:r>
      <w:proofErr w:type="spellEnd"/>
      <w:r w:rsidRPr="00B419CE">
        <w:t xml:space="preserve"> i kvitvaskingslova om forskjellige </w:t>
      </w:r>
      <w:proofErr w:type="spellStart"/>
      <w:r w:rsidRPr="00B419CE">
        <w:t>forhandlarar</w:t>
      </w:r>
      <w:proofErr w:type="spellEnd"/>
      <w:r w:rsidRPr="00B419CE">
        <w:t xml:space="preserve"> av </w:t>
      </w:r>
      <w:proofErr w:type="spellStart"/>
      <w:r w:rsidRPr="00B419CE">
        <w:t>kunstgjenstandar</w:t>
      </w:r>
      <w:proofErr w:type="spellEnd"/>
      <w:r w:rsidRPr="00B419CE">
        <w:t>, til gjennomføring av EUs femte kvitvaskingsdirektiv.</w:t>
      </w:r>
    </w:p>
    <w:p w14:paraId="57D6C76B" w14:textId="77777777" w:rsidR="00B419CE" w:rsidRPr="00B419CE" w:rsidRDefault="00B419CE" w:rsidP="00B419CE">
      <w:r w:rsidRPr="00B419CE">
        <w:lastRenderedPageBreak/>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w:t>
      </w:r>
      <w:proofErr w:type="spellStart"/>
      <w:r w:rsidRPr="00B419CE">
        <w:t>reglar</w:t>
      </w:r>
      <w:proofErr w:type="spellEnd"/>
      <w:r w:rsidRPr="00B419CE">
        <w:t xml:space="preserve"> for </w:t>
      </w:r>
      <w:proofErr w:type="spellStart"/>
      <w:r w:rsidRPr="00B419CE">
        <w:t>obligasjonar</w:t>
      </w:r>
      <w:proofErr w:type="spellEnd"/>
      <w:r w:rsidRPr="00B419CE">
        <w:t xml:space="preserve"> med </w:t>
      </w:r>
      <w:proofErr w:type="spellStart"/>
      <w:r w:rsidRPr="00B419CE">
        <w:t>førerett</w:t>
      </w:r>
      <w:proofErr w:type="spellEnd"/>
      <w:r w:rsidRPr="00B419CE">
        <w:t xml:space="preserve"> (OMF) som </w:t>
      </w:r>
      <w:proofErr w:type="spellStart"/>
      <w:r w:rsidRPr="00B419CE">
        <w:t>svarar</w:t>
      </w:r>
      <w:proofErr w:type="spellEnd"/>
      <w:r w:rsidRPr="00B419CE">
        <w:t xml:space="preserve"> til </w:t>
      </w:r>
      <w:proofErr w:type="spellStart"/>
      <w:r w:rsidRPr="00B419CE">
        <w:rPr>
          <w:rStyle w:val="kursiv"/>
        </w:rPr>
        <w:t>covered</w:t>
      </w:r>
      <w:proofErr w:type="spellEnd"/>
      <w:r w:rsidRPr="00B419CE">
        <w:rPr>
          <w:rStyle w:val="kursiv"/>
        </w:rPr>
        <w:t xml:space="preserve"> </w:t>
      </w:r>
      <w:proofErr w:type="spellStart"/>
      <w:r w:rsidRPr="00B419CE">
        <w:rPr>
          <w:rStyle w:val="kursiv"/>
        </w:rPr>
        <w:t>bonds</w:t>
      </w:r>
      <w:proofErr w:type="spellEnd"/>
      <w:r w:rsidRPr="00B419CE">
        <w:t xml:space="preserve">-direktivet (EU) 2019/2162 og forordning (EU) 2019/2150 om </w:t>
      </w:r>
      <w:proofErr w:type="spellStart"/>
      <w:r w:rsidRPr="00B419CE">
        <w:t>endringar</w:t>
      </w:r>
      <w:proofErr w:type="spellEnd"/>
      <w:r w:rsidRPr="00B419CE">
        <w:t xml:space="preserve"> i </w:t>
      </w:r>
      <w:proofErr w:type="spellStart"/>
      <w:r w:rsidRPr="00B419CE">
        <w:t>kapitalkravsforordningen</w:t>
      </w:r>
      <w:proofErr w:type="spellEnd"/>
      <w:r w:rsidRPr="00B419CE">
        <w:t xml:space="preserve"> (CRR). Finansdepartementet vil </w:t>
      </w:r>
      <w:proofErr w:type="spellStart"/>
      <w:r w:rsidRPr="00B419CE">
        <w:t>følgje</w:t>
      </w:r>
      <w:proofErr w:type="spellEnd"/>
      <w:r w:rsidRPr="00B419CE">
        <w:t xml:space="preserve"> opp forslaget.</w:t>
      </w:r>
    </w:p>
    <w:p w14:paraId="65AD35E0" w14:textId="77777777" w:rsidR="00B419CE" w:rsidRPr="00B419CE" w:rsidRDefault="00B419CE" w:rsidP="00B419CE">
      <w:r w:rsidRPr="00B419CE">
        <w:t xml:space="preserve">Finansdepartementet vil vurdere om det bør </w:t>
      </w:r>
      <w:proofErr w:type="spellStart"/>
      <w:r w:rsidRPr="00B419CE">
        <w:t>gjerast</w:t>
      </w:r>
      <w:proofErr w:type="spellEnd"/>
      <w:r w:rsidRPr="00B419CE">
        <w:t xml:space="preserve"> </w:t>
      </w:r>
      <w:proofErr w:type="spellStart"/>
      <w:r w:rsidRPr="00B419CE">
        <w:t>ytterlegare</w:t>
      </w:r>
      <w:proofErr w:type="spellEnd"/>
      <w:r w:rsidRPr="00B419CE">
        <w:t xml:space="preserve"> </w:t>
      </w:r>
      <w:proofErr w:type="spellStart"/>
      <w:r w:rsidRPr="00B419CE">
        <w:t>endringar</w:t>
      </w:r>
      <w:proofErr w:type="spellEnd"/>
      <w:r w:rsidRPr="00B419CE">
        <w:t xml:space="preserve"> i regelverket for </w:t>
      </w:r>
      <w:proofErr w:type="spellStart"/>
      <w:r w:rsidRPr="00B419CE">
        <w:t>såkalla</w:t>
      </w:r>
      <w:proofErr w:type="spellEnd"/>
      <w:r w:rsidRPr="00B419CE">
        <w:t xml:space="preserve"> garanterte pensjonsprodukt (ytingsbaserte </w:t>
      </w:r>
      <w:proofErr w:type="spellStart"/>
      <w:r w:rsidRPr="00B419CE">
        <w:t>tenestepensjonsordningar</w:t>
      </w:r>
      <w:proofErr w:type="spellEnd"/>
      <w:r w:rsidRPr="00B419CE">
        <w:t xml:space="preserve"> og </w:t>
      </w:r>
      <w:proofErr w:type="spellStart"/>
      <w:r w:rsidRPr="00B419CE">
        <w:t>fripolisar</w:t>
      </w:r>
      <w:proofErr w:type="spellEnd"/>
      <w:r w:rsidRPr="00B419CE">
        <w:t xml:space="preserve">), mellom anna for å </w:t>
      </w:r>
      <w:proofErr w:type="spellStart"/>
      <w:r w:rsidRPr="00B419CE">
        <w:t>leggje</w:t>
      </w:r>
      <w:proofErr w:type="spellEnd"/>
      <w:r w:rsidRPr="00B419CE">
        <w:t xml:space="preserve"> til rette for betre konkurranse i </w:t>
      </w:r>
      <w:proofErr w:type="spellStart"/>
      <w:r w:rsidRPr="00B419CE">
        <w:t>marknaden</w:t>
      </w:r>
      <w:proofErr w:type="spellEnd"/>
      <w:r w:rsidRPr="00B419CE">
        <w:t xml:space="preserve"> for kommunale </w:t>
      </w:r>
      <w:proofErr w:type="spellStart"/>
      <w:r w:rsidRPr="00B419CE">
        <w:t>tenestepensjonsordningar</w:t>
      </w:r>
      <w:proofErr w:type="spellEnd"/>
      <w:r w:rsidRPr="00B419CE">
        <w:t>.</w:t>
      </w:r>
    </w:p>
    <w:p w14:paraId="40F8C2B1"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med utkast til </w:t>
      </w:r>
      <w:proofErr w:type="spellStart"/>
      <w:r w:rsidRPr="00B419CE">
        <w:t>einskilde</w:t>
      </w:r>
      <w:proofErr w:type="spellEnd"/>
      <w:r w:rsidRPr="00B419CE">
        <w:t xml:space="preserve"> </w:t>
      </w:r>
      <w:proofErr w:type="spellStart"/>
      <w:r w:rsidRPr="00B419CE">
        <w:t>endringar</w:t>
      </w:r>
      <w:proofErr w:type="spellEnd"/>
      <w:r w:rsidRPr="00B419CE">
        <w:t xml:space="preserve"> i </w:t>
      </w:r>
      <w:proofErr w:type="spellStart"/>
      <w:r w:rsidRPr="00B419CE">
        <w:t>lovreglane</w:t>
      </w:r>
      <w:proofErr w:type="spellEnd"/>
      <w:r w:rsidRPr="00B419CE">
        <w:t xml:space="preserve"> om eigen pensjonskonto. Finansdepartementet vil </w:t>
      </w:r>
      <w:proofErr w:type="spellStart"/>
      <w:r w:rsidRPr="00B419CE">
        <w:t>følgje</w:t>
      </w:r>
      <w:proofErr w:type="spellEnd"/>
      <w:r w:rsidRPr="00B419CE">
        <w:t xml:space="preserve"> opp forslaget.</w:t>
      </w:r>
    </w:p>
    <w:p w14:paraId="2251E4DB"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føresegner om </w:t>
      </w:r>
      <w:proofErr w:type="spellStart"/>
      <w:r w:rsidRPr="00B419CE">
        <w:t>lovbrotsgebyr</w:t>
      </w:r>
      <w:proofErr w:type="spellEnd"/>
      <w:r w:rsidRPr="00B419CE">
        <w:t xml:space="preserve"> og leiingskarantene, mellom anna i </w:t>
      </w:r>
      <w:proofErr w:type="spellStart"/>
      <w:r w:rsidRPr="00B419CE">
        <w:t>finansføretakslova</w:t>
      </w:r>
      <w:proofErr w:type="spellEnd"/>
      <w:r w:rsidRPr="00B419CE">
        <w:t xml:space="preserve">. Finansdepartementet vil </w:t>
      </w:r>
      <w:proofErr w:type="spellStart"/>
      <w:r w:rsidRPr="00B419CE">
        <w:t>følgje</w:t>
      </w:r>
      <w:proofErr w:type="spellEnd"/>
      <w:r w:rsidRPr="00B419CE">
        <w:t xml:space="preserve"> opp forslaget.</w:t>
      </w:r>
    </w:p>
    <w:p w14:paraId="3AC57642" w14:textId="77777777" w:rsidR="00B419CE" w:rsidRPr="00B419CE" w:rsidRDefault="00B419CE" w:rsidP="00B419CE">
      <w:r w:rsidRPr="00B419CE">
        <w:t xml:space="preserve">Finansdepartementet har hatt på </w:t>
      </w:r>
      <w:proofErr w:type="spellStart"/>
      <w:r w:rsidRPr="00B419CE">
        <w:t>høyring</w:t>
      </w:r>
      <w:proofErr w:type="spellEnd"/>
      <w:r w:rsidRPr="00B419CE">
        <w:t xml:space="preserve"> </w:t>
      </w:r>
      <w:proofErr w:type="spellStart"/>
      <w:r w:rsidRPr="00B419CE">
        <w:t>eit</w:t>
      </w:r>
      <w:proofErr w:type="spellEnd"/>
      <w:r w:rsidRPr="00B419CE">
        <w:t xml:space="preserve"> </w:t>
      </w:r>
      <w:proofErr w:type="spellStart"/>
      <w:r w:rsidRPr="00B419CE">
        <w:t>høyringsnotat</w:t>
      </w:r>
      <w:proofErr w:type="spellEnd"/>
      <w:r w:rsidRPr="00B419CE">
        <w:t xml:space="preserve">, utarbeidd av Finanstilsynet, med utkast til gjennomføring av regelverk om sentrale </w:t>
      </w:r>
      <w:proofErr w:type="spellStart"/>
      <w:r w:rsidRPr="00B419CE">
        <w:t>motpartar</w:t>
      </w:r>
      <w:proofErr w:type="spellEnd"/>
      <w:r w:rsidRPr="00B419CE">
        <w:t>. Utkastet skal sikre gjennomføring i norsk rett som svarer til EØS-</w:t>
      </w:r>
      <w:proofErr w:type="spellStart"/>
      <w:r w:rsidRPr="00B419CE">
        <w:t>reglane</w:t>
      </w:r>
      <w:proofErr w:type="spellEnd"/>
      <w:r w:rsidRPr="00B419CE">
        <w:t xml:space="preserve"> i forordning (EU) 2019/834 (EMIR-</w:t>
      </w:r>
      <w:proofErr w:type="spellStart"/>
      <w:r w:rsidRPr="00B419CE">
        <w:t>Refit</w:t>
      </w:r>
      <w:proofErr w:type="spellEnd"/>
      <w:r w:rsidRPr="00B419CE">
        <w:t>) og venta EØS-</w:t>
      </w:r>
      <w:proofErr w:type="spellStart"/>
      <w:r w:rsidRPr="00B419CE">
        <w:t>reglar</w:t>
      </w:r>
      <w:proofErr w:type="spellEnd"/>
      <w:r w:rsidRPr="00B419CE">
        <w:t xml:space="preserve"> som svarer til forordning (EU) 2019/2022 (EMIR 2.2). Finansdepartementet vil </w:t>
      </w:r>
      <w:proofErr w:type="spellStart"/>
      <w:r w:rsidRPr="00B419CE">
        <w:t>følgje</w:t>
      </w:r>
      <w:proofErr w:type="spellEnd"/>
      <w:r w:rsidRPr="00B419CE">
        <w:t xml:space="preserve"> opp forslaget.</w:t>
      </w:r>
    </w:p>
    <w:p w14:paraId="44568D81" w14:textId="77777777" w:rsidR="00B419CE" w:rsidRPr="00B419CE" w:rsidRDefault="00B419CE" w:rsidP="00B419CE">
      <w:proofErr w:type="spellStart"/>
      <w:r w:rsidRPr="00B419CE">
        <w:t>Verdipapirlovutvalet</w:t>
      </w:r>
      <w:proofErr w:type="spellEnd"/>
      <w:r w:rsidRPr="00B419CE">
        <w:t xml:space="preserve"> skal på oppdrag </w:t>
      </w:r>
      <w:proofErr w:type="spellStart"/>
      <w:r w:rsidRPr="00B419CE">
        <w:t>frå</w:t>
      </w:r>
      <w:proofErr w:type="spellEnd"/>
      <w:r w:rsidRPr="00B419CE">
        <w:t xml:space="preserve"> Finansdepartementet utgreie norsk gjennomføring av nye EU-regler om finansiell folkefinansiering. Forslaga </w:t>
      </w:r>
      <w:proofErr w:type="spellStart"/>
      <w:r w:rsidRPr="00B419CE">
        <w:t>frå</w:t>
      </w:r>
      <w:proofErr w:type="spellEnd"/>
      <w:r w:rsidRPr="00B419CE">
        <w:t xml:space="preserve"> </w:t>
      </w:r>
      <w:proofErr w:type="spellStart"/>
      <w:r w:rsidRPr="00B419CE">
        <w:t>utvalet</w:t>
      </w:r>
      <w:proofErr w:type="spellEnd"/>
      <w:r w:rsidRPr="00B419CE">
        <w:t xml:space="preserve"> vil </w:t>
      </w:r>
      <w:proofErr w:type="spellStart"/>
      <w:r w:rsidRPr="00B419CE">
        <w:t>verte</w:t>
      </w:r>
      <w:proofErr w:type="spellEnd"/>
      <w:r w:rsidRPr="00B419CE">
        <w:t xml:space="preserve"> sende på </w:t>
      </w:r>
      <w:proofErr w:type="spellStart"/>
      <w:r w:rsidRPr="00B419CE">
        <w:t>høyring</w:t>
      </w:r>
      <w:proofErr w:type="spellEnd"/>
      <w:r w:rsidRPr="00B419CE">
        <w:t xml:space="preserve">, og Finansdepartementet vil vurdere forslaga </w:t>
      </w:r>
      <w:proofErr w:type="spellStart"/>
      <w:r w:rsidRPr="00B419CE">
        <w:t>frå</w:t>
      </w:r>
      <w:proofErr w:type="spellEnd"/>
      <w:r w:rsidRPr="00B419CE">
        <w:t xml:space="preserve"> </w:t>
      </w:r>
      <w:proofErr w:type="spellStart"/>
      <w:r w:rsidRPr="00B419CE">
        <w:t>utvalet</w:t>
      </w:r>
      <w:proofErr w:type="spellEnd"/>
      <w:r w:rsidRPr="00B419CE">
        <w:t xml:space="preserve"> i lys av </w:t>
      </w:r>
      <w:proofErr w:type="spellStart"/>
      <w:r w:rsidRPr="00B419CE">
        <w:t>høyringsfråsegnene</w:t>
      </w:r>
      <w:proofErr w:type="spellEnd"/>
      <w:r w:rsidRPr="00B419CE">
        <w:t>.</w:t>
      </w:r>
    </w:p>
    <w:p w14:paraId="477F6B4C" w14:textId="77777777" w:rsidR="00B419CE" w:rsidRPr="00B419CE" w:rsidRDefault="00B419CE" w:rsidP="00B419CE">
      <w:pPr>
        <w:pStyle w:val="avsnitt-undertittel"/>
      </w:pPr>
      <w:r w:rsidRPr="00B419CE">
        <w:t xml:space="preserve">Rettsakter </w:t>
      </w:r>
      <w:proofErr w:type="spellStart"/>
      <w:r w:rsidRPr="00B419CE">
        <w:t>frå</w:t>
      </w:r>
      <w:proofErr w:type="spellEnd"/>
      <w:r w:rsidRPr="00B419CE">
        <w:t xml:space="preserve"> EU</w:t>
      </w:r>
    </w:p>
    <w:p w14:paraId="7E442FDA" w14:textId="77777777" w:rsidR="00B419CE" w:rsidRPr="00B419CE" w:rsidRDefault="00B419CE" w:rsidP="00B419CE">
      <w:r w:rsidRPr="00B419CE">
        <w:t xml:space="preserve">Arbeidet med å utvikle det norske regelverket for </w:t>
      </w:r>
      <w:proofErr w:type="spellStart"/>
      <w:r w:rsidRPr="00B419CE">
        <w:t>finansmarknadsområdet</w:t>
      </w:r>
      <w:proofErr w:type="spellEnd"/>
      <w:r w:rsidRPr="00B419CE">
        <w:t xml:space="preserve"> </w:t>
      </w:r>
      <w:proofErr w:type="spellStart"/>
      <w:r w:rsidRPr="00B419CE">
        <w:t>hengjer</w:t>
      </w:r>
      <w:proofErr w:type="spellEnd"/>
      <w:r w:rsidRPr="00B419CE">
        <w:t xml:space="preserve"> nært </w:t>
      </w:r>
      <w:proofErr w:type="spellStart"/>
      <w:r w:rsidRPr="00B419CE">
        <w:t>saman</w:t>
      </w:r>
      <w:proofErr w:type="spellEnd"/>
      <w:r w:rsidRPr="00B419CE">
        <w:t xml:space="preserve"> med arbeidet med å tilpasse og ta inn nye EU-rettsakter i EØS-avtalen. Finansdepartementet vil prioritere dette innlemmingsarbeidet i 2022 òg.</w:t>
      </w:r>
    </w:p>
    <w:p w14:paraId="18ECB7F5" w14:textId="77777777" w:rsidR="00B419CE" w:rsidRPr="00B419CE" w:rsidRDefault="00B419CE" w:rsidP="00B419CE">
      <w:r w:rsidRPr="00B419CE">
        <w:t xml:space="preserve">I tråd med den internasjonale utviklinga mot styrka regulering av og tilsyn med </w:t>
      </w:r>
      <w:proofErr w:type="spellStart"/>
      <w:r w:rsidRPr="00B419CE">
        <w:t>finansmarknadene</w:t>
      </w:r>
      <w:proofErr w:type="spellEnd"/>
      <w:r w:rsidRPr="00B419CE">
        <w:t xml:space="preserve"> har EU utarbeidd særs </w:t>
      </w:r>
      <w:proofErr w:type="spellStart"/>
      <w:r w:rsidRPr="00B419CE">
        <w:t>mykje</w:t>
      </w:r>
      <w:proofErr w:type="spellEnd"/>
      <w:r w:rsidRPr="00B419CE">
        <w:t xml:space="preserve"> regelverk for</w:t>
      </w:r>
    </w:p>
    <w:p w14:paraId="4C59EBEC" w14:textId="77777777" w:rsidR="00B419CE" w:rsidRPr="00B419CE" w:rsidRDefault="00B419CE" w:rsidP="00B419CE">
      <w:pPr>
        <w:pStyle w:val="Liste"/>
      </w:pPr>
      <w:proofErr w:type="spellStart"/>
      <w:r w:rsidRPr="00B419CE">
        <w:t>finansføretak</w:t>
      </w:r>
      <w:proofErr w:type="spellEnd"/>
      <w:r w:rsidRPr="00B419CE">
        <w:t xml:space="preserve"> (</w:t>
      </w:r>
      <w:proofErr w:type="spellStart"/>
      <w:r w:rsidRPr="00B419CE">
        <w:t>bankar</w:t>
      </w:r>
      <w:proofErr w:type="spellEnd"/>
      <w:r w:rsidRPr="00B419CE">
        <w:t xml:space="preserve"> og andre </w:t>
      </w:r>
      <w:proofErr w:type="spellStart"/>
      <w:r w:rsidRPr="00B419CE">
        <w:t>kredittinstitusjonar</w:t>
      </w:r>
      <w:proofErr w:type="spellEnd"/>
      <w:r w:rsidRPr="00B419CE">
        <w:t xml:space="preserve">, </w:t>
      </w:r>
      <w:proofErr w:type="spellStart"/>
      <w:r w:rsidRPr="00B419CE">
        <w:t>forsikringsføretak</w:t>
      </w:r>
      <w:proofErr w:type="spellEnd"/>
      <w:r w:rsidRPr="00B419CE">
        <w:t>, m.m.),</w:t>
      </w:r>
    </w:p>
    <w:p w14:paraId="30BCA63C" w14:textId="77777777" w:rsidR="00B419CE" w:rsidRPr="00B419CE" w:rsidRDefault="00B419CE" w:rsidP="00B419CE">
      <w:pPr>
        <w:pStyle w:val="Liste"/>
      </w:pPr>
      <w:proofErr w:type="spellStart"/>
      <w:r w:rsidRPr="00B419CE">
        <w:t>verdipapirføretak</w:t>
      </w:r>
      <w:proofErr w:type="spellEnd"/>
      <w:r w:rsidRPr="00B419CE">
        <w:t xml:space="preserve">, verdipapirfond, </w:t>
      </w:r>
      <w:proofErr w:type="spellStart"/>
      <w:r w:rsidRPr="00B419CE">
        <w:t>infrastrukturføretak</w:t>
      </w:r>
      <w:proofErr w:type="spellEnd"/>
      <w:r w:rsidRPr="00B419CE">
        <w:t xml:space="preserve"> for </w:t>
      </w:r>
      <w:proofErr w:type="spellStart"/>
      <w:r w:rsidRPr="00B419CE">
        <w:t>verdipapirmarknaden</w:t>
      </w:r>
      <w:proofErr w:type="spellEnd"/>
      <w:r w:rsidRPr="00B419CE">
        <w:t xml:space="preserve"> m.m.,</w:t>
      </w:r>
    </w:p>
    <w:p w14:paraId="50421C0B" w14:textId="77777777" w:rsidR="00B419CE" w:rsidRPr="00B419CE" w:rsidRDefault="00B419CE" w:rsidP="00B419CE">
      <w:pPr>
        <w:pStyle w:val="Liste"/>
      </w:pPr>
      <w:proofErr w:type="spellStart"/>
      <w:r w:rsidRPr="00B419CE">
        <w:t>rekneskap</w:t>
      </w:r>
      <w:proofErr w:type="spellEnd"/>
      <w:r w:rsidRPr="00B419CE">
        <w:t xml:space="preserve">, </w:t>
      </w:r>
      <w:proofErr w:type="spellStart"/>
      <w:r w:rsidRPr="00B419CE">
        <w:t>rekneskapsførarar</w:t>
      </w:r>
      <w:proofErr w:type="spellEnd"/>
      <w:r w:rsidRPr="00B419CE">
        <w:t xml:space="preserve"> og </w:t>
      </w:r>
      <w:proofErr w:type="spellStart"/>
      <w:r w:rsidRPr="00B419CE">
        <w:t>revisorar</w:t>
      </w:r>
      <w:proofErr w:type="spellEnd"/>
      <w:r w:rsidRPr="00B419CE">
        <w:t>, og</w:t>
      </w:r>
    </w:p>
    <w:p w14:paraId="133AC072" w14:textId="77777777" w:rsidR="00B419CE" w:rsidRPr="00B419CE" w:rsidRDefault="00B419CE" w:rsidP="00B419CE">
      <w:pPr>
        <w:pStyle w:val="Liste"/>
      </w:pPr>
      <w:r w:rsidRPr="00B419CE">
        <w:t>tiltak mot kvitvasking og finansiering av terror.</w:t>
      </w:r>
    </w:p>
    <w:p w14:paraId="4FF57ED9" w14:textId="77777777" w:rsidR="00B419CE" w:rsidRPr="00B419CE" w:rsidRDefault="00B419CE" w:rsidP="00B419CE">
      <w:r w:rsidRPr="00B419CE">
        <w:t xml:space="preserve">Dette er </w:t>
      </w:r>
      <w:proofErr w:type="gramStart"/>
      <w:r w:rsidRPr="00B419CE">
        <w:t>dels direktiv</w:t>
      </w:r>
      <w:proofErr w:type="gramEnd"/>
      <w:r w:rsidRPr="00B419CE">
        <w:t xml:space="preserve">, med krav til utforminga av regelverket i </w:t>
      </w:r>
      <w:proofErr w:type="spellStart"/>
      <w:r w:rsidRPr="00B419CE">
        <w:t>dei</w:t>
      </w:r>
      <w:proofErr w:type="spellEnd"/>
      <w:r w:rsidRPr="00B419CE">
        <w:t xml:space="preserve"> </w:t>
      </w:r>
      <w:proofErr w:type="spellStart"/>
      <w:r w:rsidRPr="00B419CE">
        <w:t>einskilde</w:t>
      </w:r>
      <w:proofErr w:type="spellEnd"/>
      <w:r w:rsidRPr="00B419CE">
        <w:t xml:space="preserve"> medlemslanda, og dels </w:t>
      </w:r>
      <w:proofErr w:type="spellStart"/>
      <w:r w:rsidRPr="00B419CE">
        <w:t>forordningar</w:t>
      </w:r>
      <w:proofErr w:type="spellEnd"/>
      <w:r w:rsidRPr="00B419CE">
        <w:t xml:space="preserve">, som gjeld direkte i heile EU. Det aller meste av regelverket i EU på </w:t>
      </w:r>
      <w:proofErr w:type="spellStart"/>
      <w:r w:rsidRPr="00B419CE">
        <w:t>desse</w:t>
      </w:r>
      <w:proofErr w:type="spellEnd"/>
      <w:r w:rsidRPr="00B419CE">
        <w:t xml:space="preserve"> områda er EØS-relevant og skal </w:t>
      </w:r>
      <w:proofErr w:type="spellStart"/>
      <w:r w:rsidRPr="00B419CE">
        <w:t>difor</w:t>
      </w:r>
      <w:proofErr w:type="spellEnd"/>
      <w:r w:rsidRPr="00B419CE">
        <w:t xml:space="preserve"> </w:t>
      </w:r>
      <w:proofErr w:type="spellStart"/>
      <w:r w:rsidRPr="00B419CE">
        <w:t>takast</w:t>
      </w:r>
      <w:proofErr w:type="spellEnd"/>
      <w:r w:rsidRPr="00B419CE">
        <w:t xml:space="preserve"> inn i EØS-avtalen og </w:t>
      </w:r>
      <w:proofErr w:type="spellStart"/>
      <w:r w:rsidRPr="00B419CE">
        <w:t>gjennomførast</w:t>
      </w:r>
      <w:proofErr w:type="spellEnd"/>
      <w:r w:rsidRPr="00B419CE">
        <w:t xml:space="preserve"> i norsk rett. Direktiv som er </w:t>
      </w:r>
      <w:proofErr w:type="spellStart"/>
      <w:r w:rsidRPr="00B419CE">
        <w:t>teke</w:t>
      </w:r>
      <w:proofErr w:type="spellEnd"/>
      <w:r w:rsidRPr="00B419CE">
        <w:t xml:space="preserve"> inn i EØS-avtalen, skal </w:t>
      </w:r>
      <w:proofErr w:type="spellStart"/>
      <w:r w:rsidRPr="00B419CE">
        <w:t>gjennomførast</w:t>
      </w:r>
      <w:proofErr w:type="spellEnd"/>
      <w:r w:rsidRPr="00B419CE">
        <w:t xml:space="preserve"> med eigen norsk regeltekst i lov eller forskrift. </w:t>
      </w:r>
      <w:proofErr w:type="spellStart"/>
      <w:r w:rsidRPr="00B419CE">
        <w:t>Forordningar</w:t>
      </w:r>
      <w:proofErr w:type="spellEnd"/>
      <w:r w:rsidRPr="00B419CE">
        <w:t xml:space="preserve"> skal </w:t>
      </w:r>
      <w:proofErr w:type="spellStart"/>
      <w:r w:rsidRPr="00B419CE">
        <w:t>gjennomførast</w:t>
      </w:r>
      <w:proofErr w:type="spellEnd"/>
      <w:r w:rsidRPr="00B419CE">
        <w:t xml:space="preserve"> ved tilvising, enten i lov eller forskrift, til EUs regeltekst, slik denne er tilpassa i EØS-avtalen.</w:t>
      </w:r>
    </w:p>
    <w:p w14:paraId="181035D5" w14:textId="77777777" w:rsidR="00B419CE" w:rsidRPr="00B419CE" w:rsidRDefault="00B419CE" w:rsidP="00B419CE">
      <w:r w:rsidRPr="00B419CE">
        <w:lastRenderedPageBreak/>
        <w:t xml:space="preserve">Dei tre EØS/EFTA-landa Liechtenstein, Island og </w:t>
      </w:r>
      <w:proofErr w:type="spellStart"/>
      <w:r w:rsidRPr="00B419CE">
        <w:t>Noreg</w:t>
      </w:r>
      <w:proofErr w:type="spellEnd"/>
      <w:r w:rsidRPr="00B419CE">
        <w:t xml:space="preserve"> klarlegg seg imellom kva </w:t>
      </w:r>
      <w:proofErr w:type="spellStart"/>
      <w:r w:rsidRPr="00B419CE">
        <w:t>ein</w:t>
      </w:r>
      <w:proofErr w:type="spellEnd"/>
      <w:r w:rsidRPr="00B419CE">
        <w:t xml:space="preserve"> treng av tilpassing til EU-rettsaktene og diskuterer dette med </w:t>
      </w:r>
      <w:proofErr w:type="spellStart"/>
      <w:r w:rsidRPr="00B419CE">
        <w:t>representantar</w:t>
      </w:r>
      <w:proofErr w:type="spellEnd"/>
      <w:r w:rsidRPr="00B419CE">
        <w:t xml:space="preserve"> for EU. Når </w:t>
      </w:r>
      <w:proofErr w:type="spellStart"/>
      <w:r w:rsidRPr="00B419CE">
        <w:t>partane</w:t>
      </w:r>
      <w:proofErr w:type="spellEnd"/>
      <w:r w:rsidRPr="00B419CE">
        <w:t xml:space="preserve"> er </w:t>
      </w:r>
      <w:proofErr w:type="spellStart"/>
      <w:r w:rsidRPr="00B419CE">
        <w:t>einige</w:t>
      </w:r>
      <w:proofErr w:type="spellEnd"/>
      <w:r w:rsidRPr="00B419CE">
        <w:t xml:space="preserve">, kan rettsaktene </w:t>
      </w:r>
      <w:proofErr w:type="spellStart"/>
      <w:r w:rsidRPr="00B419CE">
        <w:t>takast</w:t>
      </w:r>
      <w:proofErr w:type="spellEnd"/>
      <w:r w:rsidRPr="00B419CE">
        <w:t xml:space="preserve"> inn i EØS-avtalen ved vedtak i EØS-komiteen.</w:t>
      </w:r>
    </w:p>
    <w:p w14:paraId="40EDEE8A" w14:textId="77777777" w:rsidR="00B419CE" w:rsidRPr="00B419CE" w:rsidRDefault="00B419CE" w:rsidP="00B419CE">
      <w:r w:rsidRPr="00B419CE">
        <w:t xml:space="preserve">Vedtaka i EØS-komiteen trer normalt i kraft med </w:t>
      </w:r>
      <w:proofErr w:type="spellStart"/>
      <w:r w:rsidRPr="00B419CE">
        <w:t>ein</w:t>
      </w:r>
      <w:proofErr w:type="spellEnd"/>
      <w:r w:rsidRPr="00B419CE">
        <w:t xml:space="preserve"> gong, med mindre EU-rettsakta </w:t>
      </w:r>
      <w:proofErr w:type="spellStart"/>
      <w:r w:rsidRPr="00B419CE">
        <w:t>enno</w:t>
      </w:r>
      <w:proofErr w:type="spellEnd"/>
      <w:r w:rsidRPr="00B419CE">
        <w:t xml:space="preserve"> </w:t>
      </w:r>
      <w:proofErr w:type="spellStart"/>
      <w:r w:rsidRPr="00B419CE">
        <w:t>ikkje</w:t>
      </w:r>
      <w:proofErr w:type="spellEnd"/>
      <w:r w:rsidRPr="00B419CE">
        <w:t xml:space="preserve"> er i kraft. Dersom det </w:t>
      </w:r>
      <w:proofErr w:type="spellStart"/>
      <w:r w:rsidRPr="00B419CE">
        <w:t>krevst</w:t>
      </w:r>
      <w:proofErr w:type="spellEnd"/>
      <w:r w:rsidRPr="00B419CE">
        <w:t xml:space="preserve"> stortingsvedtak, til dømes ny </w:t>
      </w:r>
      <w:proofErr w:type="spellStart"/>
      <w:r w:rsidRPr="00B419CE">
        <w:t>lovgjeving</w:t>
      </w:r>
      <w:proofErr w:type="spellEnd"/>
      <w:r w:rsidRPr="00B419CE">
        <w:t xml:space="preserve">, er det </w:t>
      </w:r>
      <w:proofErr w:type="spellStart"/>
      <w:r w:rsidRPr="00B419CE">
        <w:t>vanleg</w:t>
      </w:r>
      <w:proofErr w:type="spellEnd"/>
      <w:r w:rsidRPr="00B419CE">
        <w:t xml:space="preserve"> å ta </w:t>
      </w:r>
      <w:proofErr w:type="spellStart"/>
      <w:r w:rsidRPr="00B419CE">
        <w:t>såkalla</w:t>
      </w:r>
      <w:proofErr w:type="spellEnd"/>
      <w:r w:rsidRPr="00B419CE">
        <w:t xml:space="preserve"> konstitusjonelt </w:t>
      </w:r>
      <w:proofErr w:type="spellStart"/>
      <w:r w:rsidRPr="00B419CE">
        <w:t>atterhald</w:t>
      </w:r>
      <w:proofErr w:type="spellEnd"/>
      <w:r w:rsidRPr="00B419CE">
        <w:t xml:space="preserve">, slik at vedtaket i EØS-komiteen </w:t>
      </w:r>
      <w:proofErr w:type="spellStart"/>
      <w:r w:rsidRPr="00B419CE">
        <w:t>ikkje</w:t>
      </w:r>
      <w:proofErr w:type="spellEnd"/>
      <w:r w:rsidRPr="00B419CE">
        <w:t xml:space="preserve"> trer i kraft før det er gjeve melding om at konstitusjonelle krav er oppfylte. I slike </w:t>
      </w:r>
      <w:proofErr w:type="spellStart"/>
      <w:r w:rsidRPr="00B419CE">
        <w:t>tilfelle</w:t>
      </w:r>
      <w:proofErr w:type="spellEnd"/>
      <w:r w:rsidRPr="00B419CE">
        <w:t xml:space="preserve"> vert det normalt gjort framlegg om at Stortinget gjev </w:t>
      </w:r>
      <w:proofErr w:type="spellStart"/>
      <w:r w:rsidRPr="00B419CE">
        <w:t>samtykkje</w:t>
      </w:r>
      <w:proofErr w:type="spellEnd"/>
      <w:r w:rsidRPr="00B419CE">
        <w:t xml:space="preserve"> til innlemming, enten i </w:t>
      </w:r>
      <w:proofErr w:type="spellStart"/>
      <w:r w:rsidRPr="00B419CE">
        <w:t>særskild</w:t>
      </w:r>
      <w:proofErr w:type="spellEnd"/>
      <w:r w:rsidRPr="00B419CE">
        <w:t xml:space="preserve"> proposisjon eller </w:t>
      </w:r>
      <w:proofErr w:type="spellStart"/>
      <w:r w:rsidRPr="00B419CE">
        <w:t>saman</w:t>
      </w:r>
      <w:proofErr w:type="spellEnd"/>
      <w:r w:rsidRPr="00B419CE">
        <w:t xml:space="preserve"> med </w:t>
      </w:r>
      <w:proofErr w:type="spellStart"/>
      <w:r w:rsidRPr="00B419CE">
        <w:t>eit</w:t>
      </w:r>
      <w:proofErr w:type="spellEnd"/>
      <w:r w:rsidRPr="00B419CE">
        <w:t xml:space="preserve"> lovforslag.</w:t>
      </w:r>
    </w:p>
    <w:p w14:paraId="02E50CE3" w14:textId="77777777" w:rsidR="00B419CE" w:rsidRPr="00B419CE" w:rsidRDefault="00B419CE" w:rsidP="00B419CE">
      <w:r w:rsidRPr="00B419CE">
        <w:t xml:space="preserve">EØS-arbeidet på </w:t>
      </w:r>
      <w:proofErr w:type="spellStart"/>
      <w:r w:rsidRPr="00B419CE">
        <w:t>finansmarknadsområdet</w:t>
      </w:r>
      <w:proofErr w:type="spellEnd"/>
      <w:r w:rsidRPr="00B419CE">
        <w:t xml:space="preserve"> er òg drøfta i kap. 3 i Meld. St. 1 (2021–2022) </w:t>
      </w:r>
      <w:r w:rsidRPr="00B419CE">
        <w:rPr>
          <w:rStyle w:val="kursiv"/>
        </w:rPr>
        <w:t>Nasjonalbudsjettet 2022.</w:t>
      </w:r>
    </w:p>
    <w:p w14:paraId="282C1165" w14:textId="77777777" w:rsidR="00B419CE" w:rsidRPr="00B419CE" w:rsidRDefault="00B419CE" w:rsidP="00B419CE">
      <w:pPr>
        <w:pStyle w:val="avsnitt-undertittel"/>
      </w:pPr>
      <w:r w:rsidRPr="00B419CE">
        <w:t>Arbeidet med statsbudsjett og økonomistyring i staten</w:t>
      </w:r>
    </w:p>
    <w:p w14:paraId="3DA41A9F" w14:textId="77777777" w:rsidR="00B419CE" w:rsidRPr="00B419CE" w:rsidRDefault="00B419CE" w:rsidP="00B419CE">
      <w:r w:rsidRPr="00B419CE">
        <w:t xml:space="preserve">Finansdepartementet vil </w:t>
      </w:r>
      <w:proofErr w:type="spellStart"/>
      <w:r w:rsidRPr="00B419CE">
        <w:t>vidareføre</w:t>
      </w:r>
      <w:proofErr w:type="spellEnd"/>
      <w:r w:rsidRPr="00B419CE">
        <w:t xml:space="preserve"> finansieringa av forskingsprogrammet </w:t>
      </w:r>
      <w:proofErr w:type="spellStart"/>
      <w:r w:rsidRPr="00B419CE">
        <w:t>Concept</w:t>
      </w:r>
      <w:proofErr w:type="spellEnd"/>
      <w:r w:rsidRPr="00B419CE">
        <w:t xml:space="preserve"> ved NTNU for å utvikle ny kunnskap om tilrettelegging, kvalitetssikring og styring av store </w:t>
      </w:r>
      <w:proofErr w:type="spellStart"/>
      <w:r w:rsidRPr="00B419CE">
        <w:t>statlege</w:t>
      </w:r>
      <w:proofErr w:type="spellEnd"/>
      <w:r w:rsidRPr="00B419CE">
        <w:t xml:space="preserve"> investeringsprosjekt. </w:t>
      </w:r>
      <w:proofErr w:type="spellStart"/>
      <w:r w:rsidRPr="00B419CE">
        <w:t>Hovudlinene</w:t>
      </w:r>
      <w:proofErr w:type="spellEnd"/>
      <w:r w:rsidRPr="00B419CE">
        <w:t xml:space="preserve"> i </w:t>
      </w:r>
      <w:proofErr w:type="spellStart"/>
      <w:r w:rsidRPr="00B419CE">
        <w:t>Concept</w:t>
      </w:r>
      <w:proofErr w:type="spellEnd"/>
      <w:r w:rsidRPr="00B419CE">
        <w:t xml:space="preserve">-programmet vert </w:t>
      </w:r>
      <w:proofErr w:type="spellStart"/>
      <w:r w:rsidRPr="00B419CE">
        <w:t>vidareførte</w:t>
      </w:r>
      <w:proofErr w:type="spellEnd"/>
      <w:r w:rsidRPr="00B419CE">
        <w:t xml:space="preserve"> i 2022. Programmet skal evaluere store </w:t>
      </w:r>
      <w:proofErr w:type="spellStart"/>
      <w:r w:rsidRPr="00B419CE">
        <w:t>statlege</w:t>
      </w:r>
      <w:proofErr w:type="spellEnd"/>
      <w:r w:rsidRPr="00B419CE">
        <w:t xml:space="preserve"> investeringsprosjekt som </w:t>
      </w:r>
      <w:proofErr w:type="spellStart"/>
      <w:r w:rsidRPr="00B419CE">
        <w:t>no</w:t>
      </w:r>
      <w:proofErr w:type="spellEnd"/>
      <w:r w:rsidRPr="00B419CE">
        <w:t xml:space="preserve"> er komne i driftsfasen og </w:t>
      </w:r>
      <w:proofErr w:type="spellStart"/>
      <w:r w:rsidRPr="00B419CE">
        <w:t>vektleggje</w:t>
      </w:r>
      <w:proofErr w:type="spellEnd"/>
      <w:r w:rsidRPr="00B419CE">
        <w:t xml:space="preserve"> forsking på </w:t>
      </w:r>
      <w:proofErr w:type="spellStart"/>
      <w:r w:rsidRPr="00B419CE">
        <w:t>tidlegfasen</w:t>
      </w:r>
      <w:proofErr w:type="spellEnd"/>
      <w:r w:rsidRPr="00B419CE">
        <w:t xml:space="preserve"> i prosjekta, </w:t>
      </w:r>
      <w:proofErr w:type="spellStart"/>
      <w:r w:rsidRPr="00B419CE">
        <w:t>frå</w:t>
      </w:r>
      <w:proofErr w:type="spellEnd"/>
      <w:r w:rsidRPr="00B419CE">
        <w:t xml:space="preserve"> den fyrste ideen oppstår til </w:t>
      </w:r>
      <w:proofErr w:type="spellStart"/>
      <w:r w:rsidRPr="00B419CE">
        <w:t>endeleg</w:t>
      </w:r>
      <w:proofErr w:type="spellEnd"/>
      <w:r w:rsidRPr="00B419CE">
        <w:t xml:space="preserve"> finansiering av gjennomføringa er </w:t>
      </w:r>
      <w:proofErr w:type="spellStart"/>
      <w:r w:rsidRPr="00B419CE">
        <w:t>vedteken</w:t>
      </w:r>
      <w:proofErr w:type="spellEnd"/>
      <w:r w:rsidRPr="00B419CE">
        <w:t xml:space="preserve">. I tillegg driv programmet med metodeutvikling, følgjeforsking og kompetansebygging. Forskinga skal </w:t>
      </w:r>
      <w:proofErr w:type="spellStart"/>
      <w:r w:rsidRPr="00B419CE">
        <w:t>vere</w:t>
      </w:r>
      <w:proofErr w:type="spellEnd"/>
      <w:r w:rsidRPr="00B419CE">
        <w:t xml:space="preserve"> fritt </w:t>
      </w:r>
      <w:proofErr w:type="spellStart"/>
      <w:r w:rsidRPr="00B419CE">
        <w:t>tilgjengeleg</w:t>
      </w:r>
      <w:proofErr w:type="spellEnd"/>
      <w:r w:rsidRPr="00B419CE">
        <w:t xml:space="preserve"> for alle som </w:t>
      </w:r>
      <w:proofErr w:type="spellStart"/>
      <w:r w:rsidRPr="00B419CE">
        <w:t>søkjer</w:t>
      </w:r>
      <w:proofErr w:type="spellEnd"/>
      <w:r w:rsidRPr="00B419CE">
        <w:t xml:space="preserve"> kunnskap om prosjektstyring i staten.</w:t>
      </w:r>
    </w:p>
    <w:p w14:paraId="5B9E28D1" w14:textId="77777777" w:rsidR="00B419CE" w:rsidRPr="00B419CE" w:rsidRDefault="00B419CE" w:rsidP="00B419CE">
      <w:pPr>
        <w:pStyle w:val="avsnitt-undertittel"/>
      </w:pPr>
      <w:r w:rsidRPr="00B419CE">
        <w:t>Samfunnstryggleik og beredskap</w:t>
      </w:r>
    </w:p>
    <w:p w14:paraId="5D90B8B5" w14:textId="77777777" w:rsidR="00B419CE" w:rsidRPr="00B419CE" w:rsidRDefault="00B419CE" w:rsidP="00B419CE">
      <w:r w:rsidRPr="00B419CE">
        <w:t xml:space="preserve">Finansdepartementet har det overordna ansvaret for tryggleiken i den kritiske samfunnsfunksjonen </w:t>
      </w:r>
      <w:r w:rsidRPr="00B419CE">
        <w:rPr>
          <w:rStyle w:val="kursiv"/>
        </w:rPr>
        <w:t>Finansiell stabilitet</w:t>
      </w:r>
      <w:r w:rsidRPr="00B419CE">
        <w:t xml:space="preserve">. Departementet har òg ansvar for viktige </w:t>
      </w:r>
      <w:proofErr w:type="spellStart"/>
      <w:r w:rsidRPr="00B419CE">
        <w:t>samfunnsfunksjonar</w:t>
      </w:r>
      <w:proofErr w:type="spellEnd"/>
      <w:r w:rsidRPr="00B419CE">
        <w:t xml:space="preserve"> som system for å handtere statens inntekter (proveny), Folkeregisteret og Tolletatens kontroll med den </w:t>
      </w:r>
      <w:proofErr w:type="spellStart"/>
      <w:r w:rsidRPr="00B419CE">
        <w:t>grensekryssande</w:t>
      </w:r>
      <w:proofErr w:type="spellEnd"/>
      <w:r w:rsidRPr="00B419CE">
        <w:t xml:space="preserve"> </w:t>
      </w:r>
      <w:proofErr w:type="spellStart"/>
      <w:r w:rsidRPr="00B419CE">
        <w:t>vareførsla</w:t>
      </w:r>
      <w:proofErr w:type="spellEnd"/>
      <w:r w:rsidRPr="00B419CE">
        <w:t>.</w:t>
      </w:r>
    </w:p>
    <w:p w14:paraId="140AEF58" w14:textId="77777777" w:rsidR="00B419CE" w:rsidRPr="00B419CE" w:rsidRDefault="00B419CE" w:rsidP="00B419CE">
      <w:r w:rsidRPr="00B419CE">
        <w:t xml:space="preserve">På Finansdepartementets ansvarsområde skal det </w:t>
      </w:r>
      <w:proofErr w:type="spellStart"/>
      <w:r w:rsidRPr="00B419CE">
        <w:t>arbeidast</w:t>
      </w:r>
      <w:proofErr w:type="spellEnd"/>
      <w:r w:rsidRPr="00B419CE">
        <w:t xml:space="preserve"> systematisk med samfunnstryggleik. Beredskapen for å kunne handtere ekstraordinære </w:t>
      </w:r>
      <w:proofErr w:type="spellStart"/>
      <w:r w:rsidRPr="00B419CE">
        <w:t>hendingar</w:t>
      </w:r>
      <w:proofErr w:type="spellEnd"/>
      <w:r w:rsidRPr="00B419CE">
        <w:t xml:space="preserve"> skal </w:t>
      </w:r>
      <w:proofErr w:type="spellStart"/>
      <w:r w:rsidRPr="00B419CE">
        <w:t>vere</w:t>
      </w:r>
      <w:proofErr w:type="spellEnd"/>
      <w:r w:rsidRPr="00B419CE">
        <w:t xml:space="preserve"> god. Departementet og </w:t>
      </w:r>
      <w:proofErr w:type="spellStart"/>
      <w:r w:rsidRPr="00B419CE">
        <w:t>dei</w:t>
      </w:r>
      <w:proofErr w:type="spellEnd"/>
      <w:r w:rsidRPr="00B419CE">
        <w:t xml:space="preserve"> </w:t>
      </w:r>
      <w:proofErr w:type="spellStart"/>
      <w:r w:rsidRPr="00B419CE">
        <w:t>underliggjande</w:t>
      </w:r>
      <w:proofErr w:type="spellEnd"/>
      <w:r w:rsidRPr="00B419CE">
        <w:t xml:space="preserve"> </w:t>
      </w:r>
      <w:proofErr w:type="spellStart"/>
      <w:r w:rsidRPr="00B419CE">
        <w:t>etatane</w:t>
      </w:r>
      <w:proofErr w:type="spellEnd"/>
      <w:r w:rsidRPr="00B419CE">
        <w:t xml:space="preserve"> har beredskapsplanverk for å kunne handtere </w:t>
      </w:r>
      <w:proofErr w:type="spellStart"/>
      <w:r w:rsidRPr="00B419CE">
        <w:t>uynskte</w:t>
      </w:r>
      <w:proofErr w:type="spellEnd"/>
      <w:r w:rsidRPr="00B419CE">
        <w:t xml:space="preserve"> </w:t>
      </w:r>
      <w:proofErr w:type="spellStart"/>
      <w:r w:rsidRPr="00B419CE">
        <w:t>hendingar</w:t>
      </w:r>
      <w:proofErr w:type="spellEnd"/>
      <w:r w:rsidRPr="00B419CE">
        <w:t xml:space="preserve">, og </w:t>
      </w:r>
      <w:proofErr w:type="spellStart"/>
      <w:r w:rsidRPr="00B419CE">
        <w:t>desse</w:t>
      </w:r>
      <w:proofErr w:type="spellEnd"/>
      <w:r w:rsidRPr="00B419CE">
        <w:t xml:space="preserve"> vert </w:t>
      </w:r>
      <w:proofErr w:type="spellStart"/>
      <w:r w:rsidRPr="00B419CE">
        <w:t>jamleg</w:t>
      </w:r>
      <w:proofErr w:type="spellEnd"/>
      <w:r w:rsidRPr="00B419CE">
        <w:t xml:space="preserve"> oppdaterte. Finansdepartementet samarbeider òg mellom anna med Nasjonalt tryggingsorgan og Direktoratet for samfunnstryggleik og beredskap.</w:t>
      </w:r>
    </w:p>
    <w:p w14:paraId="028CB28D" w14:textId="77777777" w:rsidR="00B419CE" w:rsidRPr="00B419CE" w:rsidRDefault="00B419CE" w:rsidP="00B419CE">
      <w:r w:rsidRPr="00B419CE">
        <w:t xml:space="preserve">Beredskapen i departementet og sektoren </w:t>
      </w:r>
      <w:proofErr w:type="spellStart"/>
      <w:r w:rsidRPr="00B419CE">
        <w:t>vart</w:t>
      </w:r>
      <w:proofErr w:type="spellEnd"/>
      <w:r w:rsidRPr="00B419CE">
        <w:t xml:space="preserve"> satt på prøve under koronapandemien, men viste seg </w:t>
      </w:r>
      <w:proofErr w:type="gramStart"/>
      <w:r w:rsidRPr="00B419CE">
        <w:t xml:space="preserve">å </w:t>
      </w:r>
      <w:proofErr w:type="spellStart"/>
      <w:r w:rsidRPr="00B419CE">
        <w:t>vere</w:t>
      </w:r>
      <w:proofErr w:type="spellEnd"/>
      <w:proofErr w:type="gramEnd"/>
      <w:r w:rsidRPr="00B419CE">
        <w:t xml:space="preserve"> </w:t>
      </w:r>
      <w:proofErr w:type="spellStart"/>
      <w:r w:rsidRPr="00B419CE">
        <w:t>tilfredsstillande</w:t>
      </w:r>
      <w:proofErr w:type="spellEnd"/>
      <w:r w:rsidRPr="00B419CE">
        <w:t xml:space="preserve">. </w:t>
      </w:r>
      <w:proofErr w:type="spellStart"/>
      <w:r w:rsidRPr="00B419CE">
        <w:t>Sjølv</w:t>
      </w:r>
      <w:proofErr w:type="spellEnd"/>
      <w:r w:rsidRPr="00B419CE">
        <w:t xml:space="preserve"> om pandemien </w:t>
      </w:r>
      <w:proofErr w:type="spellStart"/>
      <w:r w:rsidRPr="00B419CE">
        <w:t>kravde</w:t>
      </w:r>
      <w:proofErr w:type="spellEnd"/>
      <w:r w:rsidRPr="00B419CE">
        <w:t xml:space="preserve"> store </w:t>
      </w:r>
      <w:proofErr w:type="spellStart"/>
      <w:r w:rsidRPr="00B419CE">
        <w:t>ressursar</w:t>
      </w:r>
      <w:proofErr w:type="spellEnd"/>
      <w:r w:rsidRPr="00B419CE">
        <w:t xml:space="preserve">, vart samfunnskritiske </w:t>
      </w:r>
      <w:proofErr w:type="spellStart"/>
      <w:r w:rsidRPr="00B419CE">
        <w:t>funksjonar</w:t>
      </w:r>
      <w:proofErr w:type="spellEnd"/>
      <w:r w:rsidRPr="00B419CE">
        <w:t xml:space="preserve"> og </w:t>
      </w:r>
      <w:proofErr w:type="spellStart"/>
      <w:r w:rsidRPr="00B419CE">
        <w:t>oppgåver</w:t>
      </w:r>
      <w:proofErr w:type="spellEnd"/>
      <w:r w:rsidRPr="00B419CE">
        <w:t xml:space="preserve"> </w:t>
      </w:r>
      <w:proofErr w:type="spellStart"/>
      <w:r w:rsidRPr="00B419CE">
        <w:t>ivaretekne</w:t>
      </w:r>
      <w:proofErr w:type="spellEnd"/>
      <w:r w:rsidRPr="00B419CE">
        <w:t xml:space="preserve"> på </w:t>
      </w:r>
      <w:proofErr w:type="spellStart"/>
      <w:r w:rsidRPr="00B419CE">
        <w:t>ein</w:t>
      </w:r>
      <w:proofErr w:type="spellEnd"/>
      <w:r w:rsidRPr="00B419CE">
        <w:t xml:space="preserve"> god måte.</w:t>
      </w:r>
    </w:p>
    <w:p w14:paraId="6AAA8BCF" w14:textId="77777777" w:rsidR="00B419CE" w:rsidRPr="00B419CE" w:rsidRDefault="00B419CE" w:rsidP="00B419CE">
      <w:r w:rsidRPr="00B419CE">
        <w:t xml:space="preserve">Departementet </w:t>
      </w:r>
      <w:proofErr w:type="spellStart"/>
      <w:r w:rsidRPr="00B419CE">
        <w:t>deltek</w:t>
      </w:r>
      <w:proofErr w:type="spellEnd"/>
      <w:r w:rsidRPr="00B419CE">
        <w:t xml:space="preserve"> òg </w:t>
      </w:r>
      <w:proofErr w:type="spellStart"/>
      <w:r w:rsidRPr="00B419CE">
        <w:t>jamleg</w:t>
      </w:r>
      <w:proofErr w:type="spellEnd"/>
      <w:r w:rsidRPr="00B419CE">
        <w:t xml:space="preserve"> i store, nasjonale </w:t>
      </w:r>
      <w:proofErr w:type="spellStart"/>
      <w:r w:rsidRPr="00B419CE">
        <w:t>øvingar</w:t>
      </w:r>
      <w:proofErr w:type="spellEnd"/>
      <w:r w:rsidRPr="00B419CE">
        <w:t xml:space="preserve"> </w:t>
      </w:r>
      <w:proofErr w:type="spellStart"/>
      <w:r w:rsidRPr="00B419CE">
        <w:t>innan</w:t>
      </w:r>
      <w:proofErr w:type="spellEnd"/>
      <w:r w:rsidRPr="00B419CE">
        <w:t xml:space="preserve"> </w:t>
      </w:r>
      <w:proofErr w:type="spellStart"/>
      <w:r w:rsidRPr="00B419CE">
        <w:t>sikkerheit</w:t>
      </w:r>
      <w:proofErr w:type="spellEnd"/>
      <w:r w:rsidRPr="00B419CE">
        <w:t xml:space="preserve"> og beredskap. Til dømes deltok departementet i 2020 på den nasjonale øvinga </w:t>
      </w:r>
      <w:r w:rsidRPr="00B419CE">
        <w:rPr>
          <w:rStyle w:val="kursiv"/>
        </w:rPr>
        <w:t>Digital 2020</w:t>
      </w:r>
      <w:r w:rsidRPr="00B419CE">
        <w:t>, der finanssektoren var i fokus.</w:t>
      </w:r>
    </w:p>
    <w:p w14:paraId="2BC27412" w14:textId="77777777" w:rsidR="00B419CE" w:rsidRPr="00B419CE" w:rsidRDefault="00B419CE" w:rsidP="00B419CE">
      <w:r w:rsidRPr="00B419CE">
        <w:t xml:space="preserve">Ei sentral utfordring i finanssektoren er å </w:t>
      </w:r>
      <w:proofErr w:type="spellStart"/>
      <w:r w:rsidRPr="00B419CE">
        <w:t>halde</w:t>
      </w:r>
      <w:proofErr w:type="spellEnd"/>
      <w:r w:rsidRPr="00B419CE">
        <w:t xml:space="preserve"> betalingsformidlinga og andre deler av den finansielle infrastrukturen ved lag slik at samfunnet får dekt behovet for mellom anna </w:t>
      </w:r>
      <w:proofErr w:type="spellStart"/>
      <w:r w:rsidRPr="00B419CE">
        <w:lastRenderedPageBreak/>
        <w:t>betalingstenester</w:t>
      </w:r>
      <w:proofErr w:type="spellEnd"/>
      <w:r w:rsidRPr="00B419CE">
        <w:t xml:space="preserve">. Finansielle </w:t>
      </w:r>
      <w:proofErr w:type="spellStart"/>
      <w:r w:rsidRPr="00B419CE">
        <w:t>tenester</w:t>
      </w:r>
      <w:proofErr w:type="spellEnd"/>
      <w:r w:rsidRPr="00B419CE">
        <w:t xml:space="preserve"> er </w:t>
      </w:r>
      <w:proofErr w:type="spellStart"/>
      <w:r w:rsidRPr="00B419CE">
        <w:t>utpeika</w:t>
      </w:r>
      <w:proofErr w:type="spellEnd"/>
      <w:r w:rsidRPr="00B419CE">
        <w:t xml:space="preserve"> som </w:t>
      </w:r>
      <w:proofErr w:type="spellStart"/>
      <w:r w:rsidRPr="00B419CE">
        <w:t>ein</w:t>
      </w:r>
      <w:proofErr w:type="spellEnd"/>
      <w:r w:rsidRPr="00B419CE">
        <w:t xml:space="preserve"> av 14 samfunnskritiske </w:t>
      </w:r>
      <w:proofErr w:type="spellStart"/>
      <w:r w:rsidRPr="00B419CE">
        <w:t>funksjonar</w:t>
      </w:r>
      <w:proofErr w:type="spellEnd"/>
      <w:r w:rsidRPr="00B419CE">
        <w:t xml:space="preserve"> i </w:t>
      </w:r>
      <w:proofErr w:type="spellStart"/>
      <w:r w:rsidRPr="00B419CE">
        <w:t>Noreg</w:t>
      </w:r>
      <w:proofErr w:type="spellEnd"/>
      <w:r w:rsidRPr="00B419CE">
        <w:t xml:space="preserve">, og Finansdepartementet utarbeidde i 2018 ei </w:t>
      </w:r>
      <w:proofErr w:type="spellStart"/>
      <w:r w:rsidRPr="00B419CE">
        <w:t>særleg</w:t>
      </w:r>
      <w:proofErr w:type="spellEnd"/>
      <w:r w:rsidRPr="00B419CE">
        <w:t xml:space="preserve"> tilstandsvurdering av denne funksjonen, sjå kapittel 8 i departementet sin budsjettproposisjon for 2019.</w:t>
      </w:r>
    </w:p>
    <w:p w14:paraId="5DEBA849" w14:textId="77777777" w:rsidR="00B419CE" w:rsidRPr="00B419CE" w:rsidRDefault="00B419CE" w:rsidP="00B419CE">
      <w:r w:rsidRPr="00B419CE">
        <w:t>Finansdepartementet arbeider òg med beredskapen for Statens pensjonsfond utland.</w:t>
      </w:r>
    </w:p>
    <w:p w14:paraId="34A3D8E1" w14:textId="77777777" w:rsidR="00B419CE" w:rsidRPr="00B419CE" w:rsidRDefault="00B419CE" w:rsidP="00B419CE">
      <w:r w:rsidRPr="00B419CE">
        <w:t xml:space="preserve">Kontroll av vareførselen over grensa har mellom anna som </w:t>
      </w:r>
      <w:proofErr w:type="spellStart"/>
      <w:r w:rsidRPr="00B419CE">
        <w:t>føremål</w:t>
      </w:r>
      <w:proofErr w:type="spellEnd"/>
      <w:r w:rsidRPr="00B419CE">
        <w:t xml:space="preserve"> å </w:t>
      </w:r>
      <w:proofErr w:type="spellStart"/>
      <w:r w:rsidRPr="00B419CE">
        <w:t>motverke</w:t>
      </w:r>
      <w:proofErr w:type="spellEnd"/>
      <w:r w:rsidRPr="00B419CE">
        <w:t xml:space="preserve"> </w:t>
      </w:r>
      <w:proofErr w:type="spellStart"/>
      <w:r w:rsidRPr="00B419CE">
        <w:t>ulovleg</w:t>
      </w:r>
      <w:proofErr w:type="spellEnd"/>
      <w:r w:rsidRPr="00B419CE">
        <w:t xml:space="preserve"> inn- og utførsel av </w:t>
      </w:r>
      <w:proofErr w:type="spellStart"/>
      <w:r w:rsidRPr="00B419CE">
        <w:t>farlege</w:t>
      </w:r>
      <w:proofErr w:type="spellEnd"/>
      <w:r w:rsidRPr="00B419CE">
        <w:t xml:space="preserve"> og </w:t>
      </w:r>
      <w:proofErr w:type="spellStart"/>
      <w:r w:rsidRPr="00B419CE">
        <w:t>ulovlege</w:t>
      </w:r>
      <w:proofErr w:type="spellEnd"/>
      <w:r w:rsidRPr="00B419CE">
        <w:t xml:space="preserve"> varer. Tolletaten </w:t>
      </w:r>
      <w:proofErr w:type="spellStart"/>
      <w:r w:rsidRPr="00B419CE">
        <w:t>byggjer</w:t>
      </w:r>
      <w:proofErr w:type="spellEnd"/>
      <w:r w:rsidRPr="00B419CE">
        <w:t xml:space="preserve"> i stor grad kontrollen på </w:t>
      </w:r>
      <w:proofErr w:type="spellStart"/>
      <w:r w:rsidRPr="00B419CE">
        <w:t>risikoanalysar</w:t>
      </w:r>
      <w:proofErr w:type="spellEnd"/>
      <w:r w:rsidRPr="00B419CE">
        <w:t xml:space="preserve"> og etterretning, og etaten vil i 2022 arbeide </w:t>
      </w:r>
      <w:proofErr w:type="spellStart"/>
      <w:r w:rsidRPr="00B419CE">
        <w:t>vidare</w:t>
      </w:r>
      <w:proofErr w:type="spellEnd"/>
      <w:r w:rsidRPr="00B419CE">
        <w:t xml:space="preserve"> med å </w:t>
      </w:r>
      <w:proofErr w:type="spellStart"/>
      <w:r w:rsidRPr="00B419CE">
        <w:t>gjere</w:t>
      </w:r>
      <w:proofErr w:type="spellEnd"/>
      <w:r w:rsidRPr="00B419CE">
        <w:t xml:space="preserve"> val av kontrollobjekt </w:t>
      </w:r>
      <w:proofErr w:type="spellStart"/>
      <w:r w:rsidRPr="00B419CE">
        <w:t>meir</w:t>
      </w:r>
      <w:proofErr w:type="spellEnd"/>
      <w:r w:rsidRPr="00B419CE">
        <w:t xml:space="preserve"> effektivt. I denne </w:t>
      </w:r>
      <w:proofErr w:type="spellStart"/>
      <w:r w:rsidRPr="00B419CE">
        <w:t>samanhengen</w:t>
      </w:r>
      <w:proofErr w:type="spellEnd"/>
      <w:r w:rsidRPr="00B419CE">
        <w:t xml:space="preserve"> starta etaten i 2019 ei satsing (Treff-satsinga) som mellom anna </w:t>
      </w:r>
      <w:proofErr w:type="spellStart"/>
      <w:r w:rsidRPr="00B419CE">
        <w:t>inneber</w:t>
      </w:r>
      <w:proofErr w:type="spellEnd"/>
      <w:r w:rsidRPr="00B419CE">
        <w:t xml:space="preserve"> å utvikle ny digitalisert </w:t>
      </w:r>
      <w:proofErr w:type="spellStart"/>
      <w:r w:rsidRPr="00B419CE">
        <w:t>systemstøtte</w:t>
      </w:r>
      <w:proofErr w:type="spellEnd"/>
      <w:r w:rsidRPr="00B419CE">
        <w:t xml:space="preserve"> for </w:t>
      </w:r>
      <w:proofErr w:type="spellStart"/>
      <w:r w:rsidRPr="00B419CE">
        <w:t>oppgåver</w:t>
      </w:r>
      <w:proofErr w:type="spellEnd"/>
      <w:r w:rsidRPr="00B419CE">
        <w:t xml:space="preserve"> i alle ledd av </w:t>
      </w:r>
      <w:proofErr w:type="spellStart"/>
      <w:r w:rsidRPr="00B419CE">
        <w:t>kontrollprosessane</w:t>
      </w:r>
      <w:proofErr w:type="spellEnd"/>
      <w:r w:rsidRPr="00B419CE">
        <w:t xml:space="preserve"> til etaten, jf. eigen omtale under kap. 1610 </w:t>
      </w:r>
      <w:r w:rsidRPr="00B419CE">
        <w:rPr>
          <w:rStyle w:val="kursiv"/>
        </w:rPr>
        <w:t>Tolletaten.</w:t>
      </w:r>
    </w:p>
    <w:p w14:paraId="0CC3F9D9" w14:textId="77777777" w:rsidR="00B419CE" w:rsidRPr="00B419CE" w:rsidRDefault="00B419CE" w:rsidP="00B419CE">
      <w:proofErr w:type="spellStart"/>
      <w:r w:rsidRPr="00B419CE">
        <w:t>Fleire</w:t>
      </w:r>
      <w:proofErr w:type="spellEnd"/>
      <w:r w:rsidRPr="00B419CE">
        <w:t xml:space="preserve"> </w:t>
      </w:r>
      <w:proofErr w:type="spellStart"/>
      <w:r w:rsidRPr="00B419CE">
        <w:t>etatar</w:t>
      </w:r>
      <w:proofErr w:type="spellEnd"/>
      <w:r w:rsidRPr="00B419CE">
        <w:t xml:space="preserve"> under Finansdepartementet </w:t>
      </w:r>
      <w:proofErr w:type="spellStart"/>
      <w:r w:rsidRPr="00B419CE">
        <w:t>forvaltar</w:t>
      </w:r>
      <w:proofErr w:type="spellEnd"/>
      <w:r w:rsidRPr="00B419CE">
        <w:t xml:space="preserve"> </w:t>
      </w:r>
      <w:proofErr w:type="spellStart"/>
      <w:r w:rsidRPr="00B419CE">
        <w:t>omfattande</w:t>
      </w:r>
      <w:proofErr w:type="spellEnd"/>
      <w:r w:rsidRPr="00B419CE">
        <w:t xml:space="preserve"> produksjonssystem som </w:t>
      </w:r>
      <w:proofErr w:type="spellStart"/>
      <w:r w:rsidRPr="00B419CE">
        <w:t>behandlar</w:t>
      </w:r>
      <w:proofErr w:type="spellEnd"/>
      <w:r w:rsidRPr="00B419CE">
        <w:t xml:space="preserve"> store informasjonsmengder. Informasjonstryggleik er </w:t>
      </w:r>
      <w:proofErr w:type="spellStart"/>
      <w:r w:rsidRPr="00B419CE">
        <w:t>ein</w:t>
      </w:r>
      <w:proofErr w:type="spellEnd"/>
      <w:r w:rsidRPr="00B419CE">
        <w:t xml:space="preserve"> viktig del av Finansdepartementets styringsdialog med </w:t>
      </w:r>
      <w:proofErr w:type="spellStart"/>
      <w:r w:rsidRPr="00B419CE">
        <w:t>underlagde</w:t>
      </w:r>
      <w:proofErr w:type="spellEnd"/>
      <w:r w:rsidRPr="00B419CE">
        <w:t xml:space="preserve"> </w:t>
      </w:r>
      <w:proofErr w:type="spellStart"/>
      <w:r w:rsidRPr="00B419CE">
        <w:t>etatar</w:t>
      </w:r>
      <w:proofErr w:type="spellEnd"/>
      <w:r w:rsidRPr="00B419CE">
        <w:t>.</w:t>
      </w:r>
    </w:p>
    <w:p w14:paraId="55549F98" w14:textId="77777777" w:rsidR="00B419CE" w:rsidRPr="00B419CE" w:rsidRDefault="00B419CE" w:rsidP="00B419CE">
      <w:pPr>
        <w:pStyle w:val="avsnitt-under-undertittel"/>
      </w:pPr>
      <w:proofErr w:type="spellStart"/>
      <w:r w:rsidRPr="00B419CE">
        <w:t>Særleg</w:t>
      </w:r>
      <w:proofErr w:type="spellEnd"/>
      <w:r w:rsidRPr="00B419CE">
        <w:t xml:space="preserve"> om arbeidet med ny lov om nasjonal </w:t>
      </w:r>
      <w:proofErr w:type="spellStart"/>
      <w:r w:rsidRPr="00B419CE">
        <w:t>sikkerheit</w:t>
      </w:r>
      <w:proofErr w:type="spellEnd"/>
    </w:p>
    <w:p w14:paraId="2A7B790A" w14:textId="77777777" w:rsidR="00B419CE" w:rsidRPr="00B419CE" w:rsidRDefault="00B419CE" w:rsidP="00B419CE">
      <w:r w:rsidRPr="00B419CE">
        <w:t xml:space="preserve">Lov om nasjonal sikkerhet (tryggingslova) tok til å gjelde 1. januar 2019, og alle </w:t>
      </w:r>
      <w:proofErr w:type="spellStart"/>
      <w:r w:rsidRPr="00B419CE">
        <w:t>sektorar</w:t>
      </w:r>
      <w:proofErr w:type="spellEnd"/>
      <w:r w:rsidRPr="00B419CE">
        <w:t xml:space="preserve"> arbeider med å gjennomføre føresegnene i lova. </w:t>
      </w:r>
      <w:proofErr w:type="spellStart"/>
      <w:r w:rsidRPr="00B419CE">
        <w:t>Føremålet</w:t>
      </w:r>
      <w:proofErr w:type="spellEnd"/>
      <w:r w:rsidRPr="00B419CE">
        <w:t xml:space="preserve"> med lova er å </w:t>
      </w:r>
      <w:proofErr w:type="spellStart"/>
      <w:r w:rsidRPr="00B419CE">
        <w:t>tryggje</w:t>
      </w:r>
      <w:proofErr w:type="spellEnd"/>
      <w:r w:rsidRPr="00B419CE">
        <w:t xml:space="preserve"> </w:t>
      </w:r>
      <w:proofErr w:type="spellStart"/>
      <w:r w:rsidRPr="00B419CE">
        <w:t>dei</w:t>
      </w:r>
      <w:proofErr w:type="spellEnd"/>
      <w:r w:rsidRPr="00B419CE">
        <w:t xml:space="preserve"> nasjonale </w:t>
      </w:r>
      <w:proofErr w:type="spellStart"/>
      <w:r w:rsidRPr="00B419CE">
        <w:t>sikkerheitsinteressene</w:t>
      </w:r>
      <w:proofErr w:type="spellEnd"/>
      <w:r w:rsidRPr="00B419CE">
        <w:t xml:space="preserve"> og å </w:t>
      </w:r>
      <w:proofErr w:type="spellStart"/>
      <w:r w:rsidRPr="00B419CE">
        <w:t>førebyggje</w:t>
      </w:r>
      <w:proofErr w:type="spellEnd"/>
      <w:r w:rsidRPr="00B419CE">
        <w:t xml:space="preserve">, </w:t>
      </w:r>
      <w:proofErr w:type="spellStart"/>
      <w:r w:rsidRPr="00B419CE">
        <w:t>avdekkje</w:t>
      </w:r>
      <w:proofErr w:type="spellEnd"/>
      <w:r w:rsidRPr="00B419CE">
        <w:t xml:space="preserve"> og </w:t>
      </w:r>
      <w:proofErr w:type="spellStart"/>
      <w:r w:rsidRPr="00B419CE">
        <w:t>motverke</w:t>
      </w:r>
      <w:proofErr w:type="spellEnd"/>
      <w:r w:rsidRPr="00B419CE">
        <w:t xml:space="preserve"> </w:t>
      </w:r>
      <w:proofErr w:type="spellStart"/>
      <w:r w:rsidRPr="00B419CE">
        <w:t>sikkerheitstrugande</w:t>
      </w:r>
      <w:proofErr w:type="spellEnd"/>
      <w:r w:rsidRPr="00B419CE">
        <w:t xml:space="preserve"> </w:t>
      </w:r>
      <w:proofErr w:type="spellStart"/>
      <w:r w:rsidRPr="00B419CE">
        <w:t>verksemd</w:t>
      </w:r>
      <w:proofErr w:type="spellEnd"/>
      <w:r w:rsidRPr="00B419CE">
        <w:t xml:space="preserve">. Dei nasjonale </w:t>
      </w:r>
      <w:proofErr w:type="spellStart"/>
      <w:r w:rsidRPr="00B419CE">
        <w:t>sikkerheitsinteressene</w:t>
      </w:r>
      <w:proofErr w:type="spellEnd"/>
      <w:r w:rsidRPr="00B419CE">
        <w:t xml:space="preserve"> skal </w:t>
      </w:r>
      <w:proofErr w:type="spellStart"/>
      <w:r w:rsidRPr="00B419CE">
        <w:t>tryggjast</w:t>
      </w:r>
      <w:proofErr w:type="spellEnd"/>
      <w:r w:rsidRPr="00B419CE">
        <w:t xml:space="preserve"> ved at kvart departement identifiserer </w:t>
      </w:r>
      <w:proofErr w:type="spellStart"/>
      <w:r w:rsidRPr="00B419CE">
        <w:t>grunnleggjande</w:t>
      </w:r>
      <w:proofErr w:type="spellEnd"/>
      <w:r w:rsidRPr="00B419CE">
        <w:t xml:space="preserve"> nasjonale </w:t>
      </w:r>
      <w:proofErr w:type="spellStart"/>
      <w:r w:rsidRPr="00B419CE">
        <w:t>funksjonar</w:t>
      </w:r>
      <w:proofErr w:type="spellEnd"/>
      <w:r w:rsidRPr="00B419CE">
        <w:t xml:space="preserve"> (GNF-ar) </w:t>
      </w:r>
      <w:proofErr w:type="spellStart"/>
      <w:r w:rsidRPr="00B419CE">
        <w:t>innanfor</w:t>
      </w:r>
      <w:proofErr w:type="spellEnd"/>
      <w:r w:rsidRPr="00B419CE">
        <w:t xml:space="preserve"> sitt ansvarsområde, slik at </w:t>
      </w:r>
      <w:proofErr w:type="spellStart"/>
      <w:r w:rsidRPr="00B419CE">
        <w:t>verksemder</w:t>
      </w:r>
      <w:proofErr w:type="spellEnd"/>
      <w:r w:rsidRPr="00B419CE">
        <w:t xml:space="preserve"> av </w:t>
      </w:r>
      <w:proofErr w:type="spellStart"/>
      <w:r w:rsidRPr="00B419CE">
        <w:t>avgjerande</w:t>
      </w:r>
      <w:proofErr w:type="spellEnd"/>
      <w:r w:rsidRPr="00B419CE">
        <w:t xml:space="preserve"> </w:t>
      </w:r>
      <w:proofErr w:type="spellStart"/>
      <w:r w:rsidRPr="00B419CE">
        <w:t>betyding</w:t>
      </w:r>
      <w:proofErr w:type="spellEnd"/>
      <w:r w:rsidRPr="00B419CE">
        <w:t xml:space="preserve"> for GNF-ar kan </w:t>
      </w:r>
      <w:proofErr w:type="spellStart"/>
      <w:r w:rsidRPr="00B419CE">
        <w:t>underleggjast</w:t>
      </w:r>
      <w:proofErr w:type="spellEnd"/>
      <w:r w:rsidRPr="00B419CE">
        <w:t xml:space="preserve"> </w:t>
      </w:r>
      <w:proofErr w:type="spellStart"/>
      <w:r w:rsidRPr="00B419CE">
        <w:t>sikkerheitslova</w:t>
      </w:r>
      <w:proofErr w:type="spellEnd"/>
      <w:r w:rsidRPr="00B419CE">
        <w:t xml:space="preserve">, og </w:t>
      </w:r>
      <w:proofErr w:type="spellStart"/>
      <w:r w:rsidRPr="00B419CE">
        <w:t>ein</w:t>
      </w:r>
      <w:proofErr w:type="spellEnd"/>
      <w:r w:rsidRPr="00B419CE">
        <w:t xml:space="preserve"> kan </w:t>
      </w:r>
      <w:proofErr w:type="spellStart"/>
      <w:r w:rsidRPr="00B419CE">
        <w:t>setje</w:t>
      </w:r>
      <w:proofErr w:type="spellEnd"/>
      <w:r w:rsidRPr="00B419CE">
        <w:t xml:space="preserve"> i verk </w:t>
      </w:r>
      <w:proofErr w:type="spellStart"/>
      <w:r w:rsidRPr="00B419CE">
        <w:t>naudsynte</w:t>
      </w:r>
      <w:proofErr w:type="spellEnd"/>
      <w:r w:rsidRPr="00B419CE">
        <w:t xml:space="preserve"> sikringstiltak for </w:t>
      </w:r>
      <w:proofErr w:type="spellStart"/>
      <w:r w:rsidRPr="00B419CE">
        <w:t>dei</w:t>
      </w:r>
      <w:proofErr w:type="spellEnd"/>
      <w:r w:rsidRPr="00B419CE">
        <w:t xml:space="preserve"> skjermingsverdige </w:t>
      </w:r>
      <w:proofErr w:type="spellStart"/>
      <w:r w:rsidRPr="00B419CE">
        <w:t>verdiane</w:t>
      </w:r>
      <w:proofErr w:type="spellEnd"/>
      <w:r w:rsidRPr="00B419CE">
        <w:t xml:space="preserve"> i </w:t>
      </w:r>
      <w:proofErr w:type="spellStart"/>
      <w:r w:rsidRPr="00B419CE">
        <w:t>verksemdene</w:t>
      </w:r>
      <w:proofErr w:type="spellEnd"/>
      <w:r w:rsidRPr="00B419CE">
        <w:t xml:space="preserve">. For å vareta </w:t>
      </w:r>
      <w:proofErr w:type="spellStart"/>
      <w:r w:rsidRPr="00B419CE">
        <w:t>føremålet</w:t>
      </w:r>
      <w:proofErr w:type="spellEnd"/>
      <w:r w:rsidRPr="00B419CE">
        <w:t xml:space="preserve"> med lova, vil GNF-arbeidet i departementa </w:t>
      </w:r>
      <w:proofErr w:type="spellStart"/>
      <w:r w:rsidRPr="00B419CE">
        <w:t>vere</w:t>
      </w:r>
      <w:proofErr w:type="spellEnd"/>
      <w:r w:rsidRPr="00B419CE">
        <w:t xml:space="preserve"> </w:t>
      </w:r>
      <w:proofErr w:type="spellStart"/>
      <w:r w:rsidRPr="00B419CE">
        <w:t>ein</w:t>
      </w:r>
      <w:proofErr w:type="spellEnd"/>
      <w:r w:rsidRPr="00B419CE">
        <w:t xml:space="preserve"> </w:t>
      </w:r>
      <w:proofErr w:type="spellStart"/>
      <w:r w:rsidRPr="00B419CE">
        <w:t>kontinuerleg</w:t>
      </w:r>
      <w:proofErr w:type="spellEnd"/>
      <w:r w:rsidRPr="00B419CE">
        <w:t xml:space="preserve"> prosess. Arbeidet kan </w:t>
      </w:r>
      <w:proofErr w:type="spellStart"/>
      <w:r w:rsidRPr="00B419CE">
        <w:t>gje</w:t>
      </w:r>
      <w:proofErr w:type="spellEnd"/>
      <w:r w:rsidRPr="00B419CE">
        <w:t xml:space="preserve"> </w:t>
      </w:r>
      <w:proofErr w:type="spellStart"/>
      <w:r w:rsidRPr="00B419CE">
        <w:t>endringar</w:t>
      </w:r>
      <w:proofErr w:type="spellEnd"/>
      <w:r w:rsidRPr="00B419CE">
        <w:t xml:space="preserve"> i </w:t>
      </w:r>
      <w:proofErr w:type="spellStart"/>
      <w:r w:rsidRPr="00B419CE">
        <w:t>dei</w:t>
      </w:r>
      <w:proofErr w:type="spellEnd"/>
      <w:r w:rsidRPr="00B419CE">
        <w:t xml:space="preserve"> identifiserte GNF-ane og skjermingsverdige </w:t>
      </w:r>
      <w:proofErr w:type="spellStart"/>
      <w:r w:rsidRPr="00B419CE">
        <w:t>verdiar</w:t>
      </w:r>
      <w:proofErr w:type="spellEnd"/>
      <w:r w:rsidRPr="00B419CE">
        <w:t xml:space="preserve">, kva for </w:t>
      </w:r>
      <w:proofErr w:type="spellStart"/>
      <w:r w:rsidRPr="00B419CE">
        <w:t>verksemder</w:t>
      </w:r>
      <w:proofErr w:type="spellEnd"/>
      <w:r w:rsidRPr="00B419CE">
        <w:t xml:space="preserve"> som er av </w:t>
      </w:r>
      <w:proofErr w:type="spellStart"/>
      <w:r w:rsidRPr="00B419CE">
        <w:t>vesentleg</w:t>
      </w:r>
      <w:proofErr w:type="spellEnd"/>
      <w:r w:rsidRPr="00B419CE">
        <w:t xml:space="preserve"> og </w:t>
      </w:r>
      <w:proofErr w:type="spellStart"/>
      <w:r w:rsidRPr="00B419CE">
        <w:t>avgjerande</w:t>
      </w:r>
      <w:proofErr w:type="spellEnd"/>
      <w:r w:rsidRPr="00B419CE">
        <w:t xml:space="preserve"> </w:t>
      </w:r>
      <w:proofErr w:type="spellStart"/>
      <w:r w:rsidRPr="00B419CE">
        <w:t>betyding</w:t>
      </w:r>
      <w:proofErr w:type="spellEnd"/>
      <w:r w:rsidRPr="00B419CE">
        <w:t xml:space="preserve">, og i kva grad ei </w:t>
      </w:r>
      <w:proofErr w:type="spellStart"/>
      <w:r w:rsidRPr="00B419CE">
        <w:t>verksemd</w:t>
      </w:r>
      <w:proofErr w:type="spellEnd"/>
      <w:r w:rsidRPr="00B419CE">
        <w:t xml:space="preserve"> er avhengig av eksterne </w:t>
      </w:r>
      <w:proofErr w:type="spellStart"/>
      <w:r w:rsidRPr="00B419CE">
        <w:t>ressursar</w:t>
      </w:r>
      <w:proofErr w:type="spellEnd"/>
      <w:r w:rsidRPr="00B419CE">
        <w:t xml:space="preserve"> (til dømes andre </w:t>
      </w:r>
      <w:proofErr w:type="spellStart"/>
      <w:r w:rsidRPr="00B419CE">
        <w:t>verksemder</w:t>
      </w:r>
      <w:proofErr w:type="spellEnd"/>
      <w:r w:rsidRPr="00B419CE">
        <w:t xml:space="preserve">). Kva som </w:t>
      </w:r>
      <w:proofErr w:type="spellStart"/>
      <w:r w:rsidRPr="00B419CE">
        <w:t>krevst</w:t>
      </w:r>
      <w:proofErr w:type="spellEnd"/>
      <w:r w:rsidRPr="00B419CE">
        <w:t xml:space="preserve"> for å oppnå </w:t>
      </w:r>
      <w:proofErr w:type="spellStart"/>
      <w:r w:rsidRPr="00B419CE">
        <w:t>eit</w:t>
      </w:r>
      <w:proofErr w:type="spellEnd"/>
      <w:r w:rsidRPr="00B419CE">
        <w:t xml:space="preserve"> </w:t>
      </w:r>
      <w:proofErr w:type="spellStart"/>
      <w:r w:rsidRPr="00B419CE">
        <w:t>forsvarleg</w:t>
      </w:r>
      <w:proofErr w:type="spellEnd"/>
      <w:r w:rsidRPr="00B419CE">
        <w:t xml:space="preserve"> </w:t>
      </w:r>
      <w:proofErr w:type="spellStart"/>
      <w:r w:rsidRPr="00B419CE">
        <w:t>sikkerheitsnivå</w:t>
      </w:r>
      <w:proofErr w:type="spellEnd"/>
      <w:r w:rsidRPr="00B419CE">
        <w:t xml:space="preserve">, kan òg </w:t>
      </w:r>
      <w:proofErr w:type="spellStart"/>
      <w:r w:rsidRPr="00B419CE">
        <w:t>verte</w:t>
      </w:r>
      <w:proofErr w:type="spellEnd"/>
      <w:r w:rsidRPr="00B419CE">
        <w:t xml:space="preserve"> endra undervegs.</w:t>
      </w:r>
    </w:p>
    <w:p w14:paraId="5DDF40E9" w14:textId="77777777" w:rsidR="00B419CE" w:rsidRPr="00B419CE" w:rsidRDefault="00B419CE" w:rsidP="00B419CE">
      <w:r w:rsidRPr="00B419CE">
        <w:t xml:space="preserve">Finansdepartementet har identifisert </w:t>
      </w:r>
      <w:proofErr w:type="spellStart"/>
      <w:r w:rsidRPr="00B419CE">
        <w:t>følgjande</w:t>
      </w:r>
      <w:proofErr w:type="spellEnd"/>
      <w:r w:rsidRPr="00B419CE">
        <w:t xml:space="preserve"> GNF-ar i sin sektor:</w:t>
      </w:r>
    </w:p>
    <w:p w14:paraId="58CA0109" w14:textId="77777777" w:rsidR="00B419CE" w:rsidRPr="00B419CE" w:rsidRDefault="00B419CE" w:rsidP="00DF1D6A">
      <w:pPr>
        <w:pStyle w:val="Nummerertliste"/>
        <w:numPr>
          <w:ilvl w:val="0"/>
          <w:numId w:val="21"/>
        </w:numPr>
      </w:pPr>
      <w:r w:rsidRPr="00B419CE">
        <w:t xml:space="preserve">Evne til å finansiere </w:t>
      </w:r>
      <w:proofErr w:type="spellStart"/>
      <w:r w:rsidRPr="00B419CE">
        <w:t>offentleg</w:t>
      </w:r>
      <w:proofErr w:type="spellEnd"/>
      <w:r w:rsidRPr="00B419CE">
        <w:t xml:space="preserve"> </w:t>
      </w:r>
      <w:proofErr w:type="spellStart"/>
      <w:r w:rsidRPr="00B419CE">
        <w:t>verksemd</w:t>
      </w:r>
      <w:proofErr w:type="spellEnd"/>
    </w:p>
    <w:p w14:paraId="5896A0AB" w14:textId="77777777" w:rsidR="00B419CE" w:rsidRPr="00B419CE" w:rsidRDefault="00B419CE" w:rsidP="00B419CE">
      <w:pPr>
        <w:pStyle w:val="Liste2"/>
      </w:pPr>
      <w:r w:rsidRPr="00B419CE">
        <w:t xml:space="preserve">GNF-en </w:t>
      </w:r>
      <w:proofErr w:type="spellStart"/>
      <w:r w:rsidRPr="00B419CE">
        <w:t>omfattar</w:t>
      </w:r>
      <w:proofErr w:type="spellEnd"/>
      <w:r w:rsidRPr="00B419CE">
        <w:t xml:space="preserve"> både rolla til departementet i å sikre inntekter til staten og i å </w:t>
      </w:r>
      <w:proofErr w:type="spellStart"/>
      <w:r w:rsidRPr="00B419CE">
        <w:t>tryggje</w:t>
      </w:r>
      <w:proofErr w:type="spellEnd"/>
      <w:r w:rsidRPr="00B419CE">
        <w:t xml:space="preserve"> </w:t>
      </w:r>
      <w:proofErr w:type="spellStart"/>
      <w:r w:rsidRPr="00B419CE">
        <w:t>statlege</w:t>
      </w:r>
      <w:proofErr w:type="spellEnd"/>
      <w:r w:rsidRPr="00B419CE">
        <w:t xml:space="preserve"> </w:t>
      </w:r>
      <w:proofErr w:type="spellStart"/>
      <w:r w:rsidRPr="00B419CE">
        <w:t>utbetalingar</w:t>
      </w:r>
      <w:proofErr w:type="spellEnd"/>
      <w:r w:rsidRPr="00B419CE">
        <w:t>.</w:t>
      </w:r>
    </w:p>
    <w:p w14:paraId="259E9744" w14:textId="77777777" w:rsidR="00B419CE" w:rsidRPr="00B419CE" w:rsidRDefault="00B419CE" w:rsidP="00B419CE">
      <w:pPr>
        <w:pStyle w:val="Nummerertliste"/>
      </w:pPr>
      <w:proofErr w:type="spellStart"/>
      <w:r w:rsidRPr="00B419CE">
        <w:t>Tryggje</w:t>
      </w:r>
      <w:proofErr w:type="spellEnd"/>
      <w:r w:rsidRPr="00B419CE">
        <w:t xml:space="preserve"> samfunnet </w:t>
      </w:r>
      <w:proofErr w:type="spellStart"/>
      <w:r w:rsidRPr="00B419CE">
        <w:t>si</w:t>
      </w:r>
      <w:proofErr w:type="spellEnd"/>
      <w:r w:rsidRPr="00B419CE">
        <w:t xml:space="preserve"> evne til å formidle finansielle </w:t>
      </w:r>
      <w:proofErr w:type="spellStart"/>
      <w:r w:rsidRPr="00B419CE">
        <w:t>tenester</w:t>
      </w:r>
      <w:proofErr w:type="spellEnd"/>
    </w:p>
    <w:p w14:paraId="501DC8B2" w14:textId="77777777" w:rsidR="00B419CE" w:rsidRPr="00B419CE" w:rsidRDefault="00B419CE" w:rsidP="00B419CE">
      <w:pPr>
        <w:pStyle w:val="Liste2"/>
      </w:pPr>
      <w:r w:rsidRPr="00B419CE">
        <w:t xml:space="preserve">GNF-en </w:t>
      </w:r>
      <w:proofErr w:type="spellStart"/>
      <w:r w:rsidRPr="00B419CE">
        <w:t>omfattar</w:t>
      </w:r>
      <w:proofErr w:type="spellEnd"/>
      <w:r w:rsidRPr="00B419CE">
        <w:t xml:space="preserve"> rolla departementet har ved å </w:t>
      </w:r>
      <w:proofErr w:type="spellStart"/>
      <w:r w:rsidRPr="00B419CE">
        <w:t>leggje</w:t>
      </w:r>
      <w:proofErr w:type="spellEnd"/>
      <w:r w:rsidRPr="00B419CE">
        <w:t xml:space="preserve"> til rette for </w:t>
      </w:r>
      <w:proofErr w:type="spellStart"/>
      <w:r w:rsidRPr="00B419CE">
        <w:t>eit</w:t>
      </w:r>
      <w:proofErr w:type="spellEnd"/>
      <w:r w:rsidRPr="00B419CE">
        <w:t xml:space="preserve"> stabilt og </w:t>
      </w:r>
      <w:proofErr w:type="spellStart"/>
      <w:r w:rsidRPr="00B419CE">
        <w:t>velfungerande</w:t>
      </w:r>
      <w:proofErr w:type="spellEnd"/>
      <w:r w:rsidRPr="00B419CE">
        <w:t xml:space="preserve"> finanssystem.</w:t>
      </w:r>
    </w:p>
    <w:p w14:paraId="21A928F6" w14:textId="77777777" w:rsidR="00B419CE" w:rsidRPr="00B419CE" w:rsidRDefault="00B419CE" w:rsidP="00B419CE">
      <w:pPr>
        <w:pStyle w:val="Nummerertliste"/>
      </w:pPr>
      <w:r w:rsidRPr="00B419CE">
        <w:t xml:space="preserve">Finansdepartementets </w:t>
      </w:r>
      <w:proofErr w:type="spellStart"/>
      <w:r w:rsidRPr="00B419CE">
        <w:t>verksemd</w:t>
      </w:r>
      <w:proofErr w:type="spellEnd"/>
      <w:r w:rsidRPr="00B419CE">
        <w:t xml:space="preserve">, handlefridom og evne til å </w:t>
      </w:r>
      <w:proofErr w:type="spellStart"/>
      <w:r w:rsidRPr="00B419CE">
        <w:t>gjere</w:t>
      </w:r>
      <w:proofErr w:type="spellEnd"/>
      <w:r w:rsidRPr="00B419CE">
        <w:t xml:space="preserve"> vedtak</w:t>
      </w:r>
    </w:p>
    <w:p w14:paraId="7195261A" w14:textId="77777777" w:rsidR="00B419CE" w:rsidRPr="00B419CE" w:rsidRDefault="00B419CE" w:rsidP="00B419CE">
      <w:pPr>
        <w:pStyle w:val="Liste2"/>
      </w:pPr>
      <w:r w:rsidRPr="00B419CE">
        <w:t xml:space="preserve">GNF-en </w:t>
      </w:r>
      <w:proofErr w:type="spellStart"/>
      <w:r w:rsidRPr="00B419CE">
        <w:t>omfattar</w:t>
      </w:r>
      <w:proofErr w:type="spellEnd"/>
      <w:r w:rsidRPr="00B419CE">
        <w:t xml:space="preserve"> departementet </w:t>
      </w:r>
      <w:proofErr w:type="spellStart"/>
      <w:r w:rsidRPr="00B419CE">
        <w:t>si</w:t>
      </w:r>
      <w:proofErr w:type="spellEnd"/>
      <w:r w:rsidRPr="00B419CE">
        <w:t xml:space="preserve"> rolle som </w:t>
      </w:r>
      <w:proofErr w:type="spellStart"/>
      <w:r w:rsidRPr="00B419CE">
        <w:t>fagleg</w:t>
      </w:r>
      <w:proofErr w:type="spellEnd"/>
      <w:r w:rsidRPr="00B419CE">
        <w:t xml:space="preserve"> sekretariat for politisk leiing, utøving av </w:t>
      </w:r>
      <w:proofErr w:type="spellStart"/>
      <w:r w:rsidRPr="00B419CE">
        <w:t>myndigheit</w:t>
      </w:r>
      <w:proofErr w:type="spellEnd"/>
      <w:r w:rsidRPr="00B419CE">
        <w:t xml:space="preserve"> og styring og oppfølging av </w:t>
      </w:r>
      <w:proofErr w:type="spellStart"/>
      <w:r w:rsidRPr="00B419CE">
        <w:t>underliggjande</w:t>
      </w:r>
      <w:proofErr w:type="spellEnd"/>
      <w:r w:rsidRPr="00B419CE">
        <w:t xml:space="preserve"> </w:t>
      </w:r>
      <w:proofErr w:type="spellStart"/>
      <w:r w:rsidRPr="00B419CE">
        <w:t>verksemder</w:t>
      </w:r>
      <w:proofErr w:type="spellEnd"/>
      <w:r w:rsidRPr="00B419CE">
        <w:t>.</w:t>
      </w:r>
    </w:p>
    <w:p w14:paraId="01E3B141" w14:textId="77777777" w:rsidR="00B419CE" w:rsidRPr="00B419CE" w:rsidRDefault="00B419CE" w:rsidP="00B419CE">
      <w:r w:rsidRPr="00B419CE">
        <w:t xml:space="preserve">I tråd med føresegna i </w:t>
      </w:r>
      <w:proofErr w:type="spellStart"/>
      <w:r w:rsidRPr="00B419CE">
        <w:t>sikkerheitslova</w:t>
      </w:r>
      <w:proofErr w:type="spellEnd"/>
      <w:r w:rsidRPr="00B419CE">
        <w:t xml:space="preserve">, har Finansdepartementet innmeldt </w:t>
      </w:r>
      <w:proofErr w:type="spellStart"/>
      <w:r w:rsidRPr="00B419CE">
        <w:t>desse</w:t>
      </w:r>
      <w:proofErr w:type="spellEnd"/>
      <w:r w:rsidRPr="00B419CE">
        <w:t xml:space="preserve"> GNF-ane til Nasjonalt tryggingsorgan.</w:t>
      </w:r>
    </w:p>
    <w:p w14:paraId="1713BD31" w14:textId="77777777" w:rsidR="00B419CE" w:rsidRPr="00B419CE" w:rsidRDefault="00B419CE" w:rsidP="00B419CE">
      <w:proofErr w:type="spellStart"/>
      <w:r w:rsidRPr="00B419CE">
        <w:lastRenderedPageBreak/>
        <w:t>Statlege</w:t>
      </w:r>
      <w:proofErr w:type="spellEnd"/>
      <w:r w:rsidRPr="00B419CE">
        <w:t xml:space="preserve"> </w:t>
      </w:r>
      <w:proofErr w:type="spellStart"/>
      <w:r w:rsidRPr="00B419CE">
        <w:t>verksemder</w:t>
      </w:r>
      <w:proofErr w:type="spellEnd"/>
      <w:r w:rsidRPr="00B419CE">
        <w:t xml:space="preserve"> som Finansdepartementets </w:t>
      </w:r>
      <w:proofErr w:type="spellStart"/>
      <w:r w:rsidRPr="00B419CE">
        <w:t>underliggjande</w:t>
      </w:r>
      <w:proofErr w:type="spellEnd"/>
      <w:r w:rsidRPr="00B419CE">
        <w:t xml:space="preserve"> </w:t>
      </w:r>
      <w:proofErr w:type="spellStart"/>
      <w:r w:rsidRPr="00B419CE">
        <w:t>etatar</w:t>
      </w:r>
      <w:proofErr w:type="spellEnd"/>
      <w:r w:rsidRPr="00B419CE">
        <w:t xml:space="preserve"> og </w:t>
      </w:r>
      <w:proofErr w:type="spellStart"/>
      <w:r w:rsidRPr="00B419CE">
        <w:t>Noregs</w:t>
      </w:r>
      <w:proofErr w:type="spellEnd"/>
      <w:r w:rsidRPr="00B419CE">
        <w:t xml:space="preserve"> Bank er </w:t>
      </w:r>
      <w:proofErr w:type="spellStart"/>
      <w:r w:rsidRPr="00B419CE">
        <w:t>allereie</w:t>
      </w:r>
      <w:proofErr w:type="spellEnd"/>
      <w:r w:rsidRPr="00B419CE">
        <w:t xml:space="preserve"> underlagt </w:t>
      </w:r>
      <w:proofErr w:type="spellStart"/>
      <w:r w:rsidRPr="00B419CE">
        <w:t>sikkerheitslova</w:t>
      </w:r>
      <w:proofErr w:type="spellEnd"/>
      <w:r w:rsidRPr="00B419CE">
        <w:t xml:space="preserve">. Finansdepartementet har i 2020–2021 </w:t>
      </w:r>
      <w:proofErr w:type="spellStart"/>
      <w:r w:rsidRPr="00B419CE">
        <w:t>arbeidd</w:t>
      </w:r>
      <w:proofErr w:type="spellEnd"/>
      <w:r w:rsidRPr="00B419CE">
        <w:t xml:space="preserve"> med å identifisere andre </w:t>
      </w:r>
      <w:proofErr w:type="spellStart"/>
      <w:r w:rsidRPr="00B419CE">
        <w:t>verksemder</w:t>
      </w:r>
      <w:proofErr w:type="spellEnd"/>
      <w:r w:rsidRPr="00B419CE">
        <w:t xml:space="preserve"> med </w:t>
      </w:r>
      <w:proofErr w:type="spellStart"/>
      <w:r w:rsidRPr="00B419CE">
        <w:t>vesentleg</w:t>
      </w:r>
      <w:proofErr w:type="spellEnd"/>
      <w:r w:rsidRPr="00B419CE">
        <w:t xml:space="preserve"> eller </w:t>
      </w:r>
      <w:proofErr w:type="spellStart"/>
      <w:r w:rsidRPr="00B419CE">
        <w:t>avgjerande</w:t>
      </w:r>
      <w:proofErr w:type="spellEnd"/>
      <w:r w:rsidRPr="00B419CE">
        <w:t xml:space="preserve"> </w:t>
      </w:r>
      <w:proofErr w:type="spellStart"/>
      <w:r w:rsidRPr="00B419CE">
        <w:t>viktigheit</w:t>
      </w:r>
      <w:proofErr w:type="spellEnd"/>
      <w:r w:rsidRPr="00B419CE">
        <w:t xml:space="preserve"> for GNF-ane, samt med å førebu vedtak om å </w:t>
      </w:r>
      <w:proofErr w:type="spellStart"/>
      <w:r w:rsidRPr="00B419CE">
        <w:t>underleggje</w:t>
      </w:r>
      <w:proofErr w:type="spellEnd"/>
      <w:r w:rsidRPr="00B419CE">
        <w:t xml:space="preserve"> </w:t>
      </w:r>
      <w:proofErr w:type="spellStart"/>
      <w:r w:rsidRPr="00B419CE">
        <w:t>desse</w:t>
      </w:r>
      <w:proofErr w:type="spellEnd"/>
      <w:r w:rsidRPr="00B419CE">
        <w:t xml:space="preserve"> lova der det er </w:t>
      </w:r>
      <w:proofErr w:type="spellStart"/>
      <w:r w:rsidRPr="00B419CE">
        <w:t>naudsynt</w:t>
      </w:r>
      <w:proofErr w:type="spellEnd"/>
      <w:r w:rsidRPr="00B419CE">
        <w:t xml:space="preserve">. Arbeidet vil </w:t>
      </w:r>
      <w:proofErr w:type="spellStart"/>
      <w:r w:rsidRPr="00B419CE">
        <w:t>halde</w:t>
      </w:r>
      <w:proofErr w:type="spellEnd"/>
      <w:r w:rsidRPr="00B419CE">
        <w:t xml:space="preserve"> fram i 2022. For </w:t>
      </w:r>
      <w:proofErr w:type="spellStart"/>
      <w:r w:rsidRPr="00B419CE">
        <w:t>verksemder</w:t>
      </w:r>
      <w:proofErr w:type="spellEnd"/>
      <w:r w:rsidRPr="00B419CE">
        <w:t xml:space="preserve"> som vert </w:t>
      </w:r>
      <w:proofErr w:type="spellStart"/>
      <w:r w:rsidRPr="00B419CE">
        <w:t>underlagde</w:t>
      </w:r>
      <w:proofErr w:type="spellEnd"/>
      <w:r w:rsidRPr="00B419CE">
        <w:t xml:space="preserve"> lova, vil departementet i samråd med </w:t>
      </w:r>
      <w:proofErr w:type="spellStart"/>
      <w:r w:rsidRPr="00B419CE">
        <w:t>verksemda</w:t>
      </w:r>
      <w:proofErr w:type="spellEnd"/>
      <w:r w:rsidRPr="00B419CE">
        <w:t xml:space="preserve"> òg vurdere om </w:t>
      </w:r>
      <w:proofErr w:type="spellStart"/>
      <w:r w:rsidRPr="00B419CE">
        <w:t>verksemda</w:t>
      </w:r>
      <w:proofErr w:type="spellEnd"/>
      <w:r w:rsidRPr="00B419CE">
        <w:t xml:space="preserve"> </w:t>
      </w:r>
      <w:proofErr w:type="spellStart"/>
      <w:r w:rsidRPr="00B419CE">
        <w:t>eig</w:t>
      </w:r>
      <w:proofErr w:type="spellEnd"/>
      <w:r w:rsidRPr="00B419CE">
        <w:t xml:space="preserve"> eller </w:t>
      </w:r>
      <w:proofErr w:type="spellStart"/>
      <w:r w:rsidRPr="00B419CE">
        <w:t>forvaltar</w:t>
      </w:r>
      <w:proofErr w:type="spellEnd"/>
      <w:r w:rsidRPr="00B419CE">
        <w:t xml:space="preserve"> skjermingsverdige </w:t>
      </w:r>
      <w:proofErr w:type="spellStart"/>
      <w:r w:rsidRPr="00B419CE">
        <w:t>verdiar</w:t>
      </w:r>
      <w:proofErr w:type="spellEnd"/>
      <w:r w:rsidRPr="00B419CE">
        <w:t xml:space="preserve">. </w:t>
      </w:r>
      <w:proofErr w:type="spellStart"/>
      <w:r w:rsidRPr="00B419CE">
        <w:t>Utpeiking</w:t>
      </w:r>
      <w:proofErr w:type="spellEnd"/>
      <w:r w:rsidRPr="00B419CE">
        <w:t xml:space="preserve"> av eventuelle skjermingsverdige </w:t>
      </w:r>
      <w:proofErr w:type="spellStart"/>
      <w:r w:rsidRPr="00B419CE">
        <w:t>verdiar</w:t>
      </w:r>
      <w:proofErr w:type="spellEnd"/>
      <w:r w:rsidRPr="00B419CE">
        <w:t xml:space="preserve"> vil </w:t>
      </w:r>
      <w:proofErr w:type="spellStart"/>
      <w:r w:rsidRPr="00B419CE">
        <w:t>gjerast</w:t>
      </w:r>
      <w:proofErr w:type="spellEnd"/>
      <w:r w:rsidRPr="00B419CE">
        <w:t xml:space="preserve"> av departementet i samråd med </w:t>
      </w:r>
      <w:proofErr w:type="spellStart"/>
      <w:r w:rsidRPr="00B419CE">
        <w:t>verksemdene</w:t>
      </w:r>
      <w:proofErr w:type="spellEnd"/>
      <w:r w:rsidRPr="00B419CE">
        <w:t xml:space="preserve">. Departementet vil så </w:t>
      </w:r>
      <w:proofErr w:type="spellStart"/>
      <w:r w:rsidRPr="00B419CE">
        <w:t>setje</w:t>
      </w:r>
      <w:proofErr w:type="spellEnd"/>
      <w:r w:rsidRPr="00B419CE">
        <w:t xml:space="preserve"> </w:t>
      </w:r>
      <w:proofErr w:type="spellStart"/>
      <w:r w:rsidRPr="00B419CE">
        <w:t>fristar</w:t>
      </w:r>
      <w:proofErr w:type="spellEnd"/>
      <w:r w:rsidRPr="00B419CE">
        <w:t xml:space="preserve"> for gjennomføring av sikringstiltak.</w:t>
      </w:r>
    </w:p>
    <w:p w14:paraId="6B4DCB94" w14:textId="77777777" w:rsidR="00B419CE" w:rsidRPr="00B419CE" w:rsidRDefault="00B419CE" w:rsidP="00B419CE">
      <w:r w:rsidRPr="00B419CE">
        <w:t xml:space="preserve">Finansdepartementet har i 2020–2021 gjort vedtak om </w:t>
      </w:r>
      <w:proofErr w:type="spellStart"/>
      <w:r w:rsidRPr="00B419CE">
        <w:t>endringar</w:t>
      </w:r>
      <w:proofErr w:type="spellEnd"/>
      <w:r w:rsidRPr="00B419CE">
        <w:t xml:space="preserve"> for </w:t>
      </w:r>
      <w:proofErr w:type="spellStart"/>
      <w:r w:rsidRPr="00B419CE">
        <w:t>allereie</w:t>
      </w:r>
      <w:proofErr w:type="spellEnd"/>
      <w:r w:rsidRPr="00B419CE">
        <w:t xml:space="preserve"> </w:t>
      </w:r>
      <w:proofErr w:type="spellStart"/>
      <w:r w:rsidRPr="00B419CE">
        <w:t>utpeika</w:t>
      </w:r>
      <w:proofErr w:type="spellEnd"/>
      <w:r w:rsidRPr="00B419CE">
        <w:t xml:space="preserve"> skjermingsverdige </w:t>
      </w:r>
      <w:proofErr w:type="spellStart"/>
      <w:r w:rsidRPr="00B419CE">
        <w:t>verdiar</w:t>
      </w:r>
      <w:proofErr w:type="spellEnd"/>
      <w:r w:rsidRPr="00B419CE">
        <w:t xml:space="preserve"> og meldt dette til Nasjonalt tryggingsorgan.</w:t>
      </w:r>
    </w:p>
    <w:p w14:paraId="2287E840" w14:textId="77777777" w:rsidR="00B419CE" w:rsidRPr="00B419CE" w:rsidRDefault="00B419CE" w:rsidP="00B419CE">
      <w:pPr>
        <w:pStyle w:val="b-post"/>
      </w:pPr>
      <w:r w:rsidRPr="00B419CE">
        <w:t>Post 01 Driftsutgifter</w:t>
      </w:r>
    </w:p>
    <w:p w14:paraId="52E59FEA" w14:textId="77777777" w:rsidR="00B419CE" w:rsidRPr="00B419CE" w:rsidRDefault="00B419CE" w:rsidP="00B419CE">
      <w:r w:rsidRPr="00B419CE">
        <w:t xml:space="preserve">Driftsløyvinga </w:t>
      </w:r>
      <w:proofErr w:type="spellStart"/>
      <w:r w:rsidRPr="00B419CE">
        <w:t>dekkjer</w:t>
      </w:r>
      <w:proofErr w:type="spellEnd"/>
      <w:r w:rsidRPr="00B419CE">
        <w:t xml:space="preserve"> </w:t>
      </w:r>
      <w:proofErr w:type="spellStart"/>
      <w:r w:rsidRPr="00B419CE">
        <w:t>lønsutgifter</w:t>
      </w:r>
      <w:proofErr w:type="spellEnd"/>
      <w:r w:rsidRPr="00B419CE">
        <w:t xml:space="preserve"> og andre utgifter til drift av departementet. For 2020 vart </w:t>
      </w:r>
      <w:proofErr w:type="spellStart"/>
      <w:r w:rsidRPr="00B419CE">
        <w:t>talet</w:t>
      </w:r>
      <w:proofErr w:type="spellEnd"/>
      <w:r w:rsidRPr="00B419CE">
        <w:t xml:space="preserve"> på årsverk </w:t>
      </w:r>
      <w:proofErr w:type="spellStart"/>
      <w:r w:rsidRPr="00B419CE">
        <w:t>rekna</w:t>
      </w:r>
      <w:proofErr w:type="spellEnd"/>
      <w:r w:rsidRPr="00B419CE">
        <w:t xml:space="preserve"> til 291. </w:t>
      </w:r>
      <w:proofErr w:type="spellStart"/>
      <w:r w:rsidRPr="00B419CE">
        <w:t>Lønsrelaterte</w:t>
      </w:r>
      <w:proofErr w:type="spellEnd"/>
      <w:r w:rsidRPr="00B419CE">
        <w:t xml:space="preserve"> utgifter </w:t>
      </w:r>
      <w:proofErr w:type="spellStart"/>
      <w:r w:rsidRPr="00B419CE">
        <w:t>utgjer</w:t>
      </w:r>
      <w:proofErr w:type="spellEnd"/>
      <w:r w:rsidRPr="00B419CE">
        <w:t xml:space="preserve"> nær 80 pst. av løyvinga. Av andre driftsutgifter </w:t>
      </w:r>
      <w:proofErr w:type="spellStart"/>
      <w:r w:rsidRPr="00B419CE">
        <w:t>utgjer</w:t>
      </w:r>
      <w:proofErr w:type="spellEnd"/>
      <w:r w:rsidRPr="00B419CE">
        <w:t xml:space="preserve"> </w:t>
      </w:r>
      <w:proofErr w:type="spellStart"/>
      <w:r w:rsidRPr="00B419CE">
        <w:t>lokalleige</w:t>
      </w:r>
      <w:proofErr w:type="spellEnd"/>
      <w:r w:rsidRPr="00B419CE">
        <w:t xml:space="preserve"> den største </w:t>
      </w:r>
      <w:proofErr w:type="spellStart"/>
      <w:r w:rsidRPr="00B419CE">
        <w:t>einskildposten</w:t>
      </w:r>
      <w:proofErr w:type="spellEnd"/>
      <w:r w:rsidRPr="00B419CE">
        <w:t>. For 2022 foreslår departementet ei løyving på 416,3 mill. kroner.</w:t>
      </w:r>
    </w:p>
    <w:p w14:paraId="4E34A47B" w14:textId="7CD4D229" w:rsidR="00B419CE" w:rsidRPr="00B419CE" w:rsidRDefault="00B419CE" w:rsidP="00B419CE">
      <w:pPr>
        <w:pStyle w:val="b-post"/>
      </w:pPr>
      <w:r w:rsidRPr="00B419CE">
        <w:t xml:space="preserve">Post 21 Spesielle driftsutgifter, kan </w:t>
      </w:r>
      <w:proofErr w:type="spellStart"/>
      <w:r w:rsidRPr="00B419CE">
        <w:t>overførast</w:t>
      </w:r>
      <w:proofErr w:type="spellEnd"/>
    </w:p>
    <w:p w14:paraId="5496DFAB"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hovudsakleg</w:t>
      </w:r>
      <w:proofErr w:type="spellEnd"/>
      <w:r w:rsidRPr="00B419CE">
        <w:t xml:space="preserve"> utgifter til forskingsoppdrag, utgreiingsarbeid og </w:t>
      </w:r>
      <w:proofErr w:type="spellStart"/>
      <w:r w:rsidRPr="00B419CE">
        <w:t>ein</w:t>
      </w:r>
      <w:proofErr w:type="spellEnd"/>
      <w:r w:rsidRPr="00B419CE">
        <w:t xml:space="preserve"> del </w:t>
      </w:r>
      <w:proofErr w:type="spellStart"/>
      <w:r w:rsidRPr="00B419CE">
        <w:t>særlege</w:t>
      </w:r>
      <w:proofErr w:type="spellEnd"/>
      <w:r w:rsidRPr="00B419CE">
        <w:t xml:space="preserve"> innkjøp.</w:t>
      </w:r>
    </w:p>
    <w:p w14:paraId="3B0F8CEC" w14:textId="77777777" w:rsidR="00B419CE" w:rsidRPr="00B419CE" w:rsidRDefault="00B419CE" w:rsidP="00B419CE">
      <w:proofErr w:type="spellStart"/>
      <w:r w:rsidRPr="00B419CE">
        <w:t>Forskingsmidlane</w:t>
      </w:r>
      <w:proofErr w:type="spellEnd"/>
      <w:r w:rsidRPr="00B419CE">
        <w:t xml:space="preserve"> vert m.a. brukte til program om skatteøkonomi i regi av </w:t>
      </w:r>
      <w:proofErr w:type="spellStart"/>
      <w:r w:rsidRPr="00B419CE">
        <w:t>Noregs</w:t>
      </w:r>
      <w:proofErr w:type="spellEnd"/>
      <w:r w:rsidRPr="00B419CE">
        <w:t xml:space="preserve"> forskingsråd. </w:t>
      </w:r>
      <w:proofErr w:type="spellStart"/>
      <w:r w:rsidRPr="00B419CE">
        <w:t>Vidare</w:t>
      </w:r>
      <w:proofErr w:type="spellEnd"/>
      <w:r w:rsidRPr="00B419CE">
        <w:t xml:space="preserve"> er det </w:t>
      </w:r>
      <w:proofErr w:type="spellStart"/>
      <w:r w:rsidRPr="00B419CE">
        <w:t>frå</w:t>
      </w:r>
      <w:proofErr w:type="spellEnd"/>
      <w:r w:rsidRPr="00B419CE">
        <w:t xml:space="preserve"> 2021, i kjølvatnet av </w:t>
      </w:r>
      <w:proofErr w:type="spellStart"/>
      <w:r w:rsidRPr="00B419CE">
        <w:t>virusutbrotet</w:t>
      </w:r>
      <w:proofErr w:type="spellEnd"/>
      <w:r w:rsidRPr="00B419CE">
        <w:t xml:space="preserve">, sett i verk </w:t>
      </w:r>
      <w:proofErr w:type="spellStart"/>
      <w:r w:rsidRPr="00B419CE">
        <w:t>eit</w:t>
      </w:r>
      <w:proofErr w:type="spellEnd"/>
      <w:r w:rsidRPr="00B419CE">
        <w:t xml:space="preserve"> program som over tre til fire år ser </w:t>
      </w:r>
      <w:proofErr w:type="spellStart"/>
      <w:r w:rsidRPr="00B419CE">
        <w:t>nærare</w:t>
      </w:r>
      <w:proofErr w:type="spellEnd"/>
      <w:r w:rsidRPr="00B419CE">
        <w:t xml:space="preserve"> på den økonomiske behandlinga av krisa som </w:t>
      </w:r>
      <w:proofErr w:type="spellStart"/>
      <w:r w:rsidRPr="00B419CE">
        <w:t>følgje</w:t>
      </w:r>
      <w:proofErr w:type="spellEnd"/>
      <w:r w:rsidRPr="00B419CE">
        <w:t xml:space="preserve"> av </w:t>
      </w:r>
      <w:proofErr w:type="spellStart"/>
      <w:r w:rsidRPr="00B419CE">
        <w:t>utbrotet</w:t>
      </w:r>
      <w:proofErr w:type="spellEnd"/>
      <w:r w:rsidRPr="00B419CE">
        <w:t xml:space="preserve">, der det òg vert </w:t>
      </w:r>
      <w:proofErr w:type="spellStart"/>
      <w:r w:rsidRPr="00B419CE">
        <w:t>samanlikna</w:t>
      </w:r>
      <w:proofErr w:type="spellEnd"/>
      <w:r w:rsidRPr="00B419CE">
        <w:t xml:space="preserve"> med </w:t>
      </w:r>
      <w:proofErr w:type="spellStart"/>
      <w:r w:rsidRPr="00B419CE">
        <w:t>tidlegare</w:t>
      </w:r>
      <w:proofErr w:type="spellEnd"/>
      <w:r w:rsidRPr="00B419CE">
        <w:t xml:space="preserve"> kriser som finanskrisa og oljeprisfallet i 2014–2015. Til dette programmet er det sett av 15 mill. kroner for 2022. Når det gjeld </w:t>
      </w:r>
      <w:proofErr w:type="spellStart"/>
      <w:r w:rsidRPr="00B419CE">
        <w:t>løyvingar</w:t>
      </w:r>
      <w:proofErr w:type="spellEnd"/>
      <w:r w:rsidRPr="00B419CE">
        <w:t xml:space="preserve"> i </w:t>
      </w:r>
      <w:proofErr w:type="spellStart"/>
      <w:r w:rsidRPr="00B419CE">
        <w:t>Noregs</w:t>
      </w:r>
      <w:proofErr w:type="spellEnd"/>
      <w:r w:rsidRPr="00B419CE">
        <w:t xml:space="preserve"> forskingsråd og tiltak for å redusere </w:t>
      </w:r>
      <w:proofErr w:type="spellStart"/>
      <w:r w:rsidRPr="00B419CE">
        <w:t>løyvingane</w:t>
      </w:r>
      <w:proofErr w:type="spellEnd"/>
      <w:r w:rsidRPr="00B419CE">
        <w:t>, vises det til omtale i Kunnskapsdepartementet sin budsjettproposisjon.</w:t>
      </w:r>
    </w:p>
    <w:p w14:paraId="5E9DFF7E" w14:textId="77777777" w:rsidR="00B419CE" w:rsidRPr="00B419CE" w:rsidRDefault="00B419CE" w:rsidP="00B419CE">
      <w:r w:rsidRPr="00B419CE">
        <w:t xml:space="preserve">Kostnader som er knytte til </w:t>
      </w:r>
      <w:proofErr w:type="spellStart"/>
      <w:r w:rsidRPr="00B419CE">
        <w:t>Concept</w:t>
      </w:r>
      <w:proofErr w:type="spellEnd"/>
      <w:r w:rsidRPr="00B419CE">
        <w:t xml:space="preserve">-programmet, </w:t>
      </w:r>
      <w:proofErr w:type="spellStart"/>
      <w:r w:rsidRPr="00B419CE">
        <w:t>eit</w:t>
      </w:r>
      <w:proofErr w:type="spellEnd"/>
      <w:r w:rsidRPr="00B419CE">
        <w:t xml:space="preserve"> forskingsarbeid for å utvikle ny kunnskap om tilrettelegging, kvalitetssikring og styring av store </w:t>
      </w:r>
      <w:proofErr w:type="spellStart"/>
      <w:r w:rsidRPr="00B419CE">
        <w:t>statlege</w:t>
      </w:r>
      <w:proofErr w:type="spellEnd"/>
      <w:r w:rsidRPr="00B419CE">
        <w:t xml:space="preserve"> investeringsprosjekt, vert belasta kap. 1600, post 21. </w:t>
      </w:r>
      <w:proofErr w:type="spellStart"/>
      <w:r w:rsidRPr="00B419CE">
        <w:t>Hovudlinene</w:t>
      </w:r>
      <w:proofErr w:type="spellEnd"/>
      <w:r w:rsidRPr="00B419CE">
        <w:t xml:space="preserve"> i </w:t>
      </w:r>
      <w:proofErr w:type="spellStart"/>
      <w:r w:rsidRPr="00B419CE">
        <w:t>Concept</w:t>
      </w:r>
      <w:proofErr w:type="spellEnd"/>
      <w:r w:rsidRPr="00B419CE">
        <w:t xml:space="preserve">-programmet vert </w:t>
      </w:r>
      <w:proofErr w:type="spellStart"/>
      <w:r w:rsidRPr="00B419CE">
        <w:t>vidareførte</w:t>
      </w:r>
      <w:proofErr w:type="spellEnd"/>
      <w:r w:rsidRPr="00B419CE">
        <w:t xml:space="preserve">. Programmet skal evaluere store </w:t>
      </w:r>
      <w:proofErr w:type="spellStart"/>
      <w:r w:rsidRPr="00B419CE">
        <w:t>statlege</w:t>
      </w:r>
      <w:proofErr w:type="spellEnd"/>
      <w:r w:rsidRPr="00B419CE">
        <w:t xml:space="preserve"> investeringsprosjekt som </w:t>
      </w:r>
      <w:proofErr w:type="spellStart"/>
      <w:r w:rsidRPr="00B419CE">
        <w:t>no</w:t>
      </w:r>
      <w:proofErr w:type="spellEnd"/>
      <w:r w:rsidRPr="00B419CE">
        <w:t xml:space="preserve"> er komne i driftsfasen og </w:t>
      </w:r>
      <w:proofErr w:type="spellStart"/>
      <w:r w:rsidRPr="00B419CE">
        <w:t>vektleggje</w:t>
      </w:r>
      <w:proofErr w:type="spellEnd"/>
      <w:r w:rsidRPr="00B419CE">
        <w:t xml:space="preserve"> forsking på </w:t>
      </w:r>
      <w:proofErr w:type="spellStart"/>
      <w:r w:rsidRPr="00B419CE">
        <w:t>tidlegfasen</w:t>
      </w:r>
      <w:proofErr w:type="spellEnd"/>
      <w:r w:rsidRPr="00B419CE">
        <w:t xml:space="preserve"> i prosjekta, </w:t>
      </w:r>
      <w:proofErr w:type="spellStart"/>
      <w:r w:rsidRPr="00B419CE">
        <w:t>frå</w:t>
      </w:r>
      <w:proofErr w:type="spellEnd"/>
      <w:r w:rsidRPr="00B419CE">
        <w:t xml:space="preserve"> den fyrste ideen oppstår til </w:t>
      </w:r>
      <w:proofErr w:type="spellStart"/>
      <w:r w:rsidRPr="00B419CE">
        <w:t>endeleg</w:t>
      </w:r>
      <w:proofErr w:type="spellEnd"/>
      <w:r w:rsidRPr="00B419CE">
        <w:t xml:space="preserve"> finansiering av gjennomføringa er </w:t>
      </w:r>
      <w:proofErr w:type="spellStart"/>
      <w:r w:rsidRPr="00B419CE">
        <w:t>vedteken</w:t>
      </w:r>
      <w:proofErr w:type="spellEnd"/>
      <w:r w:rsidRPr="00B419CE">
        <w:t>.</w:t>
      </w:r>
    </w:p>
    <w:p w14:paraId="6E5F62BB" w14:textId="77777777" w:rsidR="00B419CE" w:rsidRPr="00B419CE" w:rsidRDefault="00B419CE" w:rsidP="00B419CE">
      <w:proofErr w:type="spellStart"/>
      <w:r w:rsidRPr="00B419CE">
        <w:t>Tidlegare</w:t>
      </w:r>
      <w:proofErr w:type="spellEnd"/>
      <w:r w:rsidRPr="00B419CE">
        <w:t xml:space="preserve"> vart utgifter til kjøp av </w:t>
      </w:r>
      <w:proofErr w:type="spellStart"/>
      <w:r w:rsidRPr="00B419CE">
        <w:t>tenester</w:t>
      </w:r>
      <w:proofErr w:type="spellEnd"/>
      <w:r w:rsidRPr="00B419CE">
        <w:t xml:space="preserve"> </w:t>
      </w:r>
      <w:proofErr w:type="spellStart"/>
      <w:r w:rsidRPr="00B419CE">
        <w:t>frå</w:t>
      </w:r>
      <w:proofErr w:type="spellEnd"/>
      <w:r w:rsidRPr="00B419CE">
        <w:t xml:space="preserve"> Statistisk sentralbyrå (SSB) for å </w:t>
      </w:r>
      <w:proofErr w:type="spellStart"/>
      <w:r w:rsidRPr="00B419CE">
        <w:t>halde</w:t>
      </w:r>
      <w:proofErr w:type="spellEnd"/>
      <w:r w:rsidRPr="00B419CE">
        <w:t xml:space="preserve"> ved like det økonomiske modellapparatet finansiert her. </w:t>
      </w:r>
      <w:proofErr w:type="spellStart"/>
      <w:r w:rsidRPr="00B419CE">
        <w:t>Frå</w:t>
      </w:r>
      <w:proofErr w:type="spellEnd"/>
      <w:r w:rsidRPr="00B419CE">
        <w:t xml:space="preserve"> 2022 vert dette modellarbeidet i sin heilskap finansiert over grunnløyvinga til SSB på kap. 1620.</w:t>
      </w:r>
    </w:p>
    <w:p w14:paraId="5C5B9798" w14:textId="77777777" w:rsidR="00B419CE" w:rsidRPr="00B419CE" w:rsidRDefault="00B419CE" w:rsidP="00B419CE">
      <w:proofErr w:type="spellStart"/>
      <w:r w:rsidRPr="00B419CE">
        <w:t>Midlane</w:t>
      </w:r>
      <w:proofErr w:type="spellEnd"/>
      <w:r w:rsidRPr="00B419CE">
        <w:t xml:space="preserve"> på posten vert òg brukte til ei </w:t>
      </w:r>
      <w:proofErr w:type="spellStart"/>
      <w:r w:rsidRPr="00B419CE">
        <w:t>rekkje</w:t>
      </w:r>
      <w:proofErr w:type="spellEnd"/>
      <w:r w:rsidRPr="00B419CE">
        <w:t xml:space="preserve"> særskilte </w:t>
      </w:r>
      <w:proofErr w:type="spellStart"/>
      <w:r w:rsidRPr="00B419CE">
        <w:t>utgreiingsoppgåver</w:t>
      </w:r>
      <w:proofErr w:type="spellEnd"/>
      <w:r w:rsidRPr="00B419CE">
        <w:t xml:space="preserve">. Det kan </w:t>
      </w:r>
      <w:proofErr w:type="spellStart"/>
      <w:r w:rsidRPr="00B419CE">
        <w:t>vere</w:t>
      </w:r>
      <w:proofErr w:type="spellEnd"/>
      <w:r w:rsidRPr="00B419CE">
        <w:t xml:space="preserve"> kostnader til </w:t>
      </w:r>
      <w:proofErr w:type="spellStart"/>
      <w:r w:rsidRPr="00B419CE">
        <w:t>utgreiingsutval</w:t>
      </w:r>
      <w:proofErr w:type="spellEnd"/>
      <w:r w:rsidRPr="00B419CE">
        <w:t xml:space="preserve"> som regjeringa har sette ned på departementet sitt ansvarsområde, eller kjøp av eksterne </w:t>
      </w:r>
      <w:proofErr w:type="spellStart"/>
      <w:r w:rsidRPr="00B419CE">
        <w:t>konsulenttenester</w:t>
      </w:r>
      <w:proofErr w:type="spellEnd"/>
      <w:r w:rsidRPr="00B419CE">
        <w:t xml:space="preserve">, m.a. i samband med departementet si oppfølging av Statens pensjonsfond. Etikkrådet er administrativt </w:t>
      </w:r>
      <w:proofErr w:type="spellStart"/>
      <w:r w:rsidRPr="00B419CE">
        <w:t>ein</w:t>
      </w:r>
      <w:proofErr w:type="spellEnd"/>
      <w:r w:rsidRPr="00B419CE">
        <w:t xml:space="preserve"> del </w:t>
      </w:r>
      <w:r w:rsidRPr="00B419CE">
        <w:lastRenderedPageBreak/>
        <w:t xml:space="preserve">av Finansdepartementet. Det gjev råd til </w:t>
      </w:r>
      <w:proofErr w:type="spellStart"/>
      <w:r w:rsidRPr="00B419CE">
        <w:t>Noregs</w:t>
      </w:r>
      <w:proofErr w:type="spellEnd"/>
      <w:r w:rsidRPr="00B419CE">
        <w:t xml:space="preserve"> Bank om utelukking og observasjon av </w:t>
      </w:r>
      <w:proofErr w:type="spellStart"/>
      <w:r w:rsidRPr="00B419CE">
        <w:t>verksemder</w:t>
      </w:r>
      <w:proofErr w:type="spellEnd"/>
      <w:r w:rsidRPr="00B419CE">
        <w:t>.</w:t>
      </w:r>
    </w:p>
    <w:p w14:paraId="40D37F34" w14:textId="77777777" w:rsidR="00B419CE" w:rsidRPr="00B419CE" w:rsidRDefault="00B419CE" w:rsidP="00B419CE">
      <w:r w:rsidRPr="00B419CE">
        <w:t xml:space="preserve">Departementet held fram med å </w:t>
      </w:r>
      <w:proofErr w:type="spellStart"/>
      <w:r w:rsidRPr="00B419CE">
        <w:t>gjere</w:t>
      </w:r>
      <w:proofErr w:type="spellEnd"/>
      <w:r w:rsidRPr="00B419CE">
        <w:t xml:space="preserve"> </w:t>
      </w:r>
      <w:proofErr w:type="spellStart"/>
      <w:r w:rsidRPr="00B419CE">
        <w:t>djupare</w:t>
      </w:r>
      <w:proofErr w:type="spellEnd"/>
      <w:r w:rsidRPr="00B419CE">
        <w:t xml:space="preserve"> analyse av </w:t>
      </w:r>
      <w:proofErr w:type="spellStart"/>
      <w:r w:rsidRPr="00B419CE">
        <w:t>utvalde</w:t>
      </w:r>
      <w:proofErr w:type="spellEnd"/>
      <w:r w:rsidRPr="00B419CE">
        <w:t xml:space="preserve"> område for å skape effektivisering og betre budsjettmessig handlingsrom. I 2021 pågår det </w:t>
      </w:r>
      <w:proofErr w:type="spellStart"/>
      <w:r w:rsidRPr="00B419CE">
        <w:t>analysar</w:t>
      </w:r>
      <w:proofErr w:type="spellEnd"/>
      <w:r w:rsidRPr="00B419CE">
        <w:t xml:space="preserve"> om </w:t>
      </w:r>
      <w:proofErr w:type="spellStart"/>
      <w:r w:rsidRPr="00B419CE">
        <w:t>utanrikstenesta</w:t>
      </w:r>
      <w:proofErr w:type="spellEnd"/>
      <w:r w:rsidRPr="00B419CE">
        <w:t xml:space="preserve">, </w:t>
      </w:r>
      <w:proofErr w:type="spellStart"/>
      <w:r w:rsidRPr="00B419CE">
        <w:t>bustadsløysingar</w:t>
      </w:r>
      <w:proofErr w:type="spellEnd"/>
      <w:r w:rsidRPr="00B419CE">
        <w:t xml:space="preserve"> og helse- og </w:t>
      </w:r>
      <w:proofErr w:type="spellStart"/>
      <w:r w:rsidRPr="00B419CE">
        <w:t>omsorgstenester</w:t>
      </w:r>
      <w:proofErr w:type="spellEnd"/>
      <w:r w:rsidRPr="00B419CE">
        <w:t xml:space="preserve"> for eldre og kartlegging av IKT og arkiv- og dokumentasjonsfunksjonen i staten. For å </w:t>
      </w:r>
      <w:proofErr w:type="spellStart"/>
      <w:r w:rsidRPr="00B419CE">
        <w:t>styrkje</w:t>
      </w:r>
      <w:proofErr w:type="spellEnd"/>
      <w:r w:rsidRPr="00B419CE">
        <w:t xml:space="preserve"> </w:t>
      </w:r>
      <w:proofErr w:type="spellStart"/>
      <w:r w:rsidRPr="00B419CE">
        <w:t>merksemda</w:t>
      </w:r>
      <w:proofErr w:type="spellEnd"/>
      <w:r w:rsidRPr="00B419CE">
        <w:t xml:space="preserve"> og kompetansen om </w:t>
      </w:r>
      <w:proofErr w:type="spellStart"/>
      <w:r w:rsidRPr="00B419CE">
        <w:t>offentleg</w:t>
      </w:r>
      <w:proofErr w:type="spellEnd"/>
      <w:r w:rsidRPr="00B419CE">
        <w:t xml:space="preserve"> ressursbruk har regjeringa starta med å utvikle DFØ til </w:t>
      </w:r>
      <w:proofErr w:type="spellStart"/>
      <w:r w:rsidRPr="00B419CE">
        <w:t>eit</w:t>
      </w:r>
      <w:proofErr w:type="spellEnd"/>
      <w:r w:rsidRPr="00B419CE">
        <w:t xml:space="preserve"> kompetansesenter for </w:t>
      </w:r>
      <w:proofErr w:type="spellStart"/>
      <w:r w:rsidRPr="00B419CE">
        <w:t>offentleg</w:t>
      </w:r>
      <w:proofErr w:type="spellEnd"/>
      <w:r w:rsidRPr="00B419CE">
        <w:t xml:space="preserve"> ressursbruk. Departementet </w:t>
      </w:r>
      <w:proofErr w:type="spellStart"/>
      <w:r w:rsidRPr="00B419CE">
        <w:t>tek</w:t>
      </w:r>
      <w:proofErr w:type="spellEnd"/>
      <w:r w:rsidRPr="00B419CE">
        <w:t xml:space="preserve"> sikte på å </w:t>
      </w:r>
      <w:proofErr w:type="spellStart"/>
      <w:r w:rsidRPr="00B419CE">
        <w:t>nyttiggjere</w:t>
      </w:r>
      <w:proofErr w:type="spellEnd"/>
      <w:r w:rsidRPr="00B419CE">
        <w:t xml:space="preserve"> seg av DFØ i arbeidet med områdegjennomgangar og andre </w:t>
      </w:r>
      <w:proofErr w:type="spellStart"/>
      <w:r w:rsidRPr="00B419CE">
        <w:t>analysar</w:t>
      </w:r>
      <w:proofErr w:type="spellEnd"/>
      <w:r w:rsidRPr="00B419CE">
        <w:t xml:space="preserve"> av </w:t>
      </w:r>
      <w:proofErr w:type="spellStart"/>
      <w:r w:rsidRPr="00B419CE">
        <w:t>offentleg</w:t>
      </w:r>
      <w:proofErr w:type="spellEnd"/>
      <w:r w:rsidRPr="00B419CE">
        <w:t xml:space="preserve"> ressursbruk i 2022 og framover.</w:t>
      </w:r>
    </w:p>
    <w:p w14:paraId="0CC3D7B1" w14:textId="77777777" w:rsidR="00B419CE" w:rsidRPr="00B419CE" w:rsidRDefault="00B419CE" w:rsidP="00B419CE">
      <w:r w:rsidRPr="00B419CE">
        <w:t>For 2022 foreslår departementet ei løyving på 101,7 mill. kroner.</w:t>
      </w:r>
    </w:p>
    <w:p w14:paraId="5036670F" w14:textId="77777777" w:rsidR="00B419CE" w:rsidRPr="00B419CE" w:rsidRDefault="00B419CE" w:rsidP="00B419CE">
      <w:pPr>
        <w:pStyle w:val="b-post"/>
      </w:pPr>
      <w:r w:rsidRPr="00B419CE">
        <w:t>Post 70 Forsking og allmennopplysning om </w:t>
      </w:r>
      <w:proofErr w:type="spellStart"/>
      <w:r w:rsidRPr="00B419CE">
        <w:t>finansmarknaden</w:t>
      </w:r>
      <w:proofErr w:type="spellEnd"/>
    </w:p>
    <w:p w14:paraId="521C8869" w14:textId="77777777" w:rsidR="00B419CE" w:rsidRPr="00B419CE" w:rsidRDefault="00B419CE" w:rsidP="00B419CE">
      <w:proofErr w:type="spellStart"/>
      <w:r w:rsidRPr="00B419CE">
        <w:t>Føremålet</w:t>
      </w:r>
      <w:proofErr w:type="spellEnd"/>
      <w:r w:rsidRPr="00B419CE">
        <w:t xml:space="preserve"> med </w:t>
      </w:r>
      <w:proofErr w:type="spellStart"/>
      <w:r w:rsidRPr="00B419CE">
        <w:t>Finansmarknadsfondet</w:t>
      </w:r>
      <w:proofErr w:type="spellEnd"/>
      <w:r w:rsidRPr="00B419CE">
        <w:t xml:space="preserve"> er å </w:t>
      </w:r>
      <w:proofErr w:type="spellStart"/>
      <w:r w:rsidRPr="00B419CE">
        <w:t>medverke</w:t>
      </w:r>
      <w:proofErr w:type="spellEnd"/>
      <w:r w:rsidRPr="00B419CE">
        <w:t xml:space="preserve"> til </w:t>
      </w:r>
      <w:proofErr w:type="spellStart"/>
      <w:r w:rsidRPr="00B419CE">
        <w:t>auka</w:t>
      </w:r>
      <w:proofErr w:type="spellEnd"/>
      <w:r w:rsidRPr="00B419CE">
        <w:t xml:space="preserve"> kunnskap om og forståing for </w:t>
      </w:r>
      <w:proofErr w:type="spellStart"/>
      <w:r w:rsidRPr="00B419CE">
        <w:t>verkemåten</w:t>
      </w:r>
      <w:proofErr w:type="spellEnd"/>
      <w:r w:rsidRPr="00B419CE">
        <w:t xml:space="preserve"> til </w:t>
      </w:r>
      <w:proofErr w:type="spellStart"/>
      <w:r w:rsidRPr="00B419CE">
        <w:t>finansmarknadene</w:t>
      </w:r>
      <w:proofErr w:type="spellEnd"/>
      <w:r w:rsidRPr="00B419CE">
        <w:t xml:space="preserve">, gjennom forsking og allmennopplysning. Fondet vart skipa i 2002 med ei </w:t>
      </w:r>
      <w:proofErr w:type="spellStart"/>
      <w:r w:rsidRPr="00B419CE">
        <w:t>avsetjing</w:t>
      </w:r>
      <w:proofErr w:type="spellEnd"/>
      <w:r w:rsidRPr="00B419CE">
        <w:t xml:space="preserve"> etter omdanning og sal av Oslo Børs og Verdipapirsentralen. Fondet vart erstatta med </w:t>
      </w:r>
      <w:proofErr w:type="spellStart"/>
      <w:r w:rsidRPr="00B419CE">
        <w:t>vanlege</w:t>
      </w:r>
      <w:proofErr w:type="spellEnd"/>
      <w:r w:rsidRPr="00B419CE">
        <w:t xml:space="preserve"> </w:t>
      </w:r>
      <w:proofErr w:type="spellStart"/>
      <w:r w:rsidRPr="00B419CE">
        <w:t>utgiftsløyvingar</w:t>
      </w:r>
      <w:proofErr w:type="spellEnd"/>
      <w:r w:rsidRPr="00B419CE">
        <w:t xml:space="preserve"> over statsbudsjettet i 2013, sjå </w:t>
      </w:r>
      <w:proofErr w:type="spellStart"/>
      <w:r w:rsidRPr="00B419CE">
        <w:t>Prop</w:t>
      </w:r>
      <w:proofErr w:type="spellEnd"/>
      <w:r w:rsidRPr="00B419CE">
        <w:t xml:space="preserve">. 1 S (2012–2013) </w:t>
      </w:r>
      <w:r w:rsidRPr="00B419CE">
        <w:rPr>
          <w:rStyle w:val="kursiv"/>
        </w:rPr>
        <w:t>Finansdepartementet</w:t>
      </w:r>
      <w:r w:rsidRPr="00B419CE">
        <w:t xml:space="preserve">. </w:t>
      </w:r>
      <w:proofErr w:type="spellStart"/>
      <w:r w:rsidRPr="00B419CE">
        <w:t>Løyvingsmodellen</w:t>
      </w:r>
      <w:proofErr w:type="spellEnd"/>
      <w:r w:rsidRPr="00B419CE">
        <w:t xml:space="preserve"> skal </w:t>
      </w:r>
      <w:proofErr w:type="spellStart"/>
      <w:r w:rsidRPr="00B419CE">
        <w:t>halde</w:t>
      </w:r>
      <w:proofErr w:type="spellEnd"/>
      <w:r w:rsidRPr="00B419CE">
        <w:t xml:space="preserve"> </w:t>
      </w:r>
      <w:proofErr w:type="spellStart"/>
      <w:r w:rsidRPr="00B419CE">
        <w:t>dei</w:t>
      </w:r>
      <w:proofErr w:type="spellEnd"/>
      <w:r w:rsidRPr="00B419CE">
        <w:t xml:space="preserve"> reelle </w:t>
      </w:r>
      <w:proofErr w:type="spellStart"/>
      <w:r w:rsidRPr="00B419CE">
        <w:t>tildelingane</w:t>
      </w:r>
      <w:proofErr w:type="spellEnd"/>
      <w:r w:rsidRPr="00B419CE">
        <w:t xml:space="preserve"> om lag like store som </w:t>
      </w:r>
      <w:proofErr w:type="spellStart"/>
      <w:r w:rsidRPr="00B419CE">
        <w:t>dei</w:t>
      </w:r>
      <w:proofErr w:type="spellEnd"/>
      <w:r w:rsidRPr="00B419CE">
        <w:t xml:space="preserve"> var med fondet. For 2021 vart det løyvd 13,5 mill. kroner, og for 2022 foreslår Finansdepartementet ei løyving til </w:t>
      </w:r>
      <w:proofErr w:type="spellStart"/>
      <w:r w:rsidRPr="00B419CE">
        <w:t>Finansmarknadsfondet</w:t>
      </w:r>
      <w:proofErr w:type="spellEnd"/>
      <w:r w:rsidRPr="00B419CE">
        <w:t xml:space="preserve"> på 13,9 mill. kroner. Kostnader til administrative </w:t>
      </w:r>
      <w:proofErr w:type="spellStart"/>
      <w:r w:rsidRPr="00B419CE">
        <w:t>tenester</w:t>
      </w:r>
      <w:proofErr w:type="spellEnd"/>
      <w:r w:rsidRPr="00B419CE">
        <w:t xml:space="preserve"> er budsjetterte under Forskingsrådets budsjettkapittel, kap. 285, post 55. Forskingsrådet tek hand om </w:t>
      </w:r>
      <w:proofErr w:type="spellStart"/>
      <w:r w:rsidRPr="00B419CE">
        <w:t>tildelingane</w:t>
      </w:r>
      <w:proofErr w:type="spellEnd"/>
      <w:r w:rsidRPr="00B419CE">
        <w:t xml:space="preserve"> og </w:t>
      </w:r>
      <w:proofErr w:type="spellStart"/>
      <w:r w:rsidRPr="00B419CE">
        <w:t>rekneskapsførselen</w:t>
      </w:r>
      <w:proofErr w:type="spellEnd"/>
      <w:r w:rsidRPr="00B419CE">
        <w:t xml:space="preserve"> på vegne av Finansdepartementet.</w:t>
      </w:r>
    </w:p>
    <w:p w14:paraId="2BA9F571" w14:textId="77777777" w:rsidR="00B419CE" w:rsidRPr="00B419CE" w:rsidRDefault="00B419CE" w:rsidP="00B419CE">
      <w:proofErr w:type="spellStart"/>
      <w:r w:rsidRPr="00B419CE">
        <w:t>Finansmarknadsfondet</w:t>
      </w:r>
      <w:proofErr w:type="spellEnd"/>
      <w:r w:rsidRPr="00B419CE">
        <w:t xml:space="preserve"> kan òg dele ut </w:t>
      </w:r>
      <w:proofErr w:type="spellStart"/>
      <w:r w:rsidRPr="00B419CE">
        <w:t>gåvemidlar</w:t>
      </w:r>
      <w:proofErr w:type="spellEnd"/>
      <w:r w:rsidRPr="00B419CE">
        <w:t xml:space="preserve">. Finansdepartementet opplyste i juni 2021 om dette i </w:t>
      </w:r>
      <w:proofErr w:type="spellStart"/>
      <w:r w:rsidRPr="00B419CE">
        <w:t>eit</w:t>
      </w:r>
      <w:proofErr w:type="spellEnd"/>
      <w:r w:rsidRPr="00B419CE">
        <w:t xml:space="preserve"> svarbrev til DNB Bank ASA som </w:t>
      </w:r>
      <w:proofErr w:type="spellStart"/>
      <w:r w:rsidRPr="00B419CE">
        <w:t>ynskjer</w:t>
      </w:r>
      <w:proofErr w:type="spellEnd"/>
      <w:r w:rsidRPr="00B419CE">
        <w:t xml:space="preserve"> å donere </w:t>
      </w:r>
      <w:proofErr w:type="spellStart"/>
      <w:r w:rsidRPr="00B419CE">
        <w:t>eit</w:t>
      </w:r>
      <w:proofErr w:type="spellEnd"/>
      <w:r w:rsidRPr="00B419CE">
        <w:t xml:space="preserve"> restbeløp på 13 mill. kroner av </w:t>
      </w:r>
      <w:proofErr w:type="spellStart"/>
      <w:r w:rsidRPr="00B419CE">
        <w:t>ein</w:t>
      </w:r>
      <w:proofErr w:type="spellEnd"/>
      <w:r w:rsidRPr="00B419CE">
        <w:t xml:space="preserve"> erstatningssum etter </w:t>
      </w:r>
      <w:proofErr w:type="spellStart"/>
      <w:r w:rsidRPr="00B419CE">
        <w:t>eit</w:t>
      </w:r>
      <w:proofErr w:type="spellEnd"/>
      <w:r w:rsidRPr="00B419CE">
        <w:t xml:space="preserve"> gruppesøksmål til </w:t>
      </w:r>
      <w:proofErr w:type="spellStart"/>
      <w:r w:rsidRPr="00B419CE">
        <w:t>Finansmarknadsfondet</w:t>
      </w:r>
      <w:proofErr w:type="spellEnd"/>
      <w:r w:rsidRPr="00B419CE">
        <w:t xml:space="preserve">. </w:t>
      </w:r>
      <w:proofErr w:type="spellStart"/>
      <w:r w:rsidRPr="00B419CE">
        <w:t>Finansmarknadsfondet</w:t>
      </w:r>
      <w:proofErr w:type="spellEnd"/>
      <w:r w:rsidRPr="00B419CE">
        <w:t xml:space="preserve"> skal forvalte </w:t>
      </w:r>
      <w:proofErr w:type="spellStart"/>
      <w:r w:rsidRPr="00B419CE">
        <w:t>midlar</w:t>
      </w:r>
      <w:proofErr w:type="spellEnd"/>
      <w:r w:rsidRPr="00B419CE">
        <w:t xml:space="preserve"> </w:t>
      </w:r>
      <w:proofErr w:type="spellStart"/>
      <w:r w:rsidRPr="00B419CE">
        <w:t>mottekne</w:t>
      </w:r>
      <w:proofErr w:type="spellEnd"/>
      <w:r w:rsidRPr="00B419CE">
        <w:t xml:space="preserve"> som </w:t>
      </w:r>
      <w:proofErr w:type="spellStart"/>
      <w:r w:rsidRPr="00B419CE">
        <w:t>gåve</w:t>
      </w:r>
      <w:proofErr w:type="spellEnd"/>
      <w:r w:rsidRPr="00B419CE">
        <w:t xml:space="preserve"> </w:t>
      </w:r>
      <w:proofErr w:type="spellStart"/>
      <w:r w:rsidRPr="00B419CE">
        <w:t>saman</w:t>
      </w:r>
      <w:proofErr w:type="spellEnd"/>
      <w:r w:rsidRPr="00B419CE">
        <w:t xml:space="preserve"> med og på same måte som </w:t>
      </w:r>
      <w:proofErr w:type="spellStart"/>
      <w:r w:rsidRPr="00B419CE">
        <w:t>midlar</w:t>
      </w:r>
      <w:proofErr w:type="spellEnd"/>
      <w:r w:rsidRPr="00B419CE">
        <w:t xml:space="preserve"> løyvde over statsbudsjettet.</w:t>
      </w:r>
    </w:p>
    <w:p w14:paraId="3239CCF7" w14:textId="77777777" w:rsidR="00B419CE" w:rsidRPr="00B419CE" w:rsidRDefault="00B419CE" w:rsidP="00B419CE">
      <w:pPr>
        <w:pStyle w:val="Undertittel"/>
      </w:pPr>
      <w:r w:rsidRPr="00B419CE">
        <w:t xml:space="preserve">Fullmakt til å rette opp </w:t>
      </w:r>
      <w:proofErr w:type="spellStart"/>
      <w:r w:rsidRPr="00B419CE">
        <w:t>uoppklåra</w:t>
      </w:r>
      <w:proofErr w:type="spellEnd"/>
      <w:r w:rsidRPr="00B419CE">
        <w:t xml:space="preserve"> </w:t>
      </w:r>
      <w:proofErr w:type="spellStart"/>
      <w:r w:rsidRPr="00B419CE">
        <w:t>differansar</w:t>
      </w:r>
      <w:proofErr w:type="spellEnd"/>
      <w:r w:rsidRPr="00B419CE">
        <w:t xml:space="preserve"> og </w:t>
      </w:r>
      <w:proofErr w:type="spellStart"/>
      <w:r w:rsidRPr="00B419CE">
        <w:t>feilføringar</w:t>
      </w:r>
      <w:proofErr w:type="spellEnd"/>
      <w:r w:rsidRPr="00B419CE">
        <w:t xml:space="preserve"> i </w:t>
      </w:r>
      <w:proofErr w:type="spellStart"/>
      <w:r w:rsidRPr="00B419CE">
        <w:t>statsrekneskapar</w:t>
      </w:r>
      <w:proofErr w:type="spellEnd"/>
      <w:r w:rsidRPr="00B419CE">
        <w:t xml:space="preserve"> </w:t>
      </w:r>
      <w:proofErr w:type="spellStart"/>
      <w:r w:rsidRPr="00B419CE">
        <w:t>frå</w:t>
      </w:r>
      <w:proofErr w:type="spellEnd"/>
      <w:r w:rsidRPr="00B419CE">
        <w:t xml:space="preserve"> </w:t>
      </w:r>
      <w:proofErr w:type="spellStart"/>
      <w:r w:rsidRPr="00B419CE">
        <w:t>tidlegare</w:t>
      </w:r>
      <w:proofErr w:type="spellEnd"/>
      <w:r w:rsidRPr="00B419CE">
        <w:t xml:space="preserve"> år</w:t>
      </w:r>
    </w:p>
    <w:p w14:paraId="6E78DC32" w14:textId="77777777" w:rsidR="00B419CE" w:rsidRPr="00B419CE" w:rsidRDefault="00B419CE" w:rsidP="00B419CE">
      <w:proofErr w:type="spellStart"/>
      <w:r w:rsidRPr="00B419CE">
        <w:t>Frå</w:t>
      </w:r>
      <w:proofErr w:type="spellEnd"/>
      <w:r w:rsidRPr="00B419CE">
        <w:t xml:space="preserve"> tid til anna oppstår det </w:t>
      </w:r>
      <w:proofErr w:type="spellStart"/>
      <w:r w:rsidRPr="00B419CE">
        <w:t>differansar</w:t>
      </w:r>
      <w:proofErr w:type="spellEnd"/>
      <w:r w:rsidRPr="00B419CE">
        <w:t xml:space="preserve"> i </w:t>
      </w:r>
      <w:proofErr w:type="spellStart"/>
      <w:r w:rsidRPr="00B419CE">
        <w:t>rekneskapen</w:t>
      </w:r>
      <w:proofErr w:type="spellEnd"/>
      <w:r w:rsidRPr="00B419CE">
        <w:t xml:space="preserve"> hos </w:t>
      </w:r>
      <w:proofErr w:type="spellStart"/>
      <w:r w:rsidRPr="00B419CE">
        <w:t>rekneskapsførarane</w:t>
      </w:r>
      <w:proofErr w:type="spellEnd"/>
      <w:r w:rsidRPr="00B419CE">
        <w:t xml:space="preserve"> i staten. </w:t>
      </w:r>
      <w:proofErr w:type="spellStart"/>
      <w:r w:rsidRPr="00B419CE">
        <w:t>Nokre</w:t>
      </w:r>
      <w:proofErr w:type="spellEnd"/>
      <w:r w:rsidRPr="00B419CE">
        <w:t xml:space="preserve"> av </w:t>
      </w:r>
      <w:proofErr w:type="spellStart"/>
      <w:r w:rsidRPr="00B419CE">
        <w:t>differansane</w:t>
      </w:r>
      <w:proofErr w:type="spellEnd"/>
      <w:r w:rsidRPr="00B419CE">
        <w:t xml:space="preserve"> vert </w:t>
      </w:r>
      <w:proofErr w:type="spellStart"/>
      <w:r w:rsidRPr="00B419CE">
        <w:t>ikkje</w:t>
      </w:r>
      <w:proofErr w:type="spellEnd"/>
      <w:r w:rsidRPr="00B419CE">
        <w:t xml:space="preserve"> </w:t>
      </w:r>
      <w:proofErr w:type="spellStart"/>
      <w:r w:rsidRPr="00B419CE">
        <w:t>oppklåra</w:t>
      </w:r>
      <w:proofErr w:type="spellEnd"/>
      <w:r w:rsidRPr="00B419CE">
        <w:t xml:space="preserve"> </w:t>
      </w:r>
      <w:proofErr w:type="spellStart"/>
      <w:r w:rsidRPr="00B419CE">
        <w:t>endå</w:t>
      </w:r>
      <w:proofErr w:type="spellEnd"/>
      <w:r w:rsidRPr="00B419CE">
        <w:t xml:space="preserve"> det er gjort </w:t>
      </w:r>
      <w:proofErr w:type="spellStart"/>
      <w:r w:rsidRPr="00B419CE">
        <w:t>mykje</w:t>
      </w:r>
      <w:proofErr w:type="spellEnd"/>
      <w:r w:rsidRPr="00B419CE">
        <w:t xml:space="preserve"> for å </w:t>
      </w:r>
      <w:proofErr w:type="spellStart"/>
      <w:r w:rsidRPr="00B419CE">
        <w:t>finna</w:t>
      </w:r>
      <w:proofErr w:type="spellEnd"/>
      <w:r w:rsidRPr="00B419CE">
        <w:t xml:space="preserve"> ut kva </w:t>
      </w:r>
      <w:proofErr w:type="spellStart"/>
      <w:r w:rsidRPr="00B419CE">
        <w:t>dei</w:t>
      </w:r>
      <w:proofErr w:type="spellEnd"/>
      <w:r w:rsidRPr="00B419CE">
        <w:t xml:space="preserve"> kjem av. Det hender òg at beløp vert tilviste og posterte feil i </w:t>
      </w:r>
      <w:proofErr w:type="spellStart"/>
      <w:r w:rsidRPr="00B419CE">
        <w:t>statsrekneskapen</w:t>
      </w:r>
      <w:proofErr w:type="spellEnd"/>
      <w:r w:rsidRPr="00B419CE">
        <w:t xml:space="preserve">, og at feilen fyrst vert funnen etter at </w:t>
      </w:r>
      <w:proofErr w:type="spellStart"/>
      <w:r w:rsidRPr="00B419CE">
        <w:t>årsrekneskapen</w:t>
      </w:r>
      <w:proofErr w:type="spellEnd"/>
      <w:r w:rsidRPr="00B419CE">
        <w:t xml:space="preserve"> er avslutta.</w:t>
      </w:r>
    </w:p>
    <w:p w14:paraId="2DA45A68" w14:textId="77777777" w:rsidR="00B419CE" w:rsidRPr="00B419CE" w:rsidRDefault="00B419CE" w:rsidP="00B419CE">
      <w:r w:rsidRPr="00B419CE">
        <w:t xml:space="preserve">På grunn av </w:t>
      </w:r>
      <w:proofErr w:type="spellStart"/>
      <w:r w:rsidRPr="00B419CE">
        <w:t>eittårsprinsippet</w:t>
      </w:r>
      <w:proofErr w:type="spellEnd"/>
      <w:r w:rsidRPr="00B419CE">
        <w:t xml:space="preserve"> vil retting av slike feil, med motsett postering i </w:t>
      </w:r>
      <w:proofErr w:type="spellStart"/>
      <w:r w:rsidRPr="00B419CE">
        <w:t>rekneskapen</w:t>
      </w:r>
      <w:proofErr w:type="spellEnd"/>
      <w:r w:rsidRPr="00B419CE">
        <w:t xml:space="preserve"> for </w:t>
      </w:r>
      <w:proofErr w:type="spellStart"/>
      <w:r w:rsidRPr="00B419CE">
        <w:t>eit</w:t>
      </w:r>
      <w:proofErr w:type="spellEnd"/>
      <w:r w:rsidRPr="00B419CE">
        <w:t xml:space="preserve"> </w:t>
      </w:r>
      <w:proofErr w:type="spellStart"/>
      <w:r w:rsidRPr="00B419CE">
        <w:t>seinare</w:t>
      </w:r>
      <w:proofErr w:type="spellEnd"/>
      <w:r w:rsidRPr="00B419CE">
        <w:t xml:space="preserve"> år, medføre at den </w:t>
      </w:r>
      <w:proofErr w:type="spellStart"/>
      <w:r w:rsidRPr="00B419CE">
        <w:t>rekneskapen</w:t>
      </w:r>
      <w:proofErr w:type="spellEnd"/>
      <w:r w:rsidRPr="00B419CE">
        <w:t xml:space="preserve"> òg vert galen. Slik Finansdepartementet ser det, er det mest korrekt at </w:t>
      </w:r>
      <w:proofErr w:type="spellStart"/>
      <w:r w:rsidRPr="00B419CE">
        <w:t>uoppklåra</w:t>
      </w:r>
      <w:proofErr w:type="spellEnd"/>
      <w:r w:rsidRPr="00B419CE">
        <w:t xml:space="preserve"> </w:t>
      </w:r>
      <w:proofErr w:type="spellStart"/>
      <w:r w:rsidRPr="00B419CE">
        <w:t>differansar</w:t>
      </w:r>
      <w:proofErr w:type="spellEnd"/>
      <w:r w:rsidRPr="00B419CE">
        <w:t xml:space="preserve"> og andre feil vert retta opp i </w:t>
      </w:r>
      <w:proofErr w:type="spellStart"/>
      <w:r w:rsidRPr="00B419CE">
        <w:t>statsrekneskapen</w:t>
      </w:r>
      <w:proofErr w:type="spellEnd"/>
      <w:r w:rsidRPr="00B419CE">
        <w:t xml:space="preserve"> med </w:t>
      </w:r>
      <w:proofErr w:type="spellStart"/>
      <w:r w:rsidRPr="00B419CE">
        <w:t>posteringar</w:t>
      </w:r>
      <w:proofErr w:type="spellEnd"/>
      <w:r w:rsidRPr="00B419CE">
        <w:t xml:space="preserve"> over kontoen for </w:t>
      </w:r>
      <w:proofErr w:type="spellStart"/>
      <w:r w:rsidRPr="00B419CE">
        <w:t>forskuvingar</w:t>
      </w:r>
      <w:proofErr w:type="spellEnd"/>
      <w:r w:rsidRPr="00B419CE">
        <w:t xml:space="preserve"> i balansen. Då vil </w:t>
      </w:r>
      <w:proofErr w:type="spellStart"/>
      <w:r w:rsidRPr="00B419CE">
        <w:t>desse</w:t>
      </w:r>
      <w:proofErr w:type="spellEnd"/>
      <w:r w:rsidRPr="00B419CE">
        <w:t xml:space="preserve"> </w:t>
      </w:r>
      <w:proofErr w:type="spellStart"/>
      <w:r w:rsidRPr="00B419CE">
        <w:t>posteringane</w:t>
      </w:r>
      <w:proofErr w:type="spellEnd"/>
      <w:r w:rsidRPr="00B419CE">
        <w:t xml:space="preserve"> </w:t>
      </w:r>
      <w:proofErr w:type="spellStart"/>
      <w:r w:rsidRPr="00B419CE">
        <w:t>ikkje</w:t>
      </w:r>
      <w:proofErr w:type="spellEnd"/>
      <w:r w:rsidRPr="00B419CE">
        <w:t xml:space="preserve"> </w:t>
      </w:r>
      <w:proofErr w:type="spellStart"/>
      <w:r w:rsidRPr="00B419CE">
        <w:t>påverke</w:t>
      </w:r>
      <w:proofErr w:type="spellEnd"/>
      <w:r w:rsidRPr="00B419CE">
        <w:t xml:space="preserve"> </w:t>
      </w:r>
      <w:proofErr w:type="spellStart"/>
      <w:r w:rsidRPr="00B419CE">
        <w:t>løyvingsrekneskapen</w:t>
      </w:r>
      <w:proofErr w:type="spellEnd"/>
      <w:r w:rsidRPr="00B419CE">
        <w:t xml:space="preserve"> det året rettinga vert gjord. Rettinga må skje etter ei posteringsoppmoding </w:t>
      </w:r>
      <w:proofErr w:type="spellStart"/>
      <w:r w:rsidRPr="00B419CE">
        <w:t>frå</w:t>
      </w:r>
      <w:proofErr w:type="spellEnd"/>
      <w:r w:rsidRPr="00B419CE">
        <w:t xml:space="preserve"> </w:t>
      </w:r>
      <w:proofErr w:type="spellStart"/>
      <w:r w:rsidRPr="00B419CE">
        <w:t>vedkomande</w:t>
      </w:r>
      <w:proofErr w:type="spellEnd"/>
      <w:r w:rsidRPr="00B419CE">
        <w:t xml:space="preserve"> departement og i) etter at </w:t>
      </w:r>
      <w:proofErr w:type="spellStart"/>
      <w:r w:rsidRPr="00B419CE">
        <w:t>ein</w:t>
      </w:r>
      <w:proofErr w:type="spellEnd"/>
      <w:r w:rsidRPr="00B419CE">
        <w:t xml:space="preserve"> har gjort </w:t>
      </w:r>
      <w:r w:rsidRPr="00B419CE">
        <w:lastRenderedPageBreak/>
        <w:t xml:space="preserve">det </w:t>
      </w:r>
      <w:proofErr w:type="spellStart"/>
      <w:r w:rsidRPr="00B419CE">
        <w:t>ein</w:t>
      </w:r>
      <w:proofErr w:type="spellEnd"/>
      <w:r w:rsidRPr="00B419CE">
        <w:t xml:space="preserve"> kan for å </w:t>
      </w:r>
      <w:proofErr w:type="spellStart"/>
      <w:r w:rsidRPr="00B419CE">
        <w:t>oppklåre</w:t>
      </w:r>
      <w:proofErr w:type="spellEnd"/>
      <w:r w:rsidRPr="00B419CE">
        <w:t xml:space="preserve"> differansen og ii) </w:t>
      </w:r>
      <w:proofErr w:type="spellStart"/>
      <w:r w:rsidRPr="00B419CE">
        <w:t>berre</w:t>
      </w:r>
      <w:proofErr w:type="spellEnd"/>
      <w:r w:rsidRPr="00B419CE">
        <w:t xml:space="preserve"> når feilposteringa </w:t>
      </w:r>
      <w:proofErr w:type="spellStart"/>
      <w:r w:rsidRPr="00B419CE">
        <w:t>ikkje</w:t>
      </w:r>
      <w:proofErr w:type="spellEnd"/>
      <w:r w:rsidRPr="00B419CE">
        <w:t xml:space="preserve"> kan </w:t>
      </w:r>
      <w:proofErr w:type="spellStart"/>
      <w:r w:rsidRPr="00B419CE">
        <w:t>rettast</w:t>
      </w:r>
      <w:proofErr w:type="spellEnd"/>
      <w:r w:rsidRPr="00B419CE">
        <w:t xml:space="preserve"> på </w:t>
      </w:r>
      <w:proofErr w:type="spellStart"/>
      <w:r w:rsidRPr="00B419CE">
        <w:t>nokon</w:t>
      </w:r>
      <w:proofErr w:type="spellEnd"/>
      <w:r w:rsidRPr="00B419CE">
        <w:t xml:space="preserve"> </w:t>
      </w:r>
      <w:proofErr w:type="spellStart"/>
      <w:r w:rsidRPr="00B419CE">
        <w:t>annan</w:t>
      </w:r>
      <w:proofErr w:type="spellEnd"/>
      <w:r w:rsidRPr="00B419CE">
        <w:t xml:space="preserve"> måte.</w:t>
      </w:r>
    </w:p>
    <w:p w14:paraId="152D2585" w14:textId="77777777" w:rsidR="00B419CE" w:rsidRPr="00B419CE" w:rsidRDefault="00B419CE" w:rsidP="00B419CE">
      <w:r w:rsidRPr="00B419CE">
        <w:t xml:space="preserve">Det må </w:t>
      </w:r>
      <w:proofErr w:type="spellStart"/>
      <w:r w:rsidRPr="00B419CE">
        <w:t>hentast</w:t>
      </w:r>
      <w:proofErr w:type="spellEnd"/>
      <w:r w:rsidRPr="00B419CE">
        <w:t xml:space="preserve"> heimel </w:t>
      </w:r>
      <w:proofErr w:type="spellStart"/>
      <w:r w:rsidRPr="00B419CE">
        <w:t>frå</w:t>
      </w:r>
      <w:proofErr w:type="spellEnd"/>
      <w:r w:rsidRPr="00B419CE">
        <w:t xml:space="preserve"> Stortinget i kvar sak før posteringsoppmoding kan </w:t>
      </w:r>
      <w:proofErr w:type="spellStart"/>
      <w:r w:rsidRPr="00B419CE">
        <w:t>sendast</w:t>
      </w:r>
      <w:proofErr w:type="spellEnd"/>
      <w:r w:rsidRPr="00B419CE">
        <w:t xml:space="preserve"> til Finansdepartementet. For mindre beløp bør Finansdepartementet ha fullmakt.</w:t>
      </w:r>
    </w:p>
    <w:p w14:paraId="00051BB6" w14:textId="77777777" w:rsidR="00B419CE" w:rsidRPr="00B419CE" w:rsidRDefault="00B419CE" w:rsidP="00B419CE">
      <w:r w:rsidRPr="00B419CE">
        <w:t xml:space="preserve">Stortinget vedtok ved behandling av </w:t>
      </w:r>
      <w:proofErr w:type="spellStart"/>
      <w:r w:rsidRPr="00B419CE">
        <w:t>Innst</w:t>
      </w:r>
      <w:proofErr w:type="spellEnd"/>
      <w:r w:rsidRPr="00B419CE">
        <w:t xml:space="preserve">. S. nr. 252 (1997–98), jf. St.prp. nr. 65 (1997–98), å </w:t>
      </w:r>
      <w:proofErr w:type="spellStart"/>
      <w:r w:rsidRPr="00B419CE">
        <w:t>gje</w:t>
      </w:r>
      <w:proofErr w:type="spellEnd"/>
      <w:r w:rsidRPr="00B419CE">
        <w:t xml:space="preserve"> Finansdepartementet ei fullmakt for budsjett- og </w:t>
      </w:r>
      <w:proofErr w:type="spellStart"/>
      <w:r w:rsidRPr="00B419CE">
        <w:t>rekneskapsåret</w:t>
      </w:r>
      <w:proofErr w:type="spellEnd"/>
      <w:r w:rsidRPr="00B419CE">
        <w:t xml:space="preserve"> 1998. Denne fullmakta er teken opp att i budsjettdokumenta kvart år </w:t>
      </w:r>
      <w:proofErr w:type="spellStart"/>
      <w:r w:rsidRPr="00B419CE">
        <w:t>sidan</w:t>
      </w:r>
      <w:proofErr w:type="spellEnd"/>
      <w:r w:rsidRPr="00B419CE">
        <w:t xml:space="preserve">. Departementet </w:t>
      </w:r>
      <w:proofErr w:type="spellStart"/>
      <w:r w:rsidRPr="00B419CE">
        <w:t>gjer</w:t>
      </w:r>
      <w:proofErr w:type="spellEnd"/>
      <w:r w:rsidRPr="00B419CE">
        <w:t xml:space="preserve"> framlegg om same fullmakt for budsjett- og </w:t>
      </w:r>
      <w:proofErr w:type="spellStart"/>
      <w:r w:rsidRPr="00B419CE">
        <w:t>rekneskapsåret</w:t>
      </w:r>
      <w:proofErr w:type="spellEnd"/>
      <w:r w:rsidRPr="00B419CE">
        <w:t xml:space="preserve"> 2022, jf. framlegg til </w:t>
      </w:r>
      <w:proofErr w:type="spellStart"/>
      <w:r w:rsidRPr="00B419CE">
        <w:t>romartalsvedtak</w:t>
      </w:r>
      <w:proofErr w:type="spellEnd"/>
      <w:r w:rsidRPr="00B419CE">
        <w:t xml:space="preserve"> VII.</w:t>
      </w:r>
    </w:p>
    <w:p w14:paraId="5F04D807" w14:textId="77777777" w:rsidR="00B419CE" w:rsidRPr="00B419CE" w:rsidRDefault="00B419CE" w:rsidP="00B419CE">
      <w:pPr>
        <w:pStyle w:val="Undertittel"/>
      </w:pPr>
      <w:r w:rsidRPr="00B419CE">
        <w:t>Fullmakt til postering mot mellomværet med statskassen</w:t>
      </w:r>
    </w:p>
    <w:p w14:paraId="57E06640" w14:textId="34E5AFD0" w:rsidR="00B419CE" w:rsidRPr="00B419CE" w:rsidRDefault="00B419CE" w:rsidP="00B419CE">
      <w:r w:rsidRPr="00B419CE">
        <w:t xml:space="preserve">I Gul bok 2020 orienterte Finansdepartementet om </w:t>
      </w:r>
      <w:proofErr w:type="spellStart"/>
      <w:r w:rsidRPr="00B419CE">
        <w:t>endringar</w:t>
      </w:r>
      <w:proofErr w:type="spellEnd"/>
      <w:r w:rsidRPr="00B419CE">
        <w:t xml:space="preserve"> i føresegnene om økonomistyring i staten med verknad </w:t>
      </w:r>
      <w:proofErr w:type="spellStart"/>
      <w:r w:rsidRPr="00B419CE">
        <w:t>frå</w:t>
      </w:r>
      <w:proofErr w:type="spellEnd"/>
      <w:r w:rsidRPr="00B419CE">
        <w:t xml:space="preserve"> 2020, mellom anna om mellomværet med statskassa, jf. òg rundskriv R</w:t>
      </w:r>
      <w:r>
        <w:t>-</w:t>
      </w:r>
      <w:r w:rsidRPr="00B419CE">
        <w:t xml:space="preserve">101 </w:t>
      </w:r>
      <w:proofErr w:type="spellStart"/>
      <w:r w:rsidRPr="00B419CE">
        <w:t>frå</w:t>
      </w:r>
      <w:proofErr w:type="spellEnd"/>
      <w:r w:rsidRPr="00B419CE">
        <w:t xml:space="preserve"> Finansdepartementet. Mellomværet syner om ei </w:t>
      </w:r>
      <w:proofErr w:type="spellStart"/>
      <w:r w:rsidRPr="00B419CE">
        <w:t>statleg</w:t>
      </w:r>
      <w:proofErr w:type="spellEnd"/>
      <w:r w:rsidRPr="00B419CE">
        <w:t xml:space="preserve"> </w:t>
      </w:r>
      <w:proofErr w:type="spellStart"/>
      <w:r w:rsidRPr="00B419CE">
        <w:t>verksemd</w:t>
      </w:r>
      <w:proofErr w:type="spellEnd"/>
      <w:r w:rsidRPr="00B419CE">
        <w:t xml:space="preserve"> eller </w:t>
      </w:r>
      <w:proofErr w:type="spellStart"/>
      <w:r w:rsidRPr="00B419CE">
        <w:t>rekneskapsførande</w:t>
      </w:r>
      <w:proofErr w:type="spellEnd"/>
      <w:r w:rsidRPr="00B419CE">
        <w:t xml:space="preserve"> </w:t>
      </w:r>
      <w:proofErr w:type="spellStart"/>
      <w:r w:rsidRPr="00B419CE">
        <w:t>statleg</w:t>
      </w:r>
      <w:proofErr w:type="spellEnd"/>
      <w:r w:rsidRPr="00B419CE">
        <w:t xml:space="preserve"> ordning har </w:t>
      </w:r>
      <w:proofErr w:type="spellStart"/>
      <w:r w:rsidRPr="00B419CE">
        <w:t>pengar</w:t>
      </w:r>
      <w:proofErr w:type="spellEnd"/>
      <w:r w:rsidRPr="00B419CE">
        <w:t xml:space="preserve"> til gode </w:t>
      </w:r>
      <w:proofErr w:type="spellStart"/>
      <w:r w:rsidRPr="00B419CE">
        <w:t>frå</w:t>
      </w:r>
      <w:proofErr w:type="spellEnd"/>
      <w:r w:rsidRPr="00B419CE">
        <w:t xml:space="preserve"> statskassa eller </w:t>
      </w:r>
      <w:proofErr w:type="spellStart"/>
      <w:r w:rsidRPr="00B419CE">
        <w:t>skyldar</w:t>
      </w:r>
      <w:proofErr w:type="spellEnd"/>
      <w:r w:rsidRPr="00B419CE">
        <w:t xml:space="preserve"> </w:t>
      </w:r>
      <w:proofErr w:type="spellStart"/>
      <w:r w:rsidRPr="00B419CE">
        <w:t>pengar</w:t>
      </w:r>
      <w:proofErr w:type="spellEnd"/>
      <w:r w:rsidRPr="00B419CE">
        <w:t xml:space="preserve"> til ho. </w:t>
      </w:r>
      <w:proofErr w:type="spellStart"/>
      <w:r w:rsidRPr="00B419CE">
        <w:t>Verksemder</w:t>
      </w:r>
      <w:proofErr w:type="spellEnd"/>
      <w:r w:rsidRPr="00B419CE">
        <w:t xml:space="preserve"> med </w:t>
      </w:r>
      <w:proofErr w:type="spellStart"/>
      <w:r w:rsidRPr="00B419CE">
        <w:t>mellomvære</w:t>
      </w:r>
      <w:proofErr w:type="spellEnd"/>
      <w:r w:rsidRPr="00B419CE">
        <w:t xml:space="preserve"> vil ha </w:t>
      </w:r>
      <w:proofErr w:type="spellStart"/>
      <w:r w:rsidRPr="00B419CE">
        <w:t>eit</w:t>
      </w:r>
      <w:proofErr w:type="spellEnd"/>
      <w:r w:rsidRPr="00B419CE">
        <w:t xml:space="preserve"> unntak </w:t>
      </w:r>
      <w:proofErr w:type="spellStart"/>
      <w:r w:rsidRPr="00B419CE">
        <w:t>frå</w:t>
      </w:r>
      <w:proofErr w:type="spellEnd"/>
      <w:r w:rsidRPr="00B419CE">
        <w:t xml:space="preserve"> kontantprinsippet. På denne bakgrunn </w:t>
      </w:r>
      <w:proofErr w:type="spellStart"/>
      <w:r w:rsidRPr="00B419CE">
        <w:t>fekk</w:t>
      </w:r>
      <w:proofErr w:type="spellEnd"/>
      <w:r w:rsidRPr="00B419CE">
        <w:t xml:space="preserve"> departementet i saldert budsjett 2021 to fullmakter som </w:t>
      </w:r>
      <w:proofErr w:type="spellStart"/>
      <w:r w:rsidRPr="00B419CE">
        <w:t>heimlar</w:t>
      </w:r>
      <w:proofErr w:type="spellEnd"/>
      <w:r w:rsidRPr="00B419CE">
        <w:t xml:space="preserve"> slike unntak for Skatteetaten. Ved budsjettrevisjonen våren 2021 vart </w:t>
      </w:r>
      <w:proofErr w:type="spellStart"/>
      <w:r w:rsidRPr="00B419CE">
        <w:t>ein</w:t>
      </w:r>
      <w:proofErr w:type="spellEnd"/>
      <w:r w:rsidRPr="00B419CE">
        <w:t xml:space="preserve"> av fullmaktene endra </w:t>
      </w:r>
      <w:proofErr w:type="spellStart"/>
      <w:r w:rsidRPr="00B419CE">
        <w:t>noko</w:t>
      </w:r>
      <w:proofErr w:type="spellEnd"/>
      <w:r w:rsidRPr="00B419CE">
        <w:t xml:space="preserve">. Samstundes vart det gjeve ei ny fullmakt til Skatteetaten til føring mot mellomværet av </w:t>
      </w:r>
      <w:proofErr w:type="spellStart"/>
      <w:r w:rsidRPr="00B419CE">
        <w:t>midlar</w:t>
      </w:r>
      <w:proofErr w:type="spellEnd"/>
      <w:r w:rsidRPr="00B419CE">
        <w:t xml:space="preserve"> som etaten har </w:t>
      </w:r>
      <w:proofErr w:type="spellStart"/>
      <w:r w:rsidRPr="00B419CE">
        <w:t>kravd</w:t>
      </w:r>
      <w:proofErr w:type="spellEnd"/>
      <w:r w:rsidRPr="00B419CE">
        <w:t xml:space="preserve"> inn på vegner av andre og fram til han sender </w:t>
      </w:r>
      <w:proofErr w:type="spellStart"/>
      <w:r w:rsidRPr="00B419CE">
        <w:t>midlane</w:t>
      </w:r>
      <w:proofErr w:type="spellEnd"/>
      <w:r w:rsidRPr="00B419CE">
        <w:t xml:space="preserve"> </w:t>
      </w:r>
      <w:proofErr w:type="spellStart"/>
      <w:r w:rsidRPr="00B419CE">
        <w:t>vidare</w:t>
      </w:r>
      <w:proofErr w:type="spellEnd"/>
      <w:r w:rsidRPr="00B419CE">
        <w:t xml:space="preserve"> til aktuell aktør. Departementet </w:t>
      </w:r>
      <w:proofErr w:type="spellStart"/>
      <w:r w:rsidRPr="00B419CE">
        <w:t>gjer</w:t>
      </w:r>
      <w:proofErr w:type="spellEnd"/>
      <w:r w:rsidRPr="00B419CE">
        <w:t xml:space="preserve"> framlegg om </w:t>
      </w:r>
      <w:proofErr w:type="spellStart"/>
      <w:r w:rsidRPr="00B419CE">
        <w:t>dei</w:t>
      </w:r>
      <w:proofErr w:type="spellEnd"/>
      <w:r w:rsidRPr="00B419CE">
        <w:t xml:space="preserve"> same tre fullmaktene for 2022, jf. framlegg til </w:t>
      </w:r>
      <w:proofErr w:type="spellStart"/>
      <w:r w:rsidRPr="00B419CE">
        <w:t>romartallsvedtak</w:t>
      </w:r>
      <w:proofErr w:type="spellEnd"/>
      <w:r w:rsidRPr="00B419CE">
        <w:t xml:space="preserve"> </w:t>
      </w:r>
      <w:proofErr w:type="spellStart"/>
      <w:r w:rsidRPr="00B419CE">
        <w:t>X</w:t>
      </w:r>
      <w:proofErr w:type="spellEnd"/>
      <w:r w:rsidRPr="00B419CE">
        <w:t>.</w:t>
      </w:r>
    </w:p>
    <w:p w14:paraId="56BF878E" w14:textId="77777777" w:rsidR="00B419CE" w:rsidRPr="00B419CE" w:rsidRDefault="00B419CE" w:rsidP="00B419CE">
      <w:pPr>
        <w:pStyle w:val="b-budkaptit"/>
      </w:pPr>
      <w:r w:rsidRPr="00B419CE">
        <w:t>Kap. 4600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6AE4F2F2" w14:textId="77777777" w:rsidTr="00B419CE">
        <w:trPr>
          <w:trHeight w:val="640"/>
          <w:hidden/>
        </w:trPr>
        <w:tc>
          <w:tcPr>
            <w:tcW w:w="1140" w:type="dxa"/>
            <w:shd w:val="clear" w:color="auto" w:fill="FFFFFF"/>
          </w:tcPr>
          <w:p w14:paraId="0CC0386B" w14:textId="77777777" w:rsidR="00B419CE" w:rsidRPr="00B419CE" w:rsidRDefault="00B419CE" w:rsidP="00B419CE">
            <w:pPr>
              <w:pStyle w:val="Tabellnavn"/>
            </w:pPr>
            <w:r w:rsidRPr="00B419CE">
              <w:t>KPAL</w:t>
            </w:r>
          </w:p>
        </w:tc>
        <w:tc>
          <w:tcPr>
            <w:tcW w:w="4560" w:type="dxa"/>
          </w:tcPr>
          <w:p w14:paraId="45410E94" w14:textId="77777777" w:rsidR="00B419CE" w:rsidRPr="00B419CE" w:rsidRDefault="00B419CE" w:rsidP="00B419CE"/>
        </w:tc>
        <w:tc>
          <w:tcPr>
            <w:tcW w:w="1140" w:type="dxa"/>
          </w:tcPr>
          <w:p w14:paraId="6BD915F6" w14:textId="77777777" w:rsidR="00B419CE" w:rsidRPr="00B419CE" w:rsidRDefault="00B419CE" w:rsidP="00B419CE">
            <w:pPr>
              <w:jc w:val="right"/>
            </w:pPr>
          </w:p>
        </w:tc>
        <w:tc>
          <w:tcPr>
            <w:tcW w:w="1140" w:type="dxa"/>
          </w:tcPr>
          <w:p w14:paraId="022C622D" w14:textId="77777777" w:rsidR="00B419CE" w:rsidRPr="00B419CE" w:rsidRDefault="00B419CE" w:rsidP="00B419CE">
            <w:pPr>
              <w:jc w:val="right"/>
            </w:pPr>
          </w:p>
        </w:tc>
        <w:tc>
          <w:tcPr>
            <w:tcW w:w="1140" w:type="dxa"/>
          </w:tcPr>
          <w:p w14:paraId="7BBF09B9" w14:textId="77777777" w:rsidR="00B419CE" w:rsidRPr="00B419CE" w:rsidRDefault="00B419CE" w:rsidP="00B419CE">
            <w:pPr>
              <w:jc w:val="right"/>
            </w:pPr>
            <w:r w:rsidRPr="00B419CE">
              <w:t>(i 1 000 kr)</w:t>
            </w:r>
          </w:p>
        </w:tc>
      </w:tr>
      <w:tr w:rsidR="00B419CE" w:rsidRPr="00B419CE" w14:paraId="1900FFA0" w14:textId="77777777" w:rsidTr="00B419CE">
        <w:trPr>
          <w:trHeight w:val="600"/>
        </w:trPr>
        <w:tc>
          <w:tcPr>
            <w:tcW w:w="1140" w:type="dxa"/>
          </w:tcPr>
          <w:p w14:paraId="6C491EAE" w14:textId="77777777" w:rsidR="00B419CE" w:rsidRPr="00B419CE" w:rsidRDefault="00B419CE" w:rsidP="00B419CE">
            <w:r w:rsidRPr="00B419CE">
              <w:t>Post</w:t>
            </w:r>
          </w:p>
        </w:tc>
        <w:tc>
          <w:tcPr>
            <w:tcW w:w="4560" w:type="dxa"/>
          </w:tcPr>
          <w:p w14:paraId="4C2AE149" w14:textId="77777777" w:rsidR="00B419CE" w:rsidRPr="00B419CE" w:rsidRDefault="00B419CE" w:rsidP="00B419CE">
            <w:proofErr w:type="spellStart"/>
            <w:r w:rsidRPr="00B419CE">
              <w:t>Nemning</w:t>
            </w:r>
            <w:proofErr w:type="spellEnd"/>
          </w:p>
        </w:tc>
        <w:tc>
          <w:tcPr>
            <w:tcW w:w="1140" w:type="dxa"/>
          </w:tcPr>
          <w:p w14:paraId="241192E6"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513D522D" w14:textId="77777777" w:rsidR="00B419CE" w:rsidRPr="00B419CE" w:rsidRDefault="00B419CE" w:rsidP="00B419CE">
            <w:pPr>
              <w:jc w:val="right"/>
            </w:pPr>
            <w:r w:rsidRPr="00B419CE">
              <w:t>Saldert</w:t>
            </w:r>
            <w:r w:rsidRPr="00B419CE">
              <w:br/>
              <w:t xml:space="preserve"> budsjett 2021</w:t>
            </w:r>
          </w:p>
        </w:tc>
        <w:tc>
          <w:tcPr>
            <w:tcW w:w="1140" w:type="dxa"/>
          </w:tcPr>
          <w:p w14:paraId="38867345" w14:textId="77777777" w:rsidR="00B419CE" w:rsidRPr="00B419CE" w:rsidRDefault="00B419CE" w:rsidP="00B419CE">
            <w:pPr>
              <w:jc w:val="right"/>
            </w:pPr>
            <w:r w:rsidRPr="00B419CE">
              <w:t>Forslag</w:t>
            </w:r>
            <w:r w:rsidRPr="00B419CE">
              <w:br/>
              <w:t xml:space="preserve"> 2022</w:t>
            </w:r>
          </w:p>
        </w:tc>
      </w:tr>
      <w:tr w:rsidR="00B419CE" w:rsidRPr="00B419CE" w14:paraId="17390DD0" w14:textId="77777777" w:rsidTr="00B419CE">
        <w:trPr>
          <w:trHeight w:val="380"/>
        </w:trPr>
        <w:tc>
          <w:tcPr>
            <w:tcW w:w="1140" w:type="dxa"/>
          </w:tcPr>
          <w:p w14:paraId="565B63A2" w14:textId="77777777" w:rsidR="00B419CE" w:rsidRPr="00B419CE" w:rsidRDefault="00B419CE" w:rsidP="00B419CE">
            <w:r w:rsidRPr="00B419CE">
              <w:t>02</w:t>
            </w:r>
          </w:p>
        </w:tc>
        <w:tc>
          <w:tcPr>
            <w:tcW w:w="4560" w:type="dxa"/>
          </w:tcPr>
          <w:p w14:paraId="0B0A14C6" w14:textId="77777777" w:rsidR="00B419CE" w:rsidRPr="00B419CE" w:rsidRDefault="00B419CE" w:rsidP="00B419CE">
            <w:r w:rsidRPr="00B419CE">
              <w:t xml:space="preserve">Ymse </w:t>
            </w:r>
            <w:proofErr w:type="spellStart"/>
            <w:r w:rsidRPr="00B419CE">
              <w:t>refusjonar</w:t>
            </w:r>
            <w:proofErr w:type="spellEnd"/>
          </w:p>
        </w:tc>
        <w:tc>
          <w:tcPr>
            <w:tcW w:w="1140" w:type="dxa"/>
          </w:tcPr>
          <w:p w14:paraId="1CCB9805" w14:textId="77777777" w:rsidR="00B419CE" w:rsidRPr="00B419CE" w:rsidRDefault="00B419CE" w:rsidP="00B419CE">
            <w:pPr>
              <w:jc w:val="right"/>
            </w:pPr>
            <w:r w:rsidRPr="00B419CE">
              <w:t>1 292</w:t>
            </w:r>
          </w:p>
        </w:tc>
        <w:tc>
          <w:tcPr>
            <w:tcW w:w="1140" w:type="dxa"/>
          </w:tcPr>
          <w:p w14:paraId="4993B21C" w14:textId="77777777" w:rsidR="00B419CE" w:rsidRPr="00B419CE" w:rsidRDefault="00B419CE" w:rsidP="00B419CE">
            <w:pPr>
              <w:jc w:val="right"/>
            </w:pPr>
            <w:r w:rsidRPr="00B419CE">
              <w:t>400</w:t>
            </w:r>
          </w:p>
        </w:tc>
        <w:tc>
          <w:tcPr>
            <w:tcW w:w="1140" w:type="dxa"/>
          </w:tcPr>
          <w:p w14:paraId="4224C226" w14:textId="77777777" w:rsidR="00B419CE" w:rsidRPr="00B419CE" w:rsidRDefault="00B419CE" w:rsidP="00B419CE">
            <w:pPr>
              <w:jc w:val="right"/>
            </w:pPr>
            <w:r w:rsidRPr="00B419CE">
              <w:t>200</w:t>
            </w:r>
          </w:p>
        </w:tc>
      </w:tr>
      <w:tr w:rsidR="00B419CE" w:rsidRPr="00B419CE" w14:paraId="55FA72A1" w14:textId="77777777" w:rsidTr="00B419CE">
        <w:trPr>
          <w:trHeight w:val="380"/>
        </w:trPr>
        <w:tc>
          <w:tcPr>
            <w:tcW w:w="1140" w:type="dxa"/>
          </w:tcPr>
          <w:p w14:paraId="02D3AE85" w14:textId="77777777" w:rsidR="00B419CE" w:rsidRPr="00B419CE" w:rsidRDefault="00B419CE" w:rsidP="00B419CE"/>
        </w:tc>
        <w:tc>
          <w:tcPr>
            <w:tcW w:w="4560" w:type="dxa"/>
          </w:tcPr>
          <w:p w14:paraId="0DDAE283" w14:textId="77777777" w:rsidR="00B419CE" w:rsidRPr="00B419CE" w:rsidRDefault="00B419CE" w:rsidP="00B419CE">
            <w:r w:rsidRPr="00B419CE">
              <w:t>Sum kap. 4600</w:t>
            </w:r>
          </w:p>
        </w:tc>
        <w:tc>
          <w:tcPr>
            <w:tcW w:w="1140" w:type="dxa"/>
          </w:tcPr>
          <w:p w14:paraId="213065EE" w14:textId="77777777" w:rsidR="00B419CE" w:rsidRPr="00B419CE" w:rsidRDefault="00B419CE" w:rsidP="00B419CE">
            <w:pPr>
              <w:jc w:val="right"/>
            </w:pPr>
            <w:r w:rsidRPr="00B419CE">
              <w:t>1 292</w:t>
            </w:r>
          </w:p>
        </w:tc>
        <w:tc>
          <w:tcPr>
            <w:tcW w:w="1140" w:type="dxa"/>
          </w:tcPr>
          <w:p w14:paraId="58C317A1" w14:textId="77777777" w:rsidR="00B419CE" w:rsidRPr="00B419CE" w:rsidRDefault="00B419CE" w:rsidP="00B419CE">
            <w:pPr>
              <w:jc w:val="right"/>
            </w:pPr>
            <w:r w:rsidRPr="00B419CE">
              <w:t>400</w:t>
            </w:r>
          </w:p>
        </w:tc>
        <w:tc>
          <w:tcPr>
            <w:tcW w:w="1140" w:type="dxa"/>
          </w:tcPr>
          <w:p w14:paraId="4F6E4FDB" w14:textId="77777777" w:rsidR="00B419CE" w:rsidRPr="00B419CE" w:rsidRDefault="00B419CE" w:rsidP="00B419CE">
            <w:pPr>
              <w:jc w:val="right"/>
            </w:pPr>
            <w:r w:rsidRPr="00B419CE">
              <w:t>200</w:t>
            </w:r>
          </w:p>
        </w:tc>
      </w:tr>
    </w:tbl>
    <w:p w14:paraId="040C5DD0" w14:textId="77777777" w:rsidR="00B419CE" w:rsidRPr="00B419CE" w:rsidRDefault="00B419CE" w:rsidP="00B419CE">
      <w:pPr>
        <w:pStyle w:val="b-post"/>
      </w:pPr>
      <w:r w:rsidRPr="00B419CE">
        <w:t xml:space="preserve">Post 02 Ymse </w:t>
      </w:r>
      <w:proofErr w:type="spellStart"/>
      <w:r w:rsidRPr="00B419CE">
        <w:t>refusjonar</w:t>
      </w:r>
      <w:proofErr w:type="spellEnd"/>
    </w:p>
    <w:p w14:paraId="6977A770"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refusjonar</w:t>
      </w:r>
      <w:proofErr w:type="spellEnd"/>
      <w:r w:rsidRPr="00B419CE">
        <w:t xml:space="preserve"> </w:t>
      </w:r>
      <w:proofErr w:type="spellStart"/>
      <w:r w:rsidRPr="00B419CE">
        <w:t>frå</w:t>
      </w:r>
      <w:proofErr w:type="spellEnd"/>
      <w:r w:rsidRPr="00B419CE">
        <w:t xml:space="preserve"> andre </w:t>
      </w:r>
      <w:proofErr w:type="spellStart"/>
      <w:r w:rsidRPr="00B419CE">
        <w:t>offentlege</w:t>
      </w:r>
      <w:proofErr w:type="spellEnd"/>
      <w:r w:rsidRPr="00B419CE">
        <w:t xml:space="preserve"> </w:t>
      </w:r>
      <w:proofErr w:type="spellStart"/>
      <w:r w:rsidRPr="00B419CE">
        <w:t>verksemder</w:t>
      </w:r>
      <w:proofErr w:type="spellEnd"/>
      <w:r w:rsidRPr="00B419CE">
        <w:t xml:space="preserve"> som Finansdepartementet samarbeider med. </w:t>
      </w:r>
      <w:proofErr w:type="spellStart"/>
      <w:r w:rsidRPr="00B419CE">
        <w:t>Sidan</w:t>
      </w:r>
      <w:proofErr w:type="spellEnd"/>
      <w:r w:rsidRPr="00B419CE">
        <w:t xml:space="preserve"> det er uvisst kor store </w:t>
      </w:r>
      <w:proofErr w:type="spellStart"/>
      <w:r w:rsidRPr="00B419CE">
        <w:t>refusjonane</w:t>
      </w:r>
      <w:proofErr w:type="spellEnd"/>
      <w:r w:rsidRPr="00B419CE">
        <w:t xml:space="preserve"> vert, ber Finansdepartementet om fullmakt til å overskride </w:t>
      </w:r>
      <w:proofErr w:type="spellStart"/>
      <w:r w:rsidRPr="00B419CE">
        <w:t>løyvingane</w:t>
      </w:r>
      <w:proofErr w:type="spellEnd"/>
      <w:r w:rsidRPr="00B419CE">
        <w:t xml:space="preserve"> under kap. 1600, post 01 </w:t>
      </w:r>
      <w:r w:rsidRPr="00B419CE">
        <w:rPr>
          <w:rStyle w:val="kursiv"/>
        </w:rPr>
        <w:t>Driftsutgifter</w:t>
      </w:r>
      <w:r w:rsidRPr="00B419CE">
        <w:t xml:space="preserve"> og post 21 </w:t>
      </w:r>
      <w:r w:rsidRPr="00B419CE">
        <w:rPr>
          <w:rStyle w:val="kursiv"/>
        </w:rPr>
        <w:t>Spesielle driftsutgifter,</w:t>
      </w:r>
      <w:r w:rsidRPr="00B419CE">
        <w:t xml:space="preserve"> med </w:t>
      </w:r>
      <w:proofErr w:type="spellStart"/>
      <w:r w:rsidRPr="00B419CE">
        <w:t>eit</w:t>
      </w:r>
      <w:proofErr w:type="spellEnd"/>
      <w:r w:rsidRPr="00B419CE">
        <w:t xml:space="preserve"> beløp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4600, post 02 </w:t>
      </w:r>
      <w:r w:rsidRPr="00B419CE">
        <w:rPr>
          <w:rStyle w:val="kursiv"/>
        </w:rPr>
        <w:t xml:space="preserve">Ymse </w:t>
      </w:r>
      <w:proofErr w:type="spellStart"/>
      <w:r w:rsidRPr="00B419CE">
        <w:rPr>
          <w:rStyle w:val="kursiv"/>
        </w:rPr>
        <w:t>refusjonar</w:t>
      </w:r>
      <w:proofErr w:type="spellEnd"/>
      <w:r w:rsidRPr="00B419CE">
        <w:t xml:space="preserve">, jf. framlegg til </w:t>
      </w:r>
      <w:proofErr w:type="spellStart"/>
      <w:r w:rsidRPr="00B419CE">
        <w:t>romartalsvedtak</w:t>
      </w:r>
      <w:proofErr w:type="spellEnd"/>
      <w:r w:rsidRPr="00B419CE">
        <w:t xml:space="preserve"> II.1.</w:t>
      </w:r>
    </w:p>
    <w:p w14:paraId="2E5F5A57" w14:textId="77777777" w:rsidR="00B419CE" w:rsidRPr="00B419CE" w:rsidRDefault="00B419CE" w:rsidP="00B419CE">
      <w:pPr>
        <w:pStyle w:val="b-budkaptit"/>
      </w:pPr>
      <w:r w:rsidRPr="00B419CE">
        <w:lastRenderedPageBreak/>
        <w:t>Kap. 1602 Finanstilsynet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341EA4D8" w14:textId="77777777" w:rsidTr="00B419CE">
        <w:trPr>
          <w:trHeight w:val="640"/>
          <w:hidden/>
        </w:trPr>
        <w:tc>
          <w:tcPr>
            <w:tcW w:w="1140" w:type="dxa"/>
            <w:shd w:val="clear" w:color="auto" w:fill="FFFFFF"/>
          </w:tcPr>
          <w:p w14:paraId="1B198F9A" w14:textId="77777777" w:rsidR="00B419CE" w:rsidRPr="00B419CE" w:rsidRDefault="00B419CE" w:rsidP="00B419CE">
            <w:pPr>
              <w:pStyle w:val="Tabellnavn"/>
            </w:pPr>
            <w:r w:rsidRPr="00B419CE">
              <w:t>KPAL</w:t>
            </w:r>
          </w:p>
        </w:tc>
        <w:tc>
          <w:tcPr>
            <w:tcW w:w="4560" w:type="dxa"/>
          </w:tcPr>
          <w:p w14:paraId="3EA6D22C" w14:textId="77777777" w:rsidR="00B419CE" w:rsidRPr="00B419CE" w:rsidRDefault="00B419CE" w:rsidP="00B419CE"/>
        </w:tc>
        <w:tc>
          <w:tcPr>
            <w:tcW w:w="1140" w:type="dxa"/>
          </w:tcPr>
          <w:p w14:paraId="20D9C9EA" w14:textId="77777777" w:rsidR="00B419CE" w:rsidRPr="00B419CE" w:rsidRDefault="00B419CE" w:rsidP="00B419CE">
            <w:pPr>
              <w:jc w:val="right"/>
            </w:pPr>
          </w:p>
        </w:tc>
        <w:tc>
          <w:tcPr>
            <w:tcW w:w="1140" w:type="dxa"/>
          </w:tcPr>
          <w:p w14:paraId="5E23C702" w14:textId="77777777" w:rsidR="00B419CE" w:rsidRPr="00B419CE" w:rsidRDefault="00B419CE" w:rsidP="00B419CE">
            <w:pPr>
              <w:jc w:val="right"/>
            </w:pPr>
          </w:p>
        </w:tc>
        <w:tc>
          <w:tcPr>
            <w:tcW w:w="1140" w:type="dxa"/>
          </w:tcPr>
          <w:p w14:paraId="1D968FFD" w14:textId="77777777" w:rsidR="00B419CE" w:rsidRPr="00B419CE" w:rsidRDefault="00B419CE" w:rsidP="00B419CE">
            <w:pPr>
              <w:jc w:val="right"/>
            </w:pPr>
            <w:r w:rsidRPr="00B419CE">
              <w:t>(i 1 000 kr)</w:t>
            </w:r>
          </w:p>
        </w:tc>
      </w:tr>
      <w:tr w:rsidR="00B419CE" w:rsidRPr="00B419CE" w14:paraId="40AF7C15" w14:textId="77777777" w:rsidTr="00B419CE">
        <w:trPr>
          <w:trHeight w:val="600"/>
        </w:trPr>
        <w:tc>
          <w:tcPr>
            <w:tcW w:w="1140" w:type="dxa"/>
          </w:tcPr>
          <w:p w14:paraId="16A6B455" w14:textId="77777777" w:rsidR="00B419CE" w:rsidRPr="00B419CE" w:rsidRDefault="00B419CE" w:rsidP="00B419CE">
            <w:r w:rsidRPr="00B419CE">
              <w:t>Post</w:t>
            </w:r>
          </w:p>
        </w:tc>
        <w:tc>
          <w:tcPr>
            <w:tcW w:w="4560" w:type="dxa"/>
          </w:tcPr>
          <w:p w14:paraId="1460EDC2" w14:textId="77777777" w:rsidR="00B419CE" w:rsidRPr="00B419CE" w:rsidRDefault="00B419CE" w:rsidP="00B419CE">
            <w:proofErr w:type="spellStart"/>
            <w:r w:rsidRPr="00B419CE">
              <w:t>Nemning</w:t>
            </w:r>
            <w:proofErr w:type="spellEnd"/>
          </w:p>
        </w:tc>
        <w:tc>
          <w:tcPr>
            <w:tcW w:w="1140" w:type="dxa"/>
          </w:tcPr>
          <w:p w14:paraId="658DECE3"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10C5B043" w14:textId="77777777" w:rsidR="00B419CE" w:rsidRPr="00B419CE" w:rsidRDefault="00B419CE" w:rsidP="00B419CE">
            <w:pPr>
              <w:jc w:val="right"/>
            </w:pPr>
            <w:r w:rsidRPr="00B419CE">
              <w:t>Saldert</w:t>
            </w:r>
            <w:r w:rsidRPr="00B419CE">
              <w:br/>
              <w:t xml:space="preserve"> budsjett 2021</w:t>
            </w:r>
          </w:p>
        </w:tc>
        <w:tc>
          <w:tcPr>
            <w:tcW w:w="1140" w:type="dxa"/>
          </w:tcPr>
          <w:p w14:paraId="0B07AE1E" w14:textId="77777777" w:rsidR="00B419CE" w:rsidRPr="00B419CE" w:rsidRDefault="00B419CE" w:rsidP="00B419CE">
            <w:pPr>
              <w:jc w:val="right"/>
            </w:pPr>
            <w:r w:rsidRPr="00B419CE">
              <w:t>Forslag</w:t>
            </w:r>
            <w:r w:rsidRPr="00B419CE">
              <w:br/>
              <w:t xml:space="preserve"> 2022</w:t>
            </w:r>
          </w:p>
        </w:tc>
      </w:tr>
      <w:tr w:rsidR="00B419CE" w:rsidRPr="00B419CE" w14:paraId="2DF3A23F" w14:textId="77777777" w:rsidTr="00B419CE">
        <w:trPr>
          <w:trHeight w:val="380"/>
        </w:trPr>
        <w:tc>
          <w:tcPr>
            <w:tcW w:w="1140" w:type="dxa"/>
          </w:tcPr>
          <w:p w14:paraId="2737FA89" w14:textId="77777777" w:rsidR="00B419CE" w:rsidRPr="00B419CE" w:rsidRDefault="00B419CE" w:rsidP="00B419CE">
            <w:r w:rsidRPr="00B419CE">
              <w:t>01</w:t>
            </w:r>
          </w:p>
        </w:tc>
        <w:tc>
          <w:tcPr>
            <w:tcW w:w="4560" w:type="dxa"/>
          </w:tcPr>
          <w:p w14:paraId="2993297F" w14:textId="77777777" w:rsidR="00B419CE" w:rsidRPr="00B419CE" w:rsidRDefault="00B419CE" w:rsidP="00B419CE">
            <w:r w:rsidRPr="00B419CE">
              <w:t>Driftsutgifter</w:t>
            </w:r>
          </w:p>
        </w:tc>
        <w:tc>
          <w:tcPr>
            <w:tcW w:w="1140" w:type="dxa"/>
          </w:tcPr>
          <w:p w14:paraId="0DABAACE" w14:textId="77777777" w:rsidR="00B419CE" w:rsidRPr="00B419CE" w:rsidRDefault="00B419CE" w:rsidP="00B419CE">
            <w:pPr>
              <w:jc w:val="right"/>
            </w:pPr>
            <w:r w:rsidRPr="00B419CE">
              <w:t>425 344</w:t>
            </w:r>
          </w:p>
        </w:tc>
        <w:tc>
          <w:tcPr>
            <w:tcW w:w="1140" w:type="dxa"/>
          </w:tcPr>
          <w:p w14:paraId="0DC4671F" w14:textId="77777777" w:rsidR="00B419CE" w:rsidRPr="00B419CE" w:rsidRDefault="00B419CE" w:rsidP="00B419CE">
            <w:pPr>
              <w:jc w:val="right"/>
            </w:pPr>
            <w:r w:rsidRPr="00B419CE">
              <w:t>425 378</w:t>
            </w:r>
          </w:p>
        </w:tc>
        <w:tc>
          <w:tcPr>
            <w:tcW w:w="1140" w:type="dxa"/>
          </w:tcPr>
          <w:p w14:paraId="42B4D246" w14:textId="77777777" w:rsidR="00B419CE" w:rsidRPr="00B419CE" w:rsidRDefault="00B419CE" w:rsidP="00B419CE">
            <w:pPr>
              <w:jc w:val="right"/>
            </w:pPr>
            <w:r w:rsidRPr="00B419CE">
              <w:t>440 560</w:t>
            </w:r>
          </w:p>
        </w:tc>
      </w:tr>
      <w:tr w:rsidR="00B419CE" w:rsidRPr="00B419CE" w14:paraId="27253A66" w14:textId="77777777" w:rsidTr="00B419CE">
        <w:trPr>
          <w:trHeight w:val="380"/>
        </w:trPr>
        <w:tc>
          <w:tcPr>
            <w:tcW w:w="1140" w:type="dxa"/>
          </w:tcPr>
          <w:p w14:paraId="76A4040E" w14:textId="77777777" w:rsidR="00B419CE" w:rsidRPr="00B419CE" w:rsidRDefault="00B419CE" w:rsidP="00B419CE">
            <w:r w:rsidRPr="00B419CE">
              <w:t>45</w:t>
            </w:r>
          </w:p>
        </w:tc>
        <w:tc>
          <w:tcPr>
            <w:tcW w:w="4560" w:type="dxa"/>
          </w:tcPr>
          <w:p w14:paraId="0D3C7DA2" w14:textId="77777777" w:rsidR="00B419CE" w:rsidRPr="00B419CE" w:rsidRDefault="00B419CE" w:rsidP="00B419CE">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1140" w:type="dxa"/>
          </w:tcPr>
          <w:p w14:paraId="64AC5CBB" w14:textId="77777777" w:rsidR="00B419CE" w:rsidRPr="00B419CE" w:rsidRDefault="00B419CE" w:rsidP="00B419CE">
            <w:pPr>
              <w:jc w:val="right"/>
            </w:pPr>
            <w:r w:rsidRPr="00B419CE">
              <w:t>27 236</w:t>
            </w:r>
          </w:p>
        </w:tc>
        <w:tc>
          <w:tcPr>
            <w:tcW w:w="1140" w:type="dxa"/>
          </w:tcPr>
          <w:p w14:paraId="436E6A91" w14:textId="77777777" w:rsidR="00B419CE" w:rsidRPr="00B419CE" w:rsidRDefault="00B419CE" w:rsidP="00B419CE">
            <w:pPr>
              <w:jc w:val="right"/>
            </w:pPr>
            <w:r w:rsidRPr="00B419CE">
              <w:t>19 800</w:t>
            </w:r>
          </w:p>
        </w:tc>
        <w:tc>
          <w:tcPr>
            <w:tcW w:w="1140" w:type="dxa"/>
          </w:tcPr>
          <w:p w14:paraId="7DFB2772" w14:textId="77777777" w:rsidR="00B419CE" w:rsidRPr="00B419CE" w:rsidRDefault="00B419CE" w:rsidP="00B419CE">
            <w:pPr>
              <w:jc w:val="right"/>
            </w:pPr>
            <w:r w:rsidRPr="00B419CE">
              <w:t>35 300</w:t>
            </w:r>
          </w:p>
        </w:tc>
      </w:tr>
      <w:tr w:rsidR="00B419CE" w:rsidRPr="00B419CE" w14:paraId="55526ADB" w14:textId="77777777" w:rsidTr="00B419CE">
        <w:trPr>
          <w:trHeight w:val="380"/>
        </w:trPr>
        <w:tc>
          <w:tcPr>
            <w:tcW w:w="1140" w:type="dxa"/>
          </w:tcPr>
          <w:p w14:paraId="5A3E29CE" w14:textId="77777777" w:rsidR="00B419CE" w:rsidRPr="00B419CE" w:rsidRDefault="00B419CE" w:rsidP="00B419CE"/>
        </w:tc>
        <w:tc>
          <w:tcPr>
            <w:tcW w:w="4560" w:type="dxa"/>
          </w:tcPr>
          <w:p w14:paraId="1DD69A02" w14:textId="77777777" w:rsidR="00B419CE" w:rsidRPr="00B419CE" w:rsidRDefault="00B419CE" w:rsidP="00B419CE">
            <w:r w:rsidRPr="00B419CE">
              <w:t>Sum kap. 1602</w:t>
            </w:r>
          </w:p>
        </w:tc>
        <w:tc>
          <w:tcPr>
            <w:tcW w:w="1140" w:type="dxa"/>
          </w:tcPr>
          <w:p w14:paraId="4CDEEDDB" w14:textId="77777777" w:rsidR="00B419CE" w:rsidRPr="00B419CE" w:rsidRDefault="00B419CE" w:rsidP="00B419CE">
            <w:pPr>
              <w:jc w:val="right"/>
            </w:pPr>
            <w:r w:rsidRPr="00B419CE">
              <w:t>452 580</w:t>
            </w:r>
          </w:p>
        </w:tc>
        <w:tc>
          <w:tcPr>
            <w:tcW w:w="1140" w:type="dxa"/>
          </w:tcPr>
          <w:p w14:paraId="1F57CE11" w14:textId="77777777" w:rsidR="00B419CE" w:rsidRPr="00B419CE" w:rsidRDefault="00B419CE" w:rsidP="00B419CE">
            <w:pPr>
              <w:jc w:val="right"/>
            </w:pPr>
            <w:r w:rsidRPr="00B419CE">
              <w:t>445 178</w:t>
            </w:r>
          </w:p>
        </w:tc>
        <w:tc>
          <w:tcPr>
            <w:tcW w:w="1140" w:type="dxa"/>
          </w:tcPr>
          <w:p w14:paraId="06891E0C" w14:textId="77777777" w:rsidR="00B419CE" w:rsidRPr="00B419CE" w:rsidRDefault="00B419CE" w:rsidP="00B419CE">
            <w:pPr>
              <w:jc w:val="right"/>
            </w:pPr>
            <w:r w:rsidRPr="00B419CE">
              <w:t>475 860</w:t>
            </w:r>
          </w:p>
        </w:tc>
      </w:tr>
    </w:tbl>
    <w:p w14:paraId="55DA2BC0" w14:textId="77777777" w:rsidR="00B419CE" w:rsidRPr="00B419CE" w:rsidRDefault="00B419CE" w:rsidP="00B419CE">
      <w:pPr>
        <w:pStyle w:val="Undertittel"/>
      </w:pPr>
      <w:r w:rsidRPr="00B419CE">
        <w:t>Samfunnsoppdrag og organisering</w:t>
      </w:r>
    </w:p>
    <w:p w14:paraId="2DCD3693" w14:textId="77777777" w:rsidR="00B419CE" w:rsidRPr="00B419CE" w:rsidRDefault="00B419CE" w:rsidP="00B419CE">
      <w:r w:rsidRPr="00B419CE">
        <w:t xml:space="preserve">Samfunnsoppdraget til Finanstilsynet er å bidra til finansiell stabilitet og </w:t>
      </w:r>
      <w:proofErr w:type="spellStart"/>
      <w:r w:rsidRPr="00B419CE">
        <w:t>velfungerande</w:t>
      </w:r>
      <w:proofErr w:type="spellEnd"/>
      <w:r w:rsidRPr="00B419CE">
        <w:t xml:space="preserve"> </w:t>
      </w:r>
      <w:proofErr w:type="spellStart"/>
      <w:r w:rsidRPr="00B419CE">
        <w:t>marknader</w:t>
      </w:r>
      <w:proofErr w:type="spellEnd"/>
      <w:r w:rsidRPr="00B419CE">
        <w:t xml:space="preserve">. Dette er </w:t>
      </w:r>
      <w:proofErr w:type="spellStart"/>
      <w:r w:rsidRPr="00B419CE">
        <w:t>naudsynte</w:t>
      </w:r>
      <w:proofErr w:type="spellEnd"/>
      <w:r w:rsidRPr="00B419CE">
        <w:t xml:space="preserve"> vilkår for tillit til det finansielle systemet, ei stabil økonomisk utvikling og vern av </w:t>
      </w:r>
      <w:proofErr w:type="spellStart"/>
      <w:r w:rsidRPr="00B419CE">
        <w:t>forbrukarar</w:t>
      </w:r>
      <w:proofErr w:type="spellEnd"/>
      <w:r w:rsidRPr="00B419CE">
        <w:t xml:space="preserve"> og andre </w:t>
      </w:r>
      <w:proofErr w:type="spellStart"/>
      <w:r w:rsidRPr="00B419CE">
        <w:t>brukarar</w:t>
      </w:r>
      <w:proofErr w:type="spellEnd"/>
      <w:r w:rsidRPr="00B419CE">
        <w:t xml:space="preserve"> av finansielle </w:t>
      </w:r>
      <w:proofErr w:type="spellStart"/>
      <w:r w:rsidRPr="00B419CE">
        <w:t>tenester</w:t>
      </w:r>
      <w:proofErr w:type="spellEnd"/>
      <w:r w:rsidRPr="00B419CE">
        <w:t xml:space="preserve">. </w:t>
      </w:r>
      <w:proofErr w:type="spellStart"/>
      <w:r w:rsidRPr="00B419CE">
        <w:t>Hovudmålet</w:t>
      </w:r>
      <w:proofErr w:type="spellEnd"/>
      <w:r w:rsidRPr="00B419CE">
        <w:t xml:space="preserve"> i Finanstilsynets strategi for perioden 2019–2022 er det same som samfunnsoppdraget.</w:t>
      </w:r>
    </w:p>
    <w:p w14:paraId="34B3665E" w14:textId="77777777" w:rsidR="00B419CE" w:rsidRPr="00B419CE" w:rsidRDefault="00B419CE" w:rsidP="00B419CE">
      <w:r w:rsidRPr="00B419CE">
        <w:t xml:space="preserve">Finanstilsynet skal sjå til at </w:t>
      </w:r>
      <w:proofErr w:type="spellStart"/>
      <w:r w:rsidRPr="00B419CE">
        <w:t>føretaka</w:t>
      </w:r>
      <w:proofErr w:type="spellEnd"/>
      <w:r w:rsidRPr="00B419CE">
        <w:t xml:space="preserve"> under tilsyn etterlever lover og </w:t>
      </w:r>
      <w:proofErr w:type="spellStart"/>
      <w:r w:rsidRPr="00B419CE">
        <w:t>reglar</w:t>
      </w:r>
      <w:proofErr w:type="spellEnd"/>
      <w:r w:rsidRPr="00B419CE">
        <w:t xml:space="preserve">. I dette arbeidet </w:t>
      </w:r>
      <w:proofErr w:type="spellStart"/>
      <w:r w:rsidRPr="00B419CE">
        <w:t>nyttar</w:t>
      </w:r>
      <w:proofErr w:type="spellEnd"/>
      <w:r w:rsidRPr="00B419CE">
        <w:t xml:space="preserve"> tilsynet ei </w:t>
      </w:r>
      <w:proofErr w:type="spellStart"/>
      <w:r w:rsidRPr="00B419CE">
        <w:t>rekkje</w:t>
      </w:r>
      <w:proofErr w:type="spellEnd"/>
      <w:r w:rsidRPr="00B419CE">
        <w:t xml:space="preserve"> </w:t>
      </w:r>
      <w:proofErr w:type="spellStart"/>
      <w:r w:rsidRPr="00B419CE">
        <w:t>verkemiddel</w:t>
      </w:r>
      <w:proofErr w:type="spellEnd"/>
      <w:r w:rsidRPr="00B419CE">
        <w:t xml:space="preserve">, </w:t>
      </w:r>
      <w:proofErr w:type="spellStart"/>
      <w:r w:rsidRPr="00B419CE">
        <w:t>anten</w:t>
      </w:r>
      <w:proofErr w:type="spellEnd"/>
      <w:r w:rsidRPr="00B419CE">
        <w:t xml:space="preserve"> kvar for seg eller i kombinasjon. </w:t>
      </w:r>
      <w:proofErr w:type="spellStart"/>
      <w:r w:rsidRPr="00B419CE">
        <w:t>Verkemidla</w:t>
      </w:r>
      <w:proofErr w:type="spellEnd"/>
      <w:r w:rsidRPr="00B419CE">
        <w:t xml:space="preserve"> er tilsyn, </w:t>
      </w:r>
      <w:proofErr w:type="spellStart"/>
      <w:r w:rsidRPr="00B419CE">
        <w:t>overvaking</w:t>
      </w:r>
      <w:proofErr w:type="spellEnd"/>
      <w:r w:rsidRPr="00B419CE">
        <w:t xml:space="preserve"> og kontroll, forvaltning, regelverksutvikling samt informasjon og kommunikasjon. Finanstilsynet har tilsyn med mellom anna </w:t>
      </w:r>
      <w:proofErr w:type="spellStart"/>
      <w:r w:rsidRPr="00B419CE">
        <w:t>bankar</w:t>
      </w:r>
      <w:proofErr w:type="spellEnd"/>
      <w:r w:rsidRPr="00B419CE">
        <w:t xml:space="preserve">, </w:t>
      </w:r>
      <w:proofErr w:type="spellStart"/>
      <w:r w:rsidRPr="00B419CE">
        <w:t>finansieringsføretak</w:t>
      </w:r>
      <w:proofErr w:type="spellEnd"/>
      <w:r w:rsidRPr="00B419CE">
        <w:t xml:space="preserve">, </w:t>
      </w:r>
      <w:proofErr w:type="spellStart"/>
      <w:r w:rsidRPr="00B419CE">
        <w:t>kredittføretak</w:t>
      </w:r>
      <w:proofErr w:type="spellEnd"/>
      <w:r w:rsidRPr="00B419CE">
        <w:t xml:space="preserve">, </w:t>
      </w:r>
      <w:proofErr w:type="spellStart"/>
      <w:r w:rsidRPr="00B419CE">
        <w:t>betalingsføretak</w:t>
      </w:r>
      <w:proofErr w:type="spellEnd"/>
      <w:r w:rsidRPr="00B419CE">
        <w:t xml:space="preserve">, </w:t>
      </w:r>
      <w:proofErr w:type="spellStart"/>
      <w:r w:rsidRPr="00B419CE">
        <w:t>forsikringsføretak</w:t>
      </w:r>
      <w:proofErr w:type="spellEnd"/>
      <w:r w:rsidRPr="00B419CE">
        <w:t xml:space="preserve">, </w:t>
      </w:r>
      <w:proofErr w:type="spellStart"/>
      <w:r w:rsidRPr="00B419CE">
        <w:t>pensjonsføretak</w:t>
      </w:r>
      <w:proofErr w:type="spellEnd"/>
      <w:r w:rsidRPr="00B419CE">
        <w:t xml:space="preserve">, </w:t>
      </w:r>
      <w:proofErr w:type="spellStart"/>
      <w:r w:rsidRPr="00B419CE">
        <w:t>forsikringsformidlarar</w:t>
      </w:r>
      <w:proofErr w:type="spellEnd"/>
      <w:r w:rsidRPr="00B419CE">
        <w:t xml:space="preserve">, </w:t>
      </w:r>
      <w:proofErr w:type="spellStart"/>
      <w:r w:rsidRPr="00B419CE">
        <w:t>verdipapirføretak</w:t>
      </w:r>
      <w:proofErr w:type="spellEnd"/>
      <w:r w:rsidRPr="00B419CE">
        <w:t xml:space="preserve">, </w:t>
      </w:r>
      <w:proofErr w:type="spellStart"/>
      <w:r w:rsidRPr="00B419CE">
        <w:t>fondsforvaltarar</w:t>
      </w:r>
      <w:proofErr w:type="spellEnd"/>
      <w:r w:rsidRPr="00B419CE">
        <w:t xml:space="preserve">, </w:t>
      </w:r>
      <w:proofErr w:type="spellStart"/>
      <w:r w:rsidRPr="00B419CE">
        <w:t>eigedomsmeklingsføretak</w:t>
      </w:r>
      <w:proofErr w:type="spellEnd"/>
      <w:r w:rsidRPr="00B419CE">
        <w:t xml:space="preserve">, </w:t>
      </w:r>
      <w:proofErr w:type="spellStart"/>
      <w:r w:rsidRPr="00B419CE">
        <w:t>inkassoføretak</w:t>
      </w:r>
      <w:proofErr w:type="spellEnd"/>
      <w:r w:rsidRPr="00B419CE">
        <w:t xml:space="preserve">, </w:t>
      </w:r>
      <w:proofErr w:type="spellStart"/>
      <w:r w:rsidRPr="00B419CE">
        <w:t>rekneskapsførarar</w:t>
      </w:r>
      <w:proofErr w:type="spellEnd"/>
      <w:r w:rsidRPr="00B419CE">
        <w:t xml:space="preserve"> og </w:t>
      </w:r>
      <w:proofErr w:type="spellStart"/>
      <w:r w:rsidRPr="00B419CE">
        <w:t>revisorar</w:t>
      </w:r>
      <w:proofErr w:type="spellEnd"/>
      <w:r w:rsidRPr="00B419CE">
        <w:t xml:space="preserve">. I tillegg har tilsynet kontroll med prospekt og finansiell rapportering </w:t>
      </w:r>
      <w:proofErr w:type="spellStart"/>
      <w:r w:rsidRPr="00B419CE">
        <w:t>frå</w:t>
      </w:r>
      <w:proofErr w:type="spellEnd"/>
      <w:r w:rsidRPr="00B419CE">
        <w:t xml:space="preserve"> noterte </w:t>
      </w:r>
      <w:proofErr w:type="spellStart"/>
      <w:r w:rsidRPr="00B419CE">
        <w:t>føretak</w:t>
      </w:r>
      <w:proofErr w:type="spellEnd"/>
      <w:r w:rsidRPr="00B419CE">
        <w:t xml:space="preserve"> og følgjer opp </w:t>
      </w:r>
      <w:proofErr w:type="spellStart"/>
      <w:r w:rsidRPr="00B419CE">
        <w:t>åtferda</w:t>
      </w:r>
      <w:proofErr w:type="spellEnd"/>
      <w:r w:rsidRPr="00B419CE">
        <w:t xml:space="preserve"> i </w:t>
      </w:r>
      <w:proofErr w:type="spellStart"/>
      <w:r w:rsidRPr="00B419CE">
        <w:t>verdipapirmarknaden</w:t>
      </w:r>
      <w:proofErr w:type="spellEnd"/>
      <w:r w:rsidRPr="00B419CE">
        <w:t>.</w:t>
      </w:r>
    </w:p>
    <w:p w14:paraId="616AEA21" w14:textId="77777777" w:rsidR="00B419CE" w:rsidRPr="00B419CE" w:rsidRDefault="00B419CE" w:rsidP="00B419CE">
      <w:r w:rsidRPr="00B419CE">
        <w:t xml:space="preserve">Finanstilsynets styre har </w:t>
      </w:r>
      <w:proofErr w:type="spellStart"/>
      <w:r w:rsidRPr="00B419CE">
        <w:t>eit</w:t>
      </w:r>
      <w:proofErr w:type="spellEnd"/>
      <w:r w:rsidRPr="00B419CE">
        <w:t xml:space="preserve"> overordna ansvar for </w:t>
      </w:r>
      <w:proofErr w:type="spellStart"/>
      <w:r w:rsidRPr="00B419CE">
        <w:t>verksemda</w:t>
      </w:r>
      <w:proofErr w:type="spellEnd"/>
      <w:r w:rsidRPr="00B419CE">
        <w:t xml:space="preserve">. Styret har fem </w:t>
      </w:r>
      <w:proofErr w:type="spellStart"/>
      <w:r w:rsidRPr="00B419CE">
        <w:t>medlemar</w:t>
      </w:r>
      <w:proofErr w:type="spellEnd"/>
      <w:r w:rsidRPr="00B419CE">
        <w:t xml:space="preserve"> og er supplert med to </w:t>
      </w:r>
      <w:proofErr w:type="spellStart"/>
      <w:r w:rsidRPr="00B419CE">
        <w:t>representantar</w:t>
      </w:r>
      <w:proofErr w:type="spellEnd"/>
      <w:r w:rsidRPr="00B419CE">
        <w:t xml:space="preserve"> </w:t>
      </w:r>
      <w:proofErr w:type="spellStart"/>
      <w:r w:rsidRPr="00B419CE">
        <w:t>frå</w:t>
      </w:r>
      <w:proofErr w:type="spellEnd"/>
      <w:r w:rsidRPr="00B419CE">
        <w:t xml:space="preserve"> </w:t>
      </w:r>
      <w:proofErr w:type="spellStart"/>
      <w:r w:rsidRPr="00B419CE">
        <w:t>dei</w:t>
      </w:r>
      <w:proofErr w:type="spellEnd"/>
      <w:r w:rsidRPr="00B419CE">
        <w:t xml:space="preserve"> tilsette ved behandling av administrative saker. </w:t>
      </w:r>
      <w:proofErr w:type="spellStart"/>
      <w:r w:rsidRPr="00B419CE">
        <w:t>Medlemane</w:t>
      </w:r>
      <w:proofErr w:type="spellEnd"/>
      <w:r w:rsidRPr="00B419CE">
        <w:t xml:space="preserve"> og </w:t>
      </w:r>
      <w:proofErr w:type="spellStart"/>
      <w:r w:rsidRPr="00B419CE">
        <w:t>varamedlemane</w:t>
      </w:r>
      <w:proofErr w:type="spellEnd"/>
      <w:r w:rsidRPr="00B419CE">
        <w:t xml:space="preserve"> vert </w:t>
      </w:r>
      <w:proofErr w:type="spellStart"/>
      <w:r w:rsidRPr="00B419CE">
        <w:t>peikte</w:t>
      </w:r>
      <w:proofErr w:type="spellEnd"/>
      <w:r w:rsidRPr="00B419CE">
        <w:t xml:space="preserve"> ut av Finansdepartementet for </w:t>
      </w:r>
      <w:proofErr w:type="spellStart"/>
      <w:r w:rsidRPr="00B419CE">
        <w:t>ein</w:t>
      </w:r>
      <w:proofErr w:type="spellEnd"/>
      <w:r w:rsidRPr="00B419CE">
        <w:t xml:space="preserve"> periode på fire år. Direktøren for Finanstilsynet har ansvaret for den </w:t>
      </w:r>
      <w:proofErr w:type="spellStart"/>
      <w:r w:rsidRPr="00B419CE">
        <w:t>daglege</w:t>
      </w:r>
      <w:proofErr w:type="spellEnd"/>
      <w:r w:rsidRPr="00B419CE">
        <w:t xml:space="preserve"> leiinga av Finanstilsynet og vert </w:t>
      </w:r>
      <w:proofErr w:type="spellStart"/>
      <w:r w:rsidRPr="00B419CE">
        <w:t>oppnemnd</w:t>
      </w:r>
      <w:proofErr w:type="spellEnd"/>
      <w:r w:rsidRPr="00B419CE">
        <w:t xml:space="preserve"> av Kongen for </w:t>
      </w:r>
      <w:proofErr w:type="spellStart"/>
      <w:r w:rsidRPr="00B419CE">
        <w:t>eit</w:t>
      </w:r>
      <w:proofErr w:type="spellEnd"/>
      <w:r w:rsidRPr="00B419CE">
        <w:t xml:space="preserve"> åremål på seks år.</w:t>
      </w:r>
    </w:p>
    <w:p w14:paraId="5DA4E6DA" w14:textId="77777777" w:rsidR="00B419CE" w:rsidRPr="00B419CE" w:rsidRDefault="00B419CE" w:rsidP="00B419CE">
      <w:r w:rsidRPr="00B419CE">
        <w:t xml:space="preserve">Finanstilsynet hadde ei bemanning </w:t>
      </w:r>
      <w:proofErr w:type="spellStart"/>
      <w:r w:rsidRPr="00B419CE">
        <w:t>tilsvarande</w:t>
      </w:r>
      <w:proofErr w:type="spellEnd"/>
      <w:r w:rsidRPr="00B419CE">
        <w:t xml:space="preserve"> 292 utførte årsverk i 2020.</w:t>
      </w:r>
    </w:p>
    <w:p w14:paraId="1A39247F" w14:textId="77777777" w:rsidR="00B419CE" w:rsidRPr="00B419CE" w:rsidRDefault="00B419CE" w:rsidP="00B419CE">
      <w:pPr>
        <w:pStyle w:val="Undertittel"/>
      </w:pPr>
      <w:r w:rsidRPr="00B419CE">
        <w:t>Resultat i 2020</w:t>
      </w:r>
    </w:p>
    <w:p w14:paraId="1D39D3D0" w14:textId="77777777" w:rsidR="00B419CE" w:rsidRPr="00B419CE" w:rsidRDefault="00B419CE" w:rsidP="00B419CE">
      <w:proofErr w:type="spellStart"/>
      <w:r w:rsidRPr="00B419CE">
        <w:t>Nedanfor</w:t>
      </w:r>
      <w:proofErr w:type="spellEnd"/>
      <w:r w:rsidRPr="00B419CE">
        <w:t xml:space="preserve"> følgjer </w:t>
      </w:r>
      <w:proofErr w:type="spellStart"/>
      <w:r w:rsidRPr="00B419CE">
        <w:t>ein</w:t>
      </w:r>
      <w:proofErr w:type="spellEnd"/>
      <w:r w:rsidRPr="00B419CE">
        <w:t xml:space="preserve"> </w:t>
      </w:r>
      <w:proofErr w:type="spellStart"/>
      <w:r w:rsidRPr="00B419CE">
        <w:t>nærare</w:t>
      </w:r>
      <w:proofErr w:type="spellEnd"/>
      <w:r w:rsidRPr="00B419CE">
        <w:t xml:space="preserve"> omtale av arbeidet i Finanstilsynet i 2020. Sjå òg </w:t>
      </w:r>
      <w:proofErr w:type="spellStart"/>
      <w:r w:rsidRPr="00B419CE">
        <w:t>nærare</w:t>
      </w:r>
      <w:proofErr w:type="spellEnd"/>
      <w:r w:rsidRPr="00B419CE">
        <w:t xml:space="preserve"> omtale av tilsynet sine </w:t>
      </w:r>
      <w:proofErr w:type="spellStart"/>
      <w:r w:rsidRPr="00B419CE">
        <w:t>aktivitetar</w:t>
      </w:r>
      <w:proofErr w:type="spellEnd"/>
      <w:r w:rsidRPr="00B419CE">
        <w:t xml:space="preserve"> i Meld. St. 22 (2020–2021) </w:t>
      </w:r>
      <w:r w:rsidRPr="00B419CE">
        <w:rPr>
          <w:rStyle w:val="kursiv"/>
        </w:rPr>
        <w:t>Finansmarkedsmeldingen 2021</w:t>
      </w:r>
      <w:r w:rsidRPr="00B419CE">
        <w:t>.</w:t>
      </w:r>
    </w:p>
    <w:p w14:paraId="4E7F8477" w14:textId="77777777" w:rsidR="00B419CE" w:rsidRPr="00B419CE" w:rsidRDefault="00B419CE" w:rsidP="00B419CE">
      <w:pPr>
        <w:pStyle w:val="avsnitt-tittel"/>
      </w:pPr>
      <w:r w:rsidRPr="00B419CE">
        <w:lastRenderedPageBreak/>
        <w:t xml:space="preserve">Solide og likvide </w:t>
      </w:r>
      <w:proofErr w:type="spellStart"/>
      <w:r w:rsidRPr="00B419CE">
        <w:t>finansføretak</w:t>
      </w:r>
      <w:proofErr w:type="spellEnd"/>
    </w:p>
    <w:p w14:paraId="0D09A206" w14:textId="77777777" w:rsidR="00B419CE" w:rsidRPr="00B419CE" w:rsidRDefault="00B419CE" w:rsidP="00B419CE">
      <w:r w:rsidRPr="00B419CE">
        <w:t xml:space="preserve">Finanstilsynet vurderer </w:t>
      </w:r>
      <w:proofErr w:type="spellStart"/>
      <w:r w:rsidRPr="00B419CE">
        <w:t>laupande</w:t>
      </w:r>
      <w:proofErr w:type="spellEnd"/>
      <w:r w:rsidRPr="00B419CE">
        <w:t xml:space="preserve"> soliditeten, risikoen og </w:t>
      </w:r>
      <w:proofErr w:type="spellStart"/>
      <w:r w:rsidRPr="00B419CE">
        <w:t>risikohandteringa</w:t>
      </w:r>
      <w:proofErr w:type="spellEnd"/>
      <w:r w:rsidRPr="00B419CE">
        <w:t xml:space="preserve"> i </w:t>
      </w:r>
      <w:proofErr w:type="spellStart"/>
      <w:r w:rsidRPr="00B419CE">
        <w:t>finansføretaka</w:t>
      </w:r>
      <w:proofErr w:type="spellEnd"/>
      <w:r w:rsidRPr="00B419CE">
        <w:t xml:space="preserve">. Soliditeten i </w:t>
      </w:r>
      <w:proofErr w:type="spellStart"/>
      <w:r w:rsidRPr="00B419CE">
        <w:t>føretaka</w:t>
      </w:r>
      <w:proofErr w:type="spellEnd"/>
      <w:r w:rsidRPr="00B419CE">
        <w:t xml:space="preserve"> er </w:t>
      </w:r>
      <w:proofErr w:type="spellStart"/>
      <w:r w:rsidRPr="00B419CE">
        <w:t>følgt</w:t>
      </w:r>
      <w:proofErr w:type="spellEnd"/>
      <w:r w:rsidRPr="00B419CE">
        <w:t xml:space="preserve"> opp gjennom </w:t>
      </w:r>
      <w:proofErr w:type="spellStart"/>
      <w:r w:rsidRPr="00B419CE">
        <w:t>ein</w:t>
      </w:r>
      <w:proofErr w:type="spellEnd"/>
      <w:r w:rsidRPr="00B419CE">
        <w:t xml:space="preserve"> kombinasjon av </w:t>
      </w:r>
      <w:proofErr w:type="spellStart"/>
      <w:r w:rsidRPr="00B419CE">
        <w:t>stadlege</w:t>
      </w:r>
      <w:proofErr w:type="spellEnd"/>
      <w:r w:rsidRPr="00B419CE">
        <w:t xml:space="preserve"> tilsyn, pilar 2-vurderingar (krav til kapital ut over minstekrava for </w:t>
      </w:r>
      <w:proofErr w:type="spellStart"/>
      <w:r w:rsidRPr="00B419CE">
        <w:t>finansføretak</w:t>
      </w:r>
      <w:proofErr w:type="spellEnd"/>
      <w:r w:rsidRPr="00B419CE">
        <w:t xml:space="preserve">), </w:t>
      </w:r>
      <w:proofErr w:type="spellStart"/>
      <w:r w:rsidRPr="00B419CE">
        <w:t>dokumentbasert</w:t>
      </w:r>
      <w:proofErr w:type="spellEnd"/>
      <w:r w:rsidRPr="00B419CE">
        <w:t xml:space="preserve"> tilsyn, makroøkonomisk </w:t>
      </w:r>
      <w:proofErr w:type="spellStart"/>
      <w:r w:rsidRPr="00B419CE">
        <w:t>overvaking</w:t>
      </w:r>
      <w:proofErr w:type="spellEnd"/>
      <w:r w:rsidRPr="00B419CE">
        <w:t xml:space="preserve"> og </w:t>
      </w:r>
      <w:proofErr w:type="spellStart"/>
      <w:r w:rsidRPr="00B419CE">
        <w:t>stresstestar</w:t>
      </w:r>
      <w:proofErr w:type="spellEnd"/>
      <w:r w:rsidRPr="00B419CE">
        <w:t xml:space="preserve">. Utviklinga i norsk og internasjonal økonomi vert </w:t>
      </w:r>
      <w:proofErr w:type="spellStart"/>
      <w:r w:rsidRPr="00B419CE">
        <w:t>følgt</w:t>
      </w:r>
      <w:proofErr w:type="spellEnd"/>
      <w:r w:rsidRPr="00B419CE">
        <w:t xml:space="preserve"> </w:t>
      </w:r>
      <w:proofErr w:type="spellStart"/>
      <w:r w:rsidRPr="00B419CE">
        <w:t>laupande</w:t>
      </w:r>
      <w:proofErr w:type="spellEnd"/>
      <w:r w:rsidRPr="00B419CE">
        <w:t xml:space="preserve">, og det er utarbeidd </w:t>
      </w:r>
      <w:proofErr w:type="spellStart"/>
      <w:r w:rsidRPr="00B419CE">
        <w:t>analysar</w:t>
      </w:r>
      <w:proofErr w:type="spellEnd"/>
      <w:r w:rsidRPr="00B419CE">
        <w:t xml:space="preserve"> og </w:t>
      </w:r>
      <w:proofErr w:type="spellStart"/>
      <w:r w:rsidRPr="00B419CE">
        <w:t>vurderingar</w:t>
      </w:r>
      <w:proofErr w:type="spellEnd"/>
      <w:r w:rsidRPr="00B419CE">
        <w:t xml:space="preserve"> av utsiktene for finansiell stabilitet. Med bakgrunn i den store </w:t>
      </w:r>
      <w:proofErr w:type="spellStart"/>
      <w:r w:rsidRPr="00B419CE">
        <w:t>uvissa</w:t>
      </w:r>
      <w:proofErr w:type="spellEnd"/>
      <w:r w:rsidRPr="00B419CE">
        <w:t xml:space="preserve"> under koronapandemien </w:t>
      </w:r>
      <w:proofErr w:type="spellStart"/>
      <w:r w:rsidRPr="00B419CE">
        <w:t>oppmoda</w:t>
      </w:r>
      <w:proofErr w:type="spellEnd"/>
      <w:r w:rsidRPr="00B419CE">
        <w:t xml:space="preserve"> </w:t>
      </w:r>
      <w:proofErr w:type="spellStart"/>
      <w:r w:rsidRPr="00B419CE">
        <w:t>dei</w:t>
      </w:r>
      <w:proofErr w:type="spellEnd"/>
      <w:r w:rsidRPr="00B419CE">
        <w:t xml:space="preserve"> felles europeiske </w:t>
      </w:r>
      <w:proofErr w:type="spellStart"/>
      <w:r w:rsidRPr="00B419CE">
        <w:t>tilsynsmyndigheitene</w:t>
      </w:r>
      <w:proofErr w:type="spellEnd"/>
      <w:r w:rsidRPr="00B419CE">
        <w:t xml:space="preserve"> alle </w:t>
      </w:r>
      <w:proofErr w:type="spellStart"/>
      <w:r w:rsidRPr="00B419CE">
        <w:t>føretak</w:t>
      </w:r>
      <w:proofErr w:type="spellEnd"/>
      <w:r w:rsidRPr="00B419CE">
        <w:t xml:space="preserve"> om å avstå </w:t>
      </w:r>
      <w:proofErr w:type="spellStart"/>
      <w:r w:rsidRPr="00B419CE">
        <w:t>frå</w:t>
      </w:r>
      <w:proofErr w:type="spellEnd"/>
      <w:r w:rsidRPr="00B419CE">
        <w:t xml:space="preserve"> </w:t>
      </w:r>
      <w:proofErr w:type="spellStart"/>
      <w:r w:rsidRPr="00B419CE">
        <w:t>utbyteutdeling</w:t>
      </w:r>
      <w:proofErr w:type="spellEnd"/>
      <w:r w:rsidRPr="00B419CE">
        <w:t xml:space="preserve">, tilbakekjøp av eigne </w:t>
      </w:r>
      <w:proofErr w:type="spellStart"/>
      <w:r w:rsidRPr="00B419CE">
        <w:t>aksjar</w:t>
      </w:r>
      <w:proofErr w:type="spellEnd"/>
      <w:r w:rsidRPr="00B419CE">
        <w:t xml:space="preserve"> og anna utdeling av eigenkapital, uavhengig av den finansielle stillinga til det enkelte </w:t>
      </w:r>
      <w:proofErr w:type="spellStart"/>
      <w:r w:rsidRPr="00B419CE">
        <w:t>føretaket</w:t>
      </w:r>
      <w:proofErr w:type="spellEnd"/>
      <w:r w:rsidRPr="00B419CE">
        <w:t xml:space="preserve">. Finanstilsynet </w:t>
      </w:r>
      <w:proofErr w:type="spellStart"/>
      <w:r w:rsidRPr="00B419CE">
        <w:t>følgde</w:t>
      </w:r>
      <w:proofErr w:type="spellEnd"/>
      <w:r w:rsidRPr="00B419CE">
        <w:t xml:space="preserve"> opp dette i eigne </w:t>
      </w:r>
      <w:proofErr w:type="spellStart"/>
      <w:r w:rsidRPr="00B419CE">
        <w:t>oppmodingar</w:t>
      </w:r>
      <w:proofErr w:type="spellEnd"/>
      <w:r w:rsidRPr="00B419CE">
        <w:t xml:space="preserve"> til </w:t>
      </w:r>
      <w:proofErr w:type="spellStart"/>
      <w:r w:rsidRPr="00B419CE">
        <w:t>føretaka</w:t>
      </w:r>
      <w:proofErr w:type="spellEnd"/>
      <w:r w:rsidRPr="00B419CE">
        <w:t xml:space="preserve"> og i råd til Finansdepartementet.</w:t>
      </w:r>
    </w:p>
    <w:p w14:paraId="45997D05" w14:textId="77777777" w:rsidR="00B419CE" w:rsidRPr="00B419CE" w:rsidRDefault="00B419CE" w:rsidP="00B419CE">
      <w:r w:rsidRPr="00B419CE">
        <w:t xml:space="preserve">Pandemien har medført enkelte </w:t>
      </w:r>
      <w:proofErr w:type="spellStart"/>
      <w:r w:rsidRPr="00B419CE">
        <w:t>tilpassingar</w:t>
      </w:r>
      <w:proofErr w:type="spellEnd"/>
      <w:r w:rsidRPr="00B419CE">
        <w:t xml:space="preserve"> på det regulatoriske området og behov for forsterka rapportering på ulike risikoområde. Dei finans- og pengepolitiske tiltaka har </w:t>
      </w:r>
      <w:proofErr w:type="spellStart"/>
      <w:r w:rsidRPr="00B419CE">
        <w:t>bidrege</w:t>
      </w:r>
      <w:proofErr w:type="spellEnd"/>
      <w:r w:rsidRPr="00B419CE">
        <w:t xml:space="preserve"> til å avgrense den negative verknaden pandemien har hatt på norsk økonomi i 2020, og dermed utlånstapa for </w:t>
      </w:r>
      <w:proofErr w:type="spellStart"/>
      <w:r w:rsidRPr="00B419CE">
        <w:t>bankane</w:t>
      </w:r>
      <w:proofErr w:type="spellEnd"/>
      <w:r w:rsidRPr="00B419CE">
        <w:t xml:space="preserve">. Etter Finanstilsynets vurdering er det </w:t>
      </w:r>
      <w:proofErr w:type="spellStart"/>
      <w:r w:rsidRPr="00B419CE">
        <w:t>framleis</w:t>
      </w:r>
      <w:proofErr w:type="spellEnd"/>
      <w:r w:rsidRPr="00B419CE">
        <w:t xml:space="preserve"> stor uvisse om utviklinga i realøkonomien og </w:t>
      </w:r>
      <w:proofErr w:type="spellStart"/>
      <w:r w:rsidRPr="00B419CE">
        <w:t>finansmarknadene</w:t>
      </w:r>
      <w:proofErr w:type="spellEnd"/>
      <w:r w:rsidRPr="00B419CE">
        <w:t>, og dermed tapsrisikoen.</w:t>
      </w:r>
    </w:p>
    <w:p w14:paraId="2C5E158A" w14:textId="77777777" w:rsidR="00B419CE" w:rsidRPr="00B419CE" w:rsidRDefault="00B419CE" w:rsidP="00B419CE">
      <w:r w:rsidRPr="00B419CE">
        <w:t xml:space="preserve">På grunn av pandemien </w:t>
      </w:r>
      <w:proofErr w:type="spellStart"/>
      <w:r w:rsidRPr="00B419CE">
        <w:t>vart</w:t>
      </w:r>
      <w:proofErr w:type="spellEnd"/>
      <w:r w:rsidRPr="00B419CE">
        <w:t xml:space="preserve"> det gjennomført færre tilsyn enn planlagt i 2020, og </w:t>
      </w:r>
      <w:proofErr w:type="spellStart"/>
      <w:r w:rsidRPr="00B419CE">
        <w:t>dei</w:t>
      </w:r>
      <w:proofErr w:type="spellEnd"/>
      <w:r w:rsidRPr="00B419CE">
        <w:t xml:space="preserve"> fleste </w:t>
      </w:r>
      <w:proofErr w:type="spellStart"/>
      <w:r w:rsidRPr="00B419CE">
        <w:t>stadlege</w:t>
      </w:r>
      <w:proofErr w:type="spellEnd"/>
      <w:r w:rsidRPr="00B419CE">
        <w:t xml:space="preserve"> tilsyna vart gjennomførte digitalt. Finanstilsynet gjekk gjennom og vurderte </w:t>
      </w:r>
      <w:proofErr w:type="spellStart"/>
      <w:r w:rsidRPr="00B419CE">
        <w:t>modellane</w:t>
      </w:r>
      <w:proofErr w:type="spellEnd"/>
      <w:r w:rsidRPr="00B419CE">
        <w:t xml:space="preserve"> i fire </w:t>
      </w:r>
      <w:proofErr w:type="spellStart"/>
      <w:r w:rsidRPr="00B419CE">
        <w:t>bankar</w:t>
      </w:r>
      <w:proofErr w:type="spellEnd"/>
      <w:r w:rsidRPr="00B419CE">
        <w:t xml:space="preserve">, som har eigne </w:t>
      </w:r>
      <w:proofErr w:type="spellStart"/>
      <w:r w:rsidRPr="00B419CE">
        <w:t>modellar</w:t>
      </w:r>
      <w:proofErr w:type="spellEnd"/>
      <w:r w:rsidRPr="00B419CE">
        <w:t xml:space="preserve"> for å </w:t>
      </w:r>
      <w:proofErr w:type="spellStart"/>
      <w:r w:rsidRPr="00B419CE">
        <w:t>berekne</w:t>
      </w:r>
      <w:proofErr w:type="spellEnd"/>
      <w:r w:rsidRPr="00B419CE">
        <w:t xml:space="preserve"> kapitalkrav (IRB). Tilsynet har i 2020 gjennomført 17 soliditets- og </w:t>
      </w:r>
      <w:proofErr w:type="spellStart"/>
      <w:r w:rsidRPr="00B419CE">
        <w:t>likviditetsvurderingar</w:t>
      </w:r>
      <w:proofErr w:type="spellEnd"/>
      <w:r w:rsidRPr="00B419CE">
        <w:t xml:space="preserve"> (SREP) og fatta pilar 2-vedtak, der ti av vedtaka vart gjorde på bakgrunn av førebels SREP-vurdering i 2019.</w:t>
      </w:r>
    </w:p>
    <w:p w14:paraId="306D181D" w14:textId="77777777" w:rsidR="00B419CE" w:rsidRPr="00B419CE" w:rsidRDefault="00B419CE" w:rsidP="00B419CE">
      <w:r w:rsidRPr="00B419CE">
        <w:t xml:space="preserve">I 2020 leidde Finanstilsynet, på oppdrag </w:t>
      </w:r>
      <w:proofErr w:type="spellStart"/>
      <w:r w:rsidRPr="00B419CE">
        <w:t>frå</w:t>
      </w:r>
      <w:proofErr w:type="spellEnd"/>
      <w:r w:rsidRPr="00B419CE">
        <w:t xml:space="preserve"> Finansdepartementet, ei arbeidsgruppe som skulle foreslå norsk gjennomføring av </w:t>
      </w:r>
      <w:proofErr w:type="spellStart"/>
      <w:r w:rsidRPr="00B419CE">
        <w:t>endringar</w:t>
      </w:r>
      <w:proofErr w:type="spellEnd"/>
      <w:r w:rsidRPr="00B419CE">
        <w:t xml:space="preserve"> i EU si </w:t>
      </w:r>
      <w:proofErr w:type="spellStart"/>
      <w:r w:rsidRPr="00B419CE">
        <w:t>såkalla</w:t>
      </w:r>
      <w:proofErr w:type="spellEnd"/>
      <w:r w:rsidRPr="00B419CE">
        <w:t xml:space="preserve"> bankpakke (gjennomføring av BRRD2, CRR2 og CRD5).</w:t>
      </w:r>
    </w:p>
    <w:p w14:paraId="6442E73A" w14:textId="77777777" w:rsidR="00B419CE" w:rsidRPr="00B419CE" w:rsidRDefault="00B419CE" w:rsidP="00B419CE">
      <w:r w:rsidRPr="00B419CE">
        <w:t xml:space="preserve">I 2020 var også oppfølginga av </w:t>
      </w:r>
      <w:proofErr w:type="spellStart"/>
      <w:r w:rsidRPr="00B419CE">
        <w:t>berekraft</w:t>
      </w:r>
      <w:proofErr w:type="spellEnd"/>
      <w:r w:rsidRPr="00B419CE">
        <w:t xml:space="preserve"> og klimarisiko inkludert i </w:t>
      </w:r>
      <w:proofErr w:type="spellStart"/>
      <w:r w:rsidRPr="00B419CE">
        <w:t>tilsynsverksemda</w:t>
      </w:r>
      <w:proofErr w:type="spellEnd"/>
      <w:r w:rsidRPr="00B419CE">
        <w:t xml:space="preserve"> på relevante område.</w:t>
      </w:r>
    </w:p>
    <w:p w14:paraId="75AD7BFA" w14:textId="77777777" w:rsidR="00B419CE" w:rsidRPr="00B419CE" w:rsidRDefault="00B419CE" w:rsidP="00B419CE">
      <w:pPr>
        <w:pStyle w:val="avsnitt-tittel"/>
      </w:pPr>
      <w:proofErr w:type="gramStart"/>
      <w:r w:rsidRPr="00B419CE">
        <w:t>Robust</w:t>
      </w:r>
      <w:proofErr w:type="gramEnd"/>
      <w:r w:rsidRPr="00B419CE">
        <w:t xml:space="preserve"> infrastruktur</w:t>
      </w:r>
    </w:p>
    <w:p w14:paraId="1B7A12D8" w14:textId="77777777" w:rsidR="00B419CE" w:rsidRPr="00B419CE" w:rsidRDefault="00B419CE" w:rsidP="00B419CE">
      <w:proofErr w:type="gramStart"/>
      <w:r w:rsidRPr="00B419CE">
        <w:t>Robust</w:t>
      </w:r>
      <w:proofErr w:type="gramEnd"/>
      <w:r w:rsidRPr="00B419CE">
        <w:t xml:space="preserve"> finansiell infrastruktur er </w:t>
      </w:r>
      <w:proofErr w:type="spellStart"/>
      <w:r w:rsidRPr="00B419CE">
        <w:t>ein</w:t>
      </w:r>
      <w:proofErr w:type="spellEnd"/>
      <w:r w:rsidRPr="00B419CE">
        <w:t xml:space="preserve"> </w:t>
      </w:r>
      <w:proofErr w:type="spellStart"/>
      <w:r w:rsidRPr="00B419CE">
        <w:t>avgjerande</w:t>
      </w:r>
      <w:proofErr w:type="spellEnd"/>
      <w:r w:rsidRPr="00B419CE">
        <w:t xml:space="preserve"> </w:t>
      </w:r>
      <w:proofErr w:type="spellStart"/>
      <w:r w:rsidRPr="00B419CE">
        <w:t>føresetnad</w:t>
      </w:r>
      <w:proofErr w:type="spellEnd"/>
      <w:r w:rsidRPr="00B419CE">
        <w:t xml:space="preserve"> for sikre system for </w:t>
      </w:r>
      <w:proofErr w:type="spellStart"/>
      <w:r w:rsidRPr="00B419CE">
        <w:t>betalingar</w:t>
      </w:r>
      <w:proofErr w:type="spellEnd"/>
      <w:r w:rsidRPr="00B419CE">
        <w:t xml:space="preserve">, handel, prissetting og </w:t>
      </w:r>
      <w:proofErr w:type="spellStart"/>
      <w:r w:rsidRPr="00B419CE">
        <w:t>oppgjer</w:t>
      </w:r>
      <w:proofErr w:type="spellEnd"/>
      <w:r w:rsidRPr="00B419CE">
        <w:t xml:space="preserve"> i </w:t>
      </w:r>
      <w:proofErr w:type="spellStart"/>
      <w:r w:rsidRPr="00B419CE">
        <w:t>finansmarknaden</w:t>
      </w:r>
      <w:proofErr w:type="spellEnd"/>
      <w:r w:rsidRPr="00B419CE">
        <w:t xml:space="preserve">. Låg risiko for systemsvikt og god beredskap for raskt å rette opp svikt er </w:t>
      </w:r>
      <w:proofErr w:type="spellStart"/>
      <w:r w:rsidRPr="00B419CE">
        <w:t>difor</w:t>
      </w:r>
      <w:proofErr w:type="spellEnd"/>
      <w:r w:rsidRPr="00B419CE">
        <w:t xml:space="preserve"> </w:t>
      </w:r>
      <w:proofErr w:type="spellStart"/>
      <w:r w:rsidRPr="00B419CE">
        <w:t>avgjerande</w:t>
      </w:r>
      <w:proofErr w:type="spellEnd"/>
      <w:r w:rsidRPr="00B419CE">
        <w:t xml:space="preserve">. Gjennom konsesjonskrav og tilsyn med mellom anna </w:t>
      </w:r>
      <w:proofErr w:type="spellStart"/>
      <w:r w:rsidRPr="00B419CE">
        <w:t>finansføretak</w:t>
      </w:r>
      <w:proofErr w:type="spellEnd"/>
      <w:r w:rsidRPr="00B419CE">
        <w:t xml:space="preserve">, </w:t>
      </w:r>
      <w:proofErr w:type="spellStart"/>
      <w:r w:rsidRPr="00B419CE">
        <w:t>betalingsføretak</w:t>
      </w:r>
      <w:proofErr w:type="spellEnd"/>
      <w:r w:rsidRPr="00B419CE">
        <w:t xml:space="preserve"> og </w:t>
      </w:r>
      <w:proofErr w:type="spellStart"/>
      <w:r w:rsidRPr="00B419CE">
        <w:t>infrastrukturføretak</w:t>
      </w:r>
      <w:proofErr w:type="spellEnd"/>
      <w:r w:rsidRPr="00B419CE">
        <w:t xml:space="preserve"> </w:t>
      </w:r>
      <w:proofErr w:type="spellStart"/>
      <w:r w:rsidRPr="00B419CE">
        <w:t>bidreg</w:t>
      </w:r>
      <w:proofErr w:type="spellEnd"/>
      <w:r w:rsidRPr="00B419CE">
        <w:t xml:space="preserve"> Finanstilsynet til at </w:t>
      </w:r>
      <w:proofErr w:type="spellStart"/>
      <w:r w:rsidRPr="00B419CE">
        <w:t>føretaka</w:t>
      </w:r>
      <w:proofErr w:type="spellEnd"/>
      <w:r w:rsidRPr="00B419CE">
        <w:t xml:space="preserve"> har </w:t>
      </w:r>
      <w:proofErr w:type="spellStart"/>
      <w:r w:rsidRPr="00B419CE">
        <w:t>tilfredsstillande</w:t>
      </w:r>
      <w:proofErr w:type="spellEnd"/>
      <w:r w:rsidRPr="00B419CE">
        <w:t xml:space="preserve"> styring og kontroll av IKT-risiko og </w:t>
      </w:r>
      <w:proofErr w:type="spellStart"/>
      <w:r w:rsidRPr="00B419CE">
        <w:t>annan</w:t>
      </w:r>
      <w:proofErr w:type="spellEnd"/>
      <w:r w:rsidRPr="00B419CE">
        <w:t xml:space="preserve"> operasjonell risiko.</w:t>
      </w:r>
    </w:p>
    <w:p w14:paraId="3531A709" w14:textId="77777777" w:rsidR="00B419CE" w:rsidRPr="00B419CE" w:rsidRDefault="00B419CE" w:rsidP="00B419CE">
      <w:r w:rsidRPr="00B419CE">
        <w:t xml:space="preserve">Under koronapandemien har Finanstilsynet hatt </w:t>
      </w:r>
      <w:proofErr w:type="spellStart"/>
      <w:r w:rsidRPr="00B419CE">
        <w:t>meir</w:t>
      </w:r>
      <w:proofErr w:type="spellEnd"/>
      <w:r w:rsidRPr="00B419CE">
        <w:t xml:space="preserve"> </w:t>
      </w:r>
      <w:proofErr w:type="spellStart"/>
      <w:r w:rsidRPr="00B419CE">
        <w:t>merksemd</w:t>
      </w:r>
      <w:proofErr w:type="spellEnd"/>
      <w:r w:rsidRPr="00B419CE">
        <w:t xml:space="preserve"> på infrastrukturen i </w:t>
      </w:r>
      <w:proofErr w:type="spellStart"/>
      <w:r w:rsidRPr="00B419CE">
        <w:t>marknaden</w:t>
      </w:r>
      <w:proofErr w:type="spellEnd"/>
      <w:r w:rsidRPr="00B419CE">
        <w:t xml:space="preserve"> og på den </w:t>
      </w:r>
      <w:proofErr w:type="spellStart"/>
      <w:r w:rsidRPr="00B419CE">
        <w:t>auka</w:t>
      </w:r>
      <w:proofErr w:type="spellEnd"/>
      <w:r w:rsidRPr="00B419CE">
        <w:t xml:space="preserve"> risikoen pandemien har ført til for både infrastrukturen og </w:t>
      </w:r>
      <w:proofErr w:type="spellStart"/>
      <w:r w:rsidRPr="00B419CE">
        <w:t>føretaka</w:t>
      </w:r>
      <w:proofErr w:type="spellEnd"/>
      <w:r w:rsidRPr="00B419CE">
        <w:t xml:space="preserve"> i </w:t>
      </w:r>
      <w:proofErr w:type="spellStart"/>
      <w:r w:rsidRPr="00B419CE">
        <w:t>finansmarknaden</w:t>
      </w:r>
      <w:proofErr w:type="spellEnd"/>
      <w:r w:rsidRPr="00B419CE">
        <w:t xml:space="preserve">. </w:t>
      </w:r>
      <w:proofErr w:type="spellStart"/>
      <w:r w:rsidRPr="00B419CE">
        <w:t>Overvaking</w:t>
      </w:r>
      <w:proofErr w:type="spellEnd"/>
      <w:r w:rsidRPr="00B419CE">
        <w:t xml:space="preserve"> av </w:t>
      </w:r>
      <w:proofErr w:type="gramStart"/>
      <w:r w:rsidRPr="00B419CE">
        <w:t>potensielle</w:t>
      </w:r>
      <w:proofErr w:type="gramEnd"/>
      <w:r w:rsidRPr="00B419CE">
        <w:t xml:space="preserve"> </w:t>
      </w:r>
      <w:proofErr w:type="spellStart"/>
      <w:r w:rsidRPr="00B419CE">
        <w:t>truslar</w:t>
      </w:r>
      <w:proofErr w:type="spellEnd"/>
      <w:r w:rsidRPr="00B419CE">
        <w:t xml:space="preserve"> mot IT-systema til </w:t>
      </w:r>
      <w:proofErr w:type="spellStart"/>
      <w:r w:rsidRPr="00B419CE">
        <w:t>verksemder</w:t>
      </w:r>
      <w:proofErr w:type="spellEnd"/>
      <w:r w:rsidRPr="00B419CE">
        <w:t xml:space="preserve"> har </w:t>
      </w:r>
      <w:proofErr w:type="spellStart"/>
      <w:r w:rsidRPr="00B419CE">
        <w:t>vore</w:t>
      </w:r>
      <w:proofErr w:type="spellEnd"/>
      <w:r w:rsidRPr="00B419CE">
        <w:t xml:space="preserve"> ei prioritert </w:t>
      </w:r>
      <w:proofErr w:type="spellStart"/>
      <w:r w:rsidRPr="00B419CE">
        <w:t>oppgåve</w:t>
      </w:r>
      <w:proofErr w:type="spellEnd"/>
      <w:r w:rsidRPr="00B419CE">
        <w:t xml:space="preserve">, og det har </w:t>
      </w:r>
      <w:proofErr w:type="spellStart"/>
      <w:r w:rsidRPr="00B419CE">
        <w:t>vore</w:t>
      </w:r>
      <w:proofErr w:type="spellEnd"/>
      <w:r w:rsidRPr="00B419CE">
        <w:t xml:space="preserve"> </w:t>
      </w:r>
      <w:proofErr w:type="spellStart"/>
      <w:r w:rsidRPr="00B419CE">
        <w:t>laupande</w:t>
      </w:r>
      <w:proofErr w:type="spellEnd"/>
      <w:r w:rsidRPr="00B419CE">
        <w:t xml:space="preserve"> samarbeid med ulike styresmakter i </w:t>
      </w:r>
      <w:proofErr w:type="spellStart"/>
      <w:r w:rsidRPr="00B419CE">
        <w:t>Noreg</w:t>
      </w:r>
      <w:proofErr w:type="spellEnd"/>
      <w:r w:rsidRPr="00B419CE">
        <w:t xml:space="preserve"> for å ta vare på tryggleiken i den finansielle infrastrukturen. Det </w:t>
      </w:r>
      <w:proofErr w:type="spellStart"/>
      <w:r w:rsidRPr="00B419CE">
        <w:t>vart</w:t>
      </w:r>
      <w:proofErr w:type="spellEnd"/>
      <w:r w:rsidRPr="00B419CE">
        <w:t xml:space="preserve"> rapportert </w:t>
      </w:r>
      <w:proofErr w:type="spellStart"/>
      <w:r w:rsidRPr="00B419CE">
        <w:t>fleire</w:t>
      </w:r>
      <w:proofErr w:type="spellEnd"/>
      <w:r w:rsidRPr="00B419CE">
        <w:t xml:space="preserve"> IKT-</w:t>
      </w:r>
      <w:proofErr w:type="spellStart"/>
      <w:r w:rsidRPr="00B419CE">
        <w:t>hendingar</w:t>
      </w:r>
      <w:proofErr w:type="spellEnd"/>
      <w:r w:rsidRPr="00B419CE">
        <w:t xml:space="preserve"> i 2020 enn i 2019, men det vart </w:t>
      </w:r>
      <w:proofErr w:type="spellStart"/>
      <w:r w:rsidRPr="00B419CE">
        <w:t>ikkje</w:t>
      </w:r>
      <w:proofErr w:type="spellEnd"/>
      <w:r w:rsidRPr="00B419CE">
        <w:t xml:space="preserve"> observert spesielle avvik i betalingssystemdrifta som </w:t>
      </w:r>
      <w:proofErr w:type="spellStart"/>
      <w:r w:rsidRPr="00B419CE">
        <w:t>følgje</w:t>
      </w:r>
      <w:proofErr w:type="spellEnd"/>
      <w:r w:rsidRPr="00B419CE">
        <w:t xml:space="preserve"> av krisa. Finanstilsynet gjennomførte i 2020 </w:t>
      </w:r>
      <w:r w:rsidRPr="00B419CE">
        <w:lastRenderedPageBreak/>
        <w:t xml:space="preserve">regelmessige møte med Nordic Financial CERT (NFCERT) om </w:t>
      </w:r>
      <w:proofErr w:type="spellStart"/>
      <w:r w:rsidRPr="00B419CE">
        <w:t>trusselbiletet</w:t>
      </w:r>
      <w:proofErr w:type="spellEnd"/>
      <w:r w:rsidRPr="00B419CE">
        <w:t xml:space="preserve"> og samhandling i samband med at Finanstilsynet har rolla som </w:t>
      </w:r>
      <w:proofErr w:type="spellStart"/>
      <w:r w:rsidRPr="00B419CE">
        <w:t>sektorvist</w:t>
      </w:r>
      <w:proofErr w:type="spellEnd"/>
      <w:r w:rsidRPr="00B419CE">
        <w:t xml:space="preserve"> responsmiljø (SRM). Det vart òg gjennomført ei mindre øving knytt til samhandlinga med NFCERT. Finanstilsynet og </w:t>
      </w:r>
      <w:proofErr w:type="spellStart"/>
      <w:r w:rsidRPr="00B419CE">
        <w:t>Noregs</w:t>
      </w:r>
      <w:proofErr w:type="spellEnd"/>
      <w:r w:rsidRPr="00B419CE">
        <w:t xml:space="preserve"> Bank starta i 2020 </w:t>
      </w:r>
      <w:proofErr w:type="spellStart"/>
      <w:r w:rsidRPr="00B419CE">
        <w:t>eit</w:t>
      </w:r>
      <w:proofErr w:type="spellEnd"/>
      <w:r w:rsidRPr="00B419CE">
        <w:t xml:space="preserve"> samarbeid om å etablere </w:t>
      </w:r>
      <w:proofErr w:type="spellStart"/>
      <w:r w:rsidRPr="00B419CE">
        <w:t>eit</w:t>
      </w:r>
      <w:proofErr w:type="spellEnd"/>
      <w:r w:rsidRPr="00B419CE">
        <w:t xml:space="preserve"> rammeverk for sikkerheitstesting for finansnæringa i </w:t>
      </w:r>
      <w:proofErr w:type="spellStart"/>
      <w:r w:rsidRPr="00B419CE">
        <w:t>Noreg</w:t>
      </w:r>
      <w:proofErr w:type="spellEnd"/>
      <w:r w:rsidRPr="00B419CE">
        <w:t>. Rammeverket er basert på det europeiske TIBER-rammeverket («</w:t>
      </w:r>
      <w:proofErr w:type="spellStart"/>
      <w:r w:rsidRPr="00B419CE">
        <w:t>Threat</w:t>
      </w:r>
      <w:proofErr w:type="spellEnd"/>
      <w:r w:rsidRPr="00B419CE">
        <w:t xml:space="preserve"> </w:t>
      </w:r>
      <w:proofErr w:type="spellStart"/>
      <w:r w:rsidRPr="00B419CE">
        <w:t>Intelligence-based</w:t>
      </w:r>
      <w:proofErr w:type="spellEnd"/>
      <w:r w:rsidRPr="00B419CE">
        <w:t xml:space="preserve"> </w:t>
      </w:r>
      <w:proofErr w:type="spellStart"/>
      <w:r w:rsidRPr="00B419CE">
        <w:t>Ethical</w:t>
      </w:r>
      <w:proofErr w:type="spellEnd"/>
      <w:r w:rsidRPr="00B419CE">
        <w:t xml:space="preserve"> Red </w:t>
      </w:r>
      <w:proofErr w:type="spellStart"/>
      <w:r w:rsidRPr="00B419CE">
        <w:t>Teaming</w:t>
      </w:r>
      <w:proofErr w:type="spellEnd"/>
      <w:r w:rsidRPr="00B419CE">
        <w:t>»).</w:t>
      </w:r>
    </w:p>
    <w:p w14:paraId="4CE1D172" w14:textId="77777777" w:rsidR="00B419CE" w:rsidRPr="00B419CE" w:rsidRDefault="00B419CE" w:rsidP="00B419CE">
      <w:r w:rsidRPr="00B419CE">
        <w:t xml:space="preserve">Tilsynet har òg gjennom tilsyn, </w:t>
      </w:r>
      <w:proofErr w:type="spellStart"/>
      <w:r w:rsidRPr="00B419CE">
        <w:t>overvaking</w:t>
      </w:r>
      <w:proofErr w:type="spellEnd"/>
      <w:r w:rsidRPr="00B419CE">
        <w:t xml:space="preserve"> og kontroll </w:t>
      </w:r>
      <w:proofErr w:type="spellStart"/>
      <w:r w:rsidRPr="00B419CE">
        <w:t>følgt</w:t>
      </w:r>
      <w:proofErr w:type="spellEnd"/>
      <w:r w:rsidRPr="00B419CE">
        <w:t xml:space="preserve"> opp den operasjonelle risikoen i betalingssystema, </w:t>
      </w:r>
      <w:proofErr w:type="spellStart"/>
      <w:r w:rsidRPr="00B419CE">
        <w:t>oppgjerssystema</w:t>
      </w:r>
      <w:proofErr w:type="spellEnd"/>
      <w:r w:rsidRPr="00B419CE">
        <w:t xml:space="preserve"> og IKT-systema til </w:t>
      </w:r>
      <w:proofErr w:type="spellStart"/>
      <w:r w:rsidRPr="00B419CE">
        <w:t>føretaka</w:t>
      </w:r>
      <w:proofErr w:type="spellEnd"/>
      <w:r w:rsidRPr="00B419CE">
        <w:t xml:space="preserve"> </w:t>
      </w:r>
      <w:proofErr w:type="spellStart"/>
      <w:r w:rsidRPr="00B419CE">
        <w:t>innanfor</w:t>
      </w:r>
      <w:proofErr w:type="spellEnd"/>
      <w:r w:rsidRPr="00B419CE">
        <w:t xml:space="preserve"> alle tilsynsområda. Tilsynet registrerte 211 IKT-</w:t>
      </w:r>
      <w:proofErr w:type="spellStart"/>
      <w:r w:rsidRPr="00B419CE">
        <w:t>hendingar</w:t>
      </w:r>
      <w:proofErr w:type="spellEnd"/>
      <w:r w:rsidRPr="00B419CE">
        <w:t xml:space="preserve"> i 2020. Tilsynet har òg hatt beredskap for å handtere digital </w:t>
      </w:r>
      <w:proofErr w:type="spellStart"/>
      <w:r w:rsidRPr="00B419CE">
        <w:t>sårbarheit</w:t>
      </w:r>
      <w:proofErr w:type="spellEnd"/>
      <w:r w:rsidRPr="00B419CE">
        <w:t xml:space="preserve"> og </w:t>
      </w:r>
      <w:proofErr w:type="spellStart"/>
      <w:r w:rsidRPr="00B419CE">
        <w:t>sikkerheitshendingar</w:t>
      </w:r>
      <w:proofErr w:type="spellEnd"/>
      <w:r w:rsidRPr="00B419CE">
        <w:t xml:space="preserve">, og </w:t>
      </w:r>
      <w:proofErr w:type="spellStart"/>
      <w:r w:rsidRPr="00B419CE">
        <w:t>dessutan</w:t>
      </w:r>
      <w:proofErr w:type="spellEnd"/>
      <w:r w:rsidRPr="00B419CE">
        <w:t xml:space="preserve"> </w:t>
      </w:r>
      <w:proofErr w:type="spellStart"/>
      <w:r w:rsidRPr="00B419CE">
        <w:t>følgt</w:t>
      </w:r>
      <w:proofErr w:type="spellEnd"/>
      <w:r w:rsidRPr="00B419CE">
        <w:t xml:space="preserve"> utviklinga av digital kriminalitet.</w:t>
      </w:r>
    </w:p>
    <w:p w14:paraId="0E2CDFB4" w14:textId="77777777" w:rsidR="00B419CE" w:rsidRPr="00B419CE" w:rsidRDefault="00B419CE" w:rsidP="00B419CE">
      <w:r w:rsidRPr="00B419CE">
        <w:t xml:space="preserve">Finanstilsynet har i 2020 òg </w:t>
      </w:r>
      <w:proofErr w:type="spellStart"/>
      <w:r w:rsidRPr="00B419CE">
        <w:t>følgt</w:t>
      </w:r>
      <w:proofErr w:type="spellEnd"/>
      <w:r w:rsidRPr="00B419CE">
        <w:t xml:space="preserve"> utviklinga av ny finansiell teknologi (</w:t>
      </w:r>
      <w:proofErr w:type="spellStart"/>
      <w:r w:rsidRPr="00B419CE">
        <w:t>fintech</w:t>
      </w:r>
      <w:proofErr w:type="spellEnd"/>
      <w:r w:rsidRPr="00B419CE">
        <w:t xml:space="preserve">) i </w:t>
      </w:r>
      <w:proofErr w:type="spellStart"/>
      <w:r w:rsidRPr="00B419CE">
        <w:t>finansmarknaden</w:t>
      </w:r>
      <w:proofErr w:type="spellEnd"/>
      <w:r w:rsidRPr="00B419CE">
        <w:t xml:space="preserve">, gitt rettleiing til nye teknologibaserte </w:t>
      </w:r>
      <w:proofErr w:type="spellStart"/>
      <w:r w:rsidRPr="00B419CE">
        <w:t>aktørar</w:t>
      </w:r>
      <w:proofErr w:type="spellEnd"/>
      <w:r w:rsidRPr="00B419CE">
        <w:t xml:space="preserve"> i </w:t>
      </w:r>
      <w:proofErr w:type="spellStart"/>
      <w:r w:rsidRPr="00B419CE">
        <w:t>finansmarknadene</w:t>
      </w:r>
      <w:proofErr w:type="spellEnd"/>
      <w:r w:rsidRPr="00B419CE">
        <w:t xml:space="preserve"> og fullført arbeidet med </w:t>
      </w:r>
      <w:proofErr w:type="spellStart"/>
      <w:r w:rsidRPr="00B419CE">
        <w:t>dei</w:t>
      </w:r>
      <w:proofErr w:type="spellEnd"/>
      <w:r w:rsidRPr="00B419CE">
        <w:t xml:space="preserve"> to prosjekta som vart </w:t>
      </w:r>
      <w:proofErr w:type="spellStart"/>
      <w:r w:rsidRPr="00B419CE">
        <w:t>tekne</w:t>
      </w:r>
      <w:proofErr w:type="spellEnd"/>
      <w:r w:rsidRPr="00B419CE">
        <w:t xml:space="preserve"> inn i fyrste pulje i den regulatoriske sandkassa for </w:t>
      </w:r>
      <w:proofErr w:type="spellStart"/>
      <w:r w:rsidRPr="00B419CE">
        <w:t>fintech-verksemder</w:t>
      </w:r>
      <w:proofErr w:type="spellEnd"/>
      <w:r w:rsidRPr="00B419CE">
        <w:t>.</w:t>
      </w:r>
    </w:p>
    <w:p w14:paraId="6A8EB555" w14:textId="77777777" w:rsidR="00B419CE" w:rsidRPr="00B419CE" w:rsidRDefault="00B419CE" w:rsidP="00B419CE">
      <w:pPr>
        <w:pStyle w:val="avsnitt-tittel"/>
      </w:pPr>
      <w:r w:rsidRPr="00B419CE">
        <w:t xml:space="preserve">Vern av </w:t>
      </w:r>
      <w:proofErr w:type="spellStart"/>
      <w:r w:rsidRPr="00B419CE">
        <w:t>investorar</w:t>
      </w:r>
      <w:proofErr w:type="spellEnd"/>
    </w:p>
    <w:p w14:paraId="7FCF7FE0" w14:textId="77777777" w:rsidR="00B419CE" w:rsidRPr="00B419CE" w:rsidRDefault="00B419CE" w:rsidP="00B419CE">
      <w:proofErr w:type="spellStart"/>
      <w:r w:rsidRPr="00B419CE">
        <w:t>Påliteleg</w:t>
      </w:r>
      <w:proofErr w:type="spellEnd"/>
      <w:r w:rsidRPr="00B419CE">
        <w:t xml:space="preserve"> og </w:t>
      </w:r>
      <w:proofErr w:type="spellStart"/>
      <w:r w:rsidRPr="00B419CE">
        <w:t>tilstrekkeleg</w:t>
      </w:r>
      <w:proofErr w:type="spellEnd"/>
      <w:r w:rsidRPr="00B419CE">
        <w:t xml:space="preserve"> informasjon er </w:t>
      </w:r>
      <w:proofErr w:type="spellStart"/>
      <w:r w:rsidRPr="00B419CE">
        <w:t>naudsynt</w:t>
      </w:r>
      <w:proofErr w:type="spellEnd"/>
      <w:r w:rsidRPr="00B419CE">
        <w:t xml:space="preserve"> for å sikre at </w:t>
      </w:r>
      <w:proofErr w:type="spellStart"/>
      <w:r w:rsidRPr="00B419CE">
        <w:t>verdipapirmarknadene</w:t>
      </w:r>
      <w:proofErr w:type="spellEnd"/>
      <w:r w:rsidRPr="00B419CE">
        <w:t xml:space="preserve"> kan bidra til god allokering og prising av kapital. Finanstilsynet </w:t>
      </w:r>
      <w:proofErr w:type="spellStart"/>
      <w:r w:rsidRPr="00B419CE">
        <w:t>bidreg</w:t>
      </w:r>
      <w:proofErr w:type="spellEnd"/>
      <w:r w:rsidRPr="00B419CE">
        <w:t xml:space="preserve"> til at </w:t>
      </w:r>
      <w:proofErr w:type="spellStart"/>
      <w:r w:rsidRPr="00B419CE">
        <w:t>laupande</w:t>
      </w:r>
      <w:proofErr w:type="spellEnd"/>
      <w:r w:rsidRPr="00B419CE">
        <w:t xml:space="preserve"> og periodisk informasjon </w:t>
      </w:r>
      <w:proofErr w:type="spellStart"/>
      <w:r w:rsidRPr="00B419CE">
        <w:t>frå</w:t>
      </w:r>
      <w:proofErr w:type="spellEnd"/>
      <w:r w:rsidRPr="00B419CE">
        <w:t xml:space="preserve"> noterte </w:t>
      </w:r>
      <w:proofErr w:type="spellStart"/>
      <w:r w:rsidRPr="00B419CE">
        <w:t>føretak</w:t>
      </w:r>
      <w:proofErr w:type="spellEnd"/>
      <w:r w:rsidRPr="00B419CE">
        <w:t xml:space="preserve"> er </w:t>
      </w:r>
      <w:proofErr w:type="spellStart"/>
      <w:r w:rsidRPr="00B419CE">
        <w:t>rettvisande</w:t>
      </w:r>
      <w:proofErr w:type="spellEnd"/>
      <w:r w:rsidRPr="00B419CE">
        <w:t xml:space="preserve"> og rettidig, og at prospekt er i tråd med krav i verdipapirhandellova. Finanstilsynets tilsyn med </w:t>
      </w:r>
      <w:proofErr w:type="spellStart"/>
      <w:r w:rsidRPr="00B419CE">
        <w:t>revisorar</w:t>
      </w:r>
      <w:proofErr w:type="spellEnd"/>
      <w:r w:rsidRPr="00B419CE">
        <w:t xml:space="preserve"> for børsnoterte </w:t>
      </w:r>
      <w:proofErr w:type="spellStart"/>
      <w:r w:rsidRPr="00B419CE">
        <w:t>føretak</w:t>
      </w:r>
      <w:proofErr w:type="spellEnd"/>
      <w:r w:rsidRPr="00B419CE">
        <w:t xml:space="preserve">, </w:t>
      </w:r>
      <w:proofErr w:type="spellStart"/>
      <w:r w:rsidRPr="00B419CE">
        <w:t>bidreg</w:t>
      </w:r>
      <w:proofErr w:type="spellEnd"/>
      <w:r w:rsidRPr="00B419CE">
        <w:t xml:space="preserve"> til at </w:t>
      </w:r>
      <w:proofErr w:type="spellStart"/>
      <w:r w:rsidRPr="00B419CE">
        <w:t>årsrekneskap</w:t>
      </w:r>
      <w:proofErr w:type="spellEnd"/>
      <w:r w:rsidRPr="00B419CE">
        <w:t xml:space="preserve"> held god kvalitet. Gjennom tilsyn med </w:t>
      </w:r>
      <w:proofErr w:type="spellStart"/>
      <w:r w:rsidRPr="00B419CE">
        <w:t>verdipapirføretak</w:t>
      </w:r>
      <w:proofErr w:type="spellEnd"/>
      <w:r w:rsidRPr="00B419CE">
        <w:t xml:space="preserve"> og effektiv og rask handheving av </w:t>
      </w:r>
      <w:proofErr w:type="spellStart"/>
      <w:r w:rsidRPr="00B419CE">
        <w:t>åtferdsreglane</w:t>
      </w:r>
      <w:proofErr w:type="spellEnd"/>
      <w:r w:rsidRPr="00B419CE">
        <w:t xml:space="preserve"> i </w:t>
      </w:r>
      <w:proofErr w:type="spellStart"/>
      <w:r w:rsidRPr="00B419CE">
        <w:t>verdipapirmarknaden</w:t>
      </w:r>
      <w:proofErr w:type="spellEnd"/>
      <w:r w:rsidRPr="00B419CE">
        <w:t xml:space="preserve">, </w:t>
      </w:r>
      <w:proofErr w:type="spellStart"/>
      <w:r w:rsidRPr="00B419CE">
        <w:t>bidreg</w:t>
      </w:r>
      <w:proofErr w:type="spellEnd"/>
      <w:r w:rsidRPr="00B419CE">
        <w:t xml:space="preserve"> Finanstilsynet til </w:t>
      </w:r>
      <w:proofErr w:type="spellStart"/>
      <w:r w:rsidRPr="00B419CE">
        <w:t>marknadsdisiplin</w:t>
      </w:r>
      <w:proofErr w:type="spellEnd"/>
      <w:r w:rsidRPr="00B419CE">
        <w:t xml:space="preserve"> og til å ivareta interessene til </w:t>
      </w:r>
      <w:proofErr w:type="spellStart"/>
      <w:r w:rsidRPr="00B419CE">
        <w:t>investorar</w:t>
      </w:r>
      <w:proofErr w:type="spellEnd"/>
      <w:r w:rsidRPr="00B419CE">
        <w:t xml:space="preserve"> og noterte </w:t>
      </w:r>
      <w:proofErr w:type="spellStart"/>
      <w:r w:rsidRPr="00B419CE">
        <w:t>føretak</w:t>
      </w:r>
      <w:proofErr w:type="spellEnd"/>
      <w:r w:rsidRPr="00B419CE">
        <w:t>.</w:t>
      </w:r>
    </w:p>
    <w:p w14:paraId="5669BA32" w14:textId="77777777" w:rsidR="00B419CE" w:rsidRPr="00B419CE" w:rsidRDefault="00B419CE" w:rsidP="00B419CE">
      <w:r w:rsidRPr="00B419CE">
        <w:t xml:space="preserve">På grunn av koronapandemien har Finanstilsynet gjennomført færre tilsyn enn planlagt i 2020, òg </w:t>
      </w:r>
      <w:proofErr w:type="spellStart"/>
      <w:r w:rsidRPr="00B419CE">
        <w:t>innanfor</w:t>
      </w:r>
      <w:proofErr w:type="spellEnd"/>
      <w:r w:rsidRPr="00B419CE">
        <w:t xml:space="preserve"> dette delmålet. Finanstilsynet har over tid observert </w:t>
      </w:r>
      <w:proofErr w:type="spellStart"/>
      <w:r w:rsidRPr="00B419CE">
        <w:t>gjentakande</w:t>
      </w:r>
      <w:proofErr w:type="spellEnd"/>
      <w:r w:rsidRPr="00B419CE">
        <w:t xml:space="preserve"> feil og </w:t>
      </w:r>
      <w:proofErr w:type="spellStart"/>
      <w:r w:rsidRPr="00B419CE">
        <w:t>manglande</w:t>
      </w:r>
      <w:proofErr w:type="spellEnd"/>
      <w:r w:rsidRPr="00B419CE">
        <w:t xml:space="preserve"> transaksjonsrapportering </w:t>
      </w:r>
      <w:proofErr w:type="spellStart"/>
      <w:r w:rsidRPr="00B419CE">
        <w:t>frå</w:t>
      </w:r>
      <w:proofErr w:type="spellEnd"/>
      <w:r w:rsidRPr="00B419CE">
        <w:t xml:space="preserve"> </w:t>
      </w:r>
      <w:proofErr w:type="spellStart"/>
      <w:r w:rsidRPr="00B419CE">
        <w:t>nokre</w:t>
      </w:r>
      <w:proofErr w:type="spellEnd"/>
      <w:r w:rsidRPr="00B419CE">
        <w:t xml:space="preserve"> </w:t>
      </w:r>
      <w:proofErr w:type="spellStart"/>
      <w:r w:rsidRPr="00B419CE">
        <w:t>verdipapirføretak</w:t>
      </w:r>
      <w:proofErr w:type="spellEnd"/>
      <w:r w:rsidRPr="00B419CE">
        <w:t xml:space="preserve">. Tilsynet vil </w:t>
      </w:r>
      <w:proofErr w:type="spellStart"/>
      <w:r w:rsidRPr="00B419CE">
        <w:t>følgje</w:t>
      </w:r>
      <w:proofErr w:type="spellEnd"/>
      <w:r w:rsidRPr="00B419CE">
        <w:t xml:space="preserve"> opp dette overfor både norske og </w:t>
      </w:r>
      <w:proofErr w:type="spellStart"/>
      <w:r w:rsidRPr="00B419CE">
        <w:t>utanlandske</w:t>
      </w:r>
      <w:proofErr w:type="spellEnd"/>
      <w:r w:rsidRPr="00B419CE">
        <w:t xml:space="preserve"> </w:t>
      </w:r>
      <w:proofErr w:type="spellStart"/>
      <w:r w:rsidRPr="00B419CE">
        <w:t>verdipapirføretak</w:t>
      </w:r>
      <w:proofErr w:type="spellEnd"/>
      <w:r w:rsidRPr="00B419CE">
        <w:t xml:space="preserve"> for å </w:t>
      </w:r>
      <w:proofErr w:type="spellStart"/>
      <w:r w:rsidRPr="00B419CE">
        <w:t>auke</w:t>
      </w:r>
      <w:proofErr w:type="spellEnd"/>
      <w:r w:rsidRPr="00B419CE">
        <w:t xml:space="preserve"> kvaliteten på rapporteringa.</w:t>
      </w:r>
    </w:p>
    <w:p w14:paraId="3118F9E4" w14:textId="77777777" w:rsidR="00B419CE" w:rsidRPr="00B419CE" w:rsidRDefault="00B419CE" w:rsidP="00B419CE">
      <w:r w:rsidRPr="00B419CE">
        <w:t xml:space="preserve">Trass i </w:t>
      </w:r>
      <w:proofErr w:type="spellStart"/>
      <w:r w:rsidRPr="00B419CE">
        <w:t>dei</w:t>
      </w:r>
      <w:proofErr w:type="spellEnd"/>
      <w:r w:rsidRPr="00B419CE">
        <w:t xml:space="preserve"> ekstraordinære </w:t>
      </w:r>
      <w:proofErr w:type="spellStart"/>
      <w:r w:rsidRPr="00B419CE">
        <w:t>oppgåvene</w:t>
      </w:r>
      <w:proofErr w:type="spellEnd"/>
      <w:r w:rsidRPr="00B419CE">
        <w:t xml:space="preserve"> i samband med pandemien i 2020 har Finanstilsynet gjennomført tilsyn med </w:t>
      </w:r>
      <w:proofErr w:type="spellStart"/>
      <w:r w:rsidRPr="00B419CE">
        <w:t>verdipapirmarknaden</w:t>
      </w:r>
      <w:proofErr w:type="spellEnd"/>
      <w:r w:rsidRPr="00B419CE">
        <w:t xml:space="preserve"> og informasjonstiltak for betre investorvern.</w:t>
      </w:r>
    </w:p>
    <w:p w14:paraId="26375E9F" w14:textId="77777777" w:rsidR="00B419CE" w:rsidRPr="00B419CE" w:rsidRDefault="00B419CE" w:rsidP="00B419CE">
      <w:r w:rsidRPr="00B419CE">
        <w:t xml:space="preserve">Finanstilsynet har i 2020 mellom anna </w:t>
      </w:r>
      <w:proofErr w:type="spellStart"/>
      <w:r w:rsidRPr="00B419CE">
        <w:t>følgt</w:t>
      </w:r>
      <w:proofErr w:type="spellEnd"/>
      <w:r w:rsidRPr="00B419CE">
        <w:t xml:space="preserve"> opp at </w:t>
      </w:r>
      <w:proofErr w:type="spellStart"/>
      <w:r w:rsidRPr="00B419CE">
        <w:t>aktørane</w:t>
      </w:r>
      <w:proofErr w:type="spellEnd"/>
      <w:r w:rsidRPr="00B419CE">
        <w:t xml:space="preserve"> i </w:t>
      </w:r>
      <w:proofErr w:type="spellStart"/>
      <w:r w:rsidRPr="00B419CE">
        <w:t>verdipapirmarknaden</w:t>
      </w:r>
      <w:proofErr w:type="spellEnd"/>
      <w:r w:rsidRPr="00B419CE">
        <w:t xml:space="preserve">, </w:t>
      </w:r>
      <w:proofErr w:type="spellStart"/>
      <w:r w:rsidRPr="00B419CE">
        <w:t>medrekna</w:t>
      </w:r>
      <w:proofErr w:type="spellEnd"/>
      <w:r w:rsidRPr="00B419CE">
        <w:t xml:space="preserve"> børsnoterte </w:t>
      </w:r>
      <w:proofErr w:type="spellStart"/>
      <w:r w:rsidRPr="00B419CE">
        <w:t>føretak</w:t>
      </w:r>
      <w:proofErr w:type="spellEnd"/>
      <w:r w:rsidRPr="00B419CE">
        <w:t xml:space="preserve">, oppfyller rapporteringskrava og at informasjonen er </w:t>
      </w:r>
      <w:proofErr w:type="spellStart"/>
      <w:r w:rsidRPr="00B419CE">
        <w:t>tilstrekkeleg</w:t>
      </w:r>
      <w:proofErr w:type="spellEnd"/>
      <w:r w:rsidRPr="00B419CE">
        <w:t xml:space="preserve"> og </w:t>
      </w:r>
      <w:proofErr w:type="spellStart"/>
      <w:r w:rsidRPr="00B419CE">
        <w:t>påliteleg</w:t>
      </w:r>
      <w:proofErr w:type="spellEnd"/>
      <w:r w:rsidRPr="00B419CE">
        <w:t xml:space="preserve">. Etter tilsyn med </w:t>
      </w:r>
      <w:proofErr w:type="spellStart"/>
      <w:r w:rsidRPr="00B419CE">
        <w:t>rekneskapsførarselskap</w:t>
      </w:r>
      <w:proofErr w:type="spellEnd"/>
      <w:r w:rsidRPr="00B419CE">
        <w:t xml:space="preserve"> og </w:t>
      </w:r>
      <w:proofErr w:type="spellStart"/>
      <w:r w:rsidRPr="00B419CE">
        <w:t>rekneskapsførarar</w:t>
      </w:r>
      <w:proofErr w:type="spellEnd"/>
      <w:r w:rsidRPr="00B419CE">
        <w:t xml:space="preserve"> har 450 av </w:t>
      </w:r>
      <w:proofErr w:type="spellStart"/>
      <w:r w:rsidRPr="00B419CE">
        <w:t>dei</w:t>
      </w:r>
      <w:proofErr w:type="spellEnd"/>
      <w:r w:rsidRPr="00B419CE">
        <w:t xml:space="preserve"> sletta eige autorisasjon, i samband med tilsynet. </w:t>
      </w:r>
      <w:proofErr w:type="spellStart"/>
      <w:r w:rsidRPr="00B419CE">
        <w:t>Fleire</w:t>
      </w:r>
      <w:proofErr w:type="spellEnd"/>
      <w:r w:rsidRPr="00B419CE">
        <w:t xml:space="preserve"> </w:t>
      </w:r>
      <w:proofErr w:type="spellStart"/>
      <w:r w:rsidRPr="00B419CE">
        <w:t>rekneskapsførarar</w:t>
      </w:r>
      <w:proofErr w:type="spellEnd"/>
      <w:r w:rsidRPr="00B419CE">
        <w:t xml:space="preserve"> </w:t>
      </w:r>
      <w:proofErr w:type="spellStart"/>
      <w:r w:rsidRPr="00B419CE">
        <w:t>fekk</w:t>
      </w:r>
      <w:proofErr w:type="spellEnd"/>
      <w:r w:rsidRPr="00B419CE">
        <w:t xml:space="preserve"> </w:t>
      </w:r>
      <w:proofErr w:type="spellStart"/>
      <w:r w:rsidRPr="00B419CE">
        <w:t>trekte</w:t>
      </w:r>
      <w:proofErr w:type="spellEnd"/>
      <w:r w:rsidRPr="00B419CE">
        <w:t xml:space="preserve"> tilbake autorisasjonen fordi etterutdanningskrava </w:t>
      </w:r>
      <w:proofErr w:type="spellStart"/>
      <w:r w:rsidRPr="00B419CE">
        <w:t>ikkje</w:t>
      </w:r>
      <w:proofErr w:type="spellEnd"/>
      <w:r w:rsidRPr="00B419CE">
        <w:t xml:space="preserve"> var oppfylte.</w:t>
      </w:r>
    </w:p>
    <w:p w14:paraId="3535B57B" w14:textId="77777777" w:rsidR="00B419CE" w:rsidRPr="00B419CE" w:rsidRDefault="00B419CE" w:rsidP="00B419CE">
      <w:r w:rsidRPr="00B419CE">
        <w:t xml:space="preserve">Finanstilsynet utvikla i 2020 </w:t>
      </w:r>
      <w:proofErr w:type="spellStart"/>
      <w:r w:rsidRPr="00B419CE">
        <w:t>eit</w:t>
      </w:r>
      <w:proofErr w:type="spellEnd"/>
      <w:r w:rsidRPr="00B419CE">
        <w:t xml:space="preserve"> prospektregister som vil </w:t>
      </w:r>
      <w:proofErr w:type="spellStart"/>
      <w:r w:rsidRPr="00B419CE">
        <w:t>gje</w:t>
      </w:r>
      <w:proofErr w:type="spellEnd"/>
      <w:r w:rsidRPr="00B419CE">
        <w:t xml:space="preserve"> </w:t>
      </w:r>
      <w:proofErr w:type="spellStart"/>
      <w:r w:rsidRPr="00B419CE">
        <w:t>innsparingar</w:t>
      </w:r>
      <w:proofErr w:type="spellEnd"/>
      <w:r w:rsidRPr="00B419CE">
        <w:t xml:space="preserve"> i rapporteringa av </w:t>
      </w:r>
      <w:proofErr w:type="spellStart"/>
      <w:r w:rsidRPr="00B419CE">
        <w:t>godkjende</w:t>
      </w:r>
      <w:proofErr w:type="spellEnd"/>
      <w:r w:rsidRPr="00B419CE">
        <w:t xml:space="preserve"> prospekt til ESMA (Det europeiske verdipapir- og </w:t>
      </w:r>
      <w:proofErr w:type="spellStart"/>
      <w:r w:rsidRPr="00B419CE">
        <w:t>marknadstilsynet</w:t>
      </w:r>
      <w:proofErr w:type="spellEnd"/>
      <w:r w:rsidRPr="00B419CE">
        <w:t xml:space="preserve">) og ved mottak av </w:t>
      </w:r>
      <w:proofErr w:type="spellStart"/>
      <w:r w:rsidRPr="00B419CE">
        <w:t>grensekryssande</w:t>
      </w:r>
      <w:proofErr w:type="spellEnd"/>
      <w:r w:rsidRPr="00B419CE">
        <w:t xml:space="preserve"> prospekt </w:t>
      </w:r>
      <w:proofErr w:type="spellStart"/>
      <w:r w:rsidRPr="00B419CE">
        <w:t>frå</w:t>
      </w:r>
      <w:proofErr w:type="spellEnd"/>
      <w:r w:rsidRPr="00B419CE">
        <w:t xml:space="preserve"> </w:t>
      </w:r>
      <w:proofErr w:type="spellStart"/>
      <w:r w:rsidRPr="00B419CE">
        <w:t>dei</w:t>
      </w:r>
      <w:proofErr w:type="spellEnd"/>
      <w:r w:rsidRPr="00B419CE">
        <w:t xml:space="preserve"> andre </w:t>
      </w:r>
      <w:proofErr w:type="spellStart"/>
      <w:r w:rsidRPr="00B419CE">
        <w:t>prospektmyndigheitene</w:t>
      </w:r>
      <w:proofErr w:type="spellEnd"/>
      <w:r w:rsidRPr="00B419CE">
        <w:t xml:space="preserve"> i EØS.</w:t>
      </w:r>
    </w:p>
    <w:p w14:paraId="6880009B" w14:textId="77777777" w:rsidR="00B419CE" w:rsidRPr="00B419CE" w:rsidRDefault="00B419CE" w:rsidP="00B419CE">
      <w:pPr>
        <w:pStyle w:val="avsnitt-tittel"/>
      </w:pPr>
      <w:proofErr w:type="spellStart"/>
      <w:r w:rsidRPr="00B419CE">
        <w:lastRenderedPageBreak/>
        <w:t>Forbrukarvern</w:t>
      </w:r>
      <w:proofErr w:type="spellEnd"/>
    </w:p>
    <w:p w14:paraId="11A41ABF" w14:textId="77777777" w:rsidR="00B419CE" w:rsidRPr="00B419CE" w:rsidRDefault="00B419CE" w:rsidP="00B419CE">
      <w:r w:rsidRPr="00B419CE">
        <w:t xml:space="preserve">Godt </w:t>
      </w:r>
      <w:proofErr w:type="spellStart"/>
      <w:r w:rsidRPr="00B419CE">
        <w:t>forbrukarvern</w:t>
      </w:r>
      <w:proofErr w:type="spellEnd"/>
      <w:r w:rsidRPr="00B419CE">
        <w:t xml:space="preserve"> er viktig for den </w:t>
      </w:r>
      <w:proofErr w:type="spellStart"/>
      <w:r w:rsidRPr="00B419CE">
        <w:t>einskilde</w:t>
      </w:r>
      <w:proofErr w:type="spellEnd"/>
      <w:r w:rsidRPr="00B419CE">
        <w:t xml:space="preserve"> </w:t>
      </w:r>
      <w:proofErr w:type="spellStart"/>
      <w:r w:rsidRPr="00B419CE">
        <w:t>forbrukar</w:t>
      </w:r>
      <w:proofErr w:type="spellEnd"/>
      <w:r w:rsidRPr="00B419CE">
        <w:t xml:space="preserve"> og for tilliten til </w:t>
      </w:r>
      <w:proofErr w:type="spellStart"/>
      <w:r w:rsidRPr="00B419CE">
        <w:t>aktørane</w:t>
      </w:r>
      <w:proofErr w:type="spellEnd"/>
      <w:r w:rsidRPr="00B419CE">
        <w:t xml:space="preserve"> i </w:t>
      </w:r>
      <w:proofErr w:type="spellStart"/>
      <w:r w:rsidRPr="00B419CE">
        <w:t>finansmarknaden</w:t>
      </w:r>
      <w:proofErr w:type="spellEnd"/>
      <w:r w:rsidRPr="00B419CE">
        <w:t xml:space="preserve">. </w:t>
      </w:r>
      <w:proofErr w:type="spellStart"/>
      <w:r w:rsidRPr="00B419CE">
        <w:t>Tenestetilbydarane</w:t>
      </w:r>
      <w:proofErr w:type="spellEnd"/>
      <w:r w:rsidRPr="00B419CE">
        <w:t xml:space="preserve"> skal ta vare på interessene til </w:t>
      </w:r>
      <w:proofErr w:type="spellStart"/>
      <w:r w:rsidRPr="00B419CE">
        <w:t>kundane</w:t>
      </w:r>
      <w:proofErr w:type="spellEnd"/>
      <w:r w:rsidRPr="00B419CE">
        <w:t xml:space="preserve"> og ta omsyn til at </w:t>
      </w:r>
      <w:proofErr w:type="spellStart"/>
      <w:r w:rsidRPr="00B419CE">
        <w:t>kundane</w:t>
      </w:r>
      <w:proofErr w:type="spellEnd"/>
      <w:r w:rsidRPr="00B419CE">
        <w:t xml:space="preserve"> skal kunne forstå </w:t>
      </w:r>
      <w:proofErr w:type="spellStart"/>
      <w:r w:rsidRPr="00B419CE">
        <w:t>eigenskapane</w:t>
      </w:r>
      <w:proofErr w:type="spellEnd"/>
      <w:r w:rsidRPr="00B419CE">
        <w:t xml:space="preserve"> til produkta. Finanstilsynet følgjer opp </w:t>
      </w:r>
      <w:proofErr w:type="spellStart"/>
      <w:r w:rsidRPr="00B419CE">
        <w:t>forbrukarvernet</w:t>
      </w:r>
      <w:proofErr w:type="spellEnd"/>
      <w:r w:rsidRPr="00B419CE">
        <w:t xml:space="preserve"> gjennom tilsyn med at </w:t>
      </w:r>
      <w:proofErr w:type="spellStart"/>
      <w:r w:rsidRPr="00B419CE">
        <w:t>føretaka</w:t>
      </w:r>
      <w:proofErr w:type="spellEnd"/>
      <w:r w:rsidRPr="00B419CE">
        <w:t xml:space="preserve"> tilbyr og </w:t>
      </w:r>
      <w:proofErr w:type="spellStart"/>
      <w:r w:rsidRPr="00B419CE">
        <w:t>formidlar</w:t>
      </w:r>
      <w:proofErr w:type="spellEnd"/>
      <w:r w:rsidRPr="00B419CE">
        <w:t xml:space="preserve"> lån, forsikrings- og pensjonsprodukt, fondsprodukt og andre finansielle instrument og </w:t>
      </w:r>
      <w:proofErr w:type="spellStart"/>
      <w:r w:rsidRPr="00B419CE">
        <w:t>dessutan</w:t>
      </w:r>
      <w:proofErr w:type="spellEnd"/>
      <w:r w:rsidRPr="00B419CE">
        <w:t xml:space="preserve"> </w:t>
      </w:r>
      <w:proofErr w:type="spellStart"/>
      <w:r w:rsidRPr="00B419CE">
        <w:t>eigedom</w:t>
      </w:r>
      <w:proofErr w:type="spellEnd"/>
      <w:r w:rsidRPr="00B419CE">
        <w:t xml:space="preserve"> på </w:t>
      </w:r>
      <w:proofErr w:type="spellStart"/>
      <w:r w:rsidRPr="00B419CE">
        <w:t>ein</w:t>
      </w:r>
      <w:proofErr w:type="spellEnd"/>
      <w:r w:rsidRPr="00B419CE">
        <w:t xml:space="preserve"> </w:t>
      </w:r>
      <w:proofErr w:type="spellStart"/>
      <w:r w:rsidRPr="00B419CE">
        <w:t>forsvarleg</w:t>
      </w:r>
      <w:proofErr w:type="spellEnd"/>
      <w:r w:rsidRPr="00B419CE">
        <w:t xml:space="preserve"> måte. Tilsynet med </w:t>
      </w:r>
      <w:proofErr w:type="spellStart"/>
      <w:r w:rsidRPr="00B419CE">
        <w:t>inkassoføretaka</w:t>
      </w:r>
      <w:proofErr w:type="spellEnd"/>
      <w:r w:rsidRPr="00B419CE">
        <w:t xml:space="preserve"> </w:t>
      </w:r>
      <w:proofErr w:type="spellStart"/>
      <w:r w:rsidRPr="00B419CE">
        <w:t>styrkjer</w:t>
      </w:r>
      <w:proofErr w:type="spellEnd"/>
      <w:r w:rsidRPr="00B419CE">
        <w:t xml:space="preserve"> òg </w:t>
      </w:r>
      <w:proofErr w:type="spellStart"/>
      <w:r w:rsidRPr="00B419CE">
        <w:t>forbrukarvernet</w:t>
      </w:r>
      <w:proofErr w:type="spellEnd"/>
      <w:r w:rsidRPr="00B419CE">
        <w:t>.</w:t>
      </w:r>
    </w:p>
    <w:p w14:paraId="5FA2BC18" w14:textId="77777777" w:rsidR="00B419CE" w:rsidRPr="00B419CE" w:rsidRDefault="00B419CE" w:rsidP="00B419CE">
      <w:r w:rsidRPr="00B419CE">
        <w:t xml:space="preserve">Finanstilsynet </w:t>
      </w:r>
      <w:proofErr w:type="spellStart"/>
      <w:r w:rsidRPr="00B419CE">
        <w:t>følgde</w:t>
      </w:r>
      <w:proofErr w:type="spellEnd"/>
      <w:r w:rsidRPr="00B419CE">
        <w:t xml:space="preserve"> </w:t>
      </w:r>
      <w:proofErr w:type="spellStart"/>
      <w:r w:rsidRPr="00B419CE">
        <w:t>verdipapirfondmarknaden</w:t>
      </w:r>
      <w:proofErr w:type="spellEnd"/>
      <w:r w:rsidRPr="00B419CE">
        <w:t xml:space="preserve"> tett etter det kraftige børsfallet i mars 2020, med </w:t>
      </w:r>
      <w:proofErr w:type="spellStart"/>
      <w:r w:rsidRPr="00B419CE">
        <w:t>dagleg</w:t>
      </w:r>
      <w:proofErr w:type="spellEnd"/>
      <w:r w:rsidRPr="00B419CE">
        <w:t xml:space="preserve"> kontakt med </w:t>
      </w:r>
      <w:proofErr w:type="spellStart"/>
      <w:r w:rsidRPr="00B419CE">
        <w:t>bransjeforeiningar</w:t>
      </w:r>
      <w:proofErr w:type="spellEnd"/>
      <w:r w:rsidRPr="00B419CE">
        <w:t xml:space="preserve">, </w:t>
      </w:r>
      <w:proofErr w:type="spellStart"/>
      <w:r w:rsidRPr="00B419CE">
        <w:t>depotmottakarane</w:t>
      </w:r>
      <w:proofErr w:type="spellEnd"/>
      <w:r w:rsidRPr="00B419CE">
        <w:t xml:space="preserve"> og </w:t>
      </w:r>
      <w:proofErr w:type="spellStart"/>
      <w:r w:rsidRPr="00B419CE">
        <w:t>dei</w:t>
      </w:r>
      <w:proofErr w:type="spellEnd"/>
      <w:r w:rsidRPr="00B419CE">
        <w:t xml:space="preserve"> større </w:t>
      </w:r>
      <w:proofErr w:type="spellStart"/>
      <w:r w:rsidRPr="00B419CE">
        <w:t>aktørane</w:t>
      </w:r>
      <w:proofErr w:type="spellEnd"/>
      <w:r w:rsidRPr="00B419CE">
        <w:t xml:space="preserve">. Beredskapen vart innretta slik at Finanstilsynet raskt kunne handtere ekstraordinære saker, til dømes søknader om suspensjon av </w:t>
      </w:r>
      <w:proofErr w:type="spellStart"/>
      <w:r w:rsidRPr="00B419CE">
        <w:t>verdiberekning</w:t>
      </w:r>
      <w:proofErr w:type="spellEnd"/>
      <w:r w:rsidRPr="00B419CE">
        <w:t xml:space="preserve"> og innløysingsretten i verdipapirfond. Det vart gjeve samtykke til suspensjon for ni verdipapirfond. For å overvake likviditetssituasjonen, iverksette Finanstilsynet ekstraordinær rapportering </w:t>
      </w:r>
      <w:proofErr w:type="spellStart"/>
      <w:r w:rsidRPr="00B419CE">
        <w:t>frå</w:t>
      </w:r>
      <w:proofErr w:type="spellEnd"/>
      <w:r w:rsidRPr="00B419CE">
        <w:t xml:space="preserve"> </w:t>
      </w:r>
      <w:proofErr w:type="spellStart"/>
      <w:r w:rsidRPr="00B419CE">
        <w:t>dei</w:t>
      </w:r>
      <w:proofErr w:type="spellEnd"/>
      <w:r w:rsidRPr="00B419CE">
        <w:t xml:space="preserve"> største </w:t>
      </w:r>
      <w:proofErr w:type="spellStart"/>
      <w:r w:rsidRPr="00B419CE">
        <w:t>forvaltingsselskapa</w:t>
      </w:r>
      <w:proofErr w:type="spellEnd"/>
      <w:r w:rsidRPr="00B419CE">
        <w:t xml:space="preserve"> kvar veke fram til midten av 2020.</w:t>
      </w:r>
    </w:p>
    <w:p w14:paraId="0116D318" w14:textId="77777777" w:rsidR="00B419CE" w:rsidRPr="00B419CE" w:rsidRDefault="00B419CE" w:rsidP="00B419CE">
      <w:r w:rsidRPr="00B419CE">
        <w:t xml:space="preserve">I 2020 var det tett dialog mellom Finanstilsynet og </w:t>
      </w:r>
      <w:proofErr w:type="spellStart"/>
      <w:r w:rsidRPr="00B419CE">
        <w:t>dei</w:t>
      </w:r>
      <w:proofErr w:type="spellEnd"/>
      <w:r w:rsidRPr="00B419CE">
        <w:t xml:space="preserve"> europeiske </w:t>
      </w:r>
      <w:proofErr w:type="spellStart"/>
      <w:r w:rsidRPr="00B419CE">
        <w:t>tilsynsmyndigheitene</w:t>
      </w:r>
      <w:proofErr w:type="spellEnd"/>
      <w:r w:rsidRPr="00B419CE">
        <w:t xml:space="preserve"> om situasjonen i den europeiske </w:t>
      </w:r>
      <w:proofErr w:type="spellStart"/>
      <w:r w:rsidRPr="00B419CE">
        <w:t>fondsmarknaden</w:t>
      </w:r>
      <w:proofErr w:type="spellEnd"/>
      <w:r w:rsidRPr="00B419CE">
        <w:t xml:space="preserve">. På grunn av </w:t>
      </w:r>
      <w:proofErr w:type="spellStart"/>
      <w:r w:rsidRPr="00B419CE">
        <w:t>marknadsuroa</w:t>
      </w:r>
      <w:proofErr w:type="spellEnd"/>
      <w:r w:rsidRPr="00B419CE">
        <w:t xml:space="preserve"> som </w:t>
      </w:r>
      <w:proofErr w:type="spellStart"/>
      <w:r w:rsidRPr="00B419CE">
        <w:t>følgje</w:t>
      </w:r>
      <w:proofErr w:type="spellEnd"/>
      <w:r w:rsidRPr="00B419CE">
        <w:t xml:space="preserve"> av pandemien vart det òg gjennomført ei undersøking knytt til likviditeten i store kreditt- og </w:t>
      </w:r>
      <w:proofErr w:type="spellStart"/>
      <w:r w:rsidRPr="00B419CE">
        <w:t>eigedomsfond</w:t>
      </w:r>
      <w:proofErr w:type="spellEnd"/>
      <w:r w:rsidRPr="00B419CE">
        <w:t xml:space="preserve">. Undersøkinga omfatta </w:t>
      </w:r>
      <w:proofErr w:type="spellStart"/>
      <w:r w:rsidRPr="00B419CE">
        <w:t>forvaltingsselskap</w:t>
      </w:r>
      <w:proofErr w:type="spellEnd"/>
      <w:r w:rsidRPr="00B419CE">
        <w:t xml:space="preserve"> og </w:t>
      </w:r>
      <w:proofErr w:type="spellStart"/>
      <w:r w:rsidRPr="00B419CE">
        <w:t>forvaltarar</w:t>
      </w:r>
      <w:proofErr w:type="spellEnd"/>
      <w:r w:rsidRPr="00B419CE">
        <w:t xml:space="preserve"> av alternative investeringsfond (AIF) og </w:t>
      </w:r>
      <w:proofErr w:type="spellStart"/>
      <w:r w:rsidRPr="00B419CE">
        <w:t>vart</w:t>
      </w:r>
      <w:proofErr w:type="spellEnd"/>
      <w:r w:rsidRPr="00B419CE">
        <w:t xml:space="preserve"> gjennomført som ei felleseuropeisk undersøking i regi av europeiske </w:t>
      </w:r>
      <w:proofErr w:type="spellStart"/>
      <w:r w:rsidRPr="00B419CE">
        <w:t>tilsynsmyndigheiter</w:t>
      </w:r>
      <w:proofErr w:type="spellEnd"/>
      <w:r w:rsidRPr="00B419CE">
        <w:t>.</w:t>
      </w:r>
    </w:p>
    <w:p w14:paraId="63ACE22F" w14:textId="77777777" w:rsidR="00B419CE" w:rsidRPr="00B419CE" w:rsidRDefault="00B419CE" w:rsidP="00B419CE">
      <w:proofErr w:type="spellStart"/>
      <w:r w:rsidRPr="00B419CE">
        <w:t>Forbrukarane</w:t>
      </w:r>
      <w:proofErr w:type="spellEnd"/>
      <w:r w:rsidRPr="00B419CE">
        <w:t xml:space="preserve"> er avhengige av god informasjon, og Finanstilsynet svarte på mange </w:t>
      </w:r>
      <w:proofErr w:type="spellStart"/>
      <w:r w:rsidRPr="00B419CE">
        <w:t>førespurnader</w:t>
      </w:r>
      <w:proofErr w:type="spellEnd"/>
      <w:r w:rsidRPr="00B419CE">
        <w:t xml:space="preserve"> </w:t>
      </w:r>
      <w:proofErr w:type="spellStart"/>
      <w:r w:rsidRPr="00B419CE">
        <w:t>frå</w:t>
      </w:r>
      <w:proofErr w:type="spellEnd"/>
      <w:r w:rsidRPr="00B419CE">
        <w:t xml:space="preserve"> </w:t>
      </w:r>
      <w:proofErr w:type="spellStart"/>
      <w:r w:rsidRPr="00B419CE">
        <w:t>forbrukarane</w:t>
      </w:r>
      <w:proofErr w:type="spellEnd"/>
      <w:r w:rsidRPr="00B419CE">
        <w:t xml:space="preserve"> i 2020. Koronapandemien medførte at Finanstilsynet i tillegg har fått </w:t>
      </w:r>
      <w:proofErr w:type="spellStart"/>
      <w:r w:rsidRPr="00B419CE">
        <w:t>ein</w:t>
      </w:r>
      <w:proofErr w:type="spellEnd"/>
      <w:r w:rsidRPr="00B419CE">
        <w:t xml:space="preserve"> del spørsmål om </w:t>
      </w:r>
      <w:proofErr w:type="spellStart"/>
      <w:r w:rsidRPr="00B419CE">
        <w:t>avtalar</w:t>
      </w:r>
      <w:proofErr w:type="spellEnd"/>
      <w:r w:rsidRPr="00B419CE">
        <w:t xml:space="preserve"> mellom kunde og bank, i </w:t>
      </w:r>
      <w:proofErr w:type="spellStart"/>
      <w:r w:rsidRPr="00B419CE">
        <w:t>hovudsak</w:t>
      </w:r>
      <w:proofErr w:type="spellEnd"/>
      <w:r w:rsidRPr="00B419CE">
        <w:t xml:space="preserve"> knytte til lånevilkår.</w:t>
      </w:r>
    </w:p>
    <w:p w14:paraId="7A6E1431" w14:textId="77777777" w:rsidR="00B419CE" w:rsidRPr="00B419CE" w:rsidRDefault="00B419CE" w:rsidP="00B419CE">
      <w:pPr>
        <w:pStyle w:val="avsnitt-tittel"/>
      </w:pPr>
      <w:r w:rsidRPr="00B419CE">
        <w:t>Effektiv krisehandtering</w:t>
      </w:r>
    </w:p>
    <w:p w14:paraId="6C098F6A" w14:textId="77777777" w:rsidR="00B419CE" w:rsidRPr="00B419CE" w:rsidRDefault="00B419CE" w:rsidP="00B419CE">
      <w:r w:rsidRPr="00B419CE">
        <w:t xml:space="preserve">Beredskap for å kunne handtere kritiske </w:t>
      </w:r>
      <w:proofErr w:type="spellStart"/>
      <w:r w:rsidRPr="00B419CE">
        <w:t>situasjonar</w:t>
      </w:r>
      <w:proofErr w:type="spellEnd"/>
      <w:r w:rsidRPr="00B419CE">
        <w:t xml:space="preserve"> er viktig for tilliten til det finansielle systemet. Finanstilsynet har beredskap for å behandle kriser i så vel </w:t>
      </w:r>
      <w:proofErr w:type="spellStart"/>
      <w:r w:rsidRPr="00B419CE">
        <w:t>enkeltføretak</w:t>
      </w:r>
      <w:proofErr w:type="spellEnd"/>
      <w:r w:rsidRPr="00B419CE">
        <w:t xml:space="preserve"> som </w:t>
      </w:r>
      <w:proofErr w:type="spellStart"/>
      <w:r w:rsidRPr="00B419CE">
        <w:t>marknader</w:t>
      </w:r>
      <w:proofErr w:type="spellEnd"/>
      <w:r w:rsidRPr="00B419CE">
        <w:t xml:space="preserve">, for å redusere risikoen for </w:t>
      </w:r>
      <w:proofErr w:type="spellStart"/>
      <w:r w:rsidRPr="00B419CE">
        <w:t>omfattande</w:t>
      </w:r>
      <w:proofErr w:type="spellEnd"/>
      <w:r w:rsidRPr="00B419CE">
        <w:t xml:space="preserve"> og varige skadeverknader for finanssektoren og </w:t>
      </w:r>
      <w:proofErr w:type="spellStart"/>
      <w:r w:rsidRPr="00B419CE">
        <w:t>kundar</w:t>
      </w:r>
      <w:proofErr w:type="spellEnd"/>
      <w:r w:rsidRPr="00B419CE">
        <w:t xml:space="preserve">. Krav til at </w:t>
      </w:r>
      <w:proofErr w:type="spellStart"/>
      <w:r w:rsidRPr="00B419CE">
        <w:t>bankar</w:t>
      </w:r>
      <w:proofErr w:type="spellEnd"/>
      <w:r w:rsidRPr="00B419CE">
        <w:t xml:space="preserve"> og </w:t>
      </w:r>
      <w:proofErr w:type="spellStart"/>
      <w:r w:rsidRPr="00B419CE">
        <w:t>verdipapirføretak</w:t>
      </w:r>
      <w:proofErr w:type="spellEnd"/>
      <w:r w:rsidRPr="00B419CE">
        <w:t xml:space="preserve"> utarbeider gjenopprettingsplanar og at Finanstilsynet lager krisehandteringsplanar, vil bidra til at kritiske forhold vert behandla </w:t>
      </w:r>
      <w:proofErr w:type="spellStart"/>
      <w:r w:rsidRPr="00B419CE">
        <w:t>tilfredsstillande</w:t>
      </w:r>
      <w:proofErr w:type="spellEnd"/>
      <w:r w:rsidRPr="00B419CE">
        <w:t xml:space="preserve">. Beredskap for å kunne </w:t>
      </w:r>
      <w:proofErr w:type="spellStart"/>
      <w:r w:rsidRPr="00B419CE">
        <w:t>gje</w:t>
      </w:r>
      <w:proofErr w:type="spellEnd"/>
      <w:r w:rsidRPr="00B419CE">
        <w:t xml:space="preserve"> rask og relevant informasjon til </w:t>
      </w:r>
      <w:proofErr w:type="spellStart"/>
      <w:r w:rsidRPr="00B419CE">
        <w:t>allmenta</w:t>
      </w:r>
      <w:proofErr w:type="spellEnd"/>
      <w:r w:rsidRPr="00B419CE">
        <w:t xml:space="preserve">, er </w:t>
      </w:r>
      <w:proofErr w:type="spellStart"/>
      <w:r w:rsidRPr="00B419CE">
        <w:t>ein</w:t>
      </w:r>
      <w:proofErr w:type="spellEnd"/>
      <w:r w:rsidRPr="00B419CE">
        <w:t xml:space="preserve"> sentral del av kriseberedskapen. Det </w:t>
      </w:r>
      <w:proofErr w:type="spellStart"/>
      <w:r w:rsidRPr="00B419CE">
        <w:t>laupande</w:t>
      </w:r>
      <w:proofErr w:type="spellEnd"/>
      <w:r w:rsidRPr="00B419CE">
        <w:t xml:space="preserve"> tilsynsarbeidet gjev Finanstilsynet god kjennskap til </w:t>
      </w:r>
      <w:proofErr w:type="spellStart"/>
      <w:r w:rsidRPr="00B419CE">
        <w:t>verksemda</w:t>
      </w:r>
      <w:proofErr w:type="spellEnd"/>
      <w:r w:rsidRPr="00B419CE">
        <w:t xml:space="preserve"> i </w:t>
      </w:r>
      <w:proofErr w:type="spellStart"/>
      <w:r w:rsidRPr="00B419CE">
        <w:t>føretaka</w:t>
      </w:r>
      <w:proofErr w:type="spellEnd"/>
      <w:r w:rsidRPr="00B419CE">
        <w:t xml:space="preserve"> og </w:t>
      </w:r>
      <w:proofErr w:type="spellStart"/>
      <w:r w:rsidRPr="00B419CE">
        <w:t>bidreg</w:t>
      </w:r>
      <w:proofErr w:type="spellEnd"/>
      <w:r w:rsidRPr="00B419CE">
        <w:t xml:space="preserve"> til effektiv krisehandtering.</w:t>
      </w:r>
    </w:p>
    <w:p w14:paraId="45CFB9D6" w14:textId="77777777" w:rsidR="00B419CE" w:rsidRPr="00B419CE" w:rsidRDefault="00B419CE" w:rsidP="00B419CE">
      <w:r w:rsidRPr="00B419CE">
        <w:t xml:space="preserve">Finanstilsynet har utarbeidd 14 krisetiltaksplanar og fastsett minstekrav til summen av </w:t>
      </w:r>
      <w:proofErr w:type="spellStart"/>
      <w:r w:rsidRPr="00B419CE">
        <w:t>ansvarleg</w:t>
      </w:r>
      <w:proofErr w:type="spellEnd"/>
      <w:r w:rsidRPr="00B419CE">
        <w:t xml:space="preserve"> kapital og konvertibel gjeld (MREL). I 2020 har Finanstilsynet òg vurdert </w:t>
      </w:r>
      <w:proofErr w:type="spellStart"/>
      <w:r w:rsidRPr="00B419CE">
        <w:t>gjenopprettingsplanane</w:t>
      </w:r>
      <w:proofErr w:type="spellEnd"/>
      <w:r w:rsidRPr="00B419CE">
        <w:t xml:space="preserve"> til 34 </w:t>
      </w:r>
      <w:proofErr w:type="spellStart"/>
      <w:r w:rsidRPr="00B419CE">
        <w:t>bankar</w:t>
      </w:r>
      <w:proofErr w:type="spellEnd"/>
      <w:r w:rsidRPr="00B419CE">
        <w:t>.</w:t>
      </w:r>
    </w:p>
    <w:p w14:paraId="4D1928F9" w14:textId="77777777" w:rsidR="00B419CE" w:rsidRPr="00B419CE" w:rsidRDefault="00B419CE" w:rsidP="00B419CE">
      <w:r w:rsidRPr="00B419CE">
        <w:t xml:space="preserve">For Finanstilsynet var 2020 prega av forsterka </w:t>
      </w:r>
      <w:proofErr w:type="spellStart"/>
      <w:r w:rsidRPr="00B419CE">
        <w:t>overvaking</w:t>
      </w:r>
      <w:proofErr w:type="spellEnd"/>
      <w:r w:rsidRPr="00B419CE">
        <w:t xml:space="preserve"> av </w:t>
      </w:r>
      <w:proofErr w:type="spellStart"/>
      <w:r w:rsidRPr="00B419CE">
        <w:t>finansmarknadene</w:t>
      </w:r>
      <w:proofErr w:type="spellEnd"/>
      <w:r w:rsidRPr="00B419CE">
        <w:t xml:space="preserve"> og </w:t>
      </w:r>
      <w:proofErr w:type="spellStart"/>
      <w:r w:rsidRPr="00B419CE">
        <w:t>føretaka</w:t>
      </w:r>
      <w:proofErr w:type="spellEnd"/>
      <w:r w:rsidRPr="00B419CE">
        <w:t xml:space="preserve"> som </w:t>
      </w:r>
      <w:proofErr w:type="spellStart"/>
      <w:r w:rsidRPr="00B419CE">
        <w:t>følgje</w:t>
      </w:r>
      <w:proofErr w:type="spellEnd"/>
      <w:r w:rsidRPr="00B419CE">
        <w:t xml:space="preserve"> av koronapandemien. Samstundes var Finanstilsynet </w:t>
      </w:r>
      <w:proofErr w:type="spellStart"/>
      <w:r w:rsidRPr="00B419CE">
        <w:t>oppteke</w:t>
      </w:r>
      <w:proofErr w:type="spellEnd"/>
      <w:r w:rsidRPr="00B419CE">
        <w:t xml:space="preserve"> av å </w:t>
      </w:r>
      <w:proofErr w:type="spellStart"/>
      <w:r w:rsidRPr="00B419CE">
        <w:lastRenderedPageBreak/>
        <w:t>følgje</w:t>
      </w:r>
      <w:proofErr w:type="spellEnd"/>
      <w:r w:rsidRPr="00B419CE">
        <w:t xml:space="preserve"> opp </w:t>
      </w:r>
      <w:proofErr w:type="spellStart"/>
      <w:r w:rsidRPr="00B419CE">
        <w:t>dei</w:t>
      </w:r>
      <w:proofErr w:type="spellEnd"/>
      <w:r w:rsidRPr="00B419CE">
        <w:t xml:space="preserve"> faste </w:t>
      </w:r>
      <w:proofErr w:type="spellStart"/>
      <w:r w:rsidRPr="00B419CE">
        <w:t>tilsynsoppgåvene</w:t>
      </w:r>
      <w:proofErr w:type="spellEnd"/>
      <w:r w:rsidRPr="00B419CE">
        <w:t xml:space="preserve">. Pandemien førte til </w:t>
      </w:r>
      <w:proofErr w:type="spellStart"/>
      <w:r w:rsidRPr="00B419CE">
        <w:t>meir</w:t>
      </w:r>
      <w:proofErr w:type="spellEnd"/>
      <w:r w:rsidRPr="00B419CE">
        <w:t xml:space="preserve"> uvisse i </w:t>
      </w:r>
      <w:proofErr w:type="spellStart"/>
      <w:r w:rsidRPr="00B419CE">
        <w:t>marknadene</w:t>
      </w:r>
      <w:proofErr w:type="spellEnd"/>
      <w:r w:rsidRPr="00B419CE">
        <w:t xml:space="preserve">, og </w:t>
      </w:r>
      <w:proofErr w:type="spellStart"/>
      <w:r w:rsidRPr="00B419CE">
        <w:t>risikobiletet</w:t>
      </w:r>
      <w:proofErr w:type="spellEnd"/>
      <w:r w:rsidRPr="00B419CE">
        <w:t xml:space="preserve"> for </w:t>
      </w:r>
      <w:proofErr w:type="spellStart"/>
      <w:r w:rsidRPr="00B419CE">
        <w:t>føretaka</w:t>
      </w:r>
      <w:proofErr w:type="spellEnd"/>
      <w:r w:rsidRPr="00B419CE">
        <w:t xml:space="preserve"> </w:t>
      </w:r>
      <w:proofErr w:type="spellStart"/>
      <w:r w:rsidRPr="00B419CE">
        <w:t>vart</w:t>
      </w:r>
      <w:proofErr w:type="spellEnd"/>
      <w:r w:rsidRPr="00B419CE">
        <w:t xml:space="preserve"> raskt endra. Finanstilsynet sette i verk tett oppfølging av </w:t>
      </w:r>
      <w:proofErr w:type="spellStart"/>
      <w:r w:rsidRPr="00B419CE">
        <w:t>føretak</w:t>
      </w:r>
      <w:proofErr w:type="spellEnd"/>
      <w:r w:rsidRPr="00B419CE">
        <w:t xml:space="preserve"> under tilsyn og påla ekstraordinær rapportering for å kunne </w:t>
      </w:r>
      <w:proofErr w:type="spellStart"/>
      <w:r w:rsidRPr="00B419CE">
        <w:t>følgje</w:t>
      </w:r>
      <w:proofErr w:type="spellEnd"/>
      <w:r w:rsidRPr="00B419CE">
        <w:t xml:space="preserve"> utviklinga nøye. Gjennom året samarbeidde Finanstilsynet tett med </w:t>
      </w:r>
      <w:proofErr w:type="spellStart"/>
      <w:r w:rsidRPr="00B419CE">
        <w:t>dei</w:t>
      </w:r>
      <w:proofErr w:type="spellEnd"/>
      <w:r w:rsidRPr="00B419CE">
        <w:t xml:space="preserve"> europeiske </w:t>
      </w:r>
      <w:proofErr w:type="spellStart"/>
      <w:r w:rsidRPr="00B419CE">
        <w:t>finanstilsynsmyndigheitene</w:t>
      </w:r>
      <w:proofErr w:type="spellEnd"/>
      <w:r w:rsidRPr="00B419CE">
        <w:t xml:space="preserve"> både om å handtere </w:t>
      </w:r>
      <w:proofErr w:type="spellStart"/>
      <w:r w:rsidRPr="00B419CE">
        <w:t>konsekvensane</w:t>
      </w:r>
      <w:proofErr w:type="spellEnd"/>
      <w:r w:rsidRPr="00B419CE">
        <w:t xml:space="preserve"> av pandemien og om å </w:t>
      </w:r>
      <w:proofErr w:type="spellStart"/>
      <w:r w:rsidRPr="00B419CE">
        <w:t>følgje</w:t>
      </w:r>
      <w:proofErr w:type="spellEnd"/>
      <w:r w:rsidRPr="00B419CE">
        <w:t xml:space="preserve"> opp den generelle kriseberedskapen i </w:t>
      </w:r>
      <w:proofErr w:type="spellStart"/>
      <w:r w:rsidRPr="00B419CE">
        <w:t>føretaka</w:t>
      </w:r>
      <w:proofErr w:type="spellEnd"/>
      <w:r w:rsidRPr="00B419CE">
        <w:t xml:space="preserve">. Finanstilsynet har samarbeidd med </w:t>
      </w:r>
      <w:proofErr w:type="spellStart"/>
      <w:r w:rsidRPr="00B419CE">
        <w:t>Noregs</w:t>
      </w:r>
      <w:proofErr w:type="spellEnd"/>
      <w:r w:rsidRPr="00B419CE">
        <w:t xml:space="preserve"> Bank og har hatt tett kontakt med Finansdepartementet under pandemien.</w:t>
      </w:r>
    </w:p>
    <w:p w14:paraId="5945B751" w14:textId="77777777" w:rsidR="00B419CE" w:rsidRPr="00B419CE" w:rsidRDefault="00B419CE" w:rsidP="00B419CE">
      <w:r w:rsidRPr="00B419CE">
        <w:t xml:space="preserve">For å </w:t>
      </w:r>
      <w:proofErr w:type="spellStart"/>
      <w:r w:rsidRPr="00B419CE">
        <w:t>setje</w:t>
      </w:r>
      <w:proofErr w:type="spellEnd"/>
      <w:r w:rsidRPr="00B419CE">
        <w:t xml:space="preserve"> </w:t>
      </w:r>
      <w:proofErr w:type="spellStart"/>
      <w:r w:rsidRPr="00B419CE">
        <w:t>bankane</w:t>
      </w:r>
      <w:proofErr w:type="spellEnd"/>
      <w:r w:rsidRPr="00B419CE">
        <w:t xml:space="preserve"> betre i stand til å hjelpe sårbare </w:t>
      </w:r>
      <w:proofErr w:type="spellStart"/>
      <w:r w:rsidRPr="00B419CE">
        <w:t>kundar</w:t>
      </w:r>
      <w:proofErr w:type="spellEnd"/>
      <w:r w:rsidRPr="00B419CE">
        <w:t xml:space="preserve"> gjennom krisa, </w:t>
      </w:r>
      <w:proofErr w:type="spellStart"/>
      <w:r w:rsidRPr="00B419CE">
        <w:t>vart</w:t>
      </w:r>
      <w:proofErr w:type="spellEnd"/>
      <w:r w:rsidRPr="00B419CE">
        <w:t xml:space="preserve"> det bestemt mellombels å </w:t>
      </w:r>
      <w:proofErr w:type="spellStart"/>
      <w:r w:rsidRPr="00B419CE">
        <w:t>auke</w:t>
      </w:r>
      <w:proofErr w:type="spellEnd"/>
      <w:r w:rsidRPr="00B419CE">
        <w:t xml:space="preserve"> fleksibilitetskvotene i bustadlånsforskrifta til 20 prosent i andre og tredje kvartal 2020. </w:t>
      </w:r>
      <w:proofErr w:type="spellStart"/>
      <w:r w:rsidRPr="00B419CE">
        <w:t>Bankane</w:t>
      </w:r>
      <w:proofErr w:type="spellEnd"/>
      <w:r w:rsidRPr="00B419CE">
        <w:t xml:space="preserve"> </w:t>
      </w:r>
      <w:proofErr w:type="spellStart"/>
      <w:r w:rsidRPr="00B419CE">
        <w:t>si</w:t>
      </w:r>
      <w:proofErr w:type="spellEnd"/>
      <w:r w:rsidRPr="00B419CE">
        <w:t xml:space="preserve"> rapportering til Finanstilsynet viste at prosentdelen innvilga lån som gjekk ut over krava i bustadlånsforskrifta, </w:t>
      </w:r>
      <w:proofErr w:type="spellStart"/>
      <w:r w:rsidRPr="00B419CE">
        <w:t>auka</w:t>
      </w:r>
      <w:proofErr w:type="spellEnd"/>
      <w:r w:rsidRPr="00B419CE">
        <w:t xml:space="preserve"> i denne perioden.</w:t>
      </w:r>
    </w:p>
    <w:p w14:paraId="6296769D" w14:textId="77777777" w:rsidR="00B419CE" w:rsidRPr="00B419CE" w:rsidRDefault="00B419CE" w:rsidP="00B419CE">
      <w:r w:rsidRPr="00B419CE">
        <w:t xml:space="preserve">I 2020 brukte Finanstilsynet </w:t>
      </w:r>
      <w:proofErr w:type="spellStart"/>
      <w:r w:rsidRPr="00B419CE">
        <w:t>ressursar</w:t>
      </w:r>
      <w:proofErr w:type="spellEnd"/>
      <w:r w:rsidRPr="00B419CE">
        <w:t xml:space="preserve"> på å delta i planlegginga av den sivile nasjonale øvinga </w:t>
      </w:r>
      <w:r w:rsidRPr="00B419CE">
        <w:rPr>
          <w:rStyle w:val="kursiv"/>
        </w:rPr>
        <w:t>Digital 2020</w:t>
      </w:r>
      <w:r w:rsidRPr="00B419CE">
        <w:t xml:space="preserve"> i regi av Direktoratet for samfunnstryggleik og beredskap. Scenarioet for øvinga var </w:t>
      </w:r>
      <w:proofErr w:type="spellStart"/>
      <w:r w:rsidRPr="00B419CE">
        <w:t>eit</w:t>
      </w:r>
      <w:proofErr w:type="spellEnd"/>
      <w:r w:rsidRPr="00B419CE">
        <w:t xml:space="preserve"> digitalt angrep på finanssektoren. På grunn av koronapandemien vart øvinga redusert.</w:t>
      </w:r>
    </w:p>
    <w:p w14:paraId="41515D38" w14:textId="77777777" w:rsidR="00B419CE" w:rsidRPr="00B419CE" w:rsidRDefault="00B419CE" w:rsidP="00B419CE">
      <w:pPr>
        <w:pStyle w:val="avsnitt-tittel"/>
      </w:pPr>
      <w:r w:rsidRPr="00B419CE">
        <w:t>Innsats mot økonomisk kriminalitet</w:t>
      </w:r>
    </w:p>
    <w:p w14:paraId="697214AB" w14:textId="77777777" w:rsidR="00B419CE" w:rsidRPr="00B419CE" w:rsidRDefault="00B419CE" w:rsidP="00B419CE">
      <w:r w:rsidRPr="00B419CE">
        <w:t xml:space="preserve">Finanssektoren skal </w:t>
      </w:r>
      <w:proofErr w:type="spellStart"/>
      <w:r w:rsidRPr="00B419CE">
        <w:t>sjølv</w:t>
      </w:r>
      <w:proofErr w:type="spellEnd"/>
      <w:r w:rsidRPr="00B419CE">
        <w:t xml:space="preserve"> </w:t>
      </w:r>
      <w:proofErr w:type="spellStart"/>
      <w:r w:rsidRPr="00B419CE">
        <w:t>førebyggje</w:t>
      </w:r>
      <w:proofErr w:type="spellEnd"/>
      <w:r w:rsidRPr="00B419CE">
        <w:t xml:space="preserve"> at </w:t>
      </w:r>
      <w:proofErr w:type="spellStart"/>
      <w:r w:rsidRPr="00B419CE">
        <w:t>finansføretak</w:t>
      </w:r>
      <w:proofErr w:type="spellEnd"/>
      <w:r w:rsidRPr="00B419CE">
        <w:t xml:space="preserve"> og andre </w:t>
      </w:r>
      <w:proofErr w:type="spellStart"/>
      <w:r w:rsidRPr="00B419CE">
        <w:t>aktørar</w:t>
      </w:r>
      <w:proofErr w:type="spellEnd"/>
      <w:r w:rsidRPr="00B419CE">
        <w:t xml:space="preserve"> vert utnytta i kriminelle </w:t>
      </w:r>
      <w:proofErr w:type="spellStart"/>
      <w:r w:rsidRPr="00B419CE">
        <w:t>aktivitetar</w:t>
      </w:r>
      <w:proofErr w:type="spellEnd"/>
      <w:r w:rsidRPr="00B419CE">
        <w:t xml:space="preserve">. Finanstilsynet fører tilsyn med at </w:t>
      </w:r>
      <w:proofErr w:type="spellStart"/>
      <w:r w:rsidRPr="00B419CE">
        <w:t>føretaka</w:t>
      </w:r>
      <w:proofErr w:type="spellEnd"/>
      <w:r w:rsidRPr="00B419CE">
        <w:t xml:space="preserve"> etterlever pliktene i regelverket for nedkjemping av kvitvasking og terrorfinansiering. Finanstilsynet fører òg tilsyn med at </w:t>
      </w:r>
      <w:proofErr w:type="spellStart"/>
      <w:r w:rsidRPr="00B419CE">
        <w:t>aktørane</w:t>
      </w:r>
      <w:proofErr w:type="spellEnd"/>
      <w:r w:rsidRPr="00B419CE">
        <w:t xml:space="preserve"> i </w:t>
      </w:r>
      <w:proofErr w:type="spellStart"/>
      <w:r w:rsidRPr="00B419CE">
        <w:t>verdipapirmarknaden</w:t>
      </w:r>
      <w:proofErr w:type="spellEnd"/>
      <w:r w:rsidRPr="00B419CE">
        <w:t xml:space="preserve"> </w:t>
      </w:r>
      <w:proofErr w:type="spellStart"/>
      <w:r w:rsidRPr="00B419CE">
        <w:t>overheld</w:t>
      </w:r>
      <w:proofErr w:type="spellEnd"/>
      <w:r w:rsidRPr="00B419CE">
        <w:t xml:space="preserve"> </w:t>
      </w:r>
      <w:proofErr w:type="spellStart"/>
      <w:r w:rsidRPr="00B419CE">
        <w:t>marknadsreglane</w:t>
      </w:r>
      <w:proofErr w:type="spellEnd"/>
      <w:r w:rsidRPr="00B419CE">
        <w:t xml:space="preserve"> mot innsidehandel og </w:t>
      </w:r>
      <w:proofErr w:type="spellStart"/>
      <w:r w:rsidRPr="00B419CE">
        <w:t>marknadsmisbruk</w:t>
      </w:r>
      <w:proofErr w:type="spellEnd"/>
      <w:r w:rsidRPr="00B419CE">
        <w:t xml:space="preserve">. </w:t>
      </w:r>
      <w:proofErr w:type="spellStart"/>
      <w:r w:rsidRPr="00B419CE">
        <w:t>Ulovleg</w:t>
      </w:r>
      <w:proofErr w:type="spellEnd"/>
      <w:r w:rsidRPr="00B419CE">
        <w:t xml:space="preserve"> </w:t>
      </w:r>
      <w:proofErr w:type="spellStart"/>
      <w:r w:rsidRPr="00B419CE">
        <w:t>verksemd</w:t>
      </w:r>
      <w:proofErr w:type="spellEnd"/>
      <w:r w:rsidRPr="00B419CE">
        <w:t xml:space="preserve"> </w:t>
      </w:r>
      <w:proofErr w:type="spellStart"/>
      <w:r w:rsidRPr="00B419CE">
        <w:t>svekkjer</w:t>
      </w:r>
      <w:proofErr w:type="spellEnd"/>
      <w:r w:rsidRPr="00B419CE">
        <w:t xml:space="preserve"> tilliten til </w:t>
      </w:r>
      <w:proofErr w:type="spellStart"/>
      <w:r w:rsidRPr="00B419CE">
        <w:t>finansmarknadene</w:t>
      </w:r>
      <w:proofErr w:type="spellEnd"/>
      <w:r w:rsidRPr="00B419CE">
        <w:t xml:space="preserve"> og </w:t>
      </w:r>
      <w:proofErr w:type="spellStart"/>
      <w:r w:rsidRPr="00B419CE">
        <w:t>undergrev</w:t>
      </w:r>
      <w:proofErr w:type="spellEnd"/>
      <w:r w:rsidRPr="00B419CE">
        <w:t xml:space="preserve"> </w:t>
      </w:r>
      <w:proofErr w:type="spellStart"/>
      <w:r w:rsidRPr="00B419CE">
        <w:t>verksemda</w:t>
      </w:r>
      <w:proofErr w:type="spellEnd"/>
      <w:r w:rsidRPr="00B419CE">
        <w:t xml:space="preserve"> for </w:t>
      </w:r>
      <w:proofErr w:type="spellStart"/>
      <w:r w:rsidRPr="00B419CE">
        <w:t>føretak</w:t>
      </w:r>
      <w:proofErr w:type="spellEnd"/>
      <w:r w:rsidRPr="00B419CE">
        <w:t xml:space="preserve"> som driv </w:t>
      </w:r>
      <w:proofErr w:type="spellStart"/>
      <w:r w:rsidRPr="00B419CE">
        <w:t>innanfor</w:t>
      </w:r>
      <w:proofErr w:type="spellEnd"/>
      <w:r w:rsidRPr="00B419CE">
        <w:t xml:space="preserve"> regelverket. </w:t>
      </w:r>
      <w:proofErr w:type="spellStart"/>
      <w:r w:rsidRPr="00B419CE">
        <w:t>Tilsynsverksemda</w:t>
      </w:r>
      <w:proofErr w:type="spellEnd"/>
      <w:r w:rsidRPr="00B419CE">
        <w:t xml:space="preserve"> </w:t>
      </w:r>
      <w:proofErr w:type="spellStart"/>
      <w:r w:rsidRPr="00B419CE">
        <w:t>bidreg</w:t>
      </w:r>
      <w:proofErr w:type="spellEnd"/>
      <w:r w:rsidRPr="00B419CE">
        <w:t xml:space="preserve"> til å </w:t>
      </w:r>
      <w:proofErr w:type="spellStart"/>
      <w:r w:rsidRPr="00B419CE">
        <w:t>førebyggje</w:t>
      </w:r>
      <w:proofErr w:type="spellEnd"/>
      <w:r w:rsidRPr="00B419CE">
        <w:t xml:space="preserve"> kriminalitet i </w:t>
      </w:r>
      <w:proofErr w:type="spellStart"/>
      <w:r w:rsidRPr="00B419CE">
        <w:t>føretak</w:t>
      </w:r>
      <w:proofErr w:type="spellEnd"/>
      <w:r w:rsidRPr="00B419CE">
        <w:t xml:space="preserve"> under tilsyn. Ved mistanke om </w:t>
      </w:r>
      <w:proofErr w:type="spellStart"/>
      <w:r w:rsidRPr="00B419CE">
        <w:t>alvorleg</w:t>
      </w:r>
      <w:proofErr w:type="spellEnd"/>
      <w:r w:rsidRPr="00B419CE">
        <w:t xml:space="preserve"> økonomisk kriminalitet vert forholdet meldt til politiet.</w:t>
      </w:r>
    </w:p>
    <w:p w14:paraId="588FD077" w14:textId="77777777" w:rsidR="00B419CE" w:rsidRPr="00B419CE" w:rsidRDefault="00B419CE" w:rsidP="00B419CE">
      <w:r w:rsidRPr="00B419CE">
        <w:t xml:space="preserve">Dei </w:t>
      </w:r>
      <w:proofErr w:type="spellStart"/>
      <w:r w:rsidRPr="00B419CE">
        <w:t>seinare</w:t>
      </w:r>
      <w:proofErr w:type="spellEnd"/>
      <w:r w:rsidRPr="00B419CE">
        <w:t xml:space="preserve"> åra er det avdekt </w:t>
      </w:r>
      <w:proofErr w:type="spellStart"/>
      <w:r w:rsidRPr="00B419CE">
        <w:t>vesentlege</w:t>
      </w:r>
      <w:proofErr w:type="spellEnd"/>
      <w:r w:rsidRPr="00B419CE">
        <w:t xml:space="preserve"> </w:t>
      </w:r>
      <w:proofErr w:type="spellStart"/>
      <w:r w:rsidRPr="00B419CE">
        <w:t>svakheiter</w:t>
      </w:r>
      <w:proofErr w:type="spellEnd"/>
      <w:r w:rsidRPr="00B419CE">
        <w:t xml:space="preserve"> i etterlevinga av kvitvaskingsregelverket i mange store </w:t>
      </w:r>
      <w:proofErr w:type="spellStart"/>
      <w:r w:rsidRPr="00B419CE">
        <w:t>bankar</w:t>
      </w:r>
      <w:proofErr w:type="spellEnd"/>
      <w:r w:rsidRPr="00B419CE">
        <w:t xml:space="preserve"> internasjonalt. Finanstilsynet har, til liks med andre europeiske </w:t>
      </w:r>
      <w:proofErr w:type="spellStart"/>
      <w:r w:rsidRPr="00B419CE">
        <w:t>tilsynsmyndigheiter</w:t>
      </w:r>
      <w:proofErr w:type="spellEnd"/>
      <w:r w:rsidRPr="00B419CE">
        <w:t xml:space="preserve">, trappa opp aktiviteten på dette området. I 2020 har Finanstilsynet mellom anna avslutta dokumentbaserte kvitvaskingstilsyn med 110 </w:t>
      </w:r>
      <w:proofErr w:type="spellStart"/>
      <w:r w:rsidRPr="00B419CE">
        <w:t>bankar</w:t>
      </w:r>
      <w:proofErr w:type="spellEnd"/>
      <w:r w:rsidRPr="00B419CE">
        <w:t xml:space="preserve">. I 2020 </w:t>
      </w:r>
      <w:proofErr w:type="spellStart"/>
      <w:r w:rsidRPr="00B419CE">
        <w:t>fekk</w:t>
      </w:r>
      <w:proofErr w:type="spellEnd"/>
      <w:r w:rsidRPr="00B419CE">
        <w:t xml:space="preserve"> </w:t>
      </w:r>
      <w:proofErr w:type="spellStart"/>
      <w:r w:rsidRPr="00B419CE">
        <w:t>éin</w:t>
      </w:r>
      <w:proofErr w:type="spellEnd"/>
      <w:r w:rsidRPr="00B419CE">
        <w:t xml:space="preserve"> bank </w:t>
      </w:r>
      <w:proofErr w:type="spellStart"/>
      <w:r w:rsidRPr="00B419CE">
        <w:t>lovbrotsgebyr</w:t>
      </w:r>
      <w:proofErr w:type="spellEnd"/>
      <w:r w:rsidRPr="00B419CE">
        <w:t xml:space="preserve">, og </w:t>
      </w:r>
      <w:proofErr w:type="spellStart"/>
      <w:r w:rsidRPr="00B419CE">
        <w:t>éin</w:t>
      </w:r>
      <w:proofErr w:type="spellEnd"/>
      <w:r w:rsidRPr="00B419CE">
        <w:t xml:space="preserve"> bank </w:t>
      </w:r>
      <w:proofErr w:type="spellStart"/>
      <w:r w:rsidRPr="00B419CE">
        <w:t>fekk</w:t>
      </w:r>
      <w:proofErr w:type="spellEnd"/>
      <w:r w:rsidRPr="00B419CE">
        <w:t xml:space="preserve"> varsel om gebyr. Det har òg vorte gjennomført større kvitvaskingstilsyn hos </w:t>
      </w:r>
      <w:proofErr w:type="spellStart"/>
      <w:r w:rsidRPr="00B419CE">
        <w:t>eigedomsmeklarar</w:t>
      </w:r>
      <w:proofErr w:type="spellEnd"/>
      <w:r w:rsidRPr="00B419CE">
        <w:t xml:space="preserve">, </w:t>
      </w:r>
      <w:proofErr w:type="spellStart"/>
      <w:r w:rsidRPr="00B419CE">
        <w:t>revisorar</w:t>
      </w:r>
      <w:proofErr w:type="spellEnd"/>
      <w:r w:rsidRPr="00B419CE">
        <w:t xml:space="preserve"> og </w:t>
      </w:r>
      <w:proofErr w:type="spellStart"/>
      <w:r w:rsidRPr="00B419CE">
        <w:t>rekneskapsførarar</w:t>
      </w:r>
      <w:proofErr w:type="spellEnd"/>
      <w:r w:rsidRPr="00B419CE">
        <w:t xml:space="preserve"> som vil kunne ende med </w:t>
      </w:r>
      <w:proofErr w:type="spellStart"/>
      <w:r w:rsidRPr="00B419CE">
        <w:t>fleire</w:t>
      </w:r>
      <w:proofErr w:type="spellEnd"/>
      <w:r w:rsidRPr="00B419CE">
        <w:t xml:space="preserve"> </w:t>
      </w:r>
      <w:proofErr w:type="spellStart"/>
      <w:r w:rsidRPr="00B419CE">
        <w:t>lovbrotsgebyr</w:t>
      </w:r>
      <w:proofErr w:type="spellEnd"/>
      <w:r w:rsidRPr="00B419CE">
        <w:t>.</w:t>
      </w:r>
    </w:p>
    <w:p w14:paraId="203D5819" w14:textId="77777777" w:rsidR="00B419CE" w:rsidRPr="00B419CE" w:rsidRDefault="00B419CE" w:rsidP="00B419CE">
      <w:r w:rsidRPr="00B419CE">
        <w:t xml:space="preserve">Finanstilsynet vurderer på grunnlag av </w:t>
      </w:r>
      <w:proofErr w:type="spellStart"/>
      <w:r w:rsidRPr="00B419CE">
        <w:t>tilsynsobservasjonar</w:t>
      </w:r>
      <w:proofErr w:type="spellEnd"/>
      <w:r w:rsidRPr="00B419CE">
        <w:t xml:space="preserve"> at etterlevinga av kvitvaskingsregelverket </w:t>
      </w:r>
      <w:proofErr w:type="spellStart"/>
      <w:r w:rsidRPr="00B419CE">
        <w:t>framleis</w:t>
      </w:r>
      <w:proofErr w:type="spellEnd"/>
      <w:r w:rsidRPr="00B419CE">
        <w:t xml:space="preserve"> er mangelfull i mange tilfelle. På </w:t>
      </w:r>
      <w:proofErr w:type="spellStart"/>
      <w:r w:rsidRPr="00B419CE">
        <w:t>fleire</w:t>
      </w:r>
      <w:proofErr w:type="spellEnd"/>
      <w:r w:rsidRPr="00B419CE">
        <w:t xml:space="preserve"> tilsynsområde har Finanstilsynet </w:t>
      </w:r>
      <w:proofErr w:type="spellStart"/>
      <w:r w:rsidRPr="00B419CE">
        <w:t>peikt</w:t>
      </w:r>
      <w:proofErr w:type="spellEnd"/>
      <w:r w:rsidRPr="00B419CE">
        <w:t xml:space="preserve"> på </w:t>
      </w:r>
      <w:proofErr w:type="spellStart"/>
      <w:r w:rsidRPr="00B419CE">
        <w:t>manglande</w:t>
      </w:r>
      <w:proofErr w:type="spellEnd"/>
      <w:r w:rsidRPr="00B419CE">
        <w:t xml:space="preserve"> risikoforståing, for liten kapasitet til å </w:t>
      </w:r>
      <w:proofErr w:type="spellStart"/>
      <w:r w:rsidRPr="00B419CE">
        <w:t>følgje</w:t>
      </w:r>
      <w:proofErr w:type="spellEnd"/>
      <w:r w:rsidRPr="00B419CE">
        <w:t xml:space="preserve"> opp </w:t>
      </w:r>
      <w:proofErr w:type="spellStart"/>
      <w:r w:rsidRPr="00B419CE">
        <w:t>risikoar</w:t>
      </w:r>
      <w:proofErr w:type="spellEnd"/>
      <w:r w:rsidRPr="00B419CE">
        <w:t xml:space="preserve"> og for </w:t>
      </w:r>
      <w:proofErr w:type="spellStart"/>
      <w:r w:rsidRPr="00B419CE">
        <w:t>dårlege</w:t>
      </w:r>
      <w:proofErr w:type="spellEnd"/>
      <w:r w:rsidRPr="00B419CE">
        <w:t xml:space="preserve"> </w:t>
      </w:r>
      <w:proofErr w:type="spellStart"/>
      <w:r w:rsidRPr="00B419CE">
        <w:t>rutinar</w:t>
      </w:r>
      <w:proofErr w:type="spellEnd"/>
      <w:r w:rsidRPr="00B419CE">
        <w:t xml:space="preserve"> for å hindre kvitvasking. Finanstilsynet har </w:t>
      </w:r>
      <w:proofErr w:type="spellStart"/>
      <w:r w:rsidRPr="00B419CE">
        <w:t>bidrege</w:t>
      </w:r>
      <w:proofErr w:type="spellEnd"/>
      <w:r w:rsidRPr="00B419CE">
        <w:t xml:space="preserve"> til den nye regjeringsstrategien mot kvitvasking og terrorfinansiering.</w:t>
      </w:r>
    </w:p>
    <w:p w14:paraId="6C697C04" w14:textId="77777777" w:rsidR="00B419CE" w:rsidRPr="00B419CE" w:rsidRDefault="00B419CE" w:rsidP="00B419CE">
      <w:pPr>
        <w:pStyle w:val="avsnitt-tittel"/>
      </w:pPr>
      <w:r w:rsidRPr="00B419CE">
        <w:lastRenderedPageBreak/>
        <w:t>Samla resultatvurdering</w:t>
      </w:r>
    </w:p>
    <w:p w14:paraId="25C7837D" w14:textId="77777777" w:rsidR="00B419CE" w:rsidRPr="00B419CE" w:rsidRDefault="00B419CE" w:rsidP="00B419CE">
      <w:r w:rsidRPr="00B419CE">
        <w:t xml:space="preserve">Koronapandemien har prega Finanstilsynets </w:t>
      </w:r>
      <w:proofErr w:type="spellStart"/>
      <w:r w:rsidRPr="00B419CE">
        <w:t>oppgåver</w:t>
      </w:r>
      <w:proofErr w:type="spellEnd"/>
      <w:r w:rsidRPr="00B419CE">
        <w:t xml:space="preserve"> og aktivitetsnivå i 2020. Pandemien gav behov for omprioritering av </w:t>
      </w:r>
      <w:proofErr w:type="spellStart"/>
      <w:r w:rsidRPr="00B419CE">
        <w:t>ressursar</w:t>
      </w:r>
      <w:proofErr w:type="spellEnd"/>
      <w:r w:rsidRPr="00B419CE">
        <w:t xml:space="preserve"> og medførte </w:t>
      </w:r>
      <w:proofErr w:type="spellStart"/>
      <w:r w:rsidRPr="00B419CE">
        <w:t>lågare</w:t>
      </w:r>
      <w:proofErr w:type="spellEnd"/>
      <w:r w:rsidRPr="00B419CE">
        <w:t xml:space="preserve"> aktivitetsnivå på </w:t>
      </w:r>
      <w:proofErr w:type="spellStart"/>
      <w:r w:rsidRPr="00B419CE">
        <w:t>einskilde</w:t>
      </w:r>
      <w:proofErr w:type="spellEnd"/>
      <w:r w:rsidRPr="00B419CE">
        <w:t xml:space="preserve"> område. Sett i lys av pandemien og den reduserte tilsynsaktiviteten har Finanstilsynet likevel </w:t>
      </w:r>
      <w:proofErr w:type="spellStart"/>
      <w:r w:rsidRPr="00B419CE">
        <w:t>oppretthaldt</w:t>
      </w:r>
      <w:proofErr w:type="spellEnd"/>
      <w:r w:rsidRPr="00B419CE">
        <w:t xml:space="preserve"> </w:t>
      </w:r>
      <w:proofErr w:type="spellStart"/>
      <w:r w:rsidRPr="00B419CE">
        <w:t>eit</w:t>
      </w:r>
      <w:proofErr w:type="spellEnd"/>
      <w:r w:rsidRPr="00B419CE">
        <w:t xml:space="preserve"> godt aktivitetsnivå, og departementet meiner resultata for 2020 er </w:t>
      </w:r>
      <w:proofErr w:type="spellStart"/>
      <w:r w:rsidRPr="00B419CE">
        <w:t>tilfredsstillande</w:t>
      </w:r>
      <w:proofErr w:type="spellEnd"/>
      <w:r w:rsidRPr="00B419CE">
        <w:t xml:space="preserve">. Departementet meiner tilsynets krisehandtering har </w:t>
      </w:r>
      <w:proofErr w:type="spellStart"/>
      <w:r w:rsidRPr="00B419CE">
        <w:t>vore</w:t>
      </w:r>
      <w:proofErr w:type="spellEnd"/>
      <w:r w:rsidRPr="00B419CE">
        <w:t xml:space="preserve"> god. Det same gjeld tilsynet sin innsats for å </w:t>
      </w:r>
      <w:proofErr w:type="spellStart"/>
      <w:r w:rsidRPr="00B419CE">
        <w:t>følgje</w:t>
      </w:r>
      <w:proofErr w:type="spellEnd"/>
      <w:r w:rsidRPr="00B419CE">
        <w:t xml:space="preserve"> opp </w:t>
      </w:r>
      <w:proofErr w:type="spellStart"/>
      <w:r w:rsidRPr="00B419CE">
        <w:t>driftsutfordringar</w:t>
      </w:r>
      <w:proofErr w:type="spellEnd"/>
      <w:r w:rsidRPr="00B419CE">
        <w:t xml:space="preserve"> i den finansielle infrastrukturen og soliditetsforhold i </w:t>
      </w:r>
      <w:proofErr w:type="spellStart"/>
      <w:r w:rsidRPr="00B419CE">
        <w:t>bankar</w:t>
      </w:r>
      <w:proofErr w:type="spellEnd"/>
      <w:r w:rsidRPr="00B419CE">
        <w:t xml:space="preserve"> og </w:t>
      </w:r>
      <w:proofErr w:type="spellStart"/>
      <w:r w:rsidRPr="00B419CE">
        <w:t>forsikringsføretak</w:t>
      </w:r>
      <w:proofErr w:type="spellEnd"/>
      <w:r w:rsidRPr="00B419CE">
        <w:t xml:space="preserve">. Under pandemien har tilsynet </w:t>
      </w:r>
      <w:proofErr w:type="spellStart"/>
      <w:r w:rsidRPr="00B419CE">
        <w:t>oppretthalde</w:t>
      </w:r>
      <w:proofErr w:type="spellEnd"/>
      <w:r w:rsidRPr="00B419CE">
        <w:t xml:space="preserve"> arbeidet med digitalisering. </w:t>
      </w:r>
      <w:proofErr w:type="spellStart"/>
      <w:r w:rsidRPr="00B419CE">
        <w:t>Auka</w:t>
      </w:r>
      <w:proofErr w:type="spellEnd"/>
      <w:r w:rsidRPr="00B419CE">
        <w:t xml:space="preserve"> digitalisering av tilsynets </w:t>
      </w:r>
      <w:proofErr w:type="spellStart"/>
      <w:r w:rsidRPr="00B419CE">
        <w:t>prosessar</w:t>
      </w:r>
      <w:proofErr w:type="spellEnd"/>
      <w:r w:rsidRPr="00B419CE">
        <w:t xml:space="preserve"> har </w:t>
      </w:r>
      <w:proofErr w:type="spellStart"/>
      <w:r w:rsidRPr="00B419CE">
        <w:t>bidrege</w:t>
      </w:r>
      <w:proofErr w:type="spellEnd"/>
      <w:r w:rsidRPr="00B419CE">
        <w:t xml:space="preserve"> til å effektivisere </w:t>
      </w:r>
      <w:proofErr w:type="spellStart"/>
      <w:r w:rsidRPr="00B419CE">
        <w:t>arbeidsprosessar</w:t>
      </w:r>
      <w:proofErr w:type="spellEnd"/>
      <w:r w:rsidRPr="00B419CE">
        <w:t xml:space="preserve"> i ei tid då Finanstilsynet må vente stramme budsjett. Departementet meiner det er viktig at Finanstilsynet </w:t>
      </w:r>
      <w:proofErr w:type="spellStart"/>
      <w:r w:rsidRPr="00B419CE">
        <w:t>framleis</w:t>
      </w:r>
      <w:proofErr w:type="spellEnd"/>
      <w:r w:rsidRPr="00B419CE">
        <w:t xml:space="preserve"> har </w:t>
      </w:r>
      <w:proofErr w:type="spellStart"/>
      <w:r w:rsidRPr="00B419CE">
        <w:t>merksemd</w:t>
      </w:r>
      <w:proofErr w:type="spellEnd"/>
      <w:r w:rsidRPr="00B419CE">
        <w:t xml:space="preserve"> på oppfølging av tilsynet sin digitaliseringsstrategi, og at gevinstrealisering vert lagt vekt på når nye </w:t>
      </w:r>
      <w:proofErr w:type="spellStart"/>
      <w:r w:rsidRPr="00B419CE">
        <w:t>prosessar</w:t>
      </w:r>
      <w:proofErr w:type="spellEnd"/>
      <w:r w:rsidRPr="00B419CE">
        <w:t xml:space="preserve"> etter kvart vert automatiserte og digitaliserte gjennom tilsynets digitaliseringssatsing. Sjå og </w:t>
      </w:r>
      <w:proofErr w:type="spellStart"/>
      <w:r w:rsidRPr="00B419CE">
        <w:t>nærare</w:t>
      </w:r>
      <w:proofErr w:type="spellEnd"/>
      <w:r w:rsidRPr="00B419CE">
        <w:t xml:space="preserve"> omtale under </w:t>
      </w:r>
      <w:r w:rsidRPr="00B419CE">
        <w:rPr>
          <w:rStyle w:val="kursiv"/>
        </w:rPr>
        <w:t xml:space="preserve">Mål og </w:t>
      </w:r>
      <w:proofErr w:type="spellStart"/>
      <w:r w:rsidRPr="00B419CE">
        <w:rPr>
          <w:rStyle w:val="kursiv"/>
        </w:rPr>
        <w:t>prioriteringar</w:t>
      </w:r>
      <w:proofErr w:type="spellEnd"/>
      <w:r w:rsidRPr="00B419CE">
        <w:rPr>
          <w:rStyle w:val="kursiv"/>
        </w:rPr>
        <w:t xml:space="preserve"> i 2022</w:t>
      </w:r>
      <w:r w:rsidRPr="00B419CE">
        <w:t>.</w:t>
      </w:r>
    </w:p>
    <w:p w14:paraId="720C2ABF" w14:textId="77777777" w:rsidR="00B419CE" w:rsidRPr="00B419CE" w:rsidRDefault="00B419CE" w:rsidP="00B419CE">
      <w:pPr>
        <w:pStyle w:val="Undertittel"/>
      </w:pPr>
      <w:r w:rsidRPr="00B419CE">
        <w:t xml:space="preserve">Viktige </w:t>
      </w:r>
      <w:proofErr w:type="spellStart"/>
      <w:r w:rsidRPr="00B419CE">
        <w:t>utfordringar</w:t>
      </w:r>
      <w:proofErr w:type="spellEnd"/>
    </w:p>
    <w:p w14:paraId="57D0E782" w14:textId="77777777" w:rsidR="00B419CE" w:rsidRPr="00B419CE" w:rsidRDefault="00B419CE" w:rsidP="00B419CE">
      <w:r w:rsidRPr="00B419CE">
        <w:t xml:space="preserve">Regelverksutvikling er </w:t>
      </w:r>
      <w:proofErr w:type="spellStart"/>
      <w:r w:rsidRPr="00B419CE">
        <w:t>eit</w:t>
      </w:r>
      <w:proofErr w:type="spellEnd"/>
      <w:r w:rsidRPr="00B419CE">
        <w:t xml:space="preserve"> sentralt </w:t>
      </w:r>
      <w:proofErr w:type="spellStart"/>
      <w:r w:rsidRPr="00B419CE">
        <w:t>verkemiddel</w:t>
      </w:r>
      <w:proofErr w:type="spellEnd"/>
      <w:r w:rsidRPr="00B419CE">
        <w:t xml:space="preserve"> for Finanstilsynet i innsatsen for å oppfylle samfunnsoppdraget. Det meste av arbeidet med regelverksutvikling vil </w:t>
      </w:r>
      <w:proofErr w:type="spellStart"/>
      <w:r w:rsidRPr="00B419CE">
        <w:t>framleis</w:t>
      </w:r>
      <w:proofErr w:type="spellEnd"/>
      <w:r w:rsidRPr="00B419CE">
        <w:t xml:space="preserve"> </w:t>
      </w:r>
      <w:proofErr w:type="spellStart"/>
      <w:r w:rsidRPr="00B419CE">
        <w:t>vere</w:t>
      </w:r>
      <w:proofErr w:type="spellEnd"/>
      <w:r w:rsidRPr="00B419CE">
        <w:t xml:space="preserve"> gjeve som oppdrag </w:t>
      </w:r>
      <w:proofErr w:type="spellStart"/>
      <w:r w:rsidRPr="00B419CE">
        <w:t>frå</w:t>
      </w:r>
      <w:proofErr w:type="spellEnd"/>
      <w:r w:rsidRPr="00B419CE">
        <w:t xml:space="preserve"> Finansdepartementet, mellom anna i samband med gjennomføring av EØS-</w:t>
      </w:r>
      <w:proofErr w:type="spellStart"/>
      <w:r w:rsidRPr="00B419CE">
        <w:t>reglar</w:t>
      </w:r>
      <w:proofErr w:type="spellEnd"/>
      <w:r w:rsidRPr="00B419CE">
        <w:t xml:space="preserve">. Deltaking i arbeid organisert av </w:t>
      </w:r>
      <w:proofErr w:type="spellStart"/>
      <w:r w:rsidRPr="00B419CE">
        <w:t>dei</w:t>
      </w:r>
      <w:proofErr w:type="spellEnd"/>
      <w:r w:rsidRPr="00B419CE">
        <w:t xml:space="preserve"> europeiske </w:t>
      </w:r>
      <w:proofErr w:type="spellStart"/>
      <w:r w:rsidRPr="00B419CE">
        <w:t>tilsynsmyndigheitene</w:t>
      </w:r>
      <w:proofErr w:type="spellEnd"/>
      <w:r w:rsidRPr="00B419CE">
        <w:t xml:space="preserve"> EBA, ESMA og EIOPA, </w:t>
      </w:r>
      <w:proofErr w:type="spellStart"/>
      <w:r w:rsidRPr="00B419CE">
        <w:t>utgjer</w:t>
      </w:r>
      <w:proofErr w:type="spellEnd"/>
      <w:r w:rsidRPr="00B419CE">
        <w:t xml:space="preserve"> òg </w:t>
      </w:r>
      <w:proofErr w:type="spellStart"/>
      <w:r w:rsidRPr="00B419CE">
        <w:t>ein</w:t>
      </w:r>
      <w:proofErr w:type="spellEnd"/>
      <w:r w:rsidRPr="00B419CE">
        <w:t xml:space="preserve"> del av regelverksutviklinga i Finanstilsynet. </w:t>
      </w:r>
      <w:proofErr w:type="spellStart"/>
      <w:r w:rsidRPr="00B419CE">
        <w:t>Sjølv</w:t>
      </w:r>
      <w:proofErr w:type="spellEnd"/>
      <w:r w:rsidRPr="00B419CE">
        <w:t xml:space="preserve"> om det er gjennomført </w:t>
      </w:r>
      <w:proofErr w:type="spellStart"/>
      <w:r w:rsidRPr="00B419CE">
        <w:t>omfattande</w:t>
      </w:r>
      <w:proofErr w:type="spellEnd"/>
      <w:r w:rsidRPr="00B419CE">
        <w:t xml:space="preserve"> </w:t>
      </w:r>
      <w:proofErr w:type="spellStart"/>
      <w:r w:rsidRPr="00B419CE">
        <w:t>reguleringsreformar</w:t>
      </w:r>
      <w:proofErr w:type="spellEnd"/>
      <w:r w:rsidRPr="00B419CE">
        <w:t xml:space="preserve"> i åra etter den internasjonale finanskrisa, må Finanstilsynet </w:t>
      </w:r>
      <w:proofErr w:type="spellStart"/>
      <w:r w:rsidRPr="00B419CE">
        <w:t>gjere</w:t>
      </w:r>
      <w:proofErr w:type="spellEnd"/>
      <w:r w:rsidRPr="00B419CE">
        <w:t xml:space="preserve"> rekning med </w:t>
      </w:r>
      <w:proofErr w:type="spellStart"/>
      <w:r w:rsidRPr="00B419CE">
        <w:t>betydeleg</w:t>
      </w:r>
      <w:proofErr w:type="spellEnd"/>
      <w:r w:rsidRPr="00B419CE">
        <w:t xml:space="preserve"> arbeid med gjennomføring av EØS-</w:t>
      </w:r>
      <w:proofErr w:type="spellStart"/>
      <w:r w:rsidRPr="00B419CE">
        <w:t>reglar</w:t>
      </w:r>
      <w:proofErr w:type="spellEnd"/>
      <w:r w:rsidRPr="00B419CE">
        <w:t xml:space="preserve"> og anna regelverksutvikling framover. Dette har mellom anna </w:t>
      </w:r>
      <w:proofErr w:type="spellStart"/>
      <w:r w:rsidRPr="00B419CE">
        <w:t>samanheng</w:t>
      </w:r>
      <w:proofErr w:type="spellEnd"/>
      <w:r w:rsidRPr="00B419CE">
        <w:t xml:space="preserve"> med behovet for å tilpasse </w:t>
      </w:r>
      <w:proofErr w:type="spellStart"/>
      <w:r w:rsidRPr="00B419CE">
        <w:t>reglane</w:t>
      </w:r>
      <w:proofErr w:type="spellEnd"/>
      <w:r w:rsidRPr="00B419CE">
        <w:t xml:space="preserve"> til den teknologiske og </w:t>
      </w:r>
      <w:proofErr w:type="spellStart"/>
      <w:r w:rsidRPr="00B419CE">
        <w:t>marknadsmessige</w:t>
      </w:r>
      <w:proofErr w:type="spellEnd"/>
      <w:r w:rsidRPr="00B419CE">
        <w:t xml:space="preserve"> utviklinga i Europa og </w:t>
      </w:r>
      <w:proofErr w:type="spellStart"/>
      <w:r w:rsidRPr="00B419CE">
        <w:t>Noreg</w:t>
      </w:r>
      <w:proofErr w:type="spellEnd"/>
      <w:r w:rsidRPr="00B419CE">
        <w:t xml:space="preserve">, og til </w:t>
      </w:r>
      <w:proofErr w:type="spellStart"/>
      <w:r w:rsidRPr="00B419CE">
        <w:t>forandringar</w:t>
      </w:r>
      <w:proofErr w:type="spellEnd"/>
      <w:r w:rsidRPr="00B419CE">
        <w:t xml:space="preserve"> i mål og </w:t>
      </w:r>
      <w:proofErr w:type="spellStart"/>
      <w:r w:rsidRPr="00B419CE">
        <w:t>forventningar</w:t>
      </w:r>
      <w:proofErr w:type="spellEnd"/>
      <w:r w:rsidRPr="00B419CE">
        <w:t xml:space="preserve"> hos </w:t>
      </w:r>
      <w:proofErr w:type="spellStart"/>
      <w:r w:rsidRPr="00B419CE">
        <w:t>ålmenta</w:t>
      </w:r>
      <w:proofErr w:type="spellEnd"/>
      <w:r w:rsidRPr="00B419CE">
        <w:t xml:space="preserve"> om kva for problem </w:t>
      </w:r>
      <w:proofErr w:type="spellStart"/>
      <w:r w:rsidRPr="00B419CE">
        <w:t>finansmarknadsreguleringa</w:t>
      </w:r>
      <w:proofErr w:type="spellEnd"/>
      <w:r w:rsidRPr="00B419CE">
        <w:t xml:space="preserve"> skal løyse.</w:t>
      </w:r>
    </w:p>
    <w:p w14:paraId="044E4577" w14:textId="77777777" w:rsidR="00B419CE" w:rsidRPr="00B419CE" w:rsidRDefault="00B419CE" w:rsidP="00B419CE">
      <w:r w:rsidRPr="00B419CE">
        <w:t xml:space="preserve">Samstundes som Finanstilsynet må handtere </w:t>
      </w:r>
      <w:proofErr w:type="spellStart"/>
      <w:r w:rsidRPr="00B419CE">
        <w:t>oppgåvene</w:t>
      </w:r>
      <w:proofErr w:type="spellEnd"/>
      <w:r w:rsidRPr="00B419CE">
        <w:t xml:space="preserve"> med regelverksutvikling, er det </w:t>
      </w:r>
      <w:proofErr w:type="spellStart"/>
      <w:r w:rsidRPr="00B419CE">
        <w:t>naudsynt</w:t>
      </w:r>
      <w:proofErr w:type="spellEnd"/>
      <w:r w:rsidRPr="00B419CE">
        <w:t xml:space="preserve"> å </w:t>
      </w:r>
      <w:proofErr w:type="spellStart"/>
      <w:r w:rsidRPr="00B419CE">
        <w:t>oppretthalde</w:t>
      </w:r>
      <w:proofErr w:type="spellEnd"/>
      <w:r w:rsidRPr="00B419CE">
        <w:t xml:space="preserve"> </w:t>
      </w:r>
      <w:proofErr w:type="spellStart"/>
      <w:r w:rsidRPr="00B419CE">
        <w:t>tilstrekkeleg</w:t>
      </w:r>
      <w:proofErr w:type="spellEnd"/>
      <w:r w:rsidRPr="00B419CE">
        <w:t xml:space="preserve"> tilsynsaktivitet med </w:t>
      </w:r>
      <w:proofErr w:type="spellStart"/>
      <w:r w:rsidRPr="00B419CE">
        <w:t>høg</w:t>
      </w:r>
      <w:proofErr w:type="spellEnd"/>
      <w:r w:rsidRPr="00B419CE">
        <w:t xml:space="preserve"> kvalitet, </w:t>
      </w:r>
      <w:proofErr w:type="spellStart"/>
      <w:r w:rsidRPr="00B419CE">
        <w:t>innanfor</w:t>
      </w:r>
      <w:proofErr w:type="spellEnd"/>
      <w:r w:rsidRPr="00B419CE">
        <w:t xml:space="preserve"> rammer i ei stendig utvikling. I tillegg til at EØS-reglene gir </w:t>
      </w:r>
      <w:proofErr w:type="spellStart"/>
      <w:r w:rsidRPr="00B419CE">
        <w:t>meir</w:t>
      </w:r>
      <w:proofErr w:type="spellEnd"/>
      <w:r w:rsidRPr="00B419CE">
        <w:t xml:space="preserve"> detaljerte krav til både </w:t>
      </w:r>
      <w:proofErr w:type="spellStart"/>
      <w:r w:rsidRPr="00B419CE">
        <w:t>tilsynsmyndigheitene</w:t>
      </w:r>
      <w:proofErr w:type="spellEnd"/>
      <w:r w:rsidRPr="00B419CE">
        <w:t xml:space="preserve"> og </w:t>
      </w:r>
      <w:proofErr w:type="spellStart"/>
      <w:r w:rsidRPr="00B419CE">
        <w:t>føretaka</w:t>
      </w:r>
      <w:proofErr w:type="spellEnd"/>
      <w:r w:rsidRPr="00B419CE">
        <w:t xml:space="preserve"> under tilsyn, arbeider </w:t>
      </w:r>
      <w:proofErr w:type="spellStart"/>
      <w:r w:rsidRPr="00B419CE">
        <w:t>dei</w:t>
      </w:r>
      <w:proofErr w:type="spellEnd"/>
      <w:r w:rsidRPr="00B419CE">
        <w:t xml:space="preserve"> europeiske </w:t>
      </w:r>
      <w:proofErr w:type="spellStart"/>
      <w:r w:rsidRPr="00B419CE">
        <w:t>tilsynsmyndigheitene</w:t>
      </w:r>
      <w:proofErr w:type="spellEnd"/>
      <w:r w:rsidRPr="00B419CE">
        <w:t xml:space="preserve"> for </w:t>
      </w:r>
      <w:proofErr w:type="spellStart"/>
      <w:r w:rsidRPr="00B419CE">
        <w:t>meir</w:t>
      </w:r>
      <w:proofErr w:type="spellEnd"/>
      <w:r w:rsidRPr="00B419CE">
        <w:t xml:space="preserve"> harmonisert tilsyn, mellom anna ved å </w:t>
      </w:r>
      <w:proofErr w:type="spellStart"/>
      <w:r w:rsidRPr="00B419CE">
        <w:t>utferde</w:t>
      </w:r>
      <w:proofErr w:type="spellEnd"/>
      <w:r w:rsidRPr="00B419CE">
        <w:t xml:space="preserve"> </w:t>
      </w:r>
      <w:proofErr w:type="spellStart"/>
      <w:r w:rsidRPr="00B419CE">
        <w:t>retningsliner</w:t>
      </w:r>
      <w:proofErr w:type="spellEnd"/>
      <w:r w:rsidRPr="00B419CE">
        <w:t xml:space="preserve"> som supplerer EØS-</w:t>
      </w:r>
      <w:proofErr w:type="spellStart"/>
      <w:r w:rsidRPr="00B419CE">
        <w:t>reglane</w:t>
      </w:r>
      <w:proofErr w:type="spellEnd"/>
      <w:r w:rsidRPr="00B419CE">
        <w:t xml:space="preserve">. Dette stiller nye krav til korleis Finanstilsynet </w:t>
      </w:r>
      <w:proofErr w:type="spellStart"/>
      <w:r w:rsidRPr="00B419CE">
        <w:t>innrettar</w:t>
      </w:r>
      <w:proofErr w:type="spellEnd"/>
      <w:r w:rsidRPr="00B419CE">
        <w:t xml:space="preserve"> </w:t>
      </w:r>
      <w:proofErr w:type="spellStart"/>
      <w:r w:rsidRPr="00B419CE">
        <w:t>tilsynsaktivitetane</w:t>
      </w:r>
      <w:proofErr w:type="spellEnd"/>
      <w:r w:rsidRPr="00B419CE">
        <w:t xml:space="preserve">, inkludert tiltaka og rettleiinga andsynes norske </w:t>
      </w:r>
      <w:proofErr w:type="spellStart"/>
      <w:r w:rsidRPr="00B419CE">
        <w:t>føretak</w:t>
      </w:r>
      <w:proofErr w:type="spellEnd"/>
      <w:r w:rsidRPr="00B419CE">
        <w:t xml:space="preserve">. Dei europeiske </w:t>
      </w:r>
      <w:proofErr w:type="spellStart"/>
      <w:r w:rsidRPr="00B419CE">
        <w:t>tilsynsmyndigheitene</w:t>
      </w:r>
      <w:proofErr w:type="spellEnd"/>
      <w:r w:rsidRPr="00B419CE">
        <w:t xml:space="preserve"> arbeider òg for </w:t>
      </w:r>
      <w:proofErr w:type="spellStart"/>
      <w:r w:rsidRPr="00B419CE">
        <w:t>meir</w:t>
      </w:r>
      <w:proofErr w:type="spellEnd"/>
      <w:r w:rsidRPr="00B419CE">
        <w:t xml:space="preserve"> felles tilsyn, der tilsynet med </w:t>
      </w:r>
      <w:proofErr w:type="spellStart"/>
      <w:r w:rsidRPr="00B419CE">
        <w:t>føretak</w:t>
      </w:r>
      <w:proofErr w:type="spellEnd"/>
      <w:r w:rsidRPr="00B419CE">
        <w:t xml:space="preserve"> og </w:t>
      </w:r>
      <w:proofErr w:type="spellStart"/>
      <w:r w:rsidRPr="00B419CE">
        <w:t>marknader</w:t>
      </w:r>
      <w:proofErr w:type="spellEnd"/>
      <w:r w:rsidRPr="00B419CE">
        <w:t xml:space="preserve"> skal </w:t>
      </w:r>
      <w:proofErr w:type="spellStart"/>
      <w:r w:rsidRPr="00B419CE">
        <w:t>gjennomførast</w:t>
      </w:r>
      <w:proofErr w:type="spellEnd"/>
      <w:r w:rsidRPr="00B419CE">
        <w:t xml:space="preserve"> etter same metodikk og på same tid. Dette kan </w:t>
      </w:r>
      <w:proofErr w:type="spellStart"/>
      <w:r w:rsidRPr="00B419CE">
        <w:t>vere</w:t>
      </w:r>
      <w:proofErr w:type="spellEnd"/>
      <w:r w:rsidRPr="00B419CE">
        <w:t xml:space="preserve"> </w:t>
      </w:r>
      <w:proofErr w:type="spellStart"/>
      <w:r w:rsidRPr="00B419CE">
        <w:t>krevjande</w:t>
      </w:r>
      <w:proofErr w:type="spellEnd"/>
      <w:r w:rsidRPr="00B419CE">
        <w:t xml:space="preserve"> for Finanstilsynet og andre nasjonale </w:t>
      </w:r>
      <w:proofErr w:type="spellStart"/>
      <w:r w:rsidRPr="00B419CE">
        <w:t>tilsynsmyndigheiter</w:t>
      </w:r>
      <w:proofErr w:type="spellEnd"/>
      <w:r w:rsidRPr="00B419CE">
        <w:t xml:space="preserve">, </w:t>
      </w:r>
      <w:proofErr w:type="spellStart"/>
      <w:r w:rsidRPr="00B419CE">
        <w:t>sidan</w:t>
      </w:r>
      <w:proofErr w:type="spellEnd"/>
      <w:r w:rsidRPr="00B419CE">
        <w:t xml:space="preserve"> omfanget og prioriteringa av arbeidet vert bestemt i fellesskap på europeisk nivå, </w:t>
      </w:r>
      <w:proofErr w:type="spellStart"/>
      <w:r w:rsidRPr="00B419CE">
        <w:t>utan</w:t>
      </w:r>
      <w:proofErr w:type="spellEnd"/>
      <w:r w:rsidRPr="00B419CE">
        <w:t xml:space="preserve"> at </w:t>
      </w:r>
      <w:proofErr w:type="spellStart"/>
      <w:r w:rsidRPr="00B419CE">
        <w:t>ein</w:t>
      </w:r>
      <w:proofErr w:type="spellEnd"/>
      <w:r w:rsidRPr="00B419CE">
        <w:t xml:space="preserve"> fullt ut kan ta omsyn til nasjonale behov og ressurstilhøva hos </w:t>
      </w:r>
      <w:proofErr w:type="spellStart"/>
      <w:r w:rsidRPr="00B419CE">
        <w:t>dei</w:t>
      </w:r>
      <w:proofErr w:type="spellEnd"/>
      <w:r w:rsidRPr="00B419CE">
        <w:t xml:space="preserve"> ulike </w:t>
      </w:r>
      <w:proofErr w:type="spellStart"/>
      <w:r w:rsidRPr="00B419CE">
        <w:t>tilsynsmyndigheitene</w:t>
      </w:r>
      <w:proofErr w:type="spellEnd"/>
      <w:r w:rsidRPr="00B419CE">
        <w:t xml:space="preserve"> som </w:t>
      </w:r>
      <w:proofErr w:type="spellStart"/>
      <w:r w:rsidRPr="00B419CE">
        <w:t>tek</w:t>
      </w:r>
      <w:proofErr w:type="spellEnd"/>
      <w:r w:rsidRPr="00B419CE">
        <w:t xml:space="preserve"> del i samarbeidet. Tilsynsaktiviteten i Finanstilsynet må elles følgje beste praksis internasjonalt og </w:t>
      </w:r>
      <w:proofErr w:type="spellStart"/>
      <w:r w:rsidRPr="00B419CE">
        <w:t>vere</w:t>
      </w:r>
      <w:proofErr w:type="spellEnd"/>
      <w:r w:rsidRPr="00B419CE">
        <w:t xml:space="preserve"> tilpassa trekk og behov i norske </w:t>
      </w:r>
      <w:proofErr w:type="spellStart"/>
      <w:r w:rsidRPr="00B419CE">
        <w:t>marknader</w:t>
      </w:r>
      <w:proofErr w:type="spellEnd"/>
      <w:r w:rsidRPr="00B419CE">
        <w:t>.</w:t>
      </w:r>
    </w:p>
    <w:p w14:paraId="49CB9489" w14:textId="77777777" w:rsidR="00B419CE" w:rsidRPr="00B419CE" w:rsidRDefault="00B419CE" w:rsidP="00B419CE">
      <w:r w:rsidRPr="00B419CE">
        <w:lastRenderedPageBreak/>
        <w:t xml:space="preserve">Samarbeidet i </w:t>
      </w:r>
      <w:proofErr w:type="spellStart"/>
      <w:r w:rsidRPr="00B419CE">
        <w:t>dei</w:t>
      </w:r>
      <w:proofErr w:type="spellEnd"/>
      <w:r w:rsidRPr="00B419CE">
        <w:t xml:space="preserve"> europeiske </w:t>
      </w:r>
      <w:proofErr w:type="spellStart"/>
      <w:r w:rsidRPr="00B419CE">
        <w:t>tilsynsmyndigheitene</w:t>
      </w:r>
      <w:proofErr w:type="spellEnd"/>
      <w:r w:rsidRPr="00B419CE">
        <w:t xml:space="preserve"> </w:t>
      </w:r>
      <w:proofErr w:type="spellStart"/>
      <w:r w:rsidRPr="00B419CE">
        <w:t>inneber</w:t>
      </w:r>
      <w:proofErr w:type="spellEnd"/>
      <w:r w:rsidRPr="00B419CE">
        <w:t xml:space="preserve"> mellom anna nye rapporteringskrav som Finanstilsynet må </w:t>
      </w:r>
      <w:proofErr w:type="spellStart"/>
      <w:r w:rsidRPr="00B419CE">
        <w:t>følgje</w:t>
      </w:r>
      <w:proofErr w:type="spellEnd"/>
      <w:r w:rsidRPr="00B419CE">
        <w:t xml:space="preserve"> opp overfor norske </w:t>
      </w:r>
      <w:proofErr w:type="spellStart"/>
      <w:r w:rsidRPr="00B419CE">
        <w:t>føretak</w:t>
      </w:r>
      <w:proofErr w:type="spellEnd"/>
      <w:r w:rsidRPr="00B419CE">
        <w:t xml:space="preserve">. Krava </w:t>
      </w:r>
      <w:proofErr w:type="spellStart"/>
      <w:r w:rsidRPr="00B419CE">
        <w:t>gjer</w:t>
      </w:r>
      <w:proofErr w:type="spellEnd"/>
      <w:r w:rsidRPr="00B419CE">
        <w:t xml:space="preserve"> det </w:t>
      </w:r>
      <w:proofErr w:type="spellStart"/>
      <w:r w:rsidRPr="00B419CE">
        <w:t>naudsynt</w:t>
      </w:r>
      <w:proofErr w:type="spellEnd"/>
      <w:r w:rsidRPr="00B419CE">
        <w:t xml:space="preserve"> med systemutvikling, slik at tilsynet kan hente inn </w:t>
      </w:r>
      <w:proofErr w:type="spellStart"/>
      <w:r w:rsidRPr="00B419CE">
        <w:t>omfattande</w:t>
      </w:r>
      <w:proofErr w:type="spellEnd"/>
      <w:r w:rsidRPr="00B419CE">
        <w:t xml:space="preserve"> data </w:t>
      </w:r>
      <w:proofErr w:type="spellStart"/>
      <w:r w:rsidRPr="00B419CE">
        <w:t>frå</w:t>
      </w:r>
      <w:proofErr w:type="spellEnd"/>
      <w:r w:rsidRPr="00B419CE">
        <w:t xml:space="preserve"> norske </w:t>
      </w:r>
      <w:proofErr w:type="spellStart"/>
      <w:r w:rsidRPr="00B419CE">
        <w:t>finansføretak</w:t>
      </w:r>
      <w:proofErr w:type="spellEnd"/>
      <w:r w:rsidRPr="00B419CE">
        <w:t xml:space="preserve"> som skal inngå i den overordna </w:t>
      </w:r>
      <w:proofErr w:type="spellStart"/>
      <w:r w:rsidRPr="00B419CE">
        <w:t>overvakinga</w:t>
      </w:r>
      <w:proofErr w:type="spellEnd"/>
      <w:r w:rsidRPr="00B419CE">
        <w:t xml:space="preserve"> av finanssektoren i Europa.</w:t>
      </w:r>
    </w:p>
    <w:p w14:paraId="220E2F5A" w14:textId="77777777" w:rsidR="00B419CE" w:rsidRPr="00B419CE" w:rsidRDefault="00B419CE" w:rsidP="00B419CE">
      <w:r w:rsidRPr="00B419CE">
        <w:t xml:space="preserve">Finanstilsynets arbeid med </w:t>
      </w:r>
      <w:proofErr w:type="spellStart"/>
      <w:r w:rsidRPr="00B419CE">
        <w:t>omfattande</w:t>
      </w:r>
      <w:proofErr w:type="spellEnd"/>
      <w:r w:rsidRPr="00B419CE">
        <w:t xml:space="preserve"> regelverksutvikling og </w:t>
      </w:r>
      <w:proofErr w:type="spellStart"/>
      <w:r w:rsidRPr="00B419CE">
        <w:t>fleire</w:t>
      </w:r>
      <w:proofErr w:type="spellEnd"/>
      <w:r w:rsidRPr="00B419CE">
        <w:t xml:space="preserve"> </w:t>
      </w:r>
      <w:proofErr w:type="spellStart"/>
      <w:r w:rsidRPr="00B419CE">
        <w:t>oppgåver</w:t>
      </w:r>
      <w:proofErr w:type="spellEnd"/>
      <w:r w:rsidRPr="00B419CE">
        <w:t xml:space="preserve"> skjerper kravet til effektiv utnytting av tilsynets </w:t>
      </w:r>
      <w:proofErr w:type="spellStart"/>
      <w:r w:rsidRPr="00B419CE">
        <w:t>ressursar</w:t>
      </w:r>
      <w:proofErr w:type="spellEnd"/>
      <w:r w:rsidRPr="00B419CE">
        <w:t xml:space="preserve"> og til prioritering av innsatsen på </w:t>
      </w:r>
      <w:proofErr w:type="spellStart"/>
      <w:r w:rsidRPr="00B419CE">
        <w:t>dei</w:t>
      </w:r>
      <w:proofErr w:type="spellEnd"/>
      <w:r w:rsidRPr="00B419CE">
        <w:t xml:space="preserve"> ulike tilsynsområda, slik at samla måloppnåing vert høgst </w:t>
      </w:r>
      <w:proofErr w:type="spellStart"/>
      <w:r w:rsidRPr="00B419CE">
        <w:t>mogleg</w:t>
      </w:r>
      <w:proofErr w:type="spellEnd"/>
      <w:r w:rsidRPr="00B419CE">
        <w:t xml:space="preserve">. Sjå òg </w:t>
      </w:r>
      <w:proofErr w:type="spellStart"/>
      <w:r w:rsidRPr="00B419CE">
        <w:t>nærare</w:t>
      </w:r>
      <w:proofErr w:type="spellEnd"/>
      <w:r w:rsidRPr="00B419CE">
        <w:t xml:space="preserve"> omtale under </w:t>
      </w:r>
      <w:r w:rsidRPr="00B419CE">
        <w:rPr>
          <w:rStyle w:val="kursiv"/>
        </w:rPr>
        <w:t xml:space="preserve">Mål og </w:t>
      </w:r>
      <w:proofErr w:type="spellStart"/>
      <w:r w:rsidRPr="00B419CE">
        <w:rPr>
          <w:rStyle w:val="kursiv"/>
        </w:rPr>
        <w:t>prioriteringar</w:t>
      </w:r>
      <w:proofErr w:type="spellEnd"/>
      <w:r w:rsidRPr="00B419CE">
        <w:rPr>
          <w:rStyle w:val="kursiv"/>
        </w:rPr>
        <w:t xml:space="preserve"> i 2022</w:t>
      </w:r>
      <w:r w:rsidRPr="00B419CE">
        <w:t>.</w:t>
      </w:r>
    </w:p>
    <w:p w14:paraId="153B5289" w14:textId="77777777" w:rsidR="00B419CE" w:rsidRPr="00B419CE" w:rsidRDefault="00B419CE" w:rsidP="00B419CE">
      <w:r w:rsidRPr="00B419CE">
        <w:t xml:space="preserve">Utviklinga </w:t>
      </w:r>
      <w:proofErr w:type="spellStart"/>
      <w:r w:rsidRPr="00B419CE">
        <w:t>innanfor</w:t>
      </w:r>
      <w:proofErr w:type="spellEnd"/>
      <w:r w:rsidRPr="00B419CE">
        <w:t xml:space="preserve"> digitalisering </w:t>
      </w:r>
      <w:proofErr w:type="spellStart"/>
      <w:r w:rsidRPr="00B419CE">
        <w:t>set</w:t>
      </w:r>
      <w:proofErr w:type="spellEnd"/>
      <w:r w:rsidRPr="00B419CE">
        <w:t xml:space="preserve"> krav til Finanstilsynet på </w:t>
      </w:r>
      <w:proofErr w:type="spellStart"/>
      <w:r w:rsidRPr="00B419CE">
        <w:t>fleire</w:t>
      </w:r>
      <w:proofErr w:type="spellEnd"/>
      <w:r w:rsidRPr="00B419CE">
        <w:t xml:space="preserve"> område. Generelt fører digitalisering til hyppige </w:t>
      </w:r>
      <w:proofErr w:type="spellStart"/>
      <w:r w:rsidRPr="00B419CE">
        <w:t>endringar</w:t>
      </w:r>
      <w:proofErr w:type="spellEnd"/>
      <w:r w:rsidRPr="00B419CE">
        <w:t xml:space="preserve"> i </w:t>
      </w:r>
      <w:proofErr w:type="spellStart"/>
      <w:r w:rsidRPr="00B419CE">
        <w:t>prosessar</w:t>
      </w:r>
      <w:proofErr w:type="spellEnd"/>
      <w:r w:rsidRPr="00B419CE">
        <w:t xml:space="preserve"> og produkt på finansområdet. Teknologisk innovasjon i </w:t>
      </w:r>
      <w:proofErr w:type="spellStart"/>
      <w:r w:rsidRPr="00B419CE">
        <w:t>prosessar</w:t>
      </w:r>
      <w:proofErr w:type="spellEnd"/>
      <w:r w:rsidRPr="00B419CE">
        <w:t xml:space="preserve"> og produkt på </w:t>
      </w:r>
      <w:proofErr w:type="spellStart"/>
      <w:r w:rsidRPr="00B419CE">
        <w:t>finansmarknadsområdet</w:t>
      </w:r>
      <w:proofErr w:type="spellEnd"/>
      <w:r w:rsidRPr="00B419CE">
        <w:t xml:space="preserve"> kan reise nye, regulatoriske spørsmål og bidra til økt kompleksitet og risiko for </w:t>
      </w:r>
      <w:proofErr w:type="spellStart"/>
      <w:r w:rsidRPr="00B419CE">
        <w:t>føretaka</w:t>
      </w:r>
      <w:proofErr w:type="spellEnd"/>
      <w:r w:rsidRPr="00B419CE">
        <w:t xml:space="preserve"> som Finanstilsynet må </w:t>
      </w:r>
      <w:proofErr w:type="spellStart"/>
      <w:r w:rsidRPr="00B419CE">
        <w:t>følgje</w:t>
      </w:r>
      <w:proofErr w:type="spellEnd"/>
      <w:r w:rsidRPr="00B419CE">
        <w:t xml:space="preserve"> opp. Nye digitale </w:t>
      </w:r>
      <w:proofErr w:type="spellStart"/>
      <w:r w:rsidRPr="00B419CE">
        <w:t>tenester</w:t>
      </w:r>
      <w:proofErr w:type="spellEnd"/>
      <w:r w:rsidRPr="00B419CE">
        <w:t xml:space="preserve"> og </w:t>
      </w:r>
      <w:proofErr w:type="spellStart"/>
      <w:r w:rsidRPr="00B419CE">
        <w:t>tilbod</w:t>
      </w:r>
      <w:proofErr w:type="spellEnd"/>
      <w:r w:rsidRPr="00B419CE">
        <w:t xml:space="preserve"> stiller mellom anna nye krav til </w:t>
      </w:r>
      <w:proofErr w:type="spellStart"/>
      <w:r w:rsidRPr="00B419CE">
        <w:t>forsvarleg</w:t>
      </w:r>
      <w:proofErr w:type="spellEnd"/>
      <w:r w:rsidRPr="00B419CE">
        <w:t xml:space="preserve"> </w:t>
      </w:r>
      <w:proofErr w:type="spellStart"/>
      <w:r w:rsidRPr="00B419CE">
        <w:t>forbrukarvern</w:t>
      </w:r>
      <w:proofErr w:type="spellEnd"/>
      <w:r w:rsidRPr="00B419CE">
        <w:t xml:space="preserve"> og </w:t>
      </w:r>
      <w:proofErr w:type="spellStart"/>
      <w:r w:rsidRPr="00B419CE">
        <w:t>informasjonssikkerheit</w:t>
      </w:r>
      <w:proofErr w:type="spellEnd"/>
      <w:r w:rsidRPr="00B419CE">
        <w:t xml:space="preserve">. Samstundes som </w:t>
      </w:r>
      <w:proofErr w:type="spellStart"/>
      <w:r w:rsidRPr="00B419CE">
        <w:t>ein</w:t>
      </w:r>
      <w:proofErr w:type="spellEnd"/>
      <w:r w:rsidRPr="00B419CE">
        <w:t xml:space="preserve"> må innrette regelverksutviklinga for å kunne </w:t>
      </w:r>
      <w:proofErr w:type="spellStart"/>
      <w:r w:rsidRPr="00B419CE">
        <w:t>dekkje</w:t>
      </w:r>
      <w:proofErr w:type="spellEnd"/>
      <w:r w:rsidRPr="00B419CE">
        <w:t xml:space="preserve"> nye </w:t>
      </w:r>
      <w:proofErr w:type="spellStart"/>
      <w:r w:rsidRPr="00B419CE">
        <w:t>teknologiar</w:t>
      </w:r>
      <w:proofErr w:type="spellEnd"/>
      <w:r w:rsidRPr="00B419CE">
        <w:t xml:space="preserve"> og </w:t>
      </w:r>
      <w:proofErr w:type="spellStart"/>
      <w:r w:rsidRPr="00B419CE">
        <w:t>marknader</w:t>
      </w:r>
      <w:proofErr w:type="spellEnd"/>
      <w:r w:rsidRPr="00B419CE">
        <w:t xml:space="preserve">, bør </w:t>
      </w:r>
      <w:proofErr w:type="spellStart"/>
      <w:r w:rsidRPr="00B419CE">
        <w:t>ein</w:t>
      </w:r>
      <w:proofErr w:type="spellEnd"/>
      <w:r w:rsidRPr="00B419CE">
        <w:t xml:space="preserve"> </w:t>
      </w:r>
      <w:proofErr w:type="spellStart"/>
      <w:r w:rsidRPr="00B419CE">
        <w:t>leggje</w:t>
      </w:r>
      <w:proofErr w:type="spellEnd"/>
      <w:r w:rsidRPr="00B419CE">
        <w:t xml:space="preserve"> vekt på at regelverket </w:t>
      </w:r>
      <w:proofErr w:type="spellStart"/>
      <w:r w:rsidRPr="00B419CE">
        <w:t>ikkje</w:t>
      </w:r>
      <w:proofErr w:type="spellEnd"/>
      <w:r w:rsidRPr="00B419CE">
        <w:t xml:space="preserve"> utilsikta skal </w:t>
      </w:r>
      <w:proofErr w:type="spellStart"/>
      <w:r w:rsidRPr="00B419CE">
        <w:t>vere</w:t>
      </w:r>
      <w:proofErr w:type="spellEnd"/>
      <w:r w:rsidRPr="00B419CE">
        <w:t xml:space="preserve"> til hinder for bruk av ny teknologi og nye </w:t>
      </w:r>
      <w:proofErr w:type="spellStart"/>
      <w:r w:rsidRPr="00B419CE">
        <w:t>forretningsmodellar</w:t>
      </w:r>
      <w:proofErr w:type="spellEnd"/>
      <w:r w:rsidRPr="00B419CE">
        <w:t xml:space="preserve">. Det reviderte </w:t>
      </w:r>
      <w:proofErr w:type="spellStart"/>
      <w:r w:rsidRPr="00B419CE">
        <w:t>betalingstenestedirektivet</w:t>
      </w:r>
      <w:proofErr w:type="spellEnd"/>
      <w:r w:rsidRPr="00B419CE">
        <w:t xml:space="preserve"> (PSD 2) </w:t>
      </w:r>
      <w:proofErr w:type="spellStart"/>
      <w:r w:rsidRPr="00B419CE">
        <w:t>inneber</w:t>
      </w:r>
      <w:proofErr w:type="spellEnd"/>
      <w:r w:rsidRPr="00B419CE">
        <w:t xml:space="preserve"> til dømes at </w:t>
      </w:r>
      <w:proofErr w:type="spellStart"/>
      <w:r w:rsidRPr="00B419CE">
        <w:t>verdikjeda</w:t>
      </w:r>
      <w:proofErr w:type="spellEnd"/>
      <w:r w:rsidRPr="00B419CE">
        <w:t xml:space="preserve"> i betalingssystemet vert endra, og at nye, teknologibaserte </w:t>
      </w:r>
      <w:proofErr w:type="spellStart"/>
      <w:r w:rsidRPr="00B419CE">
        <w:t>tenester</w:t>
      </w:r>
      <w:proofErr w:type="spellEnd"/>
      <w:r w:rsidRPr="00B419CE">
        <w:t xml:space="preserve"> vert leverte </w:t>
      </w:r>
      <w:proofErr w:type="spellStart"/>
      <w:r w:rsidRPr="00B419CE">
        <w:t>frå</w:t>
      </w:r>
      <w:proofErr w:type="spellEnd"/>
      <w:r w:rsidRPr="00B419CE">
        <w:t xml:space="preserve"> nye </w:t>
      </w:r>
      <w:proofErr w:type="spellStart"/>
      <w:r w:rsidRPr="00B419CE">
        <w:t>aktørar</w:t>
      </w:r>
      <w:proofErr w:type="spellEnd"/>
      <w:r w:rsidRPr="00B419CE">
        <w:t xml:space="preserve">. Det er òg </w:t>
      </w:r>
      <w:proofErr w:type="spellStart"/>
      <w:r w:rsidRPr="00B419CE">
        <w:t>eit</w:t>
      </w:r>
      <w:proofErr w:type="spellEnd"/>
      <w:r w:rsidRPr="00B419CE">
        <w:t xml:space="preserve"> trekk at </w:t>
      </w:r>
      <w:proofErr w:type="spellStart"/>
      <w:r w:rsidRPr="00B419CE">
        <w:t>fleire</w:t>
      </w:r>
      <w:proofErr w:type="spellEnd"/>
      <w:r w:rsidRPr="00B419CE">
        <w:t xml:space="preserve"> </w:t>
      </w:r>
      <w:proofErr w:type="spellStart"/>
      <w:r w:rsidRPr="00B419CE">
        <w:t>aktivitetar</w:t>
      </w:r>
      <w:proofErr w:type="spellEnd"/>
      <w:r w:rsidRPr="00B419CE">
        <w:t xml:space="preserve"> i </w:t>
      </w:r>
      <w:proofErr w:type="spellStart"/>
      <w:r w:rsidRPr="00B419CE">
        <w:t>dei</w:t>
      </w:r>
      <w:proofErr w:type="spellEnd"/>
      <w:r w:rsidRPr="00B419CE">
        <w:t xml:space="preserve"> norske og globale </w:t>
      </w:r>
      <w:proofErr w:type="spellStart"/>
      <w:r w:rsidRPr="00B419CE">
        <w:t>marknadene</w:t>
      </w:r>
      <w:proofErr w:type="spellEnd"/>
      <w:r w:rsidRPr="00B419CE">
        <w:t xml:space="preserve"> har uklare tilhøve til løyve og </w:t>
      </w:r>
      <w:proofErr w:type="spellStart"/>
      <w:r w:rsidRPr="00B419CE">
        <w:t>finansmarknadsreguleringa</w:t>
      </w:r>
      <w:proofErr w:type="spellEnd"/>
      <w:r w:rsidRPr="00B419CE">
        <w:t xml:space="preserve"> generelt, til dømes visse former for folkefinansiering. Dei siste åra har det </w:t>
      </w:r>
      <w:proofErr w:type="spellStart"/>
      <w:r w:rsidRPr="00B419CE">
        <w:t>vore</w:t>
      </w:r>
      <w:proofErr w:type="spellEnd"/>
      <w:r w:rsidRPr="00B419CE">
        <w:t xml:space="preserve"> stor aktivitet i </w:t>
      </w:r>
      <w:proofErr w:type="spellStart"/>
      <w:r w:rsidRPr="00B419CE">
        <w:t>marknader</w:t>
      </w:r>
      <w:proofErr w:type="spellEnd"/>
      <w:r w:rsidRPr="00B419CE">
        <w:t xml:space="preserve"> for ulike </w:t>
      </w:r>
      <w:proofErr w:type="spellStart"/>
      <w:r w:rsidRPr="00B419CE">
        <w:t>kryptoeigedelar</w:t>
      </w:r>
      <w:proofErr w:type="spellEnd"/>
      <w:r w:rsidRPr="00B419CE">
        <w:t xml:space="preserve">, som </w:t>
      </w:r>
      <w:proofErr w:type="spellStart"/>
      <w:r w:rsidRPr="00B419CE">
        <w:t>nyleg</w:t>
      </w:r>
      <w:proofErr w:type="spellEnd"/>
      <w:r w:rsidRPr="00B419CE">
        <w:t xml:space="preserve"> er møtt med </w:t>
      </w:r>
      <w:proofErr w:type="spellStart"/>
      <w:r w:rsidRPr="00B419CE">
        <w:t>omfattande</w:t>
      </w:r>
      <w:proofErr w:type="spellEnd"/>
      <w:r w:rsidRPr="00B419CE">
        <w:t xml:space="preserve"> regelverksframlegg i EU.</w:t>
      </w:r>
    </w:p>
    <w:p w14:paraId="1FDA0626" w14:textId="77777777" w:rsidR="00B419CE" w:rsidRPr="00B419CE" w:rsidRDefault="00B419CE" w:rsidP="00B419CE">
      <w:r w:rsidRPr="00B419CE">
        <w:t xml:space="preserve">Dei </w:t>
      </w:r>
      <w:proofErr w:type="spellStart"/>
      <w:r w:rsidRPr="00B419CE">
        <w:t>seinare</w:t>
      </w:r>
      <w:proofErr w:type="spellEnd"/>
      <w:r w:rsidRPr="00B419CE">
        <w:t xml:space="preserve"> åra har det </w:t>
      </w:r>
      <w:proofErr w:type="spellStart"/>
      <w:r w:rsidRPr="00B419CE">
        <w:t>vore</w:t>
      </w:r>
      <w:proofErr w:type="spellEnd"/>
      <w:r w:rsidRPr="00B419CE">
        <w:t xml:space="preserve"> </w:t>
      </w:r>
      <w:proofErr w:type="spellStart"/>
      <w:r w:rsidRPr="00B419CE">
        <w:t>ein</w:t>
      </w:r>
      <w:proofErr w:type="spellEnd"/>
      <w:r w:rsidRPr="00B419CE">
        <w:t xml:space="preserve"> gradvis overgang </w:t>
      </w:r>
      <w:proofErr w:type="spellStart"/>
      <w:r w:rsidRPr="00B419CE">
        <w:t>frå</w:t>
      </w:r>
      <w:proofErr w:type="spellEnd"/>
      <w:r w:rsidRPr="00B419CE">
        <w:t xml:space="preserve"> ytingspensjon til </w:t>
      </w:r>
      <w:proofErr w:type="spellStart"/>
      <w:r w:rsidRPr="00B419CE">
        <w:t>innskotspensjon</w:t>
      </w:r>
      <w:proofErr w:type="spellEnd"/>
      <w:r w:rsidRPr="00B419CE">
        <w:t xml:space="preserve"> med </w:t>
      </w:r>
      <w:proofErr w:type="spellStart"/>
      <w:r w:rsidRPr="00B419CE">
        <w:t>investeringsval</w:t>
      </w:r>
      <w:proofErr w:type="spellEnd"/>
      <w:r w:rsidRPr="00B419CE">
        <w:t xml:space="preserve">. Dei nye produkta krev </w:t>
      </w:r>
      <w:proofErr w:type="spellStart"/>
      <w:r w:rsidRPr="00B419CE">
        <w:t>fagleg</w:t>
      </w:r>
      <w:proofErr w:type="spellEnd"/>
      <w:r w:rsidRPr="00B419CE">
        <w:t xml:space="preserve"> </w:t>
      </w:r>
      <w:proofErr w:type="spellStart"/>
      <w:r w:rsidRPr="00B419CE">
        <w:t>forsvarleg</w:t>
      </w:r>
      <w:proofErr w:type="spellEnd"/>
      <w:r w:rsidRPr="00B419CE">
        <w:t xml:space="preserve"> og balansert rådgjeving. Både på forsikringsområdet og verdipapirområdet må Finanstilsynet sjå til at </w:t>
      </w:r>
      <w:proofErr w:type="spellStart"/>
      <w:r w:rsidRPr="00B419CE">
        <w:t>føretaka</w:t>
      </w:r>
      <w:proofErr w:type="spellEnd"/>
      <w:r w:rsidRPr="00B419CE">
        <w:t xml:space="preserve"> </w:t>
      </w:r>
      <w:proofErr w:type="spellStart"/>
      <w:r w:rsidRPr="00B419CE">
        <w:t>rettar</w:t>
      </w:r>
      <w:proofErr w:type="spellEnd"/>
      <w:r w:rsidRPr="00B419CE">
        <w:t xml:space="preserve"> seg etter god forretningsskikk i sals- og </w:t>
      </w:r>
      <w:proofErr w:type="spellStart"/>
      <w:r w:rsidRPr="00B419CE">
        <w:t>rådgjevingsverksemda</w:t>
      </w:r>
      <w:proofErr w:type="spellEnd"/>
      <w:r w:rsidRPr="00B419CE">
        <w:t xml:space="preserve">. </w:t>
      </w:r>
      <w:proofErr w:type="spellStart"/>
      <w:r w:rsidRPr="00B419CE">
        <w:t>Fondmarknaden</w:t>
      </w:r>
      <w:proofErr w:type="spellEnd"/>
      <w:r w:rsidRPr="00B419CE">
        <w:t xml:space="preserve"> må </w:t>
      </w:r>
      <w:proofErr w:type="spellStart"/>
      <w:r w:rsidRPr="00B419CE">
        <w:t>følgjast</w:t>
      </w:r>
      <w:proofErr w:type="spellEnd"/>
      <w:r w:rsidRPr="00B419CE">
        <w:t xml:space="preserve"> opp ved at det vert innført </w:t>
      </w:r>
      <w:proofErr w:type="spellStart"/>
      <w:r w:rsidRPr="00B419CE">
        <w:t>fleire</w:t>
      </w:r>
      <w:proofErr w:type="spellEnd"/>
      <w:r w:rsidRPr="00B419CE">
        <w:t xml:space="preserve"> nye </w:t>
      </w:r>
      <w:proofErr w:type="spellStart"/>
      <w:r w:rsidRPr="00B419CE">
        <w:t>kategoriar</w:t>
      </w:r>
      <w:proofErr w:type="spellEnd"/>
      <w:r w:rsidRPr="00B419CE">
        <w:t xml:space="preserve"> av fond i </w:t>
      </w:r>
      <w:proofErr w:type="spellStart"/>
      <w:r w:rsidRPr="00B419CE">
        <w:t>medhald</w:t>
      </w:r>
      <w:proofErr w:type="spellEnd"/>
      <w:r w:rsidRPr="00B419CE">
        <w:t xml:space="preserve"> av nytt EØS-regelverk.</w:t>
      </w:r>
    </w:p>
    <w:p w14:paraId="0A2A9203" w14:textId="77777777" w:rsidR="00B419CE" w:rsidRPr="00B419CE" w:rsidRDefault="00B419CE" w:rsidP="00B419CE">
      <w:r w:rsidRPr="00B419CE">
        <w:t xml:space="preserve">Oppfølging av </w:t>
      </w:r>
      <w:proofErr w:type="spellStart"/>
      <w:r w:rsidRPr="00B419CE">
        <w:t>krisehandteringsreglane</w:t>
      </w:r>
      <w:proofErr w:type="spellEnd"/>
      <w:r w:rsidRPr="00B419CE">
        <w:t xml:space="preserve"> som tok til å gjelde i 2019, vil </w:t>
      </w:r>
      <w:proofErr w:type="spellStart"/>
      <w:r w:rsidRPr="00B419CE">
        <w:t>framleis</w:t>
      </w:r>
      <w:proofErr w:type="spellEnd"/>
      <w:r w:rsidRPr="00B419CE">
        <w:t xml:space="preserve"> </w:t>
      </w:r>
      <w:proofErr w:type="spellStart"/>
      <w:r w:rsidRPr="00B419CE">
        <w:t>krevje</w:t>
      </w:r>
      <w:proofErr w:type="spellEnd"/>
      <w:r w:rsidRPr="00B419CE">
        <w:t xml:space="preserve"> </w:t>
      </w:r>
      <w:proofErr w:type="spellStart"/>
      <w:r w:rsidRPr="00B419CE">
        <w:t>ressursar</w:t>
      </w:r>
      <w:proofErr w:type="spellEnd"/>
      <w:r w:rsidRPr="00B419CE">
        <w:t xml:space="preserve"> i Finanstilsynet. Mellom anna må tilsynet </w:t>
      </w:r>
      <w:proofErr w:type="spellStart"/>
      <w:r w:rsidRPr="00B419CE">
        <w:t>følgje</w:t>
      </w:r>
      <w:proofErr w:type="spellEnd"/>
      <w:r w:rsidRPr="00B419CE">
        <w:t xml:space="preserve"> opp </w:t>
      </w:r>
      <w:proofErr w:type="spellStart"/>
      <w:r w:rsidRPr="00B419CE">
        <w:t>bankane</w:t>
      </w:r>
      <w:proofErr w:type="spellEnd"/>
      <w:r w:rsidRPr="00B419CE">
        <w:t xml:space="preserve"> </w:t>
      </w:r>
      <w:proofErr w:type="gramStart"/>
      <w:r w:rsidRPr="00B419CE">
        <w:t>sine gjenopprettingsplanar</w:t>
      </w:r>
      <w:proofErr w:type="gramEnd"/>
      <w:r w:rsidRPr="00B419CE">
        <w:t xml:space="preserve">, </w:t>
      </w:r>
      <w:proofErr w:type="spellStart"/>
      <w:r w:rsidRPr="00B419CE">
        <w:t>medan</w:t>
      </w:r>
      <w:proofErr w:type="spellEnd"/>
      <w:r w:rsidRPr="00B419CE">
        <w:t xml:space="preserve"> tilsynet </w:t>
      </w:r>
      <w:proofErr w:type="spellStart"/>
      <w:r w:rsidRPr="00B419CE">
        <w:t>sjølv</w:t>
      </w:r>
      <w:proofErr w:type="spellEnd"/>
      <w:r w:rsidRPr="00B419CE">
        <w:t xml:space="preserve"> skal </w:t>
      </w:r>
      <w:proofErr w:type="spellStart"/>
      <w:r w:rsidRPr="00B419CE">
        <w:t>fastsetje</w:t>
      </w:r>
      <w:proofErr w:type="spellEnd"/>
      <w:r w:rsidRPr="00B419CE">
        <w:t xml:space="preserve"> krisetiltaksplanar for kvar bank.</w:t>
      </w:r>
    </w:p>
    <w:p w14:paraId="1E302507" w14:textId="77777777" w:rsidR="00B419CE" w:rsidRPr="00B419CE" w:rsidRDefault="00B419CE" w:rsidP="00B419CE">
      <w:proofErr w:type="spellStart"/>
      <w:r w:rsidRPr="00B419CE">
        <w:t>Vidare</w:t>
      </w:r>
      <w:proofErr w:type="spellEnd"/>
      <w:r w:rsidRPr="00B419CE">
        <w:t xml:space="preserve"> er Finanstilsynets ansvarsområde utvida fordi </w:t>
      </w:r>
      <w:proofErr w:type="spellStart"/>
      <w:r w:rsidRPr="00B419CE">
        <w:t>verksemd</w:t>
      </w:r>
      <w:proofErr w:type="spellEnd"/>
      <w:r w:rsidRPr="00B419CE">
        <w:t xml:space="preserve"> med handel i varederivat har vorte regulert og </w:t>
      </w:r>
      <w:proofErr w:type="spellStart"/>
      <w:r w:rsidRPr="00B419CE">
        <w:t>underlagd</w:t>
      </w:r>
      <w:proofErr w:type="spellEnd"/>
      <w:r w:rsidRPr="00B419CE">
        <w:t xml:space="preserve"> tilsyn som </w:t>
      </w:r>
      <w:proofErr w:type="spellStart"/>
      <w:r w:rsidRPr="00B419CE">
        <w:t>følgje</w:t>
      </w:r>
      <w:proofErr w:type="spellEnd"/>
      <w:r w:rsidRPr="00B419CE">
        <w:t xml:space="preserve"> av nytt EU-regelverk. Det </w:t>
      </w:r>
      <w:proofErr w:type="spellStart"/>
      <w:r w:rsidRPr="00B419CE">
        <w:t>inneber</w:t>
      </w:r>
      <w:proofErr w:type="spellEnd"/>
      <w:r w:rsidRPr="00B419CE">
        <w:t xml:space="preserve"> at Finanstilsynet vil få nye, </w:t>
      </w:r>
      <w:proofErr w:type="spellStart"/>
      <w:r w:rsidRPr="00B419CE">
        <w:t>ikkje</w:t>
      </w:r>
      <w:proofErr w:type="spellEnd"/>
      <w:r w:rsidRPr="00B419CE">
        <w:t xml:space="preserve">-finansielle </w:t>
      </w:r>
      <w:proofErr w:type="spellStart"/>
      <w:r w:rsidRPr="00B419CE">
        <w:t>føretak</w:t>
      </w:r>
      <w:proofErr w:type="spellEnd"/>
      <w:r w:rsidRPr="00B419CE">
        <w:t xml:space="preserve"> under tilsyn. </w:t>
      </w:r>
      <w:proofErr w:type="spellStart"/>
      <w:r w:rsidRPr="00B419CE">
        <w:t>Føretak</w:t>
      </w:r>
      <w:proofErr w:type="spellEnd"/>
      <w:r w:rsidRPr="00B419CE">
        <w:t xml:space="preserve"> som </w:t>
      </w:r>
      <w:proofErr w:type="spellStart"/>
      <w:r w:rsidRPr="00B419CE">
        <w:t>handlar</w:t>
      </w:r>
      <w:proofErr w:type="spellEnd"/>
      <w:r w:rsidRPr="00B419CE">
        <w:t xml:space="preserve"> med råvarer, her òg kraftselskap, er til dømes </w:t>
      </w:r>
      <w:proofErr w:type="spellStart"/>
      <w:r w:rsidRPr="00B419CE">
        <w:t>underlagde</w:t>
      </w:r>
      <w:proofErr w:type="spellEnd"/>
      <w:r w:rsidRPr="00B419CE">
        <w:t xml:space="preserve"> den same reguleringa som </w:t>
      </w:r>
      <w:proofErr w:type="spellStart"/>
      <w:r w:rsidRPr="00B419CE">
        <w:t>verdipapirføretak</w:t>
      </w:r>
      <w:proofErr w:type="spellEnd"/>
      <w:r w:rsidRPr="00B419CE">
        <w:t xml:space="preserve">. </w:t>
      </w:r>
      <w:proofErr w:type="spellStart"/>
      <w:r w:rsidRPr="00B419CE">
        <w:t>Vidare</w:t>
      </w:r>
      <w:proofErr w:type="spellEnd"/>
      <w:r w:rsidRPr="00B419CE">
        <w:t xml:space="preserve"> må Finanstilsynet </w:t>
      </w:r>
      <w:proofErr w:type="spellStart"/>
      <w:r w:rsidRPr="00B419CE">
        <w:t>følgje</w:t>
      </w:r>
      <w:proofErr w:type="spellEnd"/>
      <w:r w:rsidRPr="00B419CE">
        <w:t xml:space="preserve"> opp den nye verdipapirsentrallova og nye </w:t>
      </w:r>
      <w:proofErr w:type="spellStart"/>
      <w:r w:rsidRPr="00B419CE">
        <w:t>reglar</w:t>
      </w:r>
      <w:proofErr w:type="spellEnd"/>
      <w:r w:rsidRPr="00B419CE">
        <w:t xml:space="preserve"> om </w:t>
      </w:r>
      <w:proofErr w:type="spellStart"/>
      <w:r w:rsidRPr="00B419CE">
        <w:t>marknadsåtferd</w:t>
      </w:r>
      <w:proofErr w:type="spellEnd"/>
      <w:r w:rsidRPr="00B419CE">
        <w:t>.</w:t>
      </w:r>
    </w:p>
    <w:p w14:paraId="38095044" w14:textId="77777777" w:rsidR="00B419CE" w:rsidRPr="00B419CE" w:rsidRDefault="00B419CE" w:rsidP="00B419CE">
      <w:r w:rsidRPr="00B419CE">
        <w:t xml:space="preserve">Klimarisiko har fått </w:t>
      </w:r>
      <w:proofErr w:type="spellStart"/>
      <w:r w:rsidRPr="00B419CE">
        <w:t>monaleg</w:t>
      </w:r>
      <w:proofErr w:type="spellEnd"/>
      <w:r w:rsidRPr="00B419CE">
        <w:t xml:space="preserve"> </w:t>
      </w:r>
      <w:proofErr w:type="spellStart"/>
      <w:r w:rsidRPr="00B419CE">
        <w:t>meir</w:t>
      </w:r>
      <w:proofErr w:type="spellEnd"/>
      <w:r w:rsidRPr="00B419CE">
        <w:t xml:space="preserve"> </w:t>
      </w:r>
      <w:proofErr w:type="spellStart"/>
      <w:r w:rsidRPr="00B419CE">
        <w:t>merksemd</w:t>
      </w:r>
      <w:proofErr w:type="spellEnd"/>
      <w:r w:rsidRPr="00B419CE">
        <w:t xml:space="preserve"> i </w:t>
      </w:r>
      <w:proofErr w:type="spellStart"/>
      <w:r w:rsidRPr="00B419CE">
        <w:t>finansmarknadene</w:t>
      </w:r>
      <w:proofErr w:type="spellEnd"/>
      <w:r w:rsidRPr="00B419CE">
        <w:t xml:space="preserve"> </w:t>
      </w:r>
      <w:proofErr w:type="spellStart"/>
      <w:r w:rsidRPr="00B419CE">
        <w:t>dei</w:t>
      </w:r>
      <w:proofErr w:type="spellEnd"/>
      <w:r w:rsidRPr="00B419CE">
        <w:t xml:space="preserve"> siste par </w:t>
      </w:r>
      <w:proofErr w:type="spellStart"/>
      <w:r w:rsidRPr="00B419CE">
        <w:t>åra</w:t>
      </w:r>
      <w:proofErr w:type="spellEnd"/>
      <w:r w:rsidRPr="00B419CE">
        <w:t xml:space="preserve">, samstundes som </w:t>
      </w:r>
      <w:proofErr w:type="spellStart"/>
      <w:r w:rsidRPr="00B419CE">
        <w:t>berekraftig</w:t>
      </w:r>
      <w:proofErr w:type="spellEnd"/>
      <w:r w:rsidRPr="00B419CE">
        <w:t xml:space="preserve"> finans har </w:t>
      </w:r>
      <w:proofErr w:type="spellStart"/>
      <w:r w:rsidRPr="00B419CE">
        <w:t>vakse</w:t>
      </w:r>
      <w:proofErr w:type="spellEnd"/>
      <w:r w:rsidRPr="00B419CE">
        <w:t xml:space="preserve"> fram som </w:t>
      </w:r>
      <w:proofErr w:type="spellStart"/>
      <w:r w:rsidRPr="00B419CE">
        <w:t>ein</w:t>
      </w:r>
      <w:proofErr w:type="spellEnd"/>
      <w:r w:rsidRPr="00B419CE">
        <w:t xml:space="preserve"> integrert del av klima- og miljøpolitikken i Europa, med </w:t>
      </w:r>
      <w:proofErr w:type="spellStart"/>
      <w:r w:rsidRPr="00B419CE">
        <w:t>tilhøyrande</w:t>
      </w:r>
      <w:proofErr w:type="spellEnd"/>
      <w:r w:rsidRPr="00B419CE">
        <w:t xml:space="preserve"> detaljregulering. EU har ambisiøse mål på dette feltet, og </w:t>
      </w:r>
      <w:proofErr w:type="spellStart"/>
      <w:r w:rsidRPr="00B419CE">
        <w:t>meir</w:t>
      </w:r>
      <w:proofErr w:type="spellEnd"/>
      <w:r w:rsidRPr="00B419CE">
        <w:t xml:space="preserve"> regulering er venta i tida framover. For Finanstilsynet er det </w:t>
      </w:r>
      <w:proofErr w:type="spellStart"/>
      <w:r w:rsidRPr="00B419CE">
        <w:t>særleg</w:t>
      </w:r>
      <w:proofErr w:type="spellEnd"/>
      <w:r w:rsidRPr="00B419CE">
        <w:t xml:space="preserve"> viktig å </w:t>
      </w:r>
      <w:proofErr w:type="spellStart"/>
      <w:r w:rsidRPr="00B419CE">
        <w:lastRenderedPageBreak/>
        <w:t>følgje</w:t>
      </w:r>
      <w:proofErr w:type="spellEnd"/>
      <w:r w:rsidRPr="00B419CE">
        <w:t xml:space="preserve"> opp risikoen i samband med overgangen til </w:t>
      </w:r>
      <w:proofErr w:type="spellStart"/>
      <w:r w:rsidRPr="00B419CE">
        <w:t>eit</w:t>
      </w:r>
      <w:proofErr w:type="spellEnd"/>
      <w:r w:rsidRPr="00B419CE">
        <w:t xml:space="preserve"> </w:t>
      </w:r>
      <w:proofErr w:type="spellStart"/>
      <w:r w:rsidRPr="00B419CE">
        <w:t>lågutsleppssamfunn</w:t>
      </w:r>
      <w:proofErr w:type="spellEnd"/>
      <w:r w:rsidRPr="00B419CE">
        <w:t xml:space="preserve">, som vil ha </w:t>
      </w:r>
      <w:proofErr w:type="spellStart"/>
      <w:r w:rsidRPr="00B419CE">
        <w:t>konsekvensar</w:t>
      </w:r>
      <w:proofErr w:type="spellEnd"/>
      <w:r w:rsidRPr="00B419CE">
        <w:t xml:space="preserve"> for </w:t>
      </w:r>
      <w:proofErr w:type="spellStart"/>
      <w:r w:rsidRPr="00B419CE">
        <w:t>føretaka</w:t>
      </w:r>
      <w:proofErr w:type="spellEnd"/>
      <w:r w:rsidRPr="00B419CE">
        <w:t xml:space="preserve"> under tilsyn.</w:t>
      </w:r>
    </w:p>
    <w:p w14:paraId="5859088F"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i 2022</w:t>
      </w:r>
    </w:p>
    <w:p w14:paraId="6AAA3734" w14:textId="77777777" w:rsidR="00B419CE" w:rsidRPr="00B419CE" w:rsidRDefault="00B419CE" w:rsidP="00B419CE">
      <w:r w:rsidRPr="00B419CE">
        <w:t xml:space="preserve">Finanstilsynets samfunnsoppdrag er utdjupa i seks mål. Det er fastsett </w:t>
      </w:r>
      <w:proofErr w:type="spellStart"/>
      <w:r w:rsidRPr="00B419CE">
        <w:t>følgjande</w:t>
      </w:r>
      <w:proofErr w:type="spellEnd"/>
      <w:r w:rsidRPr="00B419CE">
        <w:t xml:space="preserve"> mål for Finanstilsynet for 2022:</w:t>
      </w:r>
    </w:p>
    <w:p w14:paraId="1F14BD41" w14:textId="77777777" w:rsidR="00B419CE" w:rsidRPr="00B419CE" w:rsidRDefault="00B419CE" w:rsidP="00B419CE">
      <w:pPr>
        <w:pStyle w:val="Liste"/>
      </w:pPr>
      <w:r w:rsidRPr="00B419CE">
        <w:t xml:space="preserve">Solide og likvide </w:t>
      </w:r>
      <w:proofErr w:type="spellStart"/>
      <w:r w:rsidRPr="00B419CE">
        <w:t>finansføretak</w:t>
      </w:r>
      <w:proofErr w:type="spellEnd"/>
    </w:p>
    <w:p w14:paraId="79AD27A6" w14:textId="77777777" w:rsidR="00B419CE" w:rsidRPr="00B419CE" w:rsidRDefault="00B419CE" w:rsidP="00B419CE">
      <w:pPr>
        <w:pStyle w:val="Liste"/>
      </w:pPr>
      <w:proofErr w:type="gramStart"/>
      <w:r w:rsidRPr="00B419CE">
        <w:t>Robust</w:t>
      </w:r>
      <w:proofErr w:type="gramEnd"/>
      <w:r w:rsidRPr="00B419CE">
        <w:t xml:space="preserve"> infrastruktur</w:t>
      </w:r>
    </w:p>
    <w:p w14:paraId="02D6FEA0" w14:textId="77777777" w:rsidR="00B419CE" w:rsidRPr="00B419CE" w:rsidRDefault="00B419CE" w:rsidP="00B419CE">
      <w:pPr>
        <w:pStyle w:val="Liste"/>
      </w:pPr>
      <w:r w:rsidRPr="00B419CE">
        <w:t xml:space="preserve">Vern av </w:t>
      </w:r>
      <w:proofErr w:type="spellStart"/>
      <w:r w:rsidRPr="00B419CE">
        <w:t>investorar</w:t>
      </w:r>
      <w:proofErr w:type="spellEnd"/>
    </w:p>
    <w:p w14:paraId="0CF2E239" w14:textId="77777777" w:rsidR="00B419CE" w:rsidRPr="00B419CE" w:rsidRDefault="00B419CE" w:rsidP="00B419CE">
      <w:pPr>
        <w:pStyle w:val="Liste"/>
      </w:pPr>
      <w:proofErr w:type="spellStart"/>
      <w:r w:rsidRPr="00B419CE">
        <w:t>Forbrukarvern</w:t>
      </w:r>
      <w:proofErr w:type="spellEnd"/>
    </w:p>
    <w:p w14:paraId="5CDD4A9F" w14:textId="77777777" w:rsidR="00B419CE" w:rsidRPr="00B419CE" w:rsidRDefault="00B419CE" w:rsidP="00B419CE">
      <w:pPr>
        <w:pStyle w:val="Liste"/>
      </w:pPr>
      <w:r w:rsidRPr="00B419CE">
        <w:t>Effektiv krisehandtering</w:t>
      </w:r>
    </w:p>
    <w:p w14:paraId="3084A326" w14:textId="77777777" w:rsidR="00B419CE" w:rsidRPr="00B419CE" w:rsidRDefault="00B419CE" w:rsidP="00B419CE">
      <w:pPr>
        <w:pStyle w:val="Liste"/>
      </w:pPr>
      <w:r w:rsidRPr="00B419CE">
        <w:t>Innsats mot kriminalitet</w:t>
      </w:r>
    </w:p>
    <w:p w14:paraId="6B73BAD9" w14:textId="77777777" w:rsidR="00B419CE" w:rsidRPr="00B419CE" w:rsidRDefault="00B419CE" w:rsidP="00B419CE">
      <w:proofErr w:type="spellStart"/>
      <w:r w:rsidRPr="00B419CE">
        <w:t>Styringsparametrar</w:t>
      </w:r>
      <w:proofErr w:type="spellEnd"/>
      <w:r w:rsidRPr="00B419CE">
        <w:t xml:space="preserve"> vert fastsette i styringsdialogen mellom Finansdepartementet og Finanstilsynet i samband med utforminga av tildelingsbrev til </w:t>
      </w:r>
      <w:proofErr w:type="spellStart"/>
      <w:r w:rsidRPr="00B419CE">
        <w:t>verksemda</w:t>
      </w:r>
      <w:proofErr w:type="spellEnd"/>
      <w:r w:rsidRPr="00B419CE">
        <w:t xml:space="preserve"> for 2022. Departementet </w:t>
      </w:r>
      <w:proofErr w:type="spellStart"/>
      <w:r w:rsidRPr="00B419CE">
        <w:t>ventar</w:t>
      </w:r>
      <w:proofErr w:type="spellEnd"/>
      <w:r w:rsidRPr="00B419CE">
        <w:t xml:space="preserve"> at resultata i 2022 samla sett skal </w:t>
      </w:r>
      <w:proofErr w:type="spellStart"/>
      <w:r w:rsidRPr="00B419CE">
        <w:t>verte</w:t>
      </w:r>
      <w:proofErr w:type="spellEnd"/>
      <w:r w:rsidRPr="00B419CE">
        <w:t xml:space="preserve"> betre enn i 2020. I resultatvurderinga vil departementet </w:t>
      </w:r>
      <w:proofErr w:type="spellStart"/>
      <w:r w:rsidRPr="00B419CE">
        <w:t>leggje</w:t>
      </w:r>
      <w:proofErr w:type="spellEnd"/>
      <w:r w:rsidRPr="00B419CE">
        <w:t xml:space="preserve"> vekt på heilskapen i </w:t>
      </w:r>
      <w:proofErr w:type="spellStart"/>
      <w:r w:rsidRPr="00B419CE">
        <w:t>verksemda</w:t>
      </w:r>
      <w:proofErr w:type="spellEnd"/>
      <w:r w:rsidRPr="00B419CE">
        <w:t xml:space="preserve">. I oppfølginga av etaten tek departementet omsyn til at dette er mål der oppfyllinga vert </w:t>
      </w:r>
      <w:proofErr w:type="spellStart"/>
      <w:r w:rsidRPr="00B419CE">
        <w:t>påverka</w:t>
      </w:r>
      <w:proofErr w:type="spellEnd"/>
      <w:r w:rsidRPr="00B419CE">
        <w:t xml:space="preserve"> av mange forhold som Finanstilsynet </w:t>
      </w:r>
      <w:proofErr w:type="spellStart"/>
      <w:r w:rsidRPr="00B419CE">
        <w:t>ikkje</w:t>
      </w:r>
      <w:proofErr w:type="spellEnd"/>
      <w:r w:rsidRPr="00B419CE">
        <w:t xml:space="preserve"> direkte kan styre, men der Finanstilsynet kan bidra til at måla vert nådde. Finanstilsynet arbeider jamt med å løyse </w:t>
      </w:r>
      <w:proofErr w:type="spellStart"/>
      <w:r w:rsidRPr="00B419CE">
        <w:t>oppgåvene</w:t>
      </w:r>
      <w:proofErr w:type="spellEnd"/>
      <w:r w:rsidRPr="00B419CE">
        <w:t xml:space="preserve"> sine betre.</w:t>
      </w:r>
    </w:p>
    <w:p w14:paraId="51D41310" w14:textId="77777777" w:rsidR="00B419CE" w:rsidRPr="00B419CE" w:rsidRDefault="00B419CE" w:rsidP="00B419CE">
      <w:pPr>
        <w:pStyle w:val="Undertittel"/>
      </w:pPr>
      <w:r w:rsidRPr="00B419CE">
        <w:t xml:space="preserve">Viktige </w:t>
      </w:r>
      <w:proofErr w:type="spellStart"/>
      <w:r w:rsidRPr="00B419CE">
        <w:t>prioriteringar</w:t>
      </w:r>
      <w:proofErr w:type="spellEnd"/>
      <w:r w:rsidRPr="00B419CE">
        <w:t xml:space="preserve"> i 2022 vert:</w:t>
      </w:r>
    </w:p>
    <w:p w14:paraId="4FEC2CF2" w14:textId="77777777" w:rsidR="00B419CE" w:rsidRPr="00B419CE" w:rsidRDefault="00B419CE" w:rsidP="00B419CE">
      <w:pPr>
        <w:pStyle w:val="avsnitt-tittel"/>
      </w:pPr>
      <w:r w:rsidRPr="00B419CE">
        <w:t>Makrotilsyn</w:t>
      </w:r>
    </w:p>
    <w:p w14:paraId="32851B7A" w14:textId="77777777" w:rsidR="00B419CE" w:rsidRPr="00B419CE" w:rsidRDefault="00B419CE" w:rsidP="00B419CE">
      <w:r w:rsidRPr="00B419CE">
        <w:t xml:space="preserve">Finanstilsynet skal </w:t>
      </w:r>
      <w:proofErr w:type="spellStart"/>
      <w:r w:rsidRPr="00B419CE">
        <w:t>leggje</w:t>
      </w:r>
      <w:proofErr w:type="spellEnd"/>
      <w:r w:rsidRPr="00B419CE">
        <w:t xml:space="preserve"> vekt på makrotilsyn og utviklinga i makroøkonomiske forhold. </w:t>
      </w:r>
      <w:proofErr w:type="spellStart"/>
      <w:r w:rsidRPr="00B419CE">
        <w:t>Røynsler</w:t>
      </w:r>
      <w:proofErr w:type="spellEnd"/>
      <w:r w:rsidRPr="00B419CE">
        <w:t xml:space="preserve"> har vist at risiko i makroøkonomien kan skape finansielle kriser, og makrotilsyn må </w:t>
      </w:r>
      <w:proofErr w:type="spellStart"/>
      <w:r w:rsidRPr="00B419CE">
        <w:t>difor</w:t>
      </w:r>
      <w:proofErr w:type="spellEnd"/>
      <w:r w:rsidRPr="00B419CE">
        <w:t xml:space="preserve"> </w:t>
      </w:r>
      <w:proofErr w:type="spellStart"/>
      <w:r w:rsidRPr="00B419CE">
        <w:t>vere</w:t>
      </w:r>
      <w:proofErr w:type="spellEnd"/>
      <w:r w:rsidRPr="00B419CE">
        <w:t xml:space="preserve"> </w:t>
      </w:r>
      <w:proofErr w:type="spellStart"/>
      <w:r w:rsidRPr="00B419CE">
        <w:t>ein</w:t>
      </w:r>
      <w:proofErr w:type="spellEnd"/>
      <w:r w:rsidRPr="00B419CE">
        <w:t xml:space="preserve"> viktig del av grunnlaget for </w:t>
      </w:r>
      <w:proofErr w:type="spellStart"/>
      <w:r w:rsidRPr="00B419CE">
        <w:t>eit</w:t>
      </w:r>
      <w:proofErr w:type="spellEnd"/>
      <w:r w:rsidRPr="00B419CE">
        <w:t xml:space="preserve"> effektivt tilsyn. Makrotilsynet skal </w:t>
      </w:r>
      <w:proofErr w:type="spellStart"/>
      <w:r w:rsidRPr="00B419CE">
        <w:t>vere</w:t>
      </w:r>
      <w:proofErr w:type="spellEnd"/>
      <w:r w:rsidRPr="00B419CE">
        <w:t xml:space="preserve"> </w:t>
      </w:r>
      <w:proofErr w:type="spellStart"/>
      <w:r w:rsidRPr="00B419CE">
        <w:t>særleg</w:t>
      </w:r>
      <w:proofErr w:type="spellEnd"/>
      <w:r w:rsidRPr="00B419CE">
        <w:t xml:space="preserve"> retta mot den gjensidige påverknaden </w:t>
      </w:r>
      <w:proofErr w:type="spellStart"/>
      <w:r w:rsidRPr="00B419CE">
        <w:t>innanfor</w:t>
      </w:r>
      <w:proofErr w:type="spellEnd"/>
      <w:r w:rsidRPr="00B419CE">
        <w:t xml:space="preserve"> det finansielle systemet og mellom det finansielle systemet og realøkonomien. Dette arbeidet har òg stor betydning for Finanstilsynets </w:t>
      </w:r>
      <w:proofErr w:type="spellStart"/>
      <w:r w:rsidRPr="00B419CE">
        <w:t>føresetnader</w:t>
      </w:r>
      <w:proofErr w:type="spellEnd"/>
      <w:r w:rsidRPr="00B419CE">
        <w:t xml:space="preserve"> for å </w:t>
      </w:r>
      <w:proofErr w:type="spellStart"/>
      <w:r w:rsidRPr="00B419CE">
        <w:t>gje</w:t>
      </w:r>
      <w:proofErr w:type="spellEnd"/>
      <w:r w:rsidRPr="00B419CE">
        <w:t xml:space="preserve"> råd til Finansdepartementet om makroregulering, inkludert reguleringa av utlånspraksis i </w:t>
      </w:r>
      <w:proofErr w:type="spellStart"/>
      <w:r w:rsidRPr="00B419CE">
        <w:t>bankane</w:t>
      </w:r>
      <w:proofErr w:type="spellEnd"/>
      <w:r w:rsidRPr="00B419CE">
        <w:t xml:space="preserve"> og krav til soliditet og likviditet.</w:t>
      </w:r>
    </w:p>
    <w:p w14:paraId="377BEFD0" w14:textId="77777777" w:rsidR="00B419CE" w:rsidRPr="00B419CE" w:rsidRDefault="00B419CE" w:rsidP="00B419CE">
      <w:pPr>
        <w:pStyle w:val="avsnitt-tittel"/>
      </w:pPr>
      <w:r w:rsidRPr="00B419CE">
        <w:t xml:space="preserve">Arbeid med soliditet og likviditet i </w:t>
      </w:r>
      <w:proofErr w:type="spellStart"/>
      <w:r w:rsidRPr="00B419CE">
        <w:t>finansføretaka</w:t>
      </w:r>
      <w:proofErr w:type="spellEnd"/>
    </w:p>
    <w:p w14:paraId="28ABC5E5" w14:textId="77777777" w:rsidR="00B419CE" w:rsidRPr="00B419CE" w:rsidRDefault="00B419CE" w:rsidP="00B419CE">
      <w:r w:rsidRPr="00B419CE">
        <w:t xml:space="preserve">Gjennom </w:t>
      </w:r>
      <w:proofErr w:type="spellStart"/>
      <w:r w:rsidRPr="00B419CE">
        <w:t>stadlege</w:t>
      </w:r>
      <w:proofErr w:type="spellEnd"/>
      <w:r w:rsidRPr="00B419CE">
        <w:t xml:space="preserve"> tilsyn og anna </w:t>
      </w:r>
      <w:proofErr w:type="spellStart"/>
      <w:r w:rsidRPr="00B419CE">
        <w:t>laupande</w:t>
      </w:r>
      <w:proofErr w:type="spellEnd"/>
      <w:r w:rsidRPr="00B419CE">
        <w:t xml:space="preserve"> </w:t>
      </w:r>
      <w:proofErr w:type="spellStart"/>
      <w:r w:rsidRPr="00B419CE">
        <w:t>tilsynsverksemd</w:t>
      </w:r>
      <w:proofErr w:type="spellEnd"/>
      <w:r w:rsidRPr="00B419CE">
        <w:t xml:space="preserve">, skal Finanstilsynet bidra til at </w:t>
      </w:r>
      <w:proofErr w:type="spellStart"/>
      <w:r w:rsidRPr="00B419CE">
        <w:t>føretaka</w:t>
      </w:r>
      <w:proofErr w:type="spellEnd"/>
      <w:r w:rsidRPr="00B419CE">
        <w:t xml:space="preserve"> har god soliditet, er likvide, har </w:t>
      </w:r>
      <w:proofErr w:type="gramStart"/>
      <w:r w:rsidRPr="00B419CE">
        <w:t>robust</w:t>
      </w:r>
      <w:proofErr w:type="gramEnd"/>
      <w:r w:rsidRPr="00B419CE">
        <w:t xml:space="preserve"> finansiering, eigna leiing og ei </w:t>
      </w:r>
      <w:proofErr w:type="spellStart"/>
      <w:r w:rsidRPr="00B419CE">
        <w:t>forsvarleg</w:t>
      </w:r>
      <w:proofErr w:type="spellEnd"/>
      <w:r w:rsidRPr="00B419CE">
        <w:t xml:space="preserve"> risiko- og </w:t>
      </w:r>
      <w:proofErr w:type="spellStart"/>
      <w:r w:rsidRPr="00B419CE">
        <w:t>verksemdstyring</w:t>
      </w:r>
      <w:proofErr w:type="spellEnd"/>
      <w:r w:rsidRPr="00B419CE">
        <w:t xml:space="preserve">. Finanstilsynet skal òg </w:t>
      </w:r>
      <w:proofErr w:type="spellStart"/>
      <w:r w:rsidRPr="00B419CE">
        <w:t>medverke</w:t>
      </w:r>
      <w:proofErr w:type="spellEnd"/>
      <w:r w:rsidRPr="00B419CE">
        <w:t xml:space="preserve"> til dette andsynes </w:t>
      </w:r>
      <w:proofErr w:type="spellStart"/>
      <w:r w:rsidRPr="00B419CE">
        <w:t>dei</w:t>
      </w:r>
      <w:proofErr w:type="spellEnd"/>
      <w:r w:rsidRPr="00B419CE">
        <w:t xml:space="preserve"> </w:t>
      </w:r>
      <w:proofErr w:type="spellStart"/>
      <w:r w:rsidRPr="00B419CE">
        <w:t>utanlandske</w:t>
      </w:r>
      <w:proofErr w:type="spellEnd"/>
      <w:r w:rsidRPr="00B419CE">
        <w:t xml:space="preserve"> </w:t>
      </w:r>
      <w:proofErr w:type="spellStart"/>
      <w:r w:rsidRPr="00B419CE">
        <w:t>føretaka</w:t>
      </w:r>
      <w:proofErr w:type="spellEnd"/>
      <w:r w:rsidRPr="00B419CE">
        <w:t xml:space="preserve"> i </w:t>
      </w:r>
      <w:proofErr w:type="spellStart"/>
      <w:r w:rsidRPr="00B419CE">
        <w:t>Noreg</w:t>
      </w:r>
      <w:proofErr w:type="spellEnd"/>
      <w:r w:rsidRPr="00B419CE">
        <w:t xml:space="preserve">, mellom anna i samarbeidet med andre </w:t>
      </w:r>
      <w:proofErr w:type="spellStart"/>
      <w:r w:rsidRPr="00B419CE">
        <w:t>tilsynsmyndigheiter</w:t>
      </w:r>
      <w:proofErr w:type="spellEnd"/>
      <w:r w:rsidRPr="00B419CE">
        <w:t xml:space="preserve"> og i val av tiltak som Finanstilsynet sett i verk eller foreslår av omsyn til risikotilhøva på den norske </w:t>
      </w:r>
      <w:proofErr w:type="spellStart"/>
      <w:r w:rsidRPr="00B419CE">
        <w:t>marknaden</w:t>
      </w:r>
      <w:proofErr w:type="spellEnd"/>
      <w:r w:rsidRPr="00B419CE">
        <w:t xml:space="preserve">. Solide og likvide </w:t>
      </w:r>
      <w:proofErr w:type="spellStart"/>
      <w:r w:rsidRPr="00B419CE">
        <w:t>finansføretak</w:t>
      </w:r>
      <w:proofErr w:type="spellEnd"/>
      <w:r w:rsidRPr="00B419CE">
        <w:t xml:space="preserve"> er </w:t>
      </w:r>
      <w:proofErr w:type="spellStart"/>
      <w:r w:rsidRPr="00B419CE">
        <w:t>ein</w:t>
      </w:r>
      <w:proofErr w:type="spellEnd"/>
      <w:r w:rsidRPr="00B419CE">
        <w:t xml:space="preserve"> </w:t>
      </w:r>
      <w:proofErr w:type="spellStart"/>
      <w:r w:rsidRPr="00B419CE">
        <w:t>føresetnad</w:t>
      </w:r>
      <w:proofErr w:type="spellEnd"/>
      <w:r w:rsidRPr="00B419CE">
        <w:t xml:space="preserve"> for finansiell stabilitet, der norske og </w:t>
      </w:r>
      <w:proofErr w:type="spellStart"/>
      <w:r w:rsidRPr="00B419CE">
        <w:t>utanlandske</w:t>
      </w:r>
      <w:proofErr w:type="spellEnd"/>
      <w:r w:rsidRPr="00B419CE">
        <w:t xml:space="preserve"> </w:t>
      </w:r>
      <w:proofErr w:type="spellStart"/>
      <w:r w:rsidRPr="00B419CE">
        <w:t>føretak</w:t>
      </w:r>
      <w:proofErr w:type="spellEnd"/>
      <w:r w:rsidRPr="00B419CE">
        <w:t xml:space="preserve"> i </w:t>
      </w:r>
      <w:proofErr w:type="spellStart"/>
      <w:r w:rsidRPr="00B419CE">
        <w:t>Noreg</w:t>
      </w:r>
      <w:proofErr w:type="spellEnd"/>
      <w:r w:rsidRPr="00B419CE">
        <w:t xml:space="preserve"> er i stand til å oppfylle sine skyldnader overfor </w:t>
      </w:r>
      <w:proofErr w:type="spellStart"/>
      <w:r w:rsidRPr="00B419CE">
        <w:t>kundane</w:t>
      </w:r>
      <w:proofErr w:type="spellEnd"/>
      <w:r w:rsidRPr="00B419CE">
        <w:t xml:space="preserve"> og kan ta hand om sine </w:t>
      </w:r>
      <w:proofErr w:type="spellStart"/>
      <w:r w:rsidRPr="00B419CE">
        <w:t>samfunnsfunksjonar</w:t>
      </w:r>
      <w:proofErr w:type="spellEnd"/>
      <w:r w:rsidRPr="00B419CE">
        <w:t xml:space="preserve">. Klimarisiko skal òg inngå i tilsyn med risiko og risikostyring i </w:t>
      </w:r>
      <w:proofErr w:type="spellStart"/>
      <w:r w:rsidRPr="00B419CE">
        <w:t>føretaka</w:t>
      </w:r>
      <w:proofErr w:type="spellEnd"/>
      <w:r w:rsidRPr="00B419CE">
        <w:t xml:space="preserve">, </w:t>
      </w:r>
      <w:proofErr w:type="spellStart"/>
      <w:r w:rsidRPr="00B419CE">
        <w:t>medan</w:t>
      </w:r>
      <w:proofErr w:type="spellEnd"/>
      <w:r w:rsidRPr="00B419CE">
        <w:t xml:space="preserve"> nye </w:t>
      </w:r>
      <w:proofErr w:type="spellStart"/>
      <w:r w:rsidRPr="00B419CE">
        <w:t>reglar</w:t>
      </w:r>
      <w:proofErr w:type="spellEnd"/>
      <w:r w:rsidRPr="00B419CE">
        <w:t xml:space="preserve"> om </w:t>
      </w:r>
      <w:proofErr w:type="spellStart"/>
      <w:r w:rsidRPr="00B419CE">
        <w:lastRenderedPageBreak/>
        <w:t>verdipapirisering</w:t>
      </w:r>
      <w:proofErr w:type="spellEnd"/>
      <w:r w:rsidRPr="00B419CE">
        <w:t xml:space="preserve"> mellom anna </w:t>
      </w:r>
      <w:proofErr w:type="spellStart"/>
      <w:r w:rsidRPr="00B419CE">
        <w:t>føreset</w:t>
      </w:r>
      <w:proofErr w:type="spellEnd"/>
      <w:r w:rsidRPr="00B419CE">
        <w:t xml:space="preserve"> at Finanstilsynet kontrollerer at kredittrisiko vert overført til </w:t>
      </w:r>
      <w:proofErr w:type="spellStart"/>
      <w:r w:rsidRPr="00B419CE">
        <w:t>investorane</w:t>
      </w:r>
      <w:proofErr w:type="spellEnd"/>
      <w:r w:rsidRPr="00B419CE">
        <w:t>.</w:t>
      </w:r>
    </w:p>
    <w:p w14:paraId="60D3B908" w14:textId="77777777" w:rsidR="00B419CE" w:rsidRPr="00B419CE" w:rsidRDefault="00B419CE" w:rsidP="00B419CE">
      <w:pPr>
        <w:pStyle w:val="avsnitt-tittel"/>
      </w:pPr>
      <w:r w:rsidRPr="00B419CE">
        <w:t>Tilsyn med distribusjon av utlån, pensjons- og fondsprodukt samt andre finansielle instrument</w:t>
      </w:r>
    </w:p>
    <w:p w14:paraId="356E55C1" w14:textId="77777777" w:rsidR="00B419CE" w:rsidRPr="00B419CE" w:rsidRDefault="00B419CE" w:rsidP="00B419CE">
      <w:r w:rsidRPr="00B419CE">
        <w:t xml:space="preserve">Pensjonsprodukt med </w:t>
      </w:r>
      <w:proofErr w:type="spellStart"/>
      <w:r w:rsidRPr="00B419CE">
        <w:t>investeringsval</w:t>
      </w:r>
      <w:proofErr w:type="spellEnd"/>
      <w:r w:rsidRPr="00B419CE">
        <w:t xml:space="preserve"> og sparing i fondsprodukt </w:t>
      </w:r>
      <w:proofErr w:type="spellStart"/>
      <w:r w:rsidRPr="00B419CE">
        <w:t>inneber</w:t>
      </w:r>
      <w:proofErr w:type="spellEnd"/>
      <w:r w:rsidRPr="00B419CE">
        <w:t xml:space="preserve"> at </w:t>
      </w:r>
      <w:proofErr w:type="spellStart"/>
      <w:r w:rsidRPr="00B419CE">
        <w:t>kundane</w:t>
      </w:r>
      <w:proofErr w:type="spellEnd"/>
      <w:r w:rsidRPr="00B419CE">
        <w:t xml:space="preserve"> </w:t>
      </w:r>
      <w:proofErr w:type="spellStart"/>
      <w:r w:rsidRPr="00B419CE">
        <w:t>sjølv</w:t>
      </w:r>
      <w:proofErr w:type="spellEnd"/>
      <w:r w:rsidRPr="00B419CE">
        <w:t xml:space="preserve"> ber avkastningsrisikoen, og gjennom låneopptak </w:t>
      </w:r>
      <w:proofErr w:type="spellStart"/>
      <w:r w:rsidRPr="00B419CE">
        <w:t>pådreg</w:t>
      </w:r>
      <w:proofErr w:type="spellEnd"/>
      <w:r w:rsidRPr="00B419CE">
        <w:t xml:space="preserve"> </w:t>
      </w:r>
      <w:proofErr w:type="spellStart"/>
      <w:r w:rsidRPr="00B419CE">
        <w:t>kundane</w:t>
      </w:r>
      <w:proofErr w:type="spellEnd"/>
      <w:r w:rsidRPr="00B419CE">
        <w:t xml:space="preserve"> seg gjeld. Gjennom sitt tilsyn skal Finanstilsynet </w:t>
      </w:r>
      <w:proofErr w:type="spellStart"/>
      <w:r w:rsidRPr="00B419CE">
        <w:t>medverke</w:t>
      </w:r>
      <w:proofErr w:type="spellEnd"/>
      <w:r w:rsidRPr="00B419CE">
        <w:t xml:space="preserve"> til at </w:t>
      </w:r>
      <w:proofErr w:type="spellStart"/>
      <w:r w:rsidRPr="00B419CE">
        <w:t>føretaka</w:t>
      </w:r>
      <w:proofErr w:type="spellEnd"/>
      <w:r w:rsidRPr="00B419CE">
        <w:t xml:space="preserve"> tilbyr og </w:t>
      </w:r>
      <w:proofErr w:type="spellStart"/>
      <w:r w:rsidRPr="00B419CE">
        <w:t>formidlar</w:t>
      </w:r>
      <w:proofErr w:type="spellEnd"/>
      <w:r w:rsidRPr="00B419CE">
        <w:t xml:space="preserve"> produkta på </w:t>
      </w:r>
      <w:proofErr w:type="spellStart"/>
      <w:r w:rsidRPr="00B419CE">
        <w:t>ein</w:t>
      </w:r>
      <w:proofErr w:type="spellEnd"/>
      <w:r w:rsidRPr="00B419CE">
        <w:t xml:space="preserve"> </w:t>
      </w:r>
      <w:proofErr w:type="spellStart"/>
      <w:r w:rsidRPr="00B419CE">
        <w:t>forsvarleg</w:t>
      </w:r>
      <w:proofErr w:type="spellEnd"/>
      <w:r w:rsidRPr="00B419CE">
        <w:t xml:space="preserve"> måte, der </w:t>
      </w:r>
      <w:proofErr w:type="spellStart"/>
      <w:r w:rsidRPr="00B419CE">
        <w:t>dei</w:t>
      </w:r>
      <w:proofErr w:type="spellEnd"/>
      <w:r w:rsidRPr="00B419CE">
        <w:t xml:space="preserve"> </w:t>
      </w:r>
      <w:proofErr w:type="spellStart"/>
      <w:r w:rsidRPr="00B419CE">
        <w:t>tek</w:t>
      </w:r>
      <w:proofErr w:type="spellEnd"/>
      <w:r w:rsidRPr="00B419CE">
        <w:t xml:space="preserve"> vare på </w:t>
      </w:r>
      <w:proofErr w:type="spellStart"/>
      <w:r w:rsidRPr="00B419CE">
        <w:t>interessa</w:t>
      </w:r>
      <w:proofErr w:type="spellEnd"/>
      <w:r w:rsidRPr="00B419CE">
        <w:t xml:space="preserve"> til </w:t>
      </w:r>
      <w:proofErr w:type="spellStart"/>
      <w:r w:rsidRPr="00B419CE">
        <w:t>kundane</w:t>
      </w:r>
      <w:proofErr w:type="spellEnd"/>
      <w:r w:rsidRPr="00B419CE">
        <w:t xml:space="preserve"> og </w:t>
      </w:r>
      <w:proofErr w:type="spellStart"/>
      <w:r w:rsidRPr="00B419CE">
        <w:t>tek</w:t>
      </w:r>
      <w:proofErr w:type="spellEnd"/>
      <w:r w:rsidRPr="00B419CE">
        <w:t xml:space="preserve"> omsyn til </w:t>
      </w:r>
      <w:proofErr w:type="spellStart"/>
      <w:r w:rsidRPr="00B419CE">
        <w:t>deira</w:t>
      </w:r>
      <w:proofErr w:type="spellEnd"/>
      <w:r w:rsidRPr="00B419CE">
        <w:t xml:space="preserve"> </w:t>
      </w:r>
      <w:proofErr w:type="spellStart"/>
      <w:r w:rsidRPr="00B419CE">
        <w:t>føresetnader</w:t>
      </w:r>
      <w:proofErr w:type="spellEnd"/>
      <w:r w:rsidRPr="00B419CE">
        <w:t xml:space="preserve"> for å forstå </w:t>
      </w:r>
      <w:proofErr w:type="spellStart"/>
      <w:r w:rsidRPr="00B419CE">
        <w:t>eigenskapane</w:t>
      </w:r>
      <w:proofErr w:type="spellEnd"/>
      <w:r w:rsidRPr="00B419CE">
        <w:t xml:space="preserve"> til produkta og </w:t>
      </w:r>
      <w:proofErr w:type="spellStart"/>
      <w:r w:rsidRPr="00B419CE">
        <w:t>konsekvensar</w:t>
      </w:r>
      <w:proofErr w:type="spellEnd"/>
      <w:r w:rsidRPr="00B419CE">
        <w:t xml:space="preserve"> av sine avgjerder.</w:t>
      </w:r>
    </w:p>
    <w:p w14:paraId="64DC8B87" w14:textId="77777777" w:rsidR="00B419CE" w:rsidRPr="00B419CE" w:rsidRDefault="00B419CE" w:rsidP="00B419CE">
      <w:pPr>
        <w:pStyle w:val="avsnitt-tittel"/>
      </w:pPr>
      <w:r w:rsidRPr="00B419CE">
        <w:t xml:space="preserve">Tilsyn med </w:t>
      </w:r>
      <w:proofErr w:type="spellStart"/>
      <w:r w:rsidRPr="00B419CE">
        <w:t>aktørane</w:t>
      </w:r>
      <w:proofErr w:type="spellEnd"/>
      <w:r w:rsidRPr="00B419CE">
        <w:t xml:space="preserve"> i betalings-, handels- og </w:t>
      </w:r>
      <w:proofErr w:type="spellStart"/>
      <w:r w:rsidRPr="00B419CE">
        <w:t>oppgjerssystema</w:t>
      </w:r>
      <w:proofErr w:type="spellEnd"/>
      <w:r w:rsidRPr="00B419CE">
        <w:t xml:space="preserve"> og </w:t>
      </w:r>
      <w:proofErr w:type="spellStart"/>
      <w:r w:rsidRPr="00B419CE">
        <w:t>annan</w:t>
      </w:r>
      <w:proofErr w:type="spellEnd"/>
      <w:r w:rsidRPr="00B419CE">
        <w:t xml:space="preserve"> finansiell infrastruktur</w:t>
      </w:r>
    </w:p>
    <w:p w14:paraId="7BE19FA4" w14:textId="77777777" w:rsidR="00B419CE" w:rsidRPr="00B419CE" w:rsidRDefault="00B419CE" w:rsidP="00B419CE">
      <w:proofErr w:type="spellStart"/>
      <w:r w:rsidRPr="00B419CE">
        <w:t>Alvorleg</w:t>
      </w:r>
      <w:proofErr w:type="spellEnd"/>
      <w:r w:rsidRPr="00B419CE">
        <w:t xml:space="preserve"> svikt eller </w:t>
      </w:r>
      <w:proofErr w:type="spellStart"/>
      <w:r w:rsidRPr="00B419CE">
        <w:t>samanbrot</w:t>
      </w:r>
      <w:proofErr w:type="spellEnd"/>
      <w:r w:rsidRPr="00B419CE">
        <w:t xml:space="preserve"> i den finansielle infrastrukturen kan ramme finanssektoren og vitale </w:t>
      </w:r>
      <w:proofErr w:type="spellStart"/>
      <w:r w:rsidRPr="00B419CE">
        <w:t>samfunnsfunksjonar</w:t>
      </w:r>
      <w:proofErr w:type="spellEnd"/>
      <w:r w:rsidRPr="00B419CE">
        <w:t xml:space="preserve"> hardt. Nye og avanserte digitale </w:t>
      </w:r>
      <w:proofErr w:type="spellStart"/>
      <w:r w:rsidRPr="00B419CE">
        <w:t>løysingar</w:t>
      </w:r>
      <w:proofErr w:type="spellEnd"/>
      <w:r w:rsidRPr="00B419CE">
        <w:t xml:space="preserve"> og nye </w:t>
      </w:r>
      <w:proofErr w:type="spellStart"/>
      <w:r w:rsidRPr="00B419CE">
        <w:t>aktørar</w:t>
      </w:r>
      <w:proofErr w:type="spellEnd"/>
      <w:r w:rsidRPr="00B419CE">
        <w:t xml:space="preserve"> og </w:t>
      </w:r>
      <w:proofErr w:type="spellStart"/>
      <w:r w:rsidRPr="00B419CE">
        <w:t>leverandørar</w:t>
      </w:r>
      <w:proofErr w:type="spellEnd"/>
      <w:r w:rsidRPr="00B419CE">
        <w:t xml:space="preserve"> kan </w:t>
      </w:r>
      <w:proofErr w:type="spellStart"/>
      <w:r w:rsidRPr="00B419CE">
        <w:t>medverke</w:t>
      </w:r>
      <w:proofErr w:type="spellEnd"/>
      <w:r w:rsidRPr="00B419CE">
        <w:t xml:space="preserve"> til </w:t>
      </w:r>
      <w:proofErr w:type="spellStart"/>
      <w:r w:rsidRPr="00B419CE">
        <w:t>auka</w:t>
      </w:r>
      <w:proofErr w:type="spellEnd"/>
      <w:r w:rsidRPr="00B419CE">
        <w:t xml:space="preserve"> effektivitet, men kan òg </w:t>
      </w:r>
      <w:proofErr w:type="spellStart"/>
      <w:r w:rsidRPr="00B419CE">
        <w:t>auke</w:t>
      </w:r>
      <w:proofErr w:type="spellEnd"/>
      <w:r w:rsidRPr="00B419CE">
        <w:t xml:space="preserve"> risikoen i det finansielle systemet. Finanstilsynet skal bidra til at </w:t>
      </w:r>
      <w:proofErr w:type="spellStart"/>
      <w:r w:rsidRPr="00B419CE">
        <w:t>aktørane</w:t>
      </w:r>
      <w:proofErr w:type="spellEnd"/>
      <w:r w:rsidRPr="00B419CE">
        <w:t xml:space="preserve"> har </w:t>
      </w:r>
      <w:proofErr w:type="spellStart"/>
      <w:r w:rsidRPr="00B419CE">
        <w:t>tilfredsstillande</w:t>
      </w:r>
      <w:proofErr w:type="spellEnd"/>
      <w:r w:rsidRPr="00B419CE">
        <w:t xml:space="preserve"> styring og kontroll av IKT-risiko, cyberrisiko og </w:t>
      </w:r>
      <w:proofErr w:type="spellStart"/>
      <w:r w:rsidRPr="00B419CE">
        <w:t>annan</w:t>
      </w:r>
      <w:proofErr w:type="spellEnd"/>
      <w:r w:rsidRPr="00B419CE">
        <w:t xml:space="preserve"> operasjonell risiko.</w:t>
      </w:r>
    </w:p>
    <w:p w14:paraId="19B66279" w14:textId="77777777" w:rsidR="00B419CE" w:rsidRPr="00B419CE" w:rsidRDefault="00B419CE" w:rsidP="00B419CE">
      <w:pPr>
        <w:pStyle w:val="avsnitt-tittel"/>
      </w:pPr>
      <w:r w:rsidRPr="00B419CE">
        <w:t>Tilsyn med etterleving av kvitvaskingsregelverket</w:t>
      </w:r>
    </w:p>
    <w:p w14:paraId="04EC743B" w14:textId="77777777" w:rsidR="00B419CE" w:rsidRPr="00B419CE" w:rsidRDefault="00B419CE" w:rsidP="00B419CE">
      <w:proofErr w:type="spellStart"/>
      <w:r w:rsidRPr="00B419CE">
        <w:t>Manglande</w:t>
      </w:r>
      <w:proofErr w:type="spellEnd"/>
      <w:r w:rsidRPr="00B419CE">
        <w:t xml:space="preserve"> etterleving av kvitvaskingsregelverket </w:t>
      </w:r>
      <w:proofErr w:type="spellStart"/>
      <w:r w:rsidRPr="00B419CE">
        <w:t>aukar</w:t>
      </w:r>
      <w:proofErr w:type="spellEnd"/>
      <w:r w:rsidRPr="00B419CE">
        <w:t xml:space="preserve"> risikoen for at </w:t>
      </w:r>
      <w:proofErr w:type="spellStart"/>
      <w:r w:rsidRPr="00B419CE">
        <w:t>føretaka</w:t>
      </w:r>
      <w:proofErr w:type="spellEnd"/>
      <w:r w:rsidRPr="00B419CE">
        <w:t xml:space="preserve"> vert brukte til kriminalitet, og det </w:t>
      </w:r>
      <w:proofErr w:type="spellStart"/>
      <w:r w:rsidRPr="00B419CE">
        <w:t>aukar</w:t>
      </w:r>
      <w:proofErr w:type="spellEnd"/>
      <w:r w:rsidRPr="00B419CE">
        <w:t xml:space="preserve"> risikoen for </w:t>
      </w:r>
      <w:proofErr w:type="spellStart"/>
      <w:r w:rsidRPr="00B419CE">
        <w:t>omdømetap</w:t>
      </w:r>
      <w:proofErr w:type="spellEnd"/>
      <w:r w:rsidRPr="00B419CE">
        <w:t xml:space="preserve"> for </w:t>
      </w:r>
      <w:proofErr w:type="spellStart"/>
      <w:r w:rsidRPr="00B419CE">
        <w:t>føretaka</w:t>
      </w:r>
      <w:proofErr w:type="spellEnd"/>
      <w:r w:rsidRPr="00B419CE">
        <w:t xml:space="preserve"> og </w:t>
      </w:r>
      <w:proofErr w:type="spellStart"/>
      <w:r w:rsidRPr="00B419CE">
        <w:t>sviktande</w:t>
      </w:r>
      <w:proofErr w:type="spellEnd"/>
      <w:r w:rsidRPr="00B419CE">
        <w:t xml:space="preserve"> tillit til det finansielle systemet. </w:t>
      </w:r>
      <w:proofErr w:type="spellStart"/>
      <w:r w:rsidRPr="00B419CE">
        <w:t>Tilsynsverksemda</w:t>
      </w:r>
      <w:proofErr w:type="spellEnd"/>
      <w:r w:rsidRPr="00B419CE">
        <w:t xml:space="preserve"> har avdekt </w:t>
      </w:r>
      <w:proofErr w:type="spellStart"/>
      <w:r w:rsidRPr="00B419CE">
        <w:t>vesentlege</w:t>
      </w:r>
      <w:proofErr w:type="spellEnd"/>
      <w:r w:rsidRPr="00B419CE">
        <w:t xml:space="preserve"> </w:t>
      </w:r>
      <w:proofErr w:type="spellStart"/>
      <w:r w:rsidRPr="00B419CE">
        <w:t>svakheiter</w:t>
      </w:r>
      <w:proofErr w:type="spellEnd"/>
      <w:r w:rsidRPr="00B419CE">
        <w:t xml:space="preserve"> i etterleving av kvitvaskingsregelverket hos </w:t>
      </w:r>
      <w:proofErr w:type="spellStart"/>
      <w:r w:rsidRPr="00B419CE">
        <w:t>finansføretaka</w:t>
      </w:r>
      <w:proofErr w:type="spellEnd"/>
      <w:r w:rsidRPr="00B419CE">
        <w:t xml:space="preserve"> og andre rapporteringspliktige, og arbeidet må </w:t>
      </w:r>
      <w:proofErr w:type="spellStart"/>
      <w:r w:rsidRPr="00B419CE">
        <w:t>framleis</w:t>
      </w:r>
      <w:proofErr w:type="spellEnd"/>
      <w:r w:rsidRPr="00B419CE">
        <w:t xml:space="preserve"> ha prioritet.</w:t>
      </w:r>
    </w:p>
    <w:p w14:paraId="7E33BEB7" w14:textId="77777777" w:rsidR="00B419CE" w:rsidRPr="00B419CE" w:rsidRDefault="00B419CE" w:rsidP="00B419CE">
      <w:pPr>
        <w:pStyle w:val="avsnitt-tittel"/>
      </w:pPr>
      <w:r w:rsidRPr="00B419CE">
        <w:t xml:space="preserve">Tilsyn med </w:t>
      </w:r>
      <w:proofErr w:type="spellStart"/>
      <w:r w:rsidRPr="00B419CE">
        <w:t>verdipapirmarknaden</w:t>
      </w:r>
      <w:proofErr w:type="spellEnd"/>
    </w:p>
    <w:p w14:paraId="22287708" w14:textId="77777777" w:rsidR="00B419CE" w:rsidRPr="00B419CE" w:rsidRDefault="00B419CE" w:rsidP="00B419CE">
      <w:r w:rsidRPr="00B419CE">
        <w:t xml:space="preserve">Finanstilsynet må mellom anna </w:t>
      </w:r>
      <w:proofErr w:type="spellStart"/>
      <w:r w:rsidRPr="00B419CE">
        <w:t>følgje</w:t>
      </w:r>
      <w:proofErr w:type="spellEnd"/>
      <w:r w:rsidRPr="00B419CE">
        <w:t xml:space="preserve"> opp utvida rapporterings- og meldeplikter for </w:t>
      </w:r>
      <w:proofErr w:type="spellStart"/>
      <w:r w:rsidRPr="00B419CE">
        <w:t>aktørane</w:t>
      </w:r>
      <w:proofErr w:type="spellEnd"/>
      <w:r w:rsidRPr="00B419CE">
        <w:t xml:space="preserve"> etter </w:t>
      </w:r>
      <w:proofErr w:type="spellStart"/>
      <w:r w:rsidRPr="00B419CE">
        <w:t>dei</w:t>
      </w:r>
      <w:proofErr w:type="spellEnd"/>
      <w:r w:rsidRPr="00B419CE">
        <w:t xml:space="preserve"> nye </w:t>
      </w:r>
      <w:proofErr w:type="spellStart"/>
      <w:r w:rsidRPr="00B419CE">
        <w:t>reglane</w:t>
      </w:r>
      <w:proofErr w:type="spellEnd"/>
      <w:r w:rsidRPr="00B419CE">
        <w:t xml:space="preserve"> om </w:t>
      </w:r>
      <w:proofErr w:type="spellStart"/>
      <w:r w:rsidRPr="00B419CE">
        <w:t>marknadsåtferd</w:t>
      </w:r>
      <w:proofErr w:type="spellEnd"/>
      <w:r w:rsidRPr="00B419CE">
        <w:t xml:space="preserve">, nye </w:t>
      </w:r>
      <w:proofErr w:type="spellStart"/>
      <w:r w:rsidRPr="00B419CE">
        <w:t>tilsynsoppgåver</w:t>
      </w:r>
      <w:proofErr w:type="spellEnd"/>
      <w:r w:rsidRPr="00B419CE">
        <w:t xml:space="preserve"> etter den nye lova om </w:t>
      </w:r>
      <w:proofErr w:type="spellStart"/>
      <w:r w:rsidRPr="00B419CE">
        <w:t>verdipapirsentralar</w:t>
      </w:r>
      <w:proofErr w:type="spellEnd"/>
      <w:r w:rsidRPr="00B419CE">
        <w:t xml:space="preserve"> og innføring av nye fondstyper. </w:t>
      </w:r>
      <w:proofErr w:type="spellStart"/>
      <w:r w:rsidRPr="00B419CE">
        <w:t>Vidare</w:t>
      </w:r>
      <w:proofErr w:type="spellEnd"/>
      <w:r w:rsidRPr="00B419CE">
        <w:t xml:space="preserve"> er det forslag om at </w:t>
      </w:r>
      <w:proofErr w:type="spellStart"/>
      <w:r w:rsidRPr="00B419CE">
        <w:t>dei</w:t>
      </w:r>
      <w:proofErr w:type="spellEnd"/>
      <w:r w:rsidRPr="00B419CE">
        <w:t xml:space="preserve"> </w:t>
      </w:r>
      <w:proofErr w:type="spellStart"/>
      <w:r w:rsidRPr="00B419CE">
        <w:t>offentlege</w:t>
      </w:r>
      <w:proofErr w:type="spellEnd"/>
      <w:r w:rsidRPr="00B419CE">
        <w:t xml:space="preserve"> </w:t>
      </w:r>
      <w:proofErr w:type="spellStart"/>
      <w:r w:rsidRPr="00B419CE">
        <w:t>oppgåvene</w:t>
      </w:r>
      <w:proofErr w:type="spellEnd"/>
      <w:r w:rsidRPr="00B419CE">
        <w:t xml:space="preserve"> som i dag er delegerte til Oslo Børs og som gjeld oppfølging av pliktige </w:t>
      </w:r>
      <w:proofErr w:type="spellStart"/>
      <w:r w:rsidRPr="00B419CE">
        <w:t>tilbod</w:t>
      </w:r>
      <w:proofErr w:type="spellEnd"/>
      <w:r w:rsidRPr="00B419CE">
        <w:t xml:space="preserve"> og </w:t>
      </w:r>
      <w:proofErr w:type="spellStart"/>
      <w:r w:rsidRPr="00B419CE">
        <w:t>laupande</w:t>
      </w:r>
      <w:proofErr w:type="spellEnd"/>
      <w:r w:rsidRPr="00B419CE">
        <w:t xml:space="preserve"> informasjonsplikt, skal </w:t>
      </w:r>
      <w:proofErr w:type="spellStart"/>
      <w:r w:rsidRPr="00B419CE">
        <w:t>overførast</w:t>
      </w:r>
      <w:proofErr w:type="spellEnd"/>
      <w:r w:rsidRPr="00B419CE">
        <w:t xml:space="preserve"> til Finanstilsynet. Departementet </w:t>
      </w:r>
      <w:proofErr w:type="spellStart"/>
      <w:r w:rsidRPr="00B419CE">
        <w:t>behandlar</w:t>
      </w:r>
      <w:proofErr w:type="spellEnd"/>
      <w:r w:rsidRPr="00B419CE">
        <w:t xml:space="preserve"> </w:t>
      </w:r>
      <w:proofErr w:type="spellStart"/>
      <w:r w:rsidRPr="00B419CE">
        <w:t>desse</w:t>
      </w:r>
      <w:proofErr w:type="spellEnd"/>
      <w:r w:rsidRPr="00B419CE">
        <w:t xml:space="preserve"> forslaga. Dersom </w:t>
      </w:r>
      <w:proofErr w:type="spellStart"/>
      <w:r w:rsidRPr="00B419CE">
        <w:t>oppgåvene</w:t>
      </w:r>
      <w:proofErr w:type="spellEnd"/>
      <w:r w:rsidRPr="00B419CE">
        <w:t xml:space="preserve"> vert flytta, må </w:t>
      </w:r>
      <w:proofErr w:type="spellStart"/>
      <w:r w:rsidRPr="00B419CE">
        <w:t>dei</w:t>
      </w:r>
      <w:proofErr w:type="spellEnd"/>
      <w:r w:rsidRPr="00B419CE">
        <w:t xml:space="preserve"> </w:t>
      </w:r>
      <w:proofErr w:type="spellStart"/>
      <w:r w:rsidRPr="00B419CE">
        <w:t>integrerast</w:t>
      </w:r>
      <w:proofErr w:type="spellEnd"/>
      <w:r w:rsidRPr="00B419CE">
        <w:t xml:space="preserve"> med </w:t>
      </w:r>
      <w:proofErr w:type="spellStart"/>
      <w:r w:rsidRPr="00B419CE">
        <w:t>verksemda</w:t>
      </w:r>
      <w:proofErr w:type="spellEnd"/>
      <w:r w:rsidRPr="00B419CE">
        <w:t xml:space="preserve"> elles.</w:t>
      </w:r>
    </w:p>
    <w:p w14:paraId="056B2DD3" w14:textId="77777777" w:rsidR="00B419CE" w:rsidRPr="00B419CE" w:rsidRDefault="00B419CE" w:rsidP="00B419CE">
      <w:pPr>
        <w:pStyle w:val="avsnitt-tittel"/>
      </w:pPr>
      <w:proofErr w:type="spellStart"/>
      <w:r w:rsidRPr="00B419CE">
        <w:t>Overvaking</w:t>
      </w:r>
      <w:proofErr w:type="spellEnd"/>
      <w:r w:rsidRPr="00B419CE">
        <w:t xml:space="preserve"> av nye </w:t>
      </w:r>
      <w:proofErr w:type="spellStart"/>
      <w:r w:rsidRPr="00B419CE">
        <w:t>teknologiar</w:t>
      </w:r>
      <w:proofErr w:type="spellEnd"/>
      <w:r w:rsidRPr="00B419CE">
        <w:t xml:space="preserve"> og </w:t>
      </w:r>
      <w:proofErr w:type="spellStart"/>
      <w:r w:rsidRPr="00B419CE">
        <w:t>marknadar</w:t>
      </w:r>
      <w:proofErr w:type="spellEnd"/>
    </w:p>
    <w:p w14:paraId="7BC9A8CD" w14:textId="77777777" w:rsidR="00B419CE" w:rsidRPr="00B419CE" w:rsidRDefault="00B419CE" w:rsidP="00B419CE">
      <w:r w:rsidRPr="00B419CE">
        <w:t xml:space="preserve">Teknologiske </w:t>
      </w:r>
      <w:proofErr w:type="spellStart"/>
      <w:r w:rsidRPr="00B419CE">
        <w:t>endringar</w:t>
      </w:r>
      <w:proofErr w:type="spellEnd"/>
      <w:r w:rsidRPr="00B419CE">
        <w:t xml:space="preserve"> i korleis finansielle </w:t>
      </w:r>
      <w:proofErr w:type="spellStart"/>
      <w:r w:rsidRPr="00B419CE">
        <w:t>transaksjonar</w:t>
      </w:r>
      <w:proofErr w:type="spellEnd"/>
      <w:r w:rsidRPr="00B419CE">
        <w:t xml:space="preserve"> kan </w:t>
      </w:r>
      <w:proofErr w:type="spellStart"/>
      <w:r w:rsidRPr="00B419CE">
        <w:t>gjennomførast</w:t>
      </w:r>
      <w:proofErr w:type="spellEnd"/>
      <w:r w:rsidRPr="00B419CE">
        <w:t xml:space="preserve"> og kva for </w:t>
      </w:r>
      <w:proofErr w:type="spellStart"/>
      <w:r w:rsidRPr="00B419CE">
        <w:t>eigedelar</w:t>
      </w:r>
      <w:proofErr w:type="spellEnd"/>
      <w:r w:rsidRPr="00B419CE">
        <w:t xml:space="preserve"> som kan </w:t>
      </w:r>
      <w:proofErr w:type="spellStart"/>
      <w:r w:rsidRPr="00B419CE">
        <w:t>omsetjast</w:t>
      </w:r>
      <w:proofErr w:type="spellEnd"/>
      <w:r w:rsidRPr="00B419CE">
        <w:t xml:space="preserve"> i digitale </w:t>
      </w:r>
      <w:proofErr w:type="spellStart"/>
      <w:r w:rsidRPr="00B419CE">
        <w:t>marknader</w:t>
      </w:r>
      <w:proofErr w:type="spellEnd"/>
      <w:r w:rsidRPr="00B419CE">
        <w:t xml:space="preserve">, kan skape </w:t>
      </w:r>
      <w:proofErr w:type="spellStart"/>
      <w:r w:rsidRPr="00B419CE">
        <w:t>eit</w:t>
      </w:r>
      <w:proofErr w:type="spellEnd"/>
      <w:r w:rsidRPr="00B419CE">
        <w:t xml:space="preserve"> </w:t>
      </w:r>
      <w:proofErr w:type="spellStart"/>
      <w:r w:rsidRPr="00B419CE">
        <w:t>uoversiktleg</w:t>
      </w:r>
      <w:proofErr w:type="spellEnd"/>
      <w:r w:rsidRPr="00B419CE">
        <w:t xml:space="preserve"> </w:t>
      </w:r>
      <w:proofErr w:type="spellStart"/>
      <w:r w:rsidRPr="00B419CE">
        <w:t>bilete</w:t>
      </w:r>
      <w:proofErr w:type="spellEnd"/>
      <w:r w:rsidRPr="00B419CE">
        <w:t xml:space="preserve"> for </w:t>
      </w:r>
      <w:proofErr w:type="spellStart"/>
      <w:r w:rsidRPr="00B419CE">
        <w:t>myndigheiter</w:t>
      </w:r>
      <w:proofErr w:type="spellEnd"/>
      <w:r w:rsidRPr="00B419CE">
        <w:t xml:space="preserve"> og </w:t>
      </w:r>
      <w:proofErr w:type="spellStart"/>
      <w:r w:rsidRPr="00B419CE">
        <w:t>forbrukarar</w:t>
      </w:r>
      <w:proofErr w:type="spellEnd"/>
      <w:r w:rsidRPr="00B419CE">
        <w:t xml:space="preserve">. Mellom anna </w:t>
      </w:r>
      <w:proofErr w:type="spellStart"/>
      <w:r w:rsidRPr="00B419CE">
        <w:t>inneber</w:t>
      </w:r>
      <w:proofErr w:type="spellEnd"/>
      <w:r w:rsidRPr="00B419CE">
        <w:t xml:space="preserve"> utviklinga </w:t>
      </w:r>
      <w:proofErr w:type="spellStart"/>
      <w:r w:rsidRPr="00B419CE">
        <w:t>innan</w:t>
      </w:r>
      <w:proofErr w:type="spellEnd"/>
      <w:r w:rsidRPr="00B419CE">
        <w:t xml:space="preserve"> </w:t>
      </w:r>
      <w:proofErr w:type="spellStart"/>
      <w:r w:rsidRPr="00B419CE">
        <w:t>tenester</w:t>
      </w:r>
      <w:proofErr w:type="spellEnd"/>
      <w:r w:rsidRPr="00B419CE">
        <w:t xml:space="preserve"> og </w:t>
      </w:r>
      <w:proofErr w:type="spellStart"/>
      <w:r w:rsidRPr="00B419CE">
        <w:t>eigedelar</w:t>
      </w:r>
      <w:proofErr w:type="spellEnd"/>
      <w:r w:rsidRPr="00B419CE">
        <w:t xml:space="preserve"> basert på desentraliserte </w:t>
      </w:r>
      <w:proofErr w:type="spellStart"/>
      <w:r w:rsidRPr="00B419CE">
        <w:t>løysingar</w:t>
      </w:r>
      <w:proofErr w:type="spellEnd"/>
      <w:r w:rsidRPr="00B419CE">
        <w:t xml:space="preserve">, både </w:t>
      </w:r>
      <w:proofErr w:type="spellStart"/>
      <w:r w:rsidRPr="00B419CE">
        <w:t>moglegheiter</w:t>
      </w:r>
      <w:proofErr w:type="spellEnd"/>
      <w:r w:rsidRPr="00B419CE">
        <w:t xml:space="preserve"> og </w:t>
      </w:r>
      <w:proofErr w:type="spellStart"/>
      <w:r w:rsidRPr="00B419CE">
        <w:t>utfordringar</w:t>
      </w:r>
      <w:proofErr w:type="spellEnd"/>
      <w:r w:rsidRPr="00B419CE">
        <w:t xml:space="preserve"> av </w:t>
      </w:r>
      <w:proofErr w:type="spellStart"/>
      <w:r w:rsidRPr="00B419CE">
        <w:t>betydelege</w:t>
      </w:r>
      <w:proofErr w:type="spellEnd"/>
      <w:r w:rsidRPr="00B419CE">
        <w:t xml:space="preserve"> </w:t>
      </w:r>
      <w:proofErr w:type="spellStart"/>
      <w:r w:rsidRPr="00B419CE">
        <w:t>dimensjonar</w:t>
      </w:r>
      <w:proofErr w:type="spellEnd"/>
      <w:r w:rsidRPr="00B419CE">
        <w:t xml:space="preserve">. </w:t>
      </w:r>
      <w:proofErr w:type="spellStart"/>
      <w:r w:rsidRPr="00B419CE">
        <w:t>Aktivitetar</w:t>
      </w:r>
      <w:proofErr w:type="spellEnd"/>
      <w:r w:rsidRPr="00B419CE">
        <w:t xml:space="preserve"> i nye </w:t>
      </w:r>
      <w:proofErr w:type="spellStart"/>
      <w:r w:rsidRPr="00B419CE">
        <w:t>marknader</w:t>
      </w:r>
      <w:proofErr w:type="spellEnd"/>
      <w:r w:rsidRPr="00B419CE">
        <w:t xml:space="preserve"> som i avgrensa grad er regulerte, kan </w:t>
      </w:r>
      <w:proofErr w:type="spellStart"/>
      <w:r w:rsidRPr="00B419CE">
        <w:t>påverke</w:t>
      </w:r>
      <w:proofErr w:type="spellEnd"/>
      <w:r w:rsidRPr="00B419CE">
        <w:t xml:space="preserve"> stabiliteten i finanssystemet og </w:t>
      </w:r>
      <w:proofErr w:type="spellStart"/>
      <w:r w:rsidRPr="00B419CE">
        <w:t>gjere</w:t>
      </w:r>
      <w:proofErr w:type="spellEnd"/>
      <w:r w:rsidRPr="00B419CE">
        <w:t xml:space="preserve"> det </w:t>
      </w:r>
      <w:proofErr w:type="spellStart"/>
      <w:r w:rsidRPr="00B419CE">
        <w:t>meir</w:t>
      </w:r>
      <w:proofErr w:type="spellEnd"/>
      <w:r w:rsidRPr="00B419CE">
        <w:t xml:space="preserve"> </w:t>
      </w:r>
      <w:proofErr w:type="spellStart"/>
      <w:r w:rsidRPr="00B419CE">
        <w:t>krevjande</w:t>
      </w:r>
      <w:proofErr w:type="spellEnd"/>
      <w:r w:rsidRPr="00B419CE">
        <w:t xml:space="preserve"> å ta i vare </w:t>
      </w:r>
      <w:proofErr w:type="spellStart"/>
      <w:r w:rsidRPr="00B419CE">
        <w:t>eit</w:t>
      </w:r>
      <w:proofErr w:type="spellEnd"/>
      <w:r w:rsidRPr="00B419CE">
        <w:t xml:space="preserve"> godt </w:t>
      </w:r>
      <w:proofErr w:type="spellStart"/>
      <w:r w:rsidRPr="00B419CE">
        <w:t>forbrukarvern</w:t>
      </w:r>
      <w:proofErr w:type="spellEnd"/>
      <w:r w:rsidRPr="00B419CE">
        <w:t xml:space="preserve">. </w:t>
      </w:r>
      <w:r w:rsidRPr="00B419CE">
        <w:lastRenderedPageBreak/>
        <w:t xml:space="preserve">Finanstilsynet må </w:t>
      </w:r>
      <w:proofErr w:type="spellStart"/>
      <w:r w:rsidRPr="00B419CE">
        <w:t>følgje</w:t>
      </w:r>
      <w:proofErr w:type="spellEnd"/>
      <w:r w:rsidRPr="00B419CE">
        <w:t xml:space="preserve"> med på utviklinga og vurdere kva risiko ho </w:t>
      </w:r>
      <w:proofErr w:type="spellStart"/>
      <w:r w:rsidRPr="00B419CE">
        <w:t>utgjer</w:t>
      </w:r>
      <w:proofErr w:type="spellEnd"/>
      <w:r w:rsidRPr="00B419CE">
        <w:t xml:space="preserve"> for den norske </w:t>
      </w:r>
      <w:proofErr w:type="spellStart"/>
      <w:r w:rsidRPr="00B419CE">
        <w:t>finansmarknaden</w:t>
      </w:r>
      <w:proofErr w:type="spellEnd"/>
      <w:r w:rsidRPr="00B419CE">
        <w:t xml:space="preserve"> og norske </w:t>
      </w:r>
      <w:proofErr w:type="spellStart"/>
      <w:r w:rsidRPr="00B419CE">
        <w:t>forbrukarar</w:t>
      </w:r>
      <w:proofErr w:type="spellEnd"/>
      <w:r w:rsidRPr="00B419CE">
        <w:t>.</w:t>
      </w:r>
    </w:p>
    <w:p w14:paraId="025DC6AC" w14:textId="77777777" w:rsidR="00B419CE" w:rsidRPr="00B419CE" w:rsidRDefault="00B419CE" w:rsidP="00B419CE">
      <w:pPr>
        <w:pStyle w:val="avsnitt-tittel"/>
      </w:pPr>
      <w:r w:rsidRPr="00B419CE">
        <w:t>Regelverksutvikling</w:t>
      </w:r>
    </w:p>
    <w:p w14:paraId="629B743F" w14:textId="77777777" w:rsidR="00B419CE" w:rsidRPr="00B419CE" w:rsidRDefault="00B419CE" w:rsidP="00B419CE">
      <w:r w:rsidRPr="00B419CE">
        <w:t xml:space="preserve">Finanstilsynet må delta i internasjonal regelverksutvikling og løyse oppdrag </w:t>
      </w:r>
      <w:proofErr w:type="spellStart"/>
      <w:r w:rsidRPr="00B419CE">
        <w:t>frå</w:t>
      </w:r>
      <w:proofErr w:type="spellEnd"/>
      <w:r w:rsidRPr="00B419CE">
        <w:t xml:space="preserve"> Finansdepartementet. Dette mellom anna for å tilpasse </w:t>
      </w:r>
      <w:proofErr w:type="spellStart"/>
      <w:r w:rsidRPr="00B419CE">
        <w:t>reglane</w:t>
      </w:r>
      <w:proofErr w:type="spellEnd"/>
      <w:r w:rsidRPr="00B419CE">
        <w:t xml:space="preserve"> til nye EØS-</w:t>
      </w:r>
      <w:proofErr w:type="spellStart"/>
      <w:r w:rsidRPr="00B419CE">
        <w:t>reglar</w:t>
      </w:r>
      <w:proofErr w:type="spellEnd"/>
      <w:r w:rsidRPr="00B419CE">
        <w:t xml:space="preserve">, den teknologiske og </w:t>
      </w:r>
      <w:proofErr w:type="spellStart"/>
      <w:r w:rsidRPr="00B419CE">
        <w:t>marknadsmessige</w:t>
      </w:r>
      <w:proofErr w:type="spellEnd"/>
      <w:r w:rsidRPr="00B419CE">
        <w:t xml:space="preserve"> utviklinga i Europa og </w:t>
      </w:r>
      <w:proofErr w:type="spellStart"/>
      <w:r w:rsidRPr="00B419CE">
        <w:t>Noreg</w:t>
      </w:r>
      <w:proofErr w:type="spellEnd"/>
      <w:r w:rsidRPr="00B419CE">
        <w:t xml:space="preserve">, samt til </w:t>
      </w:r>
      <w:proofErr w:type="spellStart"/>
      <w:r w:rsidRPr="00B419CE">
        <w:t>endringar</w:t>
      </w:r>
      <w:proofErr w:type="spellEnd"/>
      <w:r w:rsidRPr="00B419CE">
        <w:t xml:space="preserve"> i mål og </w:t>
      </w:r>
      <w:proofErr w:type="spellStart"/>
      <w:r w:rsidRPr="00B419CE">
        <w:t>forventningar</w:t>
      </w:r>
      <w:proofErr w:type="spellEnd"/>
      <w:r w:rsidRPr="00B419CE">
        <w:t xml:space="preserve"> hjå </w:t>
      </w:r>
      <w:proofErr w:type="spellStart"/>
      <w:r w:rsidRPr="00B419CE">
        <w:t>ålmenta</w:t>
      </w:r>
      <w:proofErr w:type="spellEnd"/>
      <w:r w:rsidRPr="00B419CE">
        <w:t xml:space="preserve"> om kva for problem </w:t>
      </w:r>
      <w:proofErr w:type="spellStart"/>
      <w:r w:rsidRPr="00B419CE">
        <w:t>finansmarknadsreguleringa</w:t>
      </w:r>
      <w:proofErr w:type="spellEnd"/>
      <w:r w:rsidRPr="00B419CE">
        <w:t xml:space="preserve"> skal løyse.</w:t>
      </w:r>
    </w:p>
    <w:p w14:paraId="00C784D6" w14:textId="77777777" w:rsidR="00B419CE" w:rsidRPr="00B419CE" w:rsidRDefault="00B419CE" w:rsidP="00B419CE">
      <w:pPr>
        <w:pStyle w:val="avsnitt-tittel"/>
      </w:pPr>
      <w:r w:rsidRPr="00B419CE">
        <w:t xml:space="preserve">Digitalisering og effektiv </w:t>
      </w:r>
      <w:proofErr w:type="spellStart"/>
      <w:r w:rsidRPr="00B419CE">
        <w:t>tilsynsverksemd</w:t>
      </w:r>
      <w:proofErr w:type="spellEnd"/>
    </w:p>
    <w:p w14:paraId="013FB819" w14:textId="77777777" w:rsidR="00B419CE" w:rsidRPr="00B419CE" w:rsidRDefault="00B419CE" w:rsidP="00B419CE">
      <w:proofErr w:type="spellStart"/>
      <w:r w:rsidRPr="00B419CE">
        <w:t>Vidare</w:t>
      </w:r>
      <w:proofErr w:type="spellEnd"/>
      <w:r w:rsidRPr="00B419CE">
        <w:t xml:space="preserve"> </w:t>
      </w:r>
      <w:proofErr w:type="spellStart"/>
      <w:r w:rsidRPr="00B419CE">
        <w:t>auke</w:t>
      </w:r>
      <w:proofErr w:type="spellEnd"/>
      <w:r w:rsidRPr="00B419CE">
        <w:t xml:space="preserve"> i Finanstilsynets </w:t>
      </w:r>
      <w:proofErr w:type="spellStart"/>
      <w:r w:rsidRPr="00B419CE">
        <w:t>oppgåver</w:t>
      </w:r>
      <w:proofErr w:type="spellEnd"/>
      <w:r w:rsidRPr="00B419CE">
        <w:t xml:space="preserve"> </w:t>
      </w:r>
      <w:proofErr w:type="spellStart"/>
      <w:r w:rsidRPr="00B419CE">
        <w:t>skjerpar</w:t>
      </w:r>
      <w:proofErr w:type="spellEnd"/>
      <w:r w:rsidRPr="00B419CE">
        <w:t xml:space="preserve"> kravet til effektiv utnytting av </w:t>
      </w:r>
      <w:proofErr w:type="spellStart"/>
      <w:r w:rsidRPr="00B419CE">
        <w:t>ressursane</w:t>
      </w:r>
      <w:proofErr w:type="spellEnd"/>
      <w:r w:rsidRPr="00B419CE">
        <w:t xml:space="preserve"> til tilsynet og til prioritering av innsatsen på </w:t>
      </w:r>
      <w:proofErr w:type="spellStart"/>
      <w:r w:rsidRPr="00B419CE">
        <w:t>dei</w:t>
      </w:r>
      <w:proofErr w:type="spellEnd"/>
      <w:r w:rsidRPr="00B419CE">
        <w:t xml:space="preserve"> ulike tilsynsområda, slik at samla måloppfylling vert </w:t>
      </w:r>
      <w:proofErr w:type="spellStart"/>
      <w:r w:rsidRPr="00B419CE">
        <w:t>høgast</w:t>
      </w:r>
      <w:proofErr w:type="spellEnd"/>
      <w:r w:rsidRPr="00B419CE">
        <w:t xml:space="preserve"> </w:t>
      </w:r>
      <w:proofErr w:type="spellStart"/>
      <w:r w:rsidRPr="00B419CE">
        <w:t>mogleg</w:t>
      </w:r>
      <w:proofErr w:type="spellEnd"/>
      <w:r w:rsidRPr="00B419CE">
        <w:t xml:space="preserve">. Det er viktig at Finanstilsynet følgjer beste praksis for tilsynsarbeid og </w:t>
      </w:r>
      <w:proofErr w:type="spellStart"/>
      <w:r w:rsidRPr="00B419CE">
        <w:t>tek</w:t>
      </w:r>
      <w:proofErr w:type="spellEnd"/>
      <w:r w:rsidRPr="00B419CE">
        <w:t xml:space="preserve"> i bruk </w:t>
      </w:r>
      <w:proofErr w:type="spellStart"/>
      <w:r w:rsidRPr="00B419CE">
        <w:t>tilgjengeleg</w:t>
      </w:r>
      <w:proofErr w:type="spellEnd"/>
      <w:r w:rsidRPr="00B419CE">
        <w:t xml:space="preserve"> teknologi for å betre verksmeda internt og </w:t>
      </w:r>
      <w:proofErr w:type="spellStart"/>
      <w:r w:rsidRPr="00B419CE">
        <w:t>tenestene</w:t>
      </w:r>
      <w:proofErr w:type="spellEnd"/>
      <w:r w:rsidRPr="00B419CE">
        <w:t xml:space="preserve"> mot </w:t>
      </w:r>
      <w:proofErr w:type="spellStart"/>
      <w:r w:rsidRPr="00B419CE">
        <w:t>føretak</w:t>
      </w:r>
      <w:proofErr w:type="spellEnd"/>
      <w:r w:rsidRPr="00B419CE">
        <w:t xml:space="preserve"> og tilsynsobjekta. Finanstilsynet må </w:t>
      </w:r>
      <w:proofErr w:type="spellStart"/>
      <w:r w:rsidRPr="00B419CE">
        <w:t>kontinuerleg</w:t>
      </w:r>
      <w:proofErr w:type="spellEnd"/>
      <w:r w:rsidRPr="00B419CE">
        <w:t xml:space="preserve"> arbeide med å effektivisere </w:t>
      </w:r>
      <w:proofErr w:type="spellStart"/>
      <w:r w:rsidRPr="00B419CE">
        <w:t>arbeidsprosessar</w:t>
      </w:r>
      <w:proofErr w:type="spellEnd"/>
      <w:r w:rsidRPr="00B419CE">
        <w:t>.</w:t>
      </w:r>
    </w:p>
    <w:p w14:paraId="04864CF6" w14:textId="77777777" w:rsidR="00B419CE" w:rsidRPr="00B419CE" w:rsidRDefault="00B419CE" w:rsidP="00B419CE">
      <w:proofErr w:type="spellStart"/>
      <w:r w:rsidRPr="00B419CE">
        <w:t>Frå</w:t>
      </w:r>
      <w:proofErr w:type="spellEnd"/>
      <w:r w:rsidRPr="00B419CE">
        <w:t xml:space="preserve"> 2022 skal Finanstilsynet trappe opp digitaliseringsarbeidet. Satsinga skal </w:t>
      </w:r>
      <w:proofErr w:type="spellStart"/>
      <w:r w:rsidRPr="00B419CE">
        <w:t>rettast</w:t>
      </w:r>
      <w:proofErr w:type="spellEnd"/>
      <w:r w:rsidRPr="00B419CE">
        <w:t xml:space="preserve"> mot automatisering av </w:t>
      </w:r>
      <w:proofErr w:type="spellStart"/>
      <w:r w:rsidRPr="00B419CE">
        <w:t>forvaltningsoppgåver</w:t>
      </w:r>
      <w:proofErr w:type="spellEnd"/>
      <w:r w:rsidRPr="00B419CE">
        <w:t xml:space="preserve">, digitalisering av </w:t>
      </w:r>
      <w:proofErr w:type="spellStart"/>
      <w:r w:rsidRPr="00B419CE">
        <w:t>tilsynsprosessar</w:t>
      </w:r>
      <w:proofErr w:type="spellEnd"/>
      <w:r w:rsidRPr="00B419CE">
        <w:t xml:space="preserve">, </w:t>
      </w:r>
      <w:proofErr w:type="spellStart"/>
      <w:r w:rsidRPr="00B419CE">
        <w:t>meir</w:t>
      </w:r>
      <w:proofErr w:type="spellEnd"/>
      <w:r w:rsidRPr="00B419CE">
        <w:t xml:space="preserve"> effektiv rapportering og datafangst, betre </w:t>
      </w:r>
      <w:proofErr w:type="spellStart"/>
      <w:r w:rsidRPr="00B419CE">
        <w:t>analyseløysingar</w:t>
      </w:r>
      <w:proofErr w:type="spellEnd"/>
      <w:r w:rsidRPr="00B419CE">
        <w:t xml:space="preserve"> og </w:t>
      </w:r>
      <w:proofErr w:type="spellStart"/>
      <w:r w:rsidRPr="00B419CE">
        <w:t>auka</w:t>
      </w:r>
      <w:proofErr w:type="spellEnd"/>
      <w:r w:rsidRPr="00B419CE">
        <w:t xml:space="preserve"> deling av data. Tilsynet vil mellom anna ta i bruk kunstig intelligens på innsamla data for å </w:t>
      </w:r>
      <w:proofErr w:type="spellStart"/>
      <w:r w:rsidRPr="00B419CE">
        <w:t>avdekkje</w:t>
      </w:r>
      <w:proofErr w:type="spellEnd"/>
      <w:r w:rsidRPr="00B419CE">
        <w:t xml:space="preserve"> mønster og </w:t>
      </w:r>
      <w:proofErr w:type="spellStart"/>
      <w:r w:rsidRPr="00B419CE">
        <w:t>ulovleg</w:t>
      </w:r>
      <w:proofErr w:type="spellEnd"/>
      <w:r w:rsidRPr="00B419CE">
        <w:t xml:space="preserve"> aktivitet i </w:t>
      </w:r>
      <w:proofErr w:type="spellStart"/>
      <w:r w:rsidRPr="00B419CE">
        <w:t>verdipapirmarknaden</w:t>
      </w:r>
      <w:proofErr w:type="spellEnd"/>
      <w:r w:rsidRPr="00B419CE">
        <w:t xml:space="preserve">. Det vil òg </w:t>
      </w:r>
      <w:proofErr w:type="spellStart"/>
      <w:r w:rsidRPr="00B419CE">
        <w:t>auke</w:t>
      </w:r>
      <w:proofErr w:type="spellEnd"/>
      <w:r w:rsidRPr="00B419CE">
        <w:t xml:space="preserve"> den maskinelle behandlinga og kontrollen med dokument og lydfiler. Arbeidet er planlagt å vare i fem år.</w:t>
      </w:r>
    </w:p>
    <w:p w14:paraId="2F4328FC" w14:textId="77777777" w:rsidR="00B419CE" w:rsidRPr="00B419CE" w:rsidRDefault="00B419CE" w:rsidP="00B419CE">
      <w:r w:rsidRPr="00B419CE">
        <w:t xml:space="preserve">Tiltaka skal </w:t>
      </w:r>
      <w:proofErr w:type="spellStart"/>
      <w:r w:rsidRPr="00B419CE">
        <w:t>medverke</w:t>
      </w:r>
      <w:proofErr w:type="spellEnd"/>
      <w:r w:rsidRPr="00B419CE">
        <w:t xml:space="preserve"> til effektivisering, forenkling og betre kvalitet i tilsynsarbeidet. For næringslivet skal satsinga på sikt </w:t>
      </w:r>
      <w:proofErr w:type="spellStart"/>
      <w:r w:rsidRPr="00B419CE">
        <w:t>gje</w:t>
      </w:r>
      <w:proofErr w:type="spellEnd"/>
      <w:r w:rsidRPr="00B419CE">
        <w:t xml:space="preserve"> </w:t>
      </w:r>
      <w:proofErr w:type="spellStart"/>
      <w:r w:rsidRPr="00B419CE">
        <w:t>lågare</w:t>
      </w:r>
      <w:proofErr w:type="spellEnd"/>
      <w:r w:rsidRPr="00B419CE">
        <w:t xml:space="preserve"> kostnader i form av </w:t>
      </w:r>
      <w:proofErr w:type="spellStart"/>
      <w:r w:rsidRPr="00B419CE">
        <w:t>enklare</w:t>
      </w:r>
      <w:proofErr w:type="spellEnd"/>
      <w:r w:rsidRPr="00B419CE">
        <w:t xml:space="preserve"> rapportering, mindre dobbeltrapportering, </w:t>
      </w:r>
      <w:proofErr w:type="spellStart"/>
      <w:r w:rsidRPr="00B419CE">
        <w:t>lettare</w:t>
      </w:r>
      <w:proofErr w:type="spellEnd"/>
      <w:r w:rsidRPr="00B419CE">
        <w:t xml:space="preserve"> tilgang til tal og effektiv samhandling med Finanstilsynet. For 2022 er det sett av 21,5 mill. kroner til dette arbeidet. Etter planen skal tiltaka </w:t>
      </w:r>
      <w:proofErr w:type="spellStart"/>
      <w:r w:rsidRPr="00B419CE">
        <w:t>gje</w:t>
      </w:r>
      <w:proofErr w:type="spellEnd"/>
      <w:r w:rsidRPr="00B419CE">
        <w:t xml:space="preserve"> </w:t>
      </w:r>
      <w:proofErr w:type="spellStart"/>
      <w:r w:rsidRPr="00B419CE">
        <w:t>gevinstar</w:t>
      </w:r>
      <w:proofErr w:type="spellEnd"/>
      <w:r w:rsidRPr="00B419CE">
        <w:t xml:space="preserve"> </w:t>
      </w:r>
      <w:proofErr w:type="spellStart"/>
      <w:r w:rsidRPr="00B419CE">
        <w:t>frå</w:t>
      </w:r>
      <w:proofErr w:type="spellEnd"/>
      <w:r w:rsidRPr="00B419CE">
        <w:t xml:space="preserve"> 2023, og som gradvis vil </w:t>
      </w:r>
      <w:proofErr w:type="spellStart"/>
      <w:r w:rsidRPr="00B419CE">
        <w:t>auke</w:t>
      </w:r>
      <w:proofErr w:type="spellEnd"/>
      <w:r w:rsidRPr="00B419CE">
        <w:t xml:space="preserve"> i åra etter.</w:t>
      </w:r>
    </w:p>
    <w:p w14:paraId="3E880BCF" w14:textId="77777777" w:rsidR="00B419CE" w:rsidRPr="00B419CE" w:rsidRDefault="00B419CE" w:rsidP="00B419CE">
      <w:pPr>
        <w:pStyle w:val="Undertittel"/>
      </w:pPr>
      <w:r w:rsidRPr="00B419CE">
        <w:t>Budsjett for 2022</w:t>
      </w:r>
    </w:p>
    <w:p w14:paraId="0439D0C8" w14:textId="77777777" w:rsidR="00B419CE" w:rsidRPr="00B419CE" w:rsidRDefault="00B419CE" w:rsidP="00B419CE">
      <w:r w:rsidRPr="00B419CE">
        <w:t xml:space="preserve">Departementet foreslår å </w:t>
      </w:r>
      <w:proofErr w:type="spellStart"/>
      <w:r w:rsidRPr="00B419CE">
        <w:t>setje</w:t>
      </w:r>
      <w:proofErr w:type="spellEnd"/>
      <w:r w:rsidRPr="00B419CE">
        <w:t xml:space="preserve"> budsjettramma til Finanstilsynet for 2022 til 475,9 mill. kroner. Nominelt er dette 30,7 mill. kroner eller 6,9 pst. </w:t>
      </w:r>
      <w:proofErr w:type="spellStart"/>
      <w:r w:rsidRPr="00B419CE">
        <w:t>høgare</w:t>
      </w:r>
      <w:proofErr w:type="spellEnd"/>
      <w:r w:rsidRPr="00B419CE">
        <w:t xml:space="preserve"> enn saldert budsjett 2021. Løyvinga skal brukast i samsvar med </w:t>
      </w:r>
      <w:proofErr w:type="spellStart"/>
      <w:r w:rsidRPr="00B419CE">
        <w:t>dei</w:t>
      </w:r>
      <w:proofErr w:type="spellEnd"/>
      <w:r w:rsidRPr="00B419CE">
        <w:t xml:space="preserve"> mål og </w:t>
      </w:r>
      <w:proofErr w:type="spellStart"/>
      <w:r w:rsidRPr="00B419CE">
        <w:t>prioriteringar</w:t>
      </w:r>
      <w:proofErr w:type="spellEnd"/>
      <w:r w:rsidRPr="00B419CE">
        <w:t xml:space="preserve"> som er omtalte </w:t>
      </w:r>
      <w:proofErr w:type="spellStart"/>
      <w:r w:rsidRPr="00B419CE">
        <w:t>ovanfor</w:t>
      </w:r>
      <w:proofErr w:type="spellEnd"/>
      <w:r w:rsidRPr="00B419CE">
        <w:t xml:space="preserve">, jf. Mål og </w:t>
      </w:r>
      <w:proofErr w:type="spellStart"/>
      <w:r w:rsidRPr="00B419CE">
        <w:t>prioriteringar</w:t>
      </w:r>
      <w:proofErr w:type="spellEnd"/>
      <w:r w:rsidRPr="00B419CE">
        <w:t xml:space="preserve"> i 2022.</w:t>
      </w:r>
    </w:p>
    <w:p w14:paraId="390B2E32" w14:textId="77777777" w:rsidR="00B419CE" w:rsidRPr="00B419CE" w:rsidRDefault="00B419CE" w:rsidP="00B419CE">
      <w:pPr>
        <w:pStyle w:val="b-post"/>
      </w:pPr>
      <w:r w:rsidRPr="00B419CE">
        <w:t>Post 01 Driftsutgifter</w:t>
      </w:r>
    </w:p>
    <w:p w14:paraId="7CF80E13"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lønsutgifter</w:t>
      </w:r>
      <w:proofErr w:type="spellEnd"/>
      <w:r w:rsidRPr="00B419CE">
        <w:t xml:space="preserve"> og andre driftsutgifter. For 2022 foreslår departementet ei løyving på 440,6 mill. kroner som er nominelt er 17,2 mill. kroner eller 3,6 pst. </w:t>
      </w:r>
      <w:proofErr w:type="spellStart"/>
      <w:r w:rsidRPr="00B419CE">
        <w:t>høgare</w:t>
      </w:r>
      <w:proofErr w:type="spellEnd"/>
      <w:r w:rsidRPr="00B419CE">
        <w:t xml:space="preserve"> enn saldert budsjett 2021. Finanstilsynet må </w:t>
      </w:r>
      <w:proofErr w:type="spellStart"/>
      <w:r w:rsidRPr="00B419CE">
        <w:t>framleis</w:t>
      </w:r>
      <w:proofErr w:type="spellEnd"/>
      <w:r w:rsidRPr="00B419CE">
        <w:t xml:space="preserve"> </w:t>
      </w:r>
      <w:proofErr w:type="spellStart"/>
      <w:r w:rsidRPr="00B419CE">
        <w:t>leggje</w:t>
      </w:r>
      <w:proofErr w:type="spellEnd"/>
      <w:r w:rsidRPr="00B419CE">
        <w:t xml:space="preserve"> stor vekt på å sikre rasjonell og effektiv drift.</w:t>
      </w:r>
    </w:p>
    <w:p w14:paraId="5340EDE8" w14:textId="77777777" w:rsidR="00B419CE" w:rsidRPr="00B419CE" w:rsidRDefault="00B419CE" w:rsidP="00B419CE">
      <w:pPr>
        <w:pStyle w:val="b-post"/>
      </w:pPr>
      <w:r w:rsidRPr="00B419CE">
        <w:lastRenderedPageBreak/>
        <w:t xml:space="preserve">Post 45 Større utstyrskjøp og </w:t>
      </w:r>
      <w:proofErr w:type="spellStart"/>
      <w:r w:rsidRPr="00B419CE">
        <w:t>vedlikehald</w:t>
      </w:r>
      <w:proofErr w:type="spellEnd"/>
      <w:r w:rsidRPr="00B419CE">
        <w:t xml:space="preserve">, kan </w:t>
      </w:r>
      <w:proofErr w:type="spellStart"/>
      <w:r w:rsidRPr="00B419CE">
        <w:t>overførast</w:t>
      </w:r>
      <w:proofErr w:type="spellEnd"/>
    </w:p>
    <w:p w14:paraId="7CF3B29F" w14:textId="77777777" w:rsidR="00B419CE" w:rsidRPr="00B419CE" w:rsidRDefault="00B419CE" w:rsidP="00B419CE">
      <w:r w:rsidRPr="00B419CE">
        <w:t xml:space="preserve">Posten </w:t>
      </w:r>
      <w:proofErr w:type="spellStart"/>
      <w:r w:rsidRPr="00B419CE">
        <w:t>omfattar</w:t>
      </w:r>
      <w:proofErr w:type="spellEnd"/>
      <w:r w:rsidRPr="00B419CE">
        <w:t xml:space="preserve"> utviklingstiltak for IKT-systema i Finanstilsynet og effektivisering av </w:t>
      </w:r>
      <w:proofErr w:type="spellStart"/>
      <w:r w:rsidRPr="00B419CE">
        <w:t>tilsynsprosessar</w:t>
      </w:r>
      <w:proofErr w:type="spellEnd"/>
      <w:r w:rsidRPr="00B419CE">
        <w:t xml:space="preserve">. Nye krav til tilsyn og </w:t>
      </w:r>
      <w:proofErr w:type="spellStart"/>
      <w:r w:rsidRPr="00B419CE">
        <w:t>tilsynsmetodar</w:t>
      </w:r>
      <w:proofErr w:type="spellEnd"/>
      <w:r w:rsidRPr="00B419CE">
        <w:t xml:space="preserve"> stiller </w:t>
      </w:r>
      <w:proofErr w:type="spellStart"/>
      <w:r w:rsidRPr="00B419CE">
        <w:t>omfattande</w:t>
      </w:r>
      <w:proofErr w:type="spellEnd"/>
      <w:r w:rsidRPr="00B419CE">
        <w:t xml:space="preserve"> krav til </w:t>
      </w:r>
      <w:proofErr w:type="spellStart"/>
      <w:r w:rsidRPr="00B419CE">
        <w:t>tilpassingar</w:t>
      </w:r>
      <w:proofErr w:type="spellEnd"/>
      <w:r w:rsidRPr="00B419CE">
        <w:t xml:space="preserve"> og utvikling av IKT-system som støtte for tilsynsarbeidet. For 2022 gjeld det mellom anna </w:t>
      </w:r>
      <w:proofErr w:type="spellStart"/>
      <w:r w:rsidRPr="00B419CE">
        <w:t>vidare</w:t>
      </w:r>
      <w:proofErr w:type="spellEnd"/>
      <w:r w:rsidRPr="00B419CE">
        <w:t xml:space="preserve"> arbeid med å tilfredsstille nye og endra europeiske rapporteringskrav og </w:t>
      </w:r>
      <w:proofErr w:type="spellStart"/>
      <w:r w:rsidRPr="00B419CE">
        <w:t>leggje</w:t>
      </w:r>
      <w:proofErr w:type="spellEnd"/>
      <w:r w:rsidRPr="00B419CE">
        <w:t xml:space="preserve"> til rette for </w:t>
      </w:r>
      <w:proofErr w:type="spellStart"/>
      <w:r w:rsidRPr="00B419CE">
        <w:t>naudsynt</w:t>
      </w:r>
      <w:proofErr w:type="spellEnd"/>
      <w:r w:rsidRPr="00B419CE">
        <w:t xml:space="preserve"> analyse. Arbeid med å modernisere Finanstilsynets samla IKT-plattform, samt </w:t>
      </w:r>
      <w:proofErr w:type="spellStart"/>
      <w:r w:rsidRPr="00B419CE">
        <w:t>følgje</w:t>
      </w:r>
      <w:proofErr w:type="spellEnd"/>
      <w:r w:rsidRPr="00B419CE">
        <w:t xml:space="preserve"> opp tiltaka i digitaliseringsstrategien, vil </w:t>
      </w:r>
      <w:proofErr w:type="spellStart"/>
      <w:r w:rsidRPr="00B419CE">
        <w:t>verte</w:t>
      </w:r>
      <w:proofErr w:type="spellEnd"/>
      <w:r w:rsidRPr="00B419CE">
        <w:t xml:space="preserve"> prioritert og ligg til grunn for den </w:t>
      </w:r>
      <w:proofErr w:type="spellStart"/>
      <w:r w:rsidRPr="00B419CE">
        <w:t>klåre</w:t>
      </w:r>
      <w:proofErr w:type="spellEnd"/>
      <w:r w:rsidRPr="00B419CE">
        <w:t xml:space="preserve"> </w:t>
      </w:r>
      <w:proofErr w:type="spellStart"/>
      <w:r w:rsidRPr="00B419CE">
        <w:t>auken</w:t>
      </w:r>
      <w:proofErr w:type="spellEnd"/>
      <w:r w:rsidRPr="00B419CE">
        <w:t xml:space="preserve"> på denne posten. For 2022 </w:t>
      </w:r>
      <w:proofErr w:type="spellStart"/>
      <w:r w:rsidRPr="00B419CE">
        <w:t>gjer</w:t>
      </w:r>
      <w:proofErr w:type="spellEnd"/>
      <w:r w:rsidRPr="00B419CE">
        <w:t xml:space="preserve"> departementet framlegg om å løyve 35,3 mill. kroner, </w:t>
      </w:r>
      <w:proofErr w:type="spellStart"/>
      <w:r w:rsidRPr="00B419CE">
        <w:t>noko</w:t>
      </w:r>
      <w:proofErr w:type="spellEnd"/>
      <w:r w:rsidRPr="00B419CE">
        <w:t xml:space="preserve"> som er 15,5 mill. kroner </w:t>
      </w:r>
      <w:proofErr w:type="spellStart"/>
      <w:r w:rsidRPr="00B419CE">
        <w:t>meir</w:t>
      </w:r>
      <w:proofErr w:type="spellEnd"/>
      <w:r w:rsidRPr="00B419CE">
        <w:t xml:space="preserve"> enn i saldert budsjett 2021.</w:t>
      </w:r>
    </w:p>
    <w:p w14:paraId="2C1879B2" w14:textId="77777777" w:rsidR="00B419CE" w:rsidRPr="00B419CE" w:rsidRDefault="00B419CE" w:rsidP="00B419CE">
      <w:pPr>
        <w:pStyle w:val="b-budkaptit"/>
      </w:pPr>
      <w:r w:rsidRPr="00B419CE">
        <w:t>Kap. 4602 Finanstilsynet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4F10C260" w14:textId="77777777" w:rsidTr="00B419CE">
        <w:trPr>
          <w:trHeight w:val="640"/>
          <w:hidden/>
        </w:trPr>
        <w:tc>
          <w:tcPr>
            <w:tcW w:w="1140" w:type="dxa"/>
            <w:shd w:val="clear" w:color="auto" w:fill="FFFFFF"/>
          </w:tcPr>
          <w:p w14:paraId="420165ED" w14:textId="77777777" w:rsidR="00B419CE" w:rsidRPr="00B419CE" w:rsidRDefault="00B419CE" w:rsidP="00B419CE">
            <w:pPr>
              <w:pStyle w:val="Tabellnavn"/>
            </w:pPr>
            <w:r w:rsidRPr="00B419CE">
              <w:t>KPAL</w:t>
            </w:r>
          </w:p>
        </w:tc>
        <w:tc>
          <w:tcPr>
            <w:tcW w:w="4560" w:type="dxa"/>
          </w:tcPr>
          <w:p w14:paraId="4AAFFAC8" w14:textId="77777777" w:rsidR="00B419CE" w:rsidRPr="00B419CE" w:rsidRDefault="00B419CE" w:rsidP="00B419CE"/>
        </w:tc>
        <w:tc>
          <w:tcPr>
            <w:tcW w:w="1140" w:type="dxa"/>
          </w:tcPr>
          <w:p w14:paraId="5C34A1A6" w14:textId="77777777" w:rsidR="00B419CE" w:rsidRPr="00B419CE" w:rsidRDefault="00B419CE" w:rsidP="00B419CE">
            <w:pPr>
              <w:jc w:val="right"/>
            </w:pPr>
          </w:p>
        </w:tc>
        <w:tc>
          <w:tcPr>
            <w:tcW w:w="1140" w:type="dxa"/>
          </w:tcPr>
          <w:p w14:paraId="6A2A32B8" w14:textId="77777777" w:rsidR="00B419CE" w:rsidRPr="00B419CE" w:rsidRDefault="00B419CE" w:rsidP="00B419CE">
            <w:pPr>
              <w:jc w:val="right"/>
            </w:pPr>
          </w:p>
        </w:tc>
        <w:tc>
          <w:tcPr>
            <w:tcW w:w="1140" w:type="dxa"/>
          </w:tcPr>
          <w:p w14:paraId="6FE8BFBE" w14:textId="77777777" w:rsidR="00B419CE" w:rsidRPr="00B419CE" w:rsidRDefault="00B419CE" w:rsidP="00B419CE">
            <w:pPr>
              <w:jc w:val="right"/>
            </w:pPr>
            <w:r w:rsidRPr="00B419CE">
              <w:t>(i 1 000 kr)</w:t>
            </w:r>
          </w:p>
        </w:tc>
      </w:tr>
      <w:tr w:rsidR="00B419CE" w:rsidRPr="00B419CE" w14:paraId="6B5F3A6F" w14:textId="77777777" w:rsidTr="00B419CE">
        <w:trPr>
          <w:trHeight w:val="600"/>
        </w:trPr>
        <w:tc>
          <w:tcPr>
            <w:tcW w:w="1140" w:type="dxa"/>
          </w:tcPr>
          <w:p w14:paraId="50FDBB82" w14:textId="77777777" w:rsidR="00B419CE" w:rsidRPr="00B419CE" w:rsidRDefault="00B419CE" w:rsidP="00B419CE">
            <w:r w:rsidRPr="00B419CE">
              <w:t>Post</w:t>
            </w:r>
          </w:p>
        </w:tc>
        <w:tc>
          <w:tcPr>
            <w:tcW w:w="4560" w:type="dxa"/>
          </w:tcPr>
          <w:p w14:paraId="310F53E0" w14:textId="77777777" w:rsidR="00B419CE" w:rsidRPr="00B419CE" w:rsidRDefault="00B419CE" w:rsidP="00B419CE">
            <w:proofErr w:type="spellStart"/>
            <w:r w:rsidRPr="00B419CE">
              <w:t>Nemning</w:t>
            </w:r>
            <w:proofErr w:type="spellEnd"/>
          </w:p>
        </w:tc>
        <w:tc>
          <w:tcPr>
            <w:tcW w:w="1140" w:type="dxa"/>
          </w:tcPr>
          <w:p w14:paraId="34119690"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21C9D227" w14:textId="77777777" w:rsidR="00B419CE" w:rsidRPr="00B419CE" w:rsidRDefault="00B419CE" w:rsidP="00B419CE">
            <w:pPr>
              <w:jc w:val="right"/>
            </w:pPr>
            <w:r w:rsidRPr="00B419CE">
              <w:t>Saldert</w:t>
            </w:r>
            <w:r w:rsidRPr="00B419CE">
              <w:br/>
              <w:t xml:space="preserve"> budsjett 2021</w:t>
            </w:r>
          </w:p>
        </w:tc>
        <w:tc>
          <w:tcPr>
            <w:tcW w:w="1140" w:type="dxa"/>
          </w:tcPr>
          <w:p w14:paraId="568FF2B7" w14:textId="77777777" w:rsidR="00B419CE" w:rsidRPr="00B419CE" w:rsidRDefault="00B419CE" w:rsidP="00B419CE">
            <w:pPr>
              <w:jc w:val="right"/>
            </w:pPr>
            <w:r w:rsidRPr="00B419CE">
              <w:t>Forslag</w:t>
            </w:r>
            <w:r w:rsidRPr="00B419CE">
              <w:br/>
              <w:t xml:space="preserve"> 2022</w:t>
            </w:r>
          </w:p>
        </w:tc>
      </w:tr>
      <w:tr w:rsidR="00B419CE" w:rsidRPr="00B419CE" w14:paraId="608D8C79" w14:textId="77777777" w:rsidTr="00B419CE">
        <w:trPr>
          <w:trHeight w:val="380"/>
        </w:trPr>
        <w:tc>
          <w:tcPr>
            <w:tcW w:w="1140" w:type="dxa"/>
          </w:tcPr>
          <w:p w14:paraId="3F519A01" w14:textId="77777777" w:rsidR="00B419CE" w:rsidRPr="00B419CE" w:rsidRDefault="00B419CE" w:rsidP="00B419CE">
            <w:r w:rsidRPr="00B419CE">
              <w:t>03</w:t>
            </w:r>
          </w:p>
        </w:tc>
        <w:tc>
          <w:tcPr>
            <w:tcW w:w="4560" w:type="dxa"/>
          </w:tcPr>
          <w:p w14:paraId="388DDE92" w14:textId="77777777" w:rsidR="00B419CE" w:rsidRPr="00B419CE" w:rsidRDefault="00B419CE" w:rsidP="00B419CE">
            <w:r w:rsidRPr="00B419CE">
              <w:t>Sakshandsamingsgebyr</w:t>
            </w:r>
          </w:p>
        </w:tc>
        <w:tc>
          <w:tcPr>
            <w:tcW w:w="1140" w:type="dxa"/>
          </w:tcPr>
          <w:p w14:paraId="35A06872" w14:textId="77777777" w:rsidR="00B419CE" w:rsidRPr="00B419CE" w:rsidRDefault="00B419CE" w:rsidP="00B419CE">
            <w:pPr>
              <w:jc w:val="right"/>
            </w:pPr>
            <w:r w:rsidRPr="00B419CE">
              <w:t>11 238</w:t>
            </w:r>
          </w:p>
        </w:tc>
        <w:tc>
          <w:tcPr>
            <w:tcW w:w="1140" w:type="dxa"/>
          </w:tcPr>
          <w:p w14:paraId="65D3BC59" w14:textId="77777777" w:rsidR="00B419CE" w:rsidRPr="00B419CE" w:rsidRDefault="00B419CE" w:rsidP="00B419CE">
            <w:pPr>
              <w:jc w:val="right"/>
            </w:pPr>
            <w:r w:rsidRPr="00B419CE">
              <w:t>12 588</w:t>
            </w:r>
          </w:p>
        </w:tc>
        <w:tc>
          <w:tcPr>
            <w:tcW w:w="1140" w:type="dxa"/>
          </w:tcPr>
          <w:p w14:paraId="06ED817F" w14:textId="77777777" w:rsidR="00B419CE" w:rsidRPr="00B419CE" w:rsidRDefault="00B419CE" w:rsidP="00B419CE">
            <w:pPr>
              <w:jc w:val="right"/>
            </w:pPr>
            <w:r w:rsidRPr="00B419CE">
              <w:t>12 800</w:t>
            </w:r>
          </w:p>
        </w:tc>
      </w:tr>
      <w:tr w:rsidR="00B419CE" w:rsidRPr="00B419CE" w14:paraId="2815E68F" w14:textId="77777777" w:rsidTr="00B419CE">
        <w:trPr>
          <w:trHeight w:val="380"/>
        </w:trPr>
        <w:tc>
          <w:tcPr>
            <w:tcW w:w="1140" w:type="dxa"/>
          </w:tcPr>
          <w:p w14:paraId="3152E5A9" w14:textId="77777777" w:rsidR="00B419CE" w:rsidRPr="00B419CE" w:rsidRDefault="00B419CE" w:rsidP="00B419CE">
            <w:r w:rsidRPr="00B419CE">
              <w:t>86</w:t>
            </w:r>
          </w:p>
        </w:tc>
        <w:tc>
          <w:tcPr>
            <w:tcW w:w="4560" w:type="dxa"/>
          </w:tcPr>
          <w:p w14:paraId="544146DB" w14:textId="77777777" w:rsidR="00B419CE" w:rsidRPr="00B419CE" w:rsidRDefault="00B419CE" w:rsidP="00B419CE">
            <w:r w:rsidRPr="00B419CE">
              <w:t xml:space="preserve">Vinningsavståing og gebyr for </w:t>
            </w:r>
            <w:proofErr w:type="spellStart"/>
            <w:r w:rsidRPr="00B419CE">
              <w:t>regelbrot</w:t>
            </w:r>
            <w:proofErr w:type="spellEnd"/>
            <w:r w:rsidRPr="00B419CE">
              <w:t xml:space="preserve"> m.m.</w:t>
            </w:r>
          </w:p>
        </w:tc>
        <w:tc>
          <w:tcPr>
            <w:tcW w:w="1140" w:type="dxa"/>
          </w:tcPr>
          <w:p w14:paraId="67481DD1" w14:textId="77777777" w:rsidR="00B419CE" w:rsidRPr="00B419CE" w:rsidRDefault="00B419CE" w:rsidP="00B419CE">
            <w:pPr>
              <w:jc w:val="right"/>
            </w:pPr>
            <w:r w:rsidRPr="00B419CE">
              <w:t>4 329</w:t>
            </w:r>
          </w:p>
        </w:tc>
        <w:tc>
          <w:tcPr>
            <w:tcW w:w="1140" w:type="dxa"/>
          </w:tcPr>
          <w:p w14:paraId="54ACC818" w14:textId="77777777" w:rsidR="00B419CE" w:rsidRPr="00B419CE" w:rsidRDefault="00B419CE" w:rsidP="00B419CE">
            <w:pPr>
              <w:jc w:val="right"/>
            </w:pPr>
            <w:r w:rsidRPr="00B419CE">
              <w:t>500</w:t>
            </w:r>
          </w:p>
        </w:tc>
        <w:tc>
          <w:tcPr>
            <w:tcW w:w="1140" w:type="dxa"/>
          </w:tcPr>
          <w:p w14:paraId="03853383" w14:textId="77777777" w:rsidR="00B419CE" w:rsidRPr="00B419CE" w:rsidRDefault="00B419CE" w:rsidP="00B419CE">
            <w:pPr>
              <w:jc w:val="right"/>
            </w:pPr>
            <w:r w:rsidRPr="00B419CE">
              <w:t>500</w:t>
            </w:r>
          </w:p>
        </w:tc>
      </w:tr>
      <w:tr w:rsidR="00B419CE" w:rsidRPr="00B419CE" w14:paraId="0C3DBBBC" w14:textId="77777777" w:rsidTr="00B419CE">
        <w:trPr>
          <w:trHeight w:val="380"/>
        </w:trPr>
        <w:tc>
          <w:tcPr>
            <w:tcW w:w="1140" w:type="dxa"/>
          </w:tcPr>
          <w:p w14:paraId="6B3AB7BD" w14:textId="77777777" w:rsidR="00B419CE" w:rsidRPr="00B419CE" w:rsidRDefault="00B419CE" w:rsidP="00B419CE"/>
        </w:tc>
        <w:tc>
          <w:tcPr>
            <w:tcW w:w="4560" w:type="dxa"/>
          </w:tcPr>
          <w:p w14:paraId="46A7CBEA" w14:textId="77777777" w:rsidR="00B419CE" w:rsidRPr="00B419CE" w:rsidRDefault="00B419CE" w:rsidP="00B419CE">
            <w:r w:rsidRPr="00B419CE">
              <w:t>Sum kap. 4602</w:t>
            </w:r>
          </w:p>
        </w:tc>
        <w:tc>
          <w:tcPr>
            <w:tcW w:w="1140" w:type="dxa"/>
          </w:tcPr>
          <w:p w14:paraId="2E46AC65" w14:textId="77777777" w:rsidR="00B419CE" w:rsidRPr="00B419CE" w:rsidRDefault="00B419CE" w:rsidP="00B419CE">
            <w:pPr>
              <w:jc w:val="right"/>
            </w:pPr>
            <w:r w:rsidRPr="00B419CE">
              <w:t>15 567</w:t>
            </w:r>
          </w:p>
        </w:tc>
        <w:tc>
          <w:tcPr>
            <w:tcW w:w="1140" w:type="dxa"/>
          </w:tcPr>
          <w:p w14:paraId="6850771B" w14:textId="77777777" w:rsidR="00B419CE" w:rsidRPr="00B419CE" w:rsidRDefault="00B419CE" w:rsidP="00B419CE">
            <w:pPr>
              <w:jc w:val="right"/>
            </w:pPr>
            <w:r w:rsidRPr="00B419CE">
              <w:t>13 088</w:t>
            </w:r>
          </w:p>
        </w:tc>
        <w:tc>
          <w:tcPr>
            <w:tcW w:w="1140" w:type="dxa"/>
          </w:tcPr>
          <w:p w14:paraId="71F62D88" w14:textId="77777777" w:rsidR="00B419CE" w:rsidRPr="00B419CE" w:rsidRDefault="00B419CE" w:rsidP="00B419CE">
            <w:pPr>
              <w:jc w:val="right"/>
            </w:pPr>
            <w:r w:rsidRPr="00B419CE">
              <w:t>13 300</w:t>
            </w:r>
          </w:p>
        </w:tc>
      </w:tr>
    </w:tbl>
    <w:p w14:paraId="3757E28E" w14:textId="77777777" w:rsidR="00B419CE" w:rsidRPr="00B419CE" w:rsidRDefault="00B419CE" w:rsidP="00B419CE">
      <w:pPr>
        <w:pStyle w:val="b-post"/>
      </w:pPr>
      <w:r w:rsidRPr="00B419CE">
        <w:t>Post 03 Sakshandsamingsgebyr</w:t>
      </w:r>
    </w:p>
    <w:p w14:paraId="419B3176"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hovudsakleg</w:t>
      </w:r>
      <w:proofErr w:type="spellEnd"/>
      <w:r w:rsidRPr="00B419CE">
        <w:t xml:space="preserve"> gebyr </w:t>
      </w:r>
      <w:proofErr w:type="spellStart"/>
      <w:r w:rsidRPr="00B419CE">
        <w:t>frå</w:t>
      </w:r>
      <w:proofErr w:type="spellEnd"/>
      <w:r w:rsidRPr="00B419CE">
        <w:t xml:space="preserve"> den operative prospektkontrollen for </w:t>
      </w:r>
      <w:proofErr w:type="spellStart"/>
      <w:r w:rsidRPr="00B419CE">
        <w:t>omsetjelege</w:t>
      </w:r>
      <w:proofErr w:type="spellEnd"/>
      <w:r w:rsidRPr="00B419CE">
        <w:t xml:space="preserve"> verdipapir. </w:t>
      </w:r>
      <w:proofErr w:type="spellStart"/>
      <w:r w:rsidRPr="00B419CE">
        <w:t>Vidare</w:t>
      </w:r>
      <w:proofErr w:type="spellEnd"/>
      <w:r w:rsidRPr="00B419CE">
        <w:t xml:space="preserve"> inngår gebyr for behandling av søknader om å drive </w:t>
      </w:r>
      <w:proofErr w:type="spellStart"/>
      <w:r w:rsidRPr="00B419CE">
        <w:t>verksemd</w:t>
      </w:r>
      <w:proofErr w:type="spellEnd"/>
      <w:r w:rsidRPr="00B419CE">
        <w:t xml:space="preserve"> som </w:t>
      </w:r>
      <w:proofErr w:type="spellStart"/>
      <w:r w:rsidRPr="00B419CE">
        <w:t>betalingsføretak</w:t>
      </w:r>
      <w:proofErr w:type="spellEnd"/>
      <w:r w:rsidRPr="00B419CE">
        <w:t xml:space="preserve"> og e-</w:t>
      </w:r>
      <w:proofErr w:type="spellStart"/>
      <w:r w:rsidRPr="00B419CE">
        <w:t>pengeføretak</w:t>
      </w:r>
      <w:proofErr w:type="spellEnd"/>
      <w:r w:rsidRPr="00B419CE">
        <w:t>, om inkassoløyve og om løyve til å opptre som opplysningsfullmektig.</w:t>
      </w:r>
    </w:p>
    <w:p w14:paraId="79C54777" w14:textId="77777777" w:rsidR="00B419CE" w:rsidRPr="00B419CE" w:rsidRDefault="00B419CE" w:rsidP="00B419CE">
      <w:r w:rsidRPr="00B419CE">
        <w:t xml:space="preserve">Finanstilsynet skal sjå til at gebyra i størst </w:t>
      </w:r>
      <w:proofErr w:type="spellStart"/>
      <w:r w:rsidRPr="00B419CE">
        <w:t>mogleg</w:t>
      </w:r>
      <w:proofErr w:type="spellEnd"/>
      <w:r w:rsidRPr="00B419CE">
        <w:t xml:space="preserve"> utstrekning reflekterer </w:t>
      </w:r>
      <w:proofErr w:type="spellStart"/>
      <w:r w:rsidRPr="00B419CE">
        <w:t>dei</w:t>
      </w:r>
      <w:proofErr w:type="spellEnd"/>
      <w:r w:rsidRPr="00B419CE">
        <w:t xml:space="preserve"> reelle kostnadene ved saksbehandlinga. Eventuelle avvik mellom </w:t>
      </w:r>
      <w:proofErr w:type="spellStart"/>
      <w:r w:rsidRPr="00B419CE">
        <w:t>dei</w:t>
      </w:r>
      <w:proofErr w:type="spellEnd"/>
      <w:r w:rsidRPr="00B419CE">
        <w:t xml:space="preserve"> pålagde gebyra og kostnadene Finanstilsynet har ved prospektkontroll, vert fordelte året etter på </w:t>
      </w:r>
      <w:proofErr w:type="spellStart"/>
      <w:r w:rsidRPr="00B419CE">
        <w:t>dei</w:t>
      </w:r>
      <w:proofErr w:type="spellEnd"/>
      <w:r w:rsidRPr="00B419CE">
        <w:t xml:space="preserve"> noterte </w:t>
      </w:r>
      <w:proofErr w:type="spellStart"/>
      <w:r w:rsidRPr="00B419CE">
        <w:t>føretaka</w:t>
      </w:r>
      <w:proofErr w:type="spellEnd"/>
      <w:r w:rsidRPr="00B419CE">
        <w:t xml:space="preserve">, </w:t>
      </w:r>
      <w:proofErr w:type="spellStart"/>
      <w:r w:rsidRPr="00B419CE">
        <w:t>anten</w:t>
      </w:r>
      <w:proofErr w:type="spellEnd"/>
      <w:r w:rsidRPr="00B419CE">
        <w:t xml:space="preserve"> som ei tilleggsutlikning eller som ei </w:t>
      </w:r>
      <w:proofErr w:type="spellStart"/>
      <w:r w:rsidRPr="00B419CE">
        <w:t>nedsetjing</w:t>
      </w:r>
      <w:proofErr w:type="spellEnd"/>
      <w:r w:rsidRPr="00B419CE">
        <w:t xml:space="preserve"> av utlikninga til andre tilsynsutgifter.</w:t>
      </w:r>
    </w:p>
    <w:p w14:paraId="2053AB00" w14:textId="77777777" w:rsidR="00B419CE" w:rsidRPr="00B419CE" w:rsidRDefault="00B419CE" w:rsidP="00B419CE">
      <w:r w:rsidRPr="00B419CE">
        <w:t xml:space="preserve">Slike </w:t>
      </w:r>
      <w:proofErr w:type="spellStart"/>
      <w:r w:rsidRPr="00B419CE">
        <w:t>etterutrekningar</w:t>
      </w:r>
      <w:proofErr w:type="spellEnd"/>
      <w:r w:rsidRPr="00B419CE">
        <w:t xml:space="preserve"> vert av praktiske årsaker </w:t>
      </w:r>
      <w:proofErr w:type="spellStart"/>
      <w:r w:rsidRPr="00B419CE">
        <w:t>førde</w:t>
      </w:r>
      <w:proofErr w:type="spellEnd"/>
      <w:r w:rsidRPr="00B419CE">
        <w:t xml:space="preserve"> på kap. 5580 </w:t>
      </w:r>
      <w:r w:rsidRPr="00B419CE">
        <w:rPr>
          <w:rStyle w:val="kursiv"/>
        </w:rPr>
        <w:t>Sektoravgifter under Finansdepartementet,</w:t>
      </w:r>
      <w:r w:rsidRPr="00B419CE">
        <w:t xml:space="preserve"> post 70 </w:t>
      </w:r>
      <w:r w:rsidRPr="00B419CE">
        <w:rPr>
          <w:rStyle w:val="kursiv"/>
        </w:rPr>
        <w:t>Finanstilsynet, tilsynsavgift.</w:t>
      </w:r>
    </w:p>
    <w:p w14:paraId="44D3E1C3" w14:textId="2F756CAD" w:rsidR="00B419CE" w:rsidRPr="00B419CE" w:rsidRDefault="00B419CE" w:rsidP="00B419CE">
      <w:r w:rsidRPr="00B419CE">
        <w:t xml:space="preserve">Gebyr ved tildeling av inkassoløyve er fire gonger rettsgebyret. Betalte gebyr vert </w:t>
      </w:r>
      <w:proofErr w:type="spellStart"/>
      <w:r w:rsidRPr="00B419CE">
        <w:t>trekte</w:t>
      </w:r>
      <w:proofErr w:type="spellEnd"/>
      <w:r w:rsidRPr="00B419CE">
        <w:t xml:space="preserve"> </w:t>
      </w:r>
      <w:proofErr w:type="spellStart"/>
      <w:r w:rsidRPr="00B419CE">
        <w:t>frå</w:t>
      </w:r>
      <w:proofErr w:type="spellEnd"/>
      <w:r w:rsidRPr="00B419CE">
        <w:t xml:space="preserve"> i </w:t>
      </w:r>
      <w:proofErr w:type="spellStart"/>
      <w:r w:rsidRPr="00B419CE">
        <w:t>berekning</w:t>
      </w:r>
      <w:proofErr w:type="spellEnd"/>
      <w:r w:rsidRPr="00B419CE">
        <w:t xml:space="preserve"> av tilsynsavgifta for </w:t>
      </w:r>
      <w:proofErr w:type="spellStart"/>
      <w:r w:rsidRPr="00B419CE">
        <w:t>inkassoføretaka</w:t>
      </w:r>
      <w:proofErr w:type="spellEnd"/>
      <w:r w:rsidRPr="00B419CE">
        <w:t xml:space="preserve">. Saksbehandlingsgebyr for </w:t>
      </w:r>
      <w:proofErr w:type="spellStart"/>
      <w:r w:rsidRPr="00B419CE">
        <w:t>betalingsføretak</w:t>
      </w:r>
      <w:proofErr w:type="spellEnd"/>
      <w:r w:rsidRPr="00B419CE">
        <w:t xml:space="preserve"> og e</w:t>
      </w:r>
      <w:r>
        <w:t>-</w:t>
      </w:r>
      <w:proofErr w:type="spellStart"/>
      <w:r w:rsidRPr="00B419CE">
        <w:t>pengeføretak</w:t>
      </w:r>
      <w:proofErr w:type="spellEnd"/>
      <w:r w:rsidRPr="00B419CE">
        <w:t xml:space="preserve">, samt opplysningsfullmektig, er fastsett i forskrift til kr 30 000. Betalte gebyr vert </w:t>
      </w:r>
      <w:proofErr w:type="spellStart"/>
      <w:r w:rsidRPr="00B419CE">
        <w:t>trekte</w:t>
      </w:r>
      <w:proofErr w:type="spellEnd"/>
      <w:r w:rsidRPr="00B419CE">
        <w:t xml:space="preserve"> </w:t>
      </w:r>
      <w:proofErr w:type="spellStart"/>
      <w:r w:rsidRPr="00B419CE">
        <w:t>frå</w:t>
      </w:r>
      <w:proofErr w:type="spellEnd"/>
      <w:r w:rsidRPr="00B419CE">
        <w:t xml:space="preserve"> i </w:t>
      </w:r>
      <w:proofErr w:type="spellStart"/>
      <w:r w:rsidRPr="00B419CE">
        <w:t>berekning</w:t>
      </w:r>
      <w:proofErr w:type="spellEnd"/>
      <w:r w:rsidRPr="00B419CE">
        <w:t xml:space="preserve"> av tilsynsavgifta for </w:t>
      </w:r>
      <w:proofErr w:type="spellStart"/>
      <w:r w:rsidRPr="00B419CE">
        <w:t>betalingsføretak</w:t>
      </w:r>
      <w:proofErr w:type="spellEnd"/>
      <w:r w:rsidRPr="00B419CE">
        <w:t xml:space="preserve"> og e-</w:t>
      </w:r>
      <w:proofErr w:type="spellStart"/>
      <w:r w:rsidRPr="00B419CE">
        <w:t>pengeføretak</w:t>
      </w:r>
      <w:proofErr w:type="spellEnd"/>
      <w:r w:rsidRPr="00B419CE">
        <w:t xml:space="preserve"> og opplysningsfullmektig.</w:t>
      </w:r>
    </w:p>
    <w:p w14:paraId="0F88C99D" w14:textId="77777777" w:rsidR="00B419CE" w:rsidRPr="00B419CE" w:rsidRDefault="00B419CE" w:rsidP="00B419CE">
      <w:pPr>
        <w:pStyle w:val="b-budkaptit"/>
      </w:pPr>
      <w:r w:rsidRPr="00B419CE">
        <w:lastRenderedPageBreak/>
        <w:t>Kap. 5580 Sektoravgifter under Finansdepartementet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63084D9E" w14:textId="77777777" w:rsidTr="00B419CE">
        <w:trPr>
          <w:trHeight w:val="640"/>
          <w:hidden/>
        </w:trPr>
        <w:tc>
          <w:tcPr>
            <w:tcW w:w="1140" w:type="dxa"/>
            <w:shd w:val="clear" w:color="auto" w:fill="FFFFFF"/>
          </w:tcPr>
          <w:p w14:paraId="0DAB425D" w14:textId="77777777" w:rsidR="00B419CE" w:rsidRPr="00B419CE" w:rsidRDefault="00B419CE" w:rsidP="00B419CE">
            <w:pPr>
              <w:pStyle w:val="Tabellnavn"/>
            </w:pPr>
            <w:r w:rsidRPr="00B419CE">
              <w:t>KPAL</w:t>
            </w:r>
          </w:p>
        </w:tc>
        <w:tc>
          <w:tcPr>
            <w:tcW w:w="4560" w:type="dxa"/>
          </w:tcPr>
          <w:p w14:paraId="7E1D9158" w14:textId="77777777" w:rsidR="00B419CE" w:rsidRPr="00B419CE" w:rsidRDefault="00B419CE" w:rsidP="00B419CE"/>
        </w:tc>
        <w:tc>
          <w:tcPr>
            <w:tcW w:w="1140" w:type="dxa"/>
          </w:tcPr>
          <w:p w14:paraId="4F5DD993" w14:textId="77777777" w:rsidR="00B419CE" w:rsidRPr="00B419CE" w:rsidRDefault="00B419CE" w:rsidP="00B419CE">
            <w:pPr>
              <w:jc w:val="right"/>
            </w:pPr>
          </w:p>
        </w:tc>
        <w:tc>
          <w:tcPr>
            <w:tcW w:w="1140" w:type="dxa"/>
          </w:tcPr>
          <w:p w14:paraId="5E70B8F0" w14:textId="77777777" w:rsidR="00B419CE" w:rsidRPr="00B419CE" w:rsidRDefault="00B419CE" w:rsidP="00B419CE">
            <w:pPr>
              <w:jc w:val="right"/>
            </w:pPr>
          </w:p>
        </w:tc>
        <w:tc>
          <w:tcPr>
            <w:tcW w:w="1140" w:type="dxa"/>
          </w:tcPr>
          <w:p w14:paraId="2573B58B" w14:textId="77777777" w:rsidR="00B419CE" w:rsidRPr="00B419CE" w:rsidRDefault="00B419CE" w:rsidP="00B419CE">
            <w:pPr>
              <w:jc w:val="right"/>
            </w:pPr>
            <w:r w:rsidRPr="00B419CE">
              <w:t>(i 1 000 kr)</w:t>
            </w:r>
          </w:p>
        </w:tc>
      </w:tr>
      <w:tr w:rsidR="00B419CE" w:rsidRPr="00B419CE" w14:paraId="37500224" w14:textId="77777777" w:rsidTr="00B419CE">
        <w:trPr>
          <w:trHeight w:val="600"/>
        </w:trPr>
        <w:tc>
          <w:tcPr>
            <w:tcW w:w="1140" w:type="dxa"/>
          </w:tcPr>
          <w:p w14:paraId="5096821C" w14:textId="77777777" w:rsidR="00B419CE" w:rsidRPr="00B419CE" w:rsidRDefault="00B419CE" w:rsidP="00B419CE">
            <w:r w:rsidRPr="00B419CE">
              <w:t>Post</w:t>
            </w:r>
          </w:p>
        </w:tc>
        <w:tc>
          <w:tcPr>
            <w:tcW w:w="4560" w:type="dxa"/>
          </w:tcPr>
          <w:p w14:paraId="390A5299" w14:textId="77777777" w:rsidR="00B419CE" w:rsidRPr="00B419CE" w:rsidRDefault="00B419CE" w:rsidP="00B419CE">
            <w:proofErr w:type="spellStart"/>
            <w:r w:rsidRPr="00B419CE">
              <w:t>Nemning</w:t>
            </w:r>
            <w:proofErr w:type="spellEnd"/>
          </w:p>
        </w:tc>
        <w:tc>
          <w:tcPr>
            <w:tcW w:w="1140" w:type="dxa"/>
          </w:tcPr>
          <w:p w14:paraId="5C0F9D09"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5E0839DC" w14:textId="77777777" w:rsidR="00B419CE" w:rsidRPr="00B419CE" w:rsidRDefault="00B419CE" w:rsidP="00B419CE">
            <w:pPr>
              <w:jc w:val="right"/>
            </w:pPr>
            <w:r w:rsidRPr="00B419CE">
              <w:t>Saldert</w:t>
            </w:r>
            <w:r w:rsidRPr="00B419CE">
              <w:br/>
              <w:t xml:space="preserve"> budsjett 2021</w:t>
            </w:r>
          </w:p>
        </w:tc>
        <w:tc>
          <w:tcPr>
            <w:tcW w:w="1140" w:type="dxa"/>
          </w:tcPr>
          <w:p w14:paraId="7CA093B8" w14:textId="77777777" w:rsidR="00B419CE" w:rsidRPr="00B419CE" w:rsidRDefault="00B419CE" w:rsidP="00B419CE">
            <w:pPr>
              <w:jc w:val="right"/>
            </w:pPr>
            <w:r w:rsidRPr="00B419CE">
              <w:t>Forslag</w:t>
            </w:r>
            <w:r w:rsidRPr="00B419CE">
              <w:br/>
              <w:t xml:space="preserve"> 2022</w:t>
            </w:r>
          </w:p>
        </w:tc>
      </w:tr>
      <w:tr w:rsidR="00B419CE" w:rsidRPr="00B419CE" w14:paraId="3B2F8702" w14:textId="77777777" w:rsidTr="00B419CE">
        <w:trPr>
          <w:trHeight w:val="380"/>
        </w:trPr>
        <w:tc>
          <w:tcPr>
            <w:tcW w:w="1140" w:type="dxa"/>
          </w:tcPr>
          <w:p w14:paraId="136EE224" w14:textId="77777777" w:rsidR="00B419CE" w:rsidRPr="00B419CE" w:rsidRDefault="00B419CE" w:rsidP="00B419CE">
            <w:r w:rsidRPr="00B419CE">
              <w:t>70</w:t>
            </w:r>
          </w:p>
        </w:tc>
        <w:tc>
          <w:tcPr>
            <w:tcW w:w="4560" w:type="dxa"/>
          </w:tcPr>
          <w:p w14:paraId="1FE6485C" w14:textId="77777777" w:rsidR="00B419CE" w:rsidRPr="00B419CE" w:rsidRDefault="00B419CE" w:rsidP="00B419CE">
            <w:r w:rsidRPr="00B419CE">
              <w:t xml:space="preserve">Finanstilsynet, bidrag </w:t>
            </w:r>
            <w:proofErr w:type="spellStart"/>
            <w:r w:rsidRPr="00B419CE">
              <w:t>frå</w:t>
            </w:r>
            <w:proofErr w:type="spellEnd"/>
            <w:r w:rsidRPr="00B419CE">
              <w:t xml:space="preserve"> </w:t>
            </w:r>
            <w:proofErr w:type="spellStart"/>
            <w:r w:rsidRPr="00B419CE">
              <w:t>tilsynseiningane</w:t>
            </w:r>
            <w:proofErr w:type="spellEnd"/>
          </w:p>
        </w:tc>
        <w:tc>
          <w:tcPr>
            <w:tcW w:w="1140" w:type="dxa"/>
          </w:tcPr>
          <w:p w14:paraId="6072BD9F" w14:textId="77777777" w:rsidR="00B419CE" w:rsidRPr="00B419CE" w:rsidRDefault="00B419CE" w:rsidP="00B419CE">
            <w:pPr>
              <w:jc w:val="right"/>
            </w:pPr>
            <w:r w:rsidRPr="00B419CE">
              <w:t>450 143</w:t>
            </w:r>
          </w:p>
        </w:tc>
        <w:tc>
          <w:tcPr>
            <w:tcW w:w="1140" w:type="dxa"/>
          </w:tcPr>
          <w:p w14:paraId="2CE1728D" w14:textId="77777777" w:rsidR="00B419CE" w:rsidRPr="00B419CE" w:rsidRDefault="00B419CE" w:rsidP="00B419CE">
            <w:pPr>
              <w:jc w:val="right"/>
            </w:pPr>
            <w:r w:rsidRPr="00B419CE">
              <w:t>452 810</w:t>
            </w:r>
          </w:p>
        </w:tc>
        <w:tc>
          <w:tcPr>
            <w:tcW w:w="1140" w:type="dxa"/>
          </w:tcPr>
          <w:p w14:paraId="5FF45361" w14:textId="77777777" w:rsidR="00B419CE" w:rsidRPr="00B419CE" w:rsidRDefault="00B419CE" w:rsidP="00B419CE">
            <w:pPr>
              <w:jc w:val="right"/>
            </w:pPr>
            <w:r w:rsidRPr="00B419CE">
              <w:t>485 860</w:t>
            </w:r>
          </w:p>
        </w:tc>
      </w:tr>
      <w:tr w:rsidR="00B419CE" w:rsidRPr="00B419CE" w14:paraId="09B8FDDF" w14:textId="77777777" w:rsidTr="00B419CE">
        <w:trPr>
          <w:trHeight w:val="380"/>
        </w:trPr>
        <w:tc>
          <w:tcPr>
            <w:tcW w:w="1140" w:type="dxa"/>
          </w:tcPr>
          <w:p w14:paraId="295B183E" w14:textId="77777777" w:rsidR="00B419CE" w:rsidRPr="00B419CE" w:rsidRDefault="00B419CE" w:rsidP="00B419CE"/>
        </w:tc>
        <w:tc>
          <w:tcPr>
            <w:tcW w:w="4560" w:type="dxa"/>
          </w:tcPr>
          <w:p w14:paraId="26BDC510" w14:textId="77777777" w:rsidR="00B419CE" w:rsidRPr="00B419CE" w:rsidRDefault="00B419CE" w:rsidP="00B419CE">
            <w:r w:rsidRPr="00B419CE">
              <w:t>Sum kap. 5580</w:t>
            </w:r>
          </w:p>
        </w:tc>
        <w:tc>
          <w:tcPr>
            <w:tcW w:w="1140" w:type="dxa"/>
          </w:tcPr>
          <w:p w14:paraId="593DB5AD" w14:textId="77777777" w:rsidR="00B419CE" w:rsidRPr="00B419CE" w:rsidRDefault="00B419CE" w:rsidP="00B419CE">
            <w:pPr>
              <w:jc w:val="right"/>
            </w:pPr>
            <w:r w:rsidRPr="00B419CE">
              <w:t>450 143</w:t>
            </w:r>
          </w:p>
        </w:tc>
        <w:tc>
          <w:tcPr>
            <w:tcW w:w="1140" w:type="dxa"/>
          </w:tcPr>
          <w:p w14:paraId="2F6F96E6" w14:textId="77777777" w:rsidR="00B419CE" w:rsidRPr="00B419CE" w:rsidRDefault="00B419CE" w:rsidP="00B419CE">
            <w:pPr>
              <w:jc w:val="right"/>
            </w:pPr>
            <w:r w:rsidRPr="00B419CE">
              <w:t>452 810</w:t>
            </w:r>
          </w:p>
        </w:tc>
        <w:tc>
          <w:tcPr>
            <w:tcW w:w="1140" w:type="dxa"/>
          </w:tcPr>
          <w:p w14:paraId="66FCC25B" w14:textId="77777777" w:rsidR="00B419CE" w:rsidRPr="00B419CE" w:rsidRDefault="00B419CE" w:rsidP="00B419CE">
            <w:pPr>
              <w:jc w:val="right"/>
            </w:pPr>
            <w:r w:rsidRPr="00B419CE">
              <w:t>485 860</w:t>
            </w:r>
          </w:p>
        </w:tc>
      </w:tr>
    </w:tbl>
    <w:p w14:paraId="18EFFB34" w14:textId="77777777" w:rsidR="00B419CE" w:rsidRPr="00B419CE" w:rsidRDefault="00B419CE" w:rsidP="00B419CE">
      <w:r w:rsidRPr="00B419CE">
        <w:t xml:space="preserve">Utgiftene til Finanstilsynet vert fullt ut dekte av </w:t>
      </w:r>
      <w:proofErr w:type="spellStart"/>
      <w:r w:rsidRPr="00B419CE">
        <w:t>føretaka</w:t>
      </w:r>
      <w:proofErr w:type="spellEnd"/>
      <w:r w:rsidRPr="00B419CE">
        <w:t xml:space="preserve"> som er under tilsyn etter finanstilsynslova § 1 eller </w:t>
      </w:r>
      <w:proofErr w:type="spellStart"/>
      <w:r w:rsidRPr="00B419CE">
        <w:t>annan</w:t>
      </w:r>
      <w:proofErr w:type="spellEnd"/>
      <w:r w:rsidRPr="00B419CE">
        <w:t xml:space="preserve"> lovheimel. Finansieringa av utgiftene er heimla i finanstilsynslova § 9. </w:t>
      </w:r>
      <w:proofErr w:type="spellStart"/>
      <w:r w:rsidRPr="00B419CE">
        <w:t>Lovreglane</w:t>
      </w:r>
      <w:proofErr w:type="spellEnd"/>
      <w:r w:rsidRPr="00B419CE">
        <w:t xml:space="preserve"> er supplerte med forskrifter. </w:t>
      </w:r>
      <w:proofErr w:type="spellStart"/>
      <w:r w:rsidRPr="00B419CE">
        <w:t>Brukarbetalinga</w:t>
      </w:r>
      <w:proofErr w:type="spellEnd"/>
      <w:r w:rsidRPr="00B419CE">
        <w:t xml:space="preserve"> er </w:t>
      </w:r>
      <w:proofErr w:type="spellStart"/>
      <w:r w:rsidRPr="00B419CE">
        <w:t>ein</w:t>
      </w:r>
      <w:proofErr w:type="spellEnd"/>
      <w:r w:rsidRPr="00B419CE">
        <w:t xml:space="preserve"> funksjon av budsjetterte tilsynsutgifter same året. I tillegg til utgiftene på kap. 1602 kjem </w:t>
      </w:r>
      <w:proofErr w:type="spellStart"/>
      <w:r w:rsidRPr="00B419CE">
        <w:t>posteringar</w:t>
      </w:r>
      <w:proofErr w:type="spellEnd"/>
      <w:r w:rsidRPr="00B419CE">
        <w:t xml:space="preserve"> på kap. 1633 </w:t>
      </w:r>
      <w:r w:rsidRPr="00B419CE">
        <w:rPr>
          <w:rStyle w:val="kursiv"/>
        </w:rPr>
        <w:t xml:space="preserve">Nettordning, </w:t>
      </w:r>
      <w:proofErr w:type="spellStart"/>
      <w:r w:rsidRPr="00B419CE">
        <w:rPr>
          <w:rStyle w:val="kursiv"/>
        </w:rPr>
        <w:t>statleg</w:t>
      </w:r>
      <w:proofErr w:type="spellEnd"/>
      <w:r w:rsidRPr="00B419CE">
        <w:rPr>
          <w:rStyle w:val="kursiv"/>
        </w:rPr>
        <w:t xml:space="preserve"> betalt </w:t>
      </w:r>
      <w:proofErr w:type="spellStart"/>
      <w:r w:rsidRPr="00B419CE">
        <w:rPr>
          <w:rStyle w:val="kursiv"/>
        </w:rPr>
        <w:t>meirverdiavgift</w:t>
      </w:r>
      <w:proofErr w:type="spellEnd"/>
      <w:r w:rsidRPr="00B419CE">
        <w:t xml:space="preserve">, og til </w:t>
      </w:r>
      <w:proofErr w:type="spellStart"/>
      <w:r w:rsidRPr="00B419CE">
        <w:t>frådrag</w:t>
      </w:r>
      <w:proofErr w:type="spellEnd"/>
      <w:r w:rsidRPr="00B419CE">
        <w:t xml:space="preserve"> kjem inntektene på kap. 4602 </w:t>
      </w:r>
      <w:r w:rsidRPr="00B419CE">
        <w:rPr>
          <w:rStyle w:val="kursiv"/>
        </w:rPr>
        <w:t>Finanstilsynet</w:t>
      </w:r>
      <w:r w:rsidRPr="00B419CE">
        <w:t xml:space="preserve">, post 03 </w:t>
      </w:r>
      <w:r w:rsidRPr="00B419CE">
        <w:rPr>
          <w:rStyle w:val="kursiv"/>
        </w:rPr>
        <w:t>Sakshandsamingsgebyr</w:t>
      </w:r>
      <w:r w:rsidRPr="00B419CE">
        <w:t xml:space="preserve">. </w:t>
      </w:r>
      <w:proofErr w:type="spellStart"/>
      <w:r w:rsidRPr="00B419CE">
        <w:t>Dessutan</w:t>
      </w:r>
      <w:proofErr w:type="spellEnd"/>
      <w:r w:rsidRPr="00B419CE">
        <w:t xml:space="preserve"> kan utlikningsgrunnlaget i 2022 </w:t>
      </w:r>
      <w:proofErr w:type="spellStart"/>
      <w:r w:rsidRPr="00B419CE">
        <w:t>korrigerast</w:t>
      </w:r>
      <w:proofErr w:type="spellEnd"/>
      <w:r w:rsidRPr="00B419CE">
        <w:t xml:space="preserve"> med verknader av </w:t>
      </w:r>
      <w:proofErr w:type="spellStart"/>
      <w:r w:rsidRPr="00B419CE">
        <w:t>løyvingsendringar</w:t>
      </w:r>
      <w:proofErr w:type="spellEnd"/>
      <w:r w:rsidRPr="00B419CE">
        <w:t xml:space="preserve"> etter saldert budsjett 2021.</w:t>
      </w:r>
    </w:p>
    <w:p w14:paraId="4984AD4B" w14:textId="77777777" w:rsidR="00B419CE" w:rsidRPr="00B419CE" w:rsidRDefault="00B419CE" w:rsidP="00B419CE">
      <w:r w:rsidRPr="00B419CE">
        <w:t xml:space="preserve">Betalinga </w:t>
      </w:r>
      <w:proofErr w:type="spellStart"/>
      <w:r w:rsidRPr="00B419CE">
        <w:t>frå</w:t>
      </w:r>
      <w:proofErr w:type="spellEnd"/>
      <w:r w:rsidRPr="00B419CE">
        <w:t xml:space="preserve"> </w:t>
      </w:r>
      <w:proofErr w:type="spellStart"/>
      <w:r w:rsidRPr="00B419CE">
        <w:t>tilsynseiningane</w:t>
      </w:r>
      <w:proofErr w:type="spellEnd"/>
      <w:r w:rsidRPr="00B419CE">
        <w:t xml:space="preserve"> i 2022 er budsjettert til 485,9 mill. kroner. I tillegg kjem inntektene </w:t>
      </w:r>
      <w:proofErr w:type="spellStart"/>
      <w:r w:rsidRPr="00B419CE">
        <w:t>frå</w:t>
      </w:r>
      <w:proofErr w:type="spellEnd"/>
      <w:r w:rsidRPr="00B419CE">
        <w:t xml:space="preserve"> sakshandsamingsgebyr, jf. omtale </w:t>
      </w:r>
      <w:proofErr w:type="spellStart"/>
      <w:r w:rsidRPr="00B419CE">
        <w:t>ovanfor</w:t>
      </w:r>
      <w:proofErr w:type="spellEnd"/>
      <w:r w:rsidRPr="00B419CE">
        <w:t xml:space="preserve">. Årsaka til at denne posten </w:t>
      </w:r>
      <w:proofErr w:type="spellStart"/>
      <w:r w:rsidRPr="00B419CE">
        <w:t>aukar</w:t>
      </w:r>
      <w:proofErr w:type="spellEnd"/>
      <w:r w:rsidRPr="00B419CE">
        <w:t xml:space="preserve"> </w:t>
      </w:r>
      <w:proofErr w:type="spellStart"/>
      <w:r w:rsidRPr="00B419CE">
        <w:t>meir</w:t>
      </w:r>
      <w:proofErr w:type="spellEnd"/>
      <w:r w:rsidRPr="00B419CE">
        <w:t xml:space="preserve"> enn kap. 1602, er at styrkinga av digitaliseringsarbeidet fyrste året i det </w:t>
      </w:r>
      <w:proofErr w:type="spellStart"/>
      <w:r w:rsidRPr="00B419CE">
        <w:t>vesentlege</w:t>
      </w:r>
      <w:proofErr w:type="spellEnd"/>
      <w:r w:rsidRPr="00B419CE">
        <w:t xml:space="preserve"> vil </w:t>
      </w:r>
      <w:proofErr w:type="spellStart"/>
      <w:r w:rsidRPr="00B419CE">
        <w:t>krevje</w:t>
      </w:r>
      <w:proofErr w:type="spellEnd"/>
      <w:r w:rsidRPr="00B419CE">
        <w:t xml:space="preserve"> kjøp av utstyr, programvare og </w:t>
      </w:r>
      <w:proofErr w:type="spellStart"/>
      <w:r w:rsidRPr="00B419CE">
        <w:t>tenester</w:t>
      </w:r>
      <w:proofErr w:type="spellEnd"/>
      <w:r w:rsidRPr="00B419CE">
        <w:t xml:space="preserve"> som vi </w:t>
      </w:r>
      <w:proofErr w:type="spellStart"/>
      <w:r w:rsidRPr="00B419CE">
        <w:t>gje</w:t>
      </w:r>
      <w:proofErr w:type="spellEnd"/>
      <w:r w:rsidRPr="00B419CE">
        <w:t xml:space="preserve"> større </w:t>
      </w:r>
      <w:proofErr w:type="spellStart"/>
      <w:r w:rsidRPr="00B419CE">
        <w:t>posteringar</w:t>
      </w:r>
      <w:proofErr w:type="spellEnd"/>
      <w:r w:rsidRPr="00B419CE">
        <w:t xml:space="preserve"> på kap. 1633.</w:t>
      </w:r>
    </w:p>
    <w:p w14:paraId="01F8E0F4" w14:textId="77777777" w:rsidR="00B419CE" w:rsidRPr="00B419CE" w:rsidRDefault="00B419CE" w:rsidP="00B419CE">
      <w:pPr>
        <w:pStyle w:val="b-budkaptit"/>
      </w:pPr>
      <w:r w:rsidRPr="00B419CE">
        <w:t>Kap. 1605 Direktoratet for forvaltning og økonomistyring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39C6E972" w14:textId="77777777" w:rsidTr="00B419CE">
        <w:trPr>
          <w:trHeight w:val="640"/>
          <w:hidden/>
        </w:trPr>
        <w:tc>
          <w:tcPr>
            <w:tcW w:w="1140" w:type="dxa"/>
            <w:shd w:val="clear" w:color="auto" w:fill="FFFFFF"/>
          </w:tcPr>
          <w:p w14:paraId="43DAA7CA" w14:textId="77777777" w:rsidR="00B419CE" w:rsidRPr="00B419CE" w:rsidRDefault="00B419CE" w:rsidP="00B419CE">
            <w:pPr>
              <w:pStyle w:val="Tabellnavn"/>
            </w:pPr>
            <w:r w:rsidRPr="00B419CE">
              <w:t>KPAL</w:t>
            </w:r>
          </w:p>
        </w:tc>
        <w:tc>
          <w:tcPr>
            <w:tcW w:w="4560" w:type="dxa"/>
          </w:tcPr>
          <w:p w14:paraId="3663BE3D" w14:textId="77777777" w:rsidR="00B419CE" w:rsidRPr="00B419CE" w:rsidRDefault="00B419CE" w:rsidP="00B419CE"/>
        </w:tc>
        <w:tc>
          <w:tcPr>
            <w:tcW w:w="1140" w:type="dxa"/>
          </w:tcPr>
          <w:p w14:paraId="2B85EA13" w14:textId="77777777" w:rsidR="00B419CE" w:rsidRPr="00B419CE" w:rsidRDefault="00B419CE" w:rsidP="00B419CE">
            <w:pPr>
              <w:jc w:val="right"/>
            </w:pPr>
          </w:p>
        </w:tc>
        <w:tc>
          <w:tcPr>
            <w:tcW w:w="1140" w:type="dxa"/>
          </w:tcPr>
          <w:p w14:paraId="4B71B26B" w14:textId="77777777" w:rsidR="00B419CE" w:rsidRPr="00B419CE" w:rsidRDefault="00B419CE" w:rsidP="00B419CE">
            <w:pPr>
              <w:jc w:val="right"/>
            </w:pPr>
          </w:p>
        </w:tc>
        <w:tc>
          <w:tcPr>
            <w:tcW w:w="1140" w:type="dxa"/>
          </w:tcPr>
          <w:p w14:paraId="63D692B4" w14:textId="77777777" w:rsidR="00B419CE" w:rsidRPr="00B419CE" w:rsidRDefault="00B419CE" w:rsidP="00B419CE">
            <w:pPr>
              <w:jc w:val="right"/>
            </w:pPr>
            <w:r w:rsidRPr="00B419CE">
              <w:t>(i 1 000 kr)</w:t>
            </w:r>
          </w:p>
        </w:tc>
      </w:tr>
      <w:tr w:rsidR="00B419CE" w:rsidRPr="00B419CE" w14:paraId="24225614" w14:textId="77777777" w:rsidTr="00B419CE">
        <w:trPr>
          <w:trHeight w:val="600"/>
        </w:trPr>
        <w:tc>
          <w:tcPr>
            <w:tcW w:w="1140" w:type="dxa"/>
          </w:tcPr>
          <w:p w14:paraId="1EF67D07" w14:textId="77777777" w:rsidR="00B419CE" w:rsidRPr="00B419CE" w:rsidRDefault="00B419CE" w:rsidP="00B419CE">
            <w:r w:rsidRPr="00B419CE">
              <w:t>Post</w:t>
            </w:r>
          </w:p>
        </w:tc>
        <w:tc>
          <w:tcPr>
            <w:tcW w:w="4560" w:type="dxa"/>
          </w:tcPr>
          <w:p w14:paraId="71273B60" w14:textId="77777777" w:rsidR="00B419CE" w:rsidRPr="00B419CE" w:rsidRDefault="00B419CE" w:rsidP="00B419CE">
            <w:proofErr w:type="spellStart"/>
            <w:r w:rsidRPr="00B419CE">
              <w:t>Nemning</w:t>
            </w:r>
            <w:proofErr w:type="spellEnd"/>
          </w:p>
        </w:tc>
        <w:tc>
          <w:tcPr>
            <w:tcW w:w="1140" w:type="dxa"/>
          </w:tcPr>
          <w:p w14:paraId="091DB6CF"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53FACA16" w14:textId="77777777" w:rsidR="00B419CE" w:rsidRPr="00B419CE" w:rsidRDefault="00B419CE" w:rsidP="00B419CE">
            <w:pPr>
              <w:jc w:val="right"/>
            </w:pPr>
            <w:r w:rsidRPr="00B419CE">
              <w:t>Saldert</w:t>
            </w:r>
            <w:r w:rsidRPr="00B419CE">
              <w:br/>
              <w:t xml:space="preserve"> budsjett 2021</w:t>
            </w:r>
          </w:p>
        </w:tc>
        <w:tc>
          <w:tcPr>
            <w:tcW w:w="1140" w:type="dxa"/>
          </w:tcPr>
          <w:p w14:paraId="5727923F" w14:textId="77777777" w:rsidR="00B419CE" w:rsidRPr="00B419CE" w:rsidRDefault="00B419CE" w:rsidP="00B419CE">
            <w:pPr>
              <w:jc w:val="right"/>
            </w:pPr>
            <w:r w:rsidRPr="00B419CE">
              <w:t>Forslag</w:t>
            </w:r>
            <w:r w:rsidRPr="00B419CE">
              <w:br/>
              <w:t xml:space="preserve"> 2022</w:t>
            </w:r>
          </w:p>
        </w:tc>
      </w:tr>
      <w:tr w:rsidR="00B419CE" w:rsidRPr="00B419CE" w14:paraId="7C1BF130" w14:textId="77777777" w:rsidTr="00B419CE">
        <w:trPr>
          <w:trHeight w:val="380"/>
        </w:trPr>
        <w:tc>
          <w:tcPr>
            <w:tcW w:w="1140" w:type="dxa"/>
          </w:tcPr>
          <w:p w14:paraId="544CF2EA" w14:textId="77777777" w:rsidR="00B419CE" w:rsidRPr="00B419CE" w:rsidRDefault="00B419CE" w:rsidP="00B419CE">
            <w:r w:rsidRPr="00B419CE">
              <w:t>01</w:t>
            </w:r>
          </w:p>
        </w:tc>
        <w:tc>
          <w:tcPr>
            <w:tcW w:w="4560" w:type="dxa"/>
          </w:tcPr>
          <w:p w14:paraId="270FD6F2" w14:textId="77777777" w:rsidR="00B419CE" w:rsidRPr="00B419CE" w:rsidRDefault="00B419CE" w:rsidP="00B419CE">
            <w:r w:rsidRPr="00B419CE">
              <w:t>Driftsutgifter</w:t>
            </w:r>
          </w:p>
        </w:tc>
        <w:tc>
          <w:tcPr>
            <w:tcW w:w="1140" w:type="dxa"/>
          </w:tcPr>
          <w:p w14:paraId="25B5D6E2" w14:textId="77777777" w:rsidR="00B419CE" w:rsidRPr="00B419CE" w:rsidRDefault="00B419CE" w:rsidP="00B419CE">
            <w:pPr>
              <w:jc w:val="right"/>
            </w:pPr>
            <w:r w:rsidRPr="00B419CE">
              <w:t>779 928</w:t>
            </w:r>
          </w:p>
        </w:tc>
        <w:tc>
          <w:tcPr>
            <w:tcW w:w="1140" w:type="dxa"/>
          </w:tcPr>
          <w:p w14:paraId="4C017531" w14:textId="77777777" w:rsidR="00B419CE" w:rsidRPr="00B419CE" w:rsidRDefault="00B419CE" w:rsidP="00B419CE">
            <w:pPr>
              <w:jc w:val="right"/>
            </w:pPr>
            <w:r w:rsidRPr="00B419CE">
              <w:t>842 306</w:t>
            </w:r>
          </w:p>
        </w:tc>
        <w:tc>
          <w:tcPr>
            <w:tcW w:w="1140" w:type="dxa"/>
          </w:tcPr>
          <w:p w14:paraId="6EF9B183" w14:textId="77777777" w:rsidR="00B419CE" w:rsidRPr="00B419CE" w:rsidRDefault="00B419CE" w:rsidP="00B419CE">
            <w:pPr>
              <w:jc w:val="right"/>
            </w:pPr>
            <w:r w:rsidRPr="00B419CE">
              <w:t>906 109</w:t>
            </w:r>
          </w:p>
        </w:tc>
      </w:tr>
      <w:tr w:rsidR="00B419CE" w:rsidRPr="00B419CE" w14:paraId="01A8694B" w14:textId="77777777" w:rsidTr="00B419CE">
        <w:trPr>
          <w:trHeight w:val="380"/>
        </w:trPr>
        <w:tc>
          <w:tcPr>
            <w:tcW w:w="1140" w:type="dxa"/>
          </w:tcPr>
          <w:p w14:paraId="5700AF5A" w14:textId="77777777" w:rsidR="00B419CE" w:rsidRPr="00B419CE" w:rsidRDefault="00B419CE" w:rsidP="00B419CE">
            <w:r w:rsidRPr="00B419CE">
              <w:t>22</w:t>
            </w:r>
          </w:p>
        </w:tc>
        <w:tc>
          <w:tcPr>
            <w:tcW w:w="4560" w:type="dxa"/>
          </w:tcPr>
          <w:p w14:paraId="505405B5" w14:textId="77777777" w:rsidR="00B419CE" w:rsidRPr="00B419CE" w:rsidRDefault="00B419CE" w:rsidP="00B419CE">
            <w:r w:rsidRPr="00B419CE">
              <w:t>Opplæringskontoret OK stat</w:t>
            </w:r>
          </w:p>
        </w:tc>
        <w:tc>
          <w:tcPr>
            <w:tcW w:w="1140" w:type="dxa"/>
          </w:tcPr>
          <w:p w14:paraId="426BCDD1" w14:textId="77777777" w:rsidR="00B419CE" w:rsidRPr="00B419CE" w:rsidRDefault="00B419CE" w:rsidP="00B419CE">
            <w:pPr>
              <w:jc w:val="right"/>
            </w:pPr>
            <w:r w:rsidRPr="00B419CE">
              <w:t>9 132</w:t>
            </w:r>
          </w:p>
        </w:tc>
        <w:tc>
          <w:tcPr>
            <w:tcW w:w="1140" w:type="dxa"/>
          </w:tcPr>
          <w:p w14:paraId="3CC39555" w14:textId="77777777" w:rsidR="00B419CE" w:rsidRPr="00B419CE" w:rsidRDefault="00B419CE" w:rsidP="00B419CE">
            <w:pPr>
              <w:jc w:val="right"/>
            </w:pPr>
            <w:r w:rsidRPr="00B419CE">
              <w:t>7 394</w:t>
            </w:r>
          </w:p>
        </w:tc>
        <w:tc>
          <w:tcPr>
            <w:tcW w:w="1140" w:type="dxa"/>
          </w:tcPr>
          <w:p w14:paraId="36449F84" w14:textId="77777777" w:rsidR="00B419CE" w:rsidRPr="00B419CE" w:rsidRDefault="00B419CE" w:rsidP="00B419CE">
            <w:pPr>
              <w:jc w:val="right"/>
            </w:pPr>
            <w:r w:rsidRPr="00B419CE">
              <w:t>9 248</w:t>
            </w:r>
          </w:p>
        </w:tc>
      </w:tr>
      <w:tr w:rsidR="00B419CE" w:rsidRPr="00B419CE" w14:paraId="12E32569" w14:textId="77777777" w:rsidTr="00B419CE">
        <w:trPr>
          <w:trHeight w:val="380"/>
        </w:trPr>
        <w:tc>
          <w:tcPr>
            <w:tcW w:w="1140" w:type="dxa"/>
          </w:tcPr>
          <w:p w14:paraId="34DC09A9" w14:textId="77777777" w:rsidR="00B419CE" w:rsidRPr="00B419CE" w:rsidRDefault="00B419CE" w:rsidP="00B419CE">
            <w:r w:rsidRPr="00B419CE">
              <w:t>45</w:t>
            </w:r>
          </w:p>
        </w:tc>
        <w:tc>
          <w:tcPr>
            <w:tcW w:w="4560" w:type="dxa"/>
          </w:tcPr>
          <w:p w14:paraId="786B60B3" w14:textId="77777777" w:rsidR="00B419CE" w:rsidRPr="00B419CE" w:rsidRDefault="00B419CE" w:rsidP="00B419CE">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1140" w:type="dxa"/>
          </w:tcPr>
          <w:p w14:paraId="4A69A33B" w14:textId="77777777" w:rsidR="00B419CE" w:rsidRPr="00B419CE" w:rsidRDefault="00B419CE" w:rsidP="00B419CE">
            <w:pPr>
              <w:jc w:val="right"/>
            </w:pPr>
            <w:r w:rsidRPr="00B419CE">
              <w:t>17 625</w:t>
            </w:r>
          </w:p>
        </w:tc>
        <w:tc>
          <w:tcPr>
            <w:tcW w:w="1140" w:type="dxa"/>
          </w:tcPr>
          <w:p w14:paraId="51A7FBC1" w14:textId="77777777" w:rsidR="00B419CE" w:rsidRPr="00B419CE" w:rsidRDefault="00B419CE" w:rsidP="00B419CE">
            <w:pPr>
              <w:jc w:val="right"/>
            </w:pPr>
            <w:r w:rsidRPr="00B419CE">
              <w:t>17 100</w:t>
            </w:r>
          </w:p>
        </w:tc>
        <w:tc>
          <w:tcPr>
            <w:tcW w:w="1140" w:type="dxa"/>
          </w:tcPr>
          <w:p w14:paraId="3471F57A" w14:textId="77777777" w:rsidR="00B419CE" w:rsidRPr="00B419CE" w:rsidRDefault="00B419CE" w:rsidP="00B419CE">
            <w:pPr>
              <w:jc w:val="right"/>
            </w:pPr>
            <w:r w:rsidRPr="00B419CE">
              <w:t>17 500</w:t>
            </w:r>
          </w:p>
        </w:tc>
      </w:tr>
      <w:tr w:rsidR="00B419CE" w:rsidRPr="00B419CE" w14:paraId="6D512BC0" w14:textId="77777777" w:rsidTr="00B419CE">
        <w:trPr>
          <w:trHeight w:val="380"/>
        </w:trPr>
        <w:tc>
          <w:tcPr>
            <w:tcW w:w="1140" w:type="dxa"/>
          </w:tcPr>
          <w:p w14:paraId="2F1EE9B0" w14:textId="77777777" w:rsidR="00B419CE" w:rsidRPr="00B419CE" w:rsidRDefault="00B419CE" w:rsidP="00B419CE"/>
        </w:tc>
        <w:tc>
          <w:tcPr>
            <w:tcW w:w="4560" w:type="dxa"/>
          </w:tcPr>
          <w:p w14:paraId="4FF7D5C9" w14:textId="77777777" w:rsidR="00B419CE" w:rsidRPr="00B419CE" w:rsidRDefault="00B419CE" w:rsidP="00B419CE">
            <w:r w:rsidRPr="00B419CE">
              <w:t>Sum kap. 1605</w:t>
            </w:r>
          </w:p>
        </w:tc>
        <w:tc>
          <w:tcPr>
            <w:tcW w:w="1140" w:type="dxa"/>
          </w:tcPr>
          <w:p w14:paraId="71D1597B" w14:textId="77777777" w:rsidR="00B419CE" w:rsidRPr="00B419CE" w:rsidRDefault="00B419CE" w:rsidP="00B419CE">
            <w:pPr>
              <w:jc w:val="right"/>
            </w:pPr>
            <w:r w:rsidRPr="00B419CE">
              <w:t>806 685</w:t>
            </w:r>
          </w:p>
        </w:tc>
        <w:tc>
          <w:tcPr>
            <w:tcW w:w="1140" w:type="dxa"/>
          </w:tcPr>
          <w:p w14:paraId="0762BF3E" w14:textId="77777777" w:rsidR="00B419CE" w:rsidRPr="00B419CE" w:rsidRDefault="00B419CE" w:rsidP="00B419CE">
            <w:pPr>
              <w:jc w:val="right"/>
            </w:pPr>
            <w:r w:rsidRPr="00B419CE">
              <w:t>866 800</w:t>
            </w:r>
          </w:p>
        </w:tc>
        <w:tc>
          <w:tcPr>
            <w:tcW w:w="1140" w:type="dxa"/>
          </w:tcPr>
          <w:p w14:paraId="724F753A" w14:textId="77777777" w:rsidR="00B419CE" w:rsidRPr="00B419CE" w:rsidRDefault="00B419CE" w:rsidP="00B419CE">
            <w:pPr>
              <w:jc w:val="right"/>
            </w:pPr>
            <w:r w:rsidRPr="00B419CE">
              <w:t>932 857</w:t>
            </w:r>
          </w:p>
        </w:tc>
      </w:tr>
    </w:tbl>
    <w:p w14:paraId="5E08645A" w14:textId="77777777" w:rsidR="00B419CE" w:rsidRPr="00B419CE" w:rsidRDefault="00B419CE" w:rsidP="00B419CE">
      <w:pPr>
        <w:pStyle w:val="Undertittel"/>
      </w:pPr>
      <w:r w:rsidRPr="00B419CE">
        <w:t xml:space="preserve">Samfunnsoppdrag, </w:t>
      </w:r>
      <w:proofErr w:type="spellStart"/>
      <w:r w:rsidRPr="00B419CE">
        <w:t>hovudoppgåver</w:t>
      </w:r>
      <w:proofErr w:type="spellEnd"/>
      <w:r w:rsidRPr="00B419CE">
        <w:t xml:space="preserve"> og organisering</w:t>
      </w:r>
    </w:p>
    <w:p w14:paraId="02FEB76D" w14:textId="77777777" w:rsidR="00B419CE" w:rsidRPr="00B419CE" w:rsidRDefault="00B419CE" w:rsidP="00B419CE">
      <w:r w:rsidRPr="00B419CE">
        <w:t xml:space="preserve">Direktoratet for forvaltning og økonomistyring (DFØ) har som samfunnsoppdrag å bidra til effektiv ressursbruk i staten og til at staten når sine mål gjennom god styring, organisering, leiing og gode avgjerdsgrunnlag. DFØ er statens fagorgan for </w:t>
      </w:r>
      <w:r w:rsidRPr="00B419CE">
        <w:lastRenderedPageBreak/>
        <w:t xml:space="preserve">økonomistyring, gode avgjerdsgrunnlag for </w:t>
      </w:r>
      <w:proofErr w:type="spellStart"/>
      <w:r w:rsidRPr="00B419CE">
        <w:t>statlege</w:t>
      </w:r>
      <w:proofErr w:type="spellEnd"/>
      <w:r w:rsidRPr="00B419CE">
        <w:t xml:space="preserve"> tiltak, organisering og leiing i staten, og for innkjøp i </w:t>
      </w:r>
      <w:proofErr w:type="spellStart"/>
      <w:r w:rsidRPr="00B419CE">
        <w:t>offentleg</w:t>
      </w:r>
      <w:proofErr w:type="spellEnd"/>
      <w:r w:rsidRPr="00B419CE">
        <w:t xml:space="preserve"> sektor, samt </w:t>
      </w:r>
      <w:proofErr w:type="spellStart"/>
      <w:r w:rsidRPr="00B419CE">
        <w:t>ansvarleg</w:t>
      </w:r>
      <w:proofErr w:type="spellEnd"/>
      <w:r w:rsidRPr="00B419CE">
        <w:t xml:space="preserve"> for å støtte </w:t>
      </w:r>
      <w:proofErr w:type="spellStart"/>
      <w:r w:rsidRPr="00B419CE">
        <w:t>statlege</w:t>
      </w:r>
      <w:proofErr w:type="spellEnd"/>
      <w:r w:rsidRPr="00B419CE">
        <w:t xml:space="preserve"> </w:t>
      </w:r>
      <w:proofErr w:type="spellStart"/>
      <w:r w:rsidRPr="00B419CE">
        <w:t>verksemder</w:t>
      </w:r>
      <w:proofErr w:type="spellEnd"/>
      <w:r w:rsidRPr="00B419CE">
        <w:t xml:space="preserve"> i </w:t>
      </w:r>
      <w:proofErr w:type="spellStart"/>
      <w:r w:rsidRPr="00B419CE">
        <w:t>arbeidsgjevarrolla</w:t>
      </w:r>
      <w:proofErr w:type="spellEnd"/>
      <w:r w:rsidRPr="00B419CE">
        <w:t xml:space="preserve">. DFØ er òg leverandør av </w:t>
      </w:r>
      <w:proofErr w:type="spellStart"/>
      <w:r w:rsidRPr="00B419CE">
        <w:t>fellestenester</w:t>
      </w:r>
      <w:proofErr w:type="spellEnd"/>
      <w:r w:rsidRPr="00B419CE">
        <w:t xml:space="preserve"> til forvaltninga </w:t>
      </w:r>
      <w:proofErr w:type="spellStart"/>
      <w:r w:rsidRPr="00B419CE">
        <w:t>innanfor</w:t>
      </w:r>
      <w:proofErr w:type="spellEnd"/>
      <w:r w:rsidRPr="00B419CE">
        <w:t xml:space="preserve"> </w:t>
      </w:r>
      <w:proofErr w:type="spellStart"/>
      <w:r w:rsidRPr="00B419CE">
        <w:t>løn</w:t>
      </w:r>
      <w:proofErr w:type="spellEnd"/>
      <w:r w:rsidRPr="00B419CE">
        <w:t xml:space="preserve"> og </w:t>
      </w:r>
      <w:proofErr w:type="spellStart"/>
      <w:r w:rsidRPr="00B419CE">
        <w:t>rekneskap</w:t>
      </w:r>
      <w:proofErr w:type="spellEnd"/>
      <w:r w:rsidRPr="00B419CE">
        <w:t xml:space="preserve">. DFØ skal </w:t>
      </w:r>
      <w:proofErr w:type="spellStart"/>
      <w:r w:rsidRPr="00B419CE">
        <w:t>sørgje</w:t>
      </w:r>
      <w:proofErr w:type="spellEnd"/>
      <w:r w:rsidRPr="00B419CE">
        <w:t xml:space="preserve"> for ei </w:t>
      </w:r>
      <w:proofErr w:type="spellStart"/>
      <w:r w:rsidRPr="00B419CE">
        <w:t>heilskapleg</w:t>
      </w:r>
      <w:proofErr w:type="spellEnd"/>
      <w:r w:rsidRPr="00B419CE">
        <w:t xml:space="preserve"> tilnærming og utvikling av områda det har ansvar for.</w:t>
      </w:r>
    </w:p>
    <w:p w14:paraId="00CF8534" w14:textId="77777777" w:rsidR="00B419CE" w:rsidRPr="00B419CE" w:rsidRDefault="00B419CE" w:rsidP="00B419CE">
      <w:r w:rsidRPr="00B419CE">
        <w:t xml:space="preserve">DFØ leverer </w:t>
      </w:r>
      <w:proofErr w:type="spellStart"/>
      <w:r w:rsidRPr="00B419CE">
        <w:t>fellestenester</w:t>
      </w:r>
      <w:proofErr w:type="spellEnd"/>
      <w:r w:rsidRPr="00B419CE">
        <w:t xml:space="preserve"> på </w:t>
      </w:r>
      <w:proofErr w:type="spellStart"/>
      <w:r w:rsidRPr="00B419CE">
        <w:t>løn</w:t>
      </w:r>
      <w:proofErr w:type="spellEnd"/>
      <w:r w:rsidRPr="00B419CE">
        <w:t xml:space="preserve"> og </w:t>
      </w:r>
      <w:proofErr w:type="spellStart"/>
      <w:r w:rsidRPr="00B419CE">
        <w:t>rekneskap</w:t>
      </w:r>
      <w:proofErr w:type="spellEnd"/>
      <w:r w:rsidRPr="00B419CE">
        <w:t xml:space="preserve"> og </w:t>
      </w:r>
      <w:proofErr w:type="spellStart"/>
      <w:r w:rsidRPr="00B419CE">
        <w:t>forvaltar</w:t>
      </w:r>
      <w:proofErr w:type="spellEnd"/>
      <w:r w:rsidRPr="00B419CE">
        <w:t xml:space="preserve"> konsernsystema for </w:t>
      </w:r>
      <w:proofErr w:type="spellStart"/>
      <w:r w:rsidRPr="00B419CE">
        <w:t>statsrekneskapen</w:t>
      </w:r>
      <w:proofErr w:type="spellEnd"/>
      <w:r w:rsidRPr="00B419CE">
        <w:t xml:space="preserve"> og statens konsernkontoordning. DFØ inngår og </w:t>
      </w:r>
      <w:proofErr w:type="spellStart"/>
      <w:r w:rsidRPr="00B419CE">
        <w:t>forvaltar</w:t>
      </w:r>
      <w:proofErr w:type="spellEnd"/>
      <w:r w:rsidRPr="00B419CE">
        <w:t xml:space="preserve"> felles </w:t>
      </w:r>
      <w:proofErr w:type="spellStart"/>
      <w:r w:rsidRPr="00B419CE">
        <w:t>innkjøpsavtalar</w:t>
      </w:r>
      <w:proofErr w:type="spellEnd"/>
      <w:r w:rsidRPr="00B419CE">
        <w:t xml:space="preserve"> på vegner av </w:t>
      </w:r>
      <w:proofErr w:type="spellStart"/>
      <w:r w:rsidRPr="00B419CE">
        <w:t>statlege</w:t>
      </w:r>
      <w:proofErr w:type="spellEnd"/>
      <w:r w:rsidRPr="00B419CE">
        <w:t xml:space="preserve"> </w:t>
      </w:r>
      <w:proofErr w:type="spellStart"/>
      <w:r w:rsidRPr="00B419CE">
        <w:t>verksemder</w:t>
      </w:r>
      <w:proofErr w:type="spellEnd"/>
      <w:r w:rsidRPr="00B419CE">
        <w:t xml:space="preserve">. DFØ </w:t>
      </w:r>
      <w:proofErr w:type="spellStart"/>
      <w:r w:rsidRPr="00B419CE">
        <w:t>forvaltar</w:t>
      </w:r>
      <w:proofErr w:type="spellEnd"/>
      <w:r w:rsidRPr="00B419CE">
        <w:t xml:space="preserve"> utgreiingsinstruksen, reglement for økonomistyring og føresegner om økonomistyring (økonomiregelverket for staten). DFØ </w:t>
      </w:r>
      <w:proofErr w:type="spellStart"/>
      <w:r w:rsidRPr="00B419CE">
        <w:t>formidlar</w:t>
      </w:r>
      <w:proofErr w:type="spellEnd"/>
      <w:r w:rsidRPr="00B419CE">
        <w:t xml:space="preserve"> kunnskap om korleis </w:t>
      </w:r>
      <w:proofErr w:type="spellStart"/>
      <w:r w:rsidRPr="00B419CE">
        <w:t>statlege</w:t>
      </w:r>
      <w:proofErr w:type="spellEnd"/>
      <w:r w:rsidRPr="00B419CE">
        <w:t xml:space="preserve"> </w:t>
      </w:r>
      <w:proofErr w:type="spellStart"/>
      <w:r w:rsidRPr="00B419CE">
        <w:t>verksemder</w:t>
      </w:r>
      <w:proofErr w:type="spellEnd"/>
      <w:r w:rsidRPr="00B419CE">
        <w:t xml:space="preserve"> skal etterleve utgreiingsinstruksen og økonomiregelverket. DFØ gjev </w:t>
      </w:r>
      <w:proofErr w:type="spellStart"/>
      <w:r w:rsidRPr="00B419CE">
        <w:t>faglege</w:t>
      </w:r>
      <w:proofErr w:type="spellEnd"/>
      <w:r w:rsidRPr="00B419CE">
        <w:t xml:space="preserve"> råd og rettleiing om mellom anna mål- og resultatstyring, samfunnsøkonomiske </w:t>
      </w:r>
      <w:proofErr w:type="spellStart"/>
      <w:r w:rsidRPr="00B419CE">
        <w:t>analysar</w:t>
      </w:r>
      <w:proofErr w:type="spellEnd"/>
      <w:r w:rsidRPr="00B419CE">
        <w:t xml:space="preserve">, leiing, </w:t>
      </w:r>
      <w:proofErr w:type="spellStart"/>
      <w:r w:rsidRPr="00B419CE">
        <w:t>arbeidsgjevarrolla</w:t>
      </w:r>
      <w:proofErr w:type="spellEnd"/>
      <w:r w:rsidRPr="00B419CE">
        <w:t xml:space="preserve">, </w:t>
      </w:r>
      <w:proofErr w:type="spellStart"/>
      <w:r w:rsidRPr="00B419CE">
        <w:t>tilskot</w:t>
      </w:r>
      <w:proofErr w:type="spellEnd"/>
      <w:r w:rsidRPr="00B419CE">
        <w:t xml:space="preserve"> og innkjøp. DFØ utarbeider og tilbyr verktøy for å utvikle </w:t>
      </w:r>
      <w:proofErr w:type="spellStart"/>
      <w:r w:rsidRPr="00B419CE">
        <w:t>statleg</w:t>
      </w:r>
      <w:proofErr w:type="spellEnd"/>
      <w:r w:rsidRPr="00B419CE">
        <w:t xml:space="preserve"> styring og leiing. DFØ gjev </w:t>
      </w:r>
      <w:proofErr w:type="spellStart"/>
      <w:r w:rsidRPr="00B419CE">
        <w:t>leiarar</w:t>
      </w:r>
      <w:proofErr w:type="spellEnd"/>
      <w:r w:rsidRPr="00B419CE">
        <w:t xml:space="preserve"> og tilsette i </w:t>
      </w:r>
      <w:proofErr w:type="spellStart"/>
      <w:r w:rsidRPr="00B419CE">
        <w:t>statlege</w:t>
      </w:r>
      <w:proofErr w:type="spellEnd"/>
      <w:r w:rsidRPr="00B419CE">
        <w:t xml:space="preserve"> </w:t>
      </w:r>
      <w:proofErr w:type="spellStart"/>
      <w:r w:rsidRPr="00B419CE">
        <w:t>verksemder</w:t>
      </w:r>
      <w:proofErr w:type="spellEnd"/>
      <w:r w:rsidRPr="00B419CE">
        <w:t xml:space="preserve"> </w:t>
      </w:r>
      <w:proofErr w:type="spellStart"/>
      <w:r w:rsidRPr="00B419CE">
        <w:t>tilbod</w:t>
      </w:r>
      <w:proofErr w:type="spellEnd"/>
      <w:r w:rsidRPr="00B419CE">
        <w:t xml:space="preserve"> om kompetanseutvikling på </w:t>
      </w:r>
      <w:proofErr w:type="gramStart"/>
      <w:r w:rsidRPr="00B419CE">
        <w:t>sine fagområde</w:t>
      </w:r>
      <w:proofErr w:type="gramEnd"/>
      <w:r w:rsidRPr="00B419CE">
        <w:t xml:space="preserve">. </w:t>
      </w:r>
      <w:proofErr w:type="spellStart"/>
      <w:r w:rsidRPr="00B419CE">
        <w:t>Innanfor</w:t>
      </w:r>
      <w:proofErr w:type="spellEnd"/>
      <w:r w:rsidRPr="00B419CE">
        <w:t xml:space="preserve"> fagområda sine </w:t>
      </w:r>
      <w:proofErr w:type="spellStart"/>
      <w:r w:rsidRPr="00B419CE">
        <w:t>undersøkjer</w:t>
      </w:r>
      <w:proofErr w:type="spellEnd"/>
      <w:r w:rsidRPr="00B419CE">
        <w:t xml:space="preserve"> og analyserer DFØ tilstand, utvikling og endringsbehov i norsk forvaltning.</w:t>
      </w:r>
    </w:p>
    <w:p w14:paraId="3435BCA3" w14:textId="77777777" w:rsidR="00B419CE" w:rsidRPr="00B419CE" w:rsidRDefault="00B419CE" w:rsidP="00B419CE">
      <w:r w:rsidRPr="00B419CE">
        <w:t xml:space="preserve">DFØ er lokalisert på fire </w:t>
      </w:r>
      <w:proofErr w:type="spellStart"/>
      <w:r w:rsidRPr="00B419CE">
        <w:t>stader</w:t>
      </w:r>
      <w:proofErr w:type="spellEnd"/>
      <w:r w:rsidRPr="00B419CE">
        <w:t xml:space="preserve"> – i Stavanger, Trondheim, Oslo og Harstad – og hadde per 31. desember 2020 ei bemanning </w:t>
      </w:r>
      <w:proofErr w:type="spellStart"/>
      <w:r w:rsidRPr="00B419CE">
        <w:t>tilsvarande</w:t>
      </w:r>
      <w:proofErr w:type="spellEnd"/>
      <w:r w:rsidRPr="00B419CE">
        <w:t xml:space="preserve"> 524 årsverk.</w:t>
      </w:r>
    </w:p>
    <w:p w14:paraId="0C929227" w14:textId="77777777" w:rsidR="00B419CE" w:rsidRPr="00B419CE" w:rsidRDefault="00B419CE" w:rsidP="00B419CE">
      <w:pPr>
        <w:pStyle w:val="Undertittel"/>
      </w:pPr>
      <w:r w:rsidRPr="00B419CE">
        <w:t>Resultat i 2020</w:t>
      </w:r>
    </w:p>
    <w:p w14:paraId="6DFD99CD" w14:textId="77777777" w:rsidR="00B419CE" w:rsidRPr="00B419CE" w:rsidRDefault="00B419CE" w:rsidP="00B419CE">
      <w:r w:rsidRPr="00B419CE">
        <w:t xml:space="preserve">Resultata til DFØ i 2020 vert vurderte ut </w:t>
      </w:r>
      <w:proofErr w:type="spellStart"/>
      <w:r w:rsidRPr="00B419CE">
        <w:t>ifrå</w:t>
      </w:r>
      <w:proofErr w:type="spellEnd"/>
      <w:r w:rsidRPr="00B419CE">
        <w:t xml:space="preserve"> fem </w:t>
      </w:r>
      <w:proofErr w:type="spellStart"/>
      <w:r w:rsidRPr="00B419CE">
        <w:t>hovudmål</w:t>
      </w:r>
      <w:proofErr w:type="spellEnd"/>
      <w:r w:rsidRPr="00B419CE">
        <w:t xml:space="preserve"> samt på fagområdet innkjøp i </w:t>
      </w:r>
      <w:proofErr w:type="spellStart"/>
      <w:r w:rsidRPr="00B419CE">
        <w:t>offentleg</w:t>
      </w:r>
      <w:proofErr w:type="spellEnd"/>
      <w:r w:rsidRPr="00B419CE">
        <w:t xml:space="preserve"> sektor, jf. omtale </w:t>
      </w:r>
      <w:proofErr w:type="spellStart"/>
      <w:r w:rsidRPr="00B419CE">
        <w:t>nedanfor</w:t>
      </w:r>
      <w:proofErr w:type="spellEnd"/>
      <w:r w:rsidRPr="00B419CE">
        <w:t>.</w:t>
      </w:r>
    </w:p>
    <w:p w14:paraId="35023570" w14:textId="77777777" w:rsidR="00B419CE" w:rsidRPr="00B419CE" w:rsidRDefault="00B419CE" w:rsidP="00B419CE">
      <w:pPr>
        <w:pStyle w:val="avsnitt-tittel"/>
      </w:pPr>
      <w:proofErr w:type="spellStart"/>
      <w:r w:rsidRPr="00B419CE">
        <w:t>Hovudmål</w:t>
      </w:r>
      <w:proofErr w:type="spellEnd"/>
      <w:r w:rsidRPr="00B419CE">
        <w:t xml:space="preserve"> 1: </w:t>
      </w:r>
      <w:proofErr w:type="spellStart"/>
      <w:r w:rsidRPr="00B419CE">
        <w:t>DFØs</w:t>
      </w:r>
      <w:proofErr w:type="spellEnd"/>
      <w:r w:rsidRPr="00B419CE">
        <w:t xml:space="preserve"> </w:t>
      </w:r>
      <w:proofErr w:type="spellStart"/>
      <w:r w:rsidRPr="00B419CE">
        <w:t>kundar</w:t>
      </w:r>
      <w:proofErr w:type="spellEnd"/>
      <w:r w:rsidRPr="00B419CE">
        <w:t xml:space="preserve"> har effektiv økonomistyring og kan </w:t>
      </w:r>
      <w:proofErr w:type="spellStart"/>
      <w:r w:rsidRPr="00B419CE">
        <w:t>frigjere</w:t>
      </w:r>
      <w:proofErr w:type="spellEnd"/>
      <w:r w:rsidRPr="00B419CE">
        <w:t xml:space="preserve"> </w:t>
      </w:r>
      <w:proofErr w:type="spellStart"/>
      <w:r w:rsidRPr="00B419CE">
        <w:t>ressursar</w:t>
      </w:r>
      <w:proofErr w:type="spellEnd"/>
    </w:p>
    <w:p w14:paraId="30C8D165" w14:textId="77777777" w:rsidR="00B419CE" w:rsidRPr="00B419CE" w:rsidRDefault="00B419CE" w:rsidP="00B419CE">
      <w:r w:rsidRPr="00B419CE">
        <w:t xml:space="preserve">DFØ leverer </w:t>
      </w:r>
      <w:proofErr w:type="spellStart"/>
      <w:r w:rsidRPr="00B419CE">
        <w:t>løns</w:t>
      </w:r>
      <w:proofErr w:type="spellEnd"/>
      <w:r w:rsidRPr="00B419CE">
        <w:t xml:space="preserve">- og </w:t>
      </w:r>
      <w:proofErr w:type="spellStart"/>
      <w:r w:rsidRPr="00B419CE">
        <w:t>rekneskapstenester</w:t>
      </w:r>
      <w:proofErr w:type="spellEnd"/>
      <w:r w:rsidRPr="00B419CE">
        <w:t xml:space="preserve"> internt i staten. Per 31. desember 2020 </w:t>
      </w:r>
      <w:proofErr w:type="spellStart"/>
      <w:r w:rsidRPr="00B419CE">
        <w:t>fekk</w:t>
      </w:r>
      <w:proofErr w:type="spellEnd"/>
      <w:r w:rsidRPr="00B419CE">
        <w:t xml:space="preserve"> 89 pst. av </w:t>
      </w:r>
      <w:proofErr w:type="spellStart"/>
      <w:r w:rsidRPr="00B419CE">
        <w:t>statlege</w:t>
      </w:r>
      <w:proofErr w:type="spellEnd"/>
      <w:r w:rsidRPr="00B419CE">
        <w:t xml:space="preserve"> </w:t>
      </w:r>
      <w:proofErr w:type="spellStart"/>
      <w:r w:rsidRPr="00B419CE">
        <w:t>verksemder</w:t>
      </w:r>
      <w:proofErr w:type="spellEnd"/>
      <w:r w:rsidRPr="00B419CE">
        <w:t xml:space="preserve"> levert </w:t>
      </w:r>
      <w:proofErr w:type="spellStart"/>
      <w:r w:rsidRPr="00B419CE">
        <w:t>lønstenester</w:t>
      </w:r>
      <w:proofErr w:type="spellEnd"/>
      <w:r w:rsidRPr="00B419CE">
        <w:t xml:space="preserve"> </w:t>
      </w:r>
      <w:proofErr w:type="spellStart"/>
      <w:r w:rsidRPr="00B419CE">
        <w:t>frå</w:t>
      </w:r>
      <w:proofErr w:type="spellEnd"/>
      <w:r w:rsidRPr="00B419CE">
        <w:t xml:space="preserve"> DFØ, </w:t>
      </w:r>
      <w:proofErr w:type="spellStart"/>
      <w:r w:rsidRPr="00B419CE">
        <w:t>medan</w:t>
      </w:r>
      <w:proofErr w:type="spellEnd"/>
      <w:r w:rsidRPr="00B419CE">
        <w:t xml:space="preserve"> 78 pst. </w:t>
      </w:r>
      <w:proofErr w:type="spellStart"/>
      <w:r w:rsidRPr="00B419CE">
        <w:t>fekk</w:t>
      </w:r>
      <w:proofErr w:type="spellEnd"/>
      <w:r w:rsidRPr="00B419CE">
        <w:t xml:space="preserve"> levert </w:t>
      </w:r>
      <w:proofErr w:type="spellStart"/>
      <w:r w:rsidRPr="00B419CE">
        <w:t>rekneskapstenester</w:t>
      </w:r>
      <w:proofErr w:type="spellEnd"/>
      <w:r w:rsidRPr="00B419CE">
        <w:t xml:space="preserve">. Ved å tilby standardiserte </w:t>
      </w:r>
      <w:proofErr w:type="spellStart"/>
      <w:r w:rsidRPr="00B419CE">
        <w:t>løns</w:t>
      </w:r>
      <w:proofErr w:type="spellEnd"/>
      <w:r w:rsidRPr="00B419CE">
        <w:t xml:space="preserve">- og </w:t>
      </w:r>
      <w:proofErr w:type="spellStart"/>
      <w:r w:rsidRPr="00B419CE">
        <w:t>rekneskapstenester</w:t>
      </w:r>
      <w:proofErr w:type="spellEnd"/>
      <w:r w:rsidRPr="00B419CE">
        <w:t xml:space="preserve"> med </w:t>
      </w:r>
      <w:proofErr w:type="spellStart"/>
      <w:r w:rsidRPr="00B419CE">
        <w:t>eit</w:t>
      </w:r>
      <w:proofErr w:type="spellEnd"/>
      <w:r w:rsidRPr="00B419CE">
        <w:t xml:space="preserve"> stort volum, oppnår staten </w:t>
      </w:r>
      <w:proofErr w:type="spellStart"/>
      <w:r w:rsidRPr="00B419CE">
        <w:t>stordriftsfordelar</w:t>
      </w:r>
      <w:proofErr w:type="spellEnd"/>
      <w:r w:rsidRPr="00B419CE">
        <w:t>.</w:t>
      </w:r>
    </w:p>
    <w:p w14:paraId="2315E304" w14:textId="77777777" w:rsidR="00B419CE" w:rsidRPr="00B419CE" w:rsidRDefault="00B419CE" w:rsidP="00B419CE">
      <w:r w:rsidRPr="00B419CE">
        <w:t xml:space="preserve">DFØ </w:t>
      </w:r>
      <w:proofErr w:type="spellStart"/>
      <w:r w:rsidRPr="00B419CE">
        <w:t>deltek</w:t>
      </w:r>
      <w:proofErr w:type="spellEnd"/>
      <w:r w:rsidRPr="00B419CE">
        <w:t xml:space="preserve"> i det nordiske Finance Benchmarking-programmet til Ernst &amp; Young AS. I undersøkinga vert DFØ </w:t>
      </w:r>
      <w:proofErr w:type="spellStart"/>
      <w:r w:rsidRPr="00B419CE">
        <w:t>samanlikna</w:t>
      </w:r>
      <w:proofErr w:type="spellEnd"/>
      <w:r w:rsidRPr="00B419CE">
        <w:t xml:space="preserve"> med andre </w:t>
      </w:r>
      <w:proofErr w:type="spellStart"/>
      <w:r w:rsidRPr="00B419CE">
        <w:t>offentlege</w:t>
      </w:r>
      <w:proofErr w:type="spellEnd"/>
      <w:r w:rsidRPr="00B419CE">
        <w:t xml:space="preserve"> </w:t>
      </w:r>
      <w:proofErr w:type="spellStart"/>
      <w:r w:rsidRPr="00B419CE">
        <w:t>verksemder</w:t>
      </w:r>
      <w:proofErr w:type="spellEnd"/>
      <w:r w:rsidRPr="00B419CE">
        <w:t xml:space="preserve"> som tilbyr </w:t>
      </w:r>
      <w:proofErr w:type="spellStart"/>
      <w:r w:rsidRPr="00B419CE">
        <w:t>fellestenester</w:t>
      </w:r>
      <w:proofErr w:type="spellEnd"/>
      <w:r w:rsidRPr="00B419CE">
        <w:t xml:space="preserve">, og med resultat </w:t>
      </w:r>
      <w:proofErr w:type="spellStart"/>
      <w:r w:rsidRPr="00B419CE">
        <w:t>frå</w:t>
      </w:r>
      <w:proofErr w:type="spellEnd"/>
      <w:r w:rsidRPr="00B419CE">
        <w:t xml:space="preserve"> internasjonale </w:t>
      </w:r>
      <w:proofErr w:type="spellStart"/>
      <w:r w:rsidRPr="00B419CE">
        <w:t>undersøkingar</w:t>
      </w:r>
      <w:proofErr w:type="spellEnd"/>
      <w:r w:rsidRPr="00B419CE">
        <w:t xml:space="preserve">. Undersøkinga </w:t>
      </w:r>
      <w:proofErr w:type="spellStart"/>
      <w:r w:rsidRPr="00B419CE">
        <w:t>frå</w:t>
      </w:r>
      <w:proofErr w:type="spellEnd"/>
      <w:r w:rsidRPr="00B419CE">
        <w:t xml:space="preserve"> 2020 syner at DFØ skåra godt </w:t>
      </w:r>
      <w:proofErr w:type="spellStart"/>
      <w:r w:rsidRPr="00B419CE">
        <w:t>samanlikna</w:t>
      </w:r>
      <w:proofErr w:type="spellEnd"/>
      <w:r w:rsidRPr="00B419CE">
        <w:t xml:space="preserve"> med andre og over tid.</w:t>
      </w:r>
    </w:p>
    <w:p w14:paraId="19B2C355" w14:textId="77777777" w:rsidR="00B419CE" w:rsidRPr="00B419CE" w:rsidRDefault="00B419CE" w:rsidP="00B419CE">
      <w:r w:rsidRPr="00B419CE">
        <w:t xml:space="preserve">Kundemassen til DFØ er jamt </w:t>
      </w:r>
      <w:proofErr w:type="spellStart"/>
      <w:r w:rsidRPr="00B419CE">
        <w:t>aukande</w:t>
      </w:r>
      <w:proofErr w:type="spellEnd"/>
      <w:r w:rsidRPr="00B419CE">
        <w:t xml:space="preserve">. Om lag tre </w:t>
      </w:r>
      <w:proofErr w:type="spellStart"/>
      <w:r w:rsidRPr="00B419CE">
        <w:t>firedelar</w:t>
      </w:r>
      <w:proofErr w:type="spellEnd"/>
      <w:r w:rsidRPr="00B419CE">
        <w:t xml:space="preserve"> av </w:t>
      </w:r>
      <w:proofErr w:type="spellStart"/>
      <w:r w:rsidRPr="00B419CE">
        <w:t>kundane</w:t>
      </w:r>
      <w:proofErr w:type="spellEnd"/>
      <w:r w:rsidRPr="00B419CE">
        <w:t xml:space="preserve"> </w:t>
      </w:r>
      <w:proofErr w:type="spellStart"/>
      <w:r w:rsidRPr="00B419CE">
        <w:t>synest</w:t>
      </w:r>
      <w:proofErr w:type="spellEnd"/>
      <w:r w:rsidRPr="00B419CE">
        <w:t xml:space="preserve"> </w:t>
      </w:r>
      <w:proofErr w:type="spellStart"/>
      <w:r w:rsidRPr="00B419CE">
        <w:t>DFØs</w:t>
      </w:r>
      <w:proofErr w:type="spellEnd"/>
      <w:r w:rsidRPr="00B419CE">
        <w:t xml:space="preserve"> </w:t>
      </w:r>
      <w:proofErr w:type="spellStart"/>
      <w:r w:rsidRPr="00B419CE">
        <w:t>tenester</w:t>
      </w:r>
      <w:proofErr w:type="spellEnd"/>
      <w:r w:rsidRPr="00B419CE">
        <w:t xml:space="preserve"> gjev god støtte i styringa av </w:t>
      </w:r>
      <w:proofErr w:type="spellStart"/>
      <w:r w:rsidRPr="00B419CE">
        <w:t>verksemda</w:t>
      </w:r>
      <w:proofErr w:type="spellEnd"/>
      <w:r w:rsidRPr="00B419CE">
        <w:t xml:space="preserve"> og at </w:t>
      </w:r>
      <w:proofErr w:type="spellStart"/>
      <w:r w:rsidRPr="00B419CE">
        <w:t>DFØs</w:t>
      </w:r>
      <w:proofErr w:type="spellEnd"/>
      <w:r w:rsidRPr="00B419CE">
        <w:t xml:space="preserve"> økonomiske data er lett </w:t>
      </w:r>
      <w:proofErr w:type="spellStart"/>
      <w:r w:rsidRPr="00B419CE">
        <w:t>tilgjengelege</w:t>
      </w:r>
      <w:proofErr w:type="spellEnd"/>
      <w:r w:rsidRPr="00B419CE">
        <w:t xml:space="preserve">. Samstundes varierer det i kva grad </w:t>
      </w:r>
      <w:proofErr w:type="spellStart"/>
      <w:r w:rsidRPr="00B419CE">
        <w:t>kundane</w:t>
      </w:r>
      <w:proofErr w:type="spellEnd"/>
      <w:r w:rsidRPr="00B419CE">
        <w:t xml:space="preserve"> </w:t>
      </w:r>
      <w:proofErr w:type="spellStart"/>
      <w:r w:rsidRPr="00B419CE">
        <w:t>synast</w:t>
      </w:r>
      <w:proofErr w:type="spellEnd"/>
      <w:r w:rsidRPr="00B419CE">
        <w:t xml:space="preserve"> </w:t>
      </w:r>
      <w:proofErr w:type="spellStart"/>
      <w:r w:rsidRPr="00B419CE">
        <w:t>tenestene</w:t>
      </w:r>
      <w:proofErr w:type="spellEnd"/>
      <w:r w:rsidRPr="00B419CE">
        <w:t xml:space="preserve"> gjev effektivitet og </w:t>
      </w:r>
      <w:proofErr w:type="spellStart"/>
      <w:r w:rsidRPr="00B419CE">
        <w:t>gevinstar</w:t>
      </w:r>
      <w:proofErr w:type="spellEnd"/>
      <w:r w:rsidRPr="00B419CE">
        <w:t xml:space="preserve">. I 2020 og fram til og med 1. januar 2021 har seks nye </w:t>
      </w:r>
      <w:proofErr w:type="spellStart"/>
      <w:r w:rsidRPr="00B419CE">
        <w:t>verksemder</w:t>
      </w:r>
      <w:proofErr w:type="spellEnd"/>
      <w:r w:rsidRPr="00B419CE">
        <w:t xml:space="preserve">, mellom anna Universitetet i Bergen, vorte </w:t>
      </w:r>
      <w:proofErr w:type="spellStart"/>
      <w:r w:rsidRPr="00B419CE">
        <w:t>kundar</w:t>
      </w:r>
      <w:proofErr w:type="spellEnd"/>
      <w:r w:rsidRPr="00B419CE">
        <w:t xml:space="preserve"> av DFØ.</w:t>
      </w:r>
    </w:p>
    <w:p w14:paraId="79FC542A" w14:textId="77777777" w:rsidR="00B419CE" w:rsidRPr="00B419CE" w:rsidRDefault="00B419CE" w:rsidP="00B419CE">
      <w:r w:rsidRPr="00B419CE">
        <w:t xml:space="preserve">I 2020 gjennomførte DFØ </w:t>
      </w:r>
      <w:proofErr w:type="spellStart"/>
      <w:r w:rsidRPr="00B419CE">
        <w:t>fleire</w:t>
      </w:r>
      <w:proofErr w:type="spellEnd"/>
      <w:r w:rsidRPr="00B419CE">
        <w:t xml:space="preserve"> utviklingstiltak for å utnytte teknologi, forenkle </w:t>
      </w:r>
      <w:proofErr w:type="spellStart"/>
      <w:r w:rsidRPr="00B419CE">
        <w:t>tenestene</w:t>
      </w:r>
      <w:proofErr w:type="spellEnd"/>
      <w:r w:rsidRPr="00B419CE">
        <w:t xml:space="preserve"> og å </w:t>
      </w:r>
      <w:proofErr w:type="spellStart"/>
      <w:r w:rsidRPr="00B419CE">
        <w:t>gje</w:t>
      </w:r>
      <w:proofErr w:type="spellEnd"/>
      <w:r w:rsidRPr="00B419CE">
        <w:t xml:space="preserve"> betre </w:t>
      </w:r>
      <w:proofErr w:type="spellStart"/>
      <w:r w:rsidRPr="00B419CE">
        <w:t>brukarstøtte</w:t>
      </w:r>
      <w:proofErr w:type="spellEnd"/>
      <w:r w:rsidRPr="00B419CE">
        <w:t xml:space="preserve">. Tiltak som både gjev ei effektiv økonomistyring og kan </w:t>
      </w:r>
      <w:proofErr w:type="spellStart"/>
      <w:r w:rsidRPr="00B419CE">
        <w:t>frigjere</w:t>
      </w:r>
      <w:proofErr w:type="spellEnd"/>
      <w:r w:rsidRPr="00B419CE">
        <w:t xml:space="preserve"> </w:t>
      </w:r>
      <w:proofErr w:type="spellStart"/>
      <w:r w:rsidRPr="00B419CE">
        <w:t>resursar</w:t>
      </w:r>
      <w:proofErr w:type="spellEnd"/>
      <w:r w:rsidRPr="00B419CE">
        <w:t xml:space="preserve"> hos </w:t>
      </w:r>
      <w:proofErr w:type="spellStart"/>
      <w:r w:rsidRPr="00B419CE">
        <w:t>kundane</w:t>
      </w:r>
      <w:proofErr w:type="spellEnd"/>
      <w:r w:rsidRPr="00B419CE">
        <w:t xml:space="preserve">, og samstundes </w:t>
      </w:r>
      <w:proofErr w:type="spellStart"/>
      <w:r w:rsidRPr="00B419CE">
        <w:t>aukar</w:t>
      </w:r>
      <w:proofErr w:type="spellEnd"/>
      <w:r w:rsidRPr="00B419CE">
        <w:t xml:space="preserve"> effektiviteten i </w:t>
      </w:r>
      <w:proofErr w:type="spellStart"/>
      <w:r w:rsidRPr="00B419CE">
        <w:t>DFØs</w:t>
      </w:r>
      <w:proofErr w:type="spellEnd"/>
      <w:r w:rsidRPr="00B419CE">
        <w:t xml:space="preserve"> eiga drift, vert </w:t>
      </w:r>
      <w:r w:rsidRPr="00B419CE">
        <w:lastRenderedPageBreak/>
        <w:t xml:space="preserve">prioriterte. Det vert òg lagt vekt på </w:t>
      </w:r>
      <w:proofErr w:type="spellStart"/>
      <w:r w:rsidRPr="00B419CE">
        <w:t>løysingar</w:t>
      </w:r>
      <w:proofErr w:type="spellEnd"/>
      <w:r w:rsidRPr="00B419CE">
        <w:t xml:space="preserve"> som kan </w:t>
      </w:r>
      <w:proofErr w:type="spellStart"/>
      <w:r w:rsidRPr="00B419CE">
        <w:t>auke</w:t>
      </w:r>
      <w:proofErr w:type="spellEnd"/>
      <w:r w:rsidRPr="00B419CE">
        <w:t xml:space="preserve"> kvaliteten på styringsinformasjonen DFØ tilbyr </w:t>
      </w:r>
      <w:proofErr w:type="spellStart"/>
      <w:r w:rsidRPr="00B419CE">
        <w:t>kundane</w:t>
      </w:r>
      <w:proofErr w:type="spellEnd"/>
      <w:r w:rsidRPr="00B419CE">
        <w:t xml:space="preserve">. </w:t>
      </w:r>
      <w:proofErr w:type="spellStart"/>
      <w:r w:rsidRPr="00B419CE">
        <w:t>Vidare</w:t>
      </w:r>
      <w:proofErr w:type="spellEnd"/>
      <w:r w:rsidRPr="00B419CE">
        <w:t xml:space="preserve"> legg </w:t>
      </w:r>
      <w:proofErr w:type="spellStart"/>
      <w:r w:rsidRPr="00B419CE">
        <w:t>ein</w:t>
      </w:r>
      <w:proofErr w:type="spellEnd"/>
      <w:r w:rsidRPr="00B419CE">
        <w:t xml:space="preserve"> vekt på </w:t>
      </w:r>
      <w:proofErr w:type="spellStart"/>
      <w:r w:rsidRPr="00B419CE">
        <w:t>løysingar</w:t>
      </w:r>
      <w:proofErr w:type="spellEnd"/>
      <w:r w:rsidRPr="00B419CE">
        <w:t xml:space="preserve"> som </w:t>
      </w:r>
      <w:proofErr w:type="spellStart"/>
      <w:r w:rsidRPr="00B419CE">
        <w:t>bidreg</w:t>
      </w:r>
      <w:proofErr w:type="spellEnd"/>
      <w:r w:rsidRPr="00B419CE">
        <w:t xml:space="preserve"> til betre etterleving av regelverk DFØ </w:t>
      </w:r>
      <w:proofErr w:type="spellStart"/>
      <w:r w:rsidRPr="00B419CE">
        <w:t>forvaltar</w:t>
      </w:r>
      <w:proofErr w:type="spellEnd"/>
      <w:r w:rsidRPr="00B419CE">
        <w:t>.</w:t>
      </w:r>
    </w:p>
    <w:p w14:paraId="6035C99D" w14:textId="77777777" w:rsidR="00B419CE" w:rsidRPr="00B419CE" w:rsidRDefault="00B419CE" w:rsidP="00B419CE">
      <w:pPr>
        <w:pStyle w:val="avsnitt-tittel"/>
      </w:pPr>
      <w:proofErr w:type="spellStart"/>
      <w:r w:rsidRPr="00B419CE">
        <w:t>Hovudmål</w:t>
      </w:r>
      <w:proofErr w:type="spellEnd"/>
      <w:r w:rsidRPr="00B419CE">
        <w:t xml:space="preserve"> 2: </w:t>
      </w:r>
      <w:proofErr w:type="spellStart"/>
      <w:r w:rsidRPr="00B419CE">
        <w:t>Statlege</w:t>
      </w:r>
      <w:proofErr w:type="spellEnd"/>
      <w:r w:rsidRPr="00B419CE">
        <w:t xml:space="preserve"> </w:t>
      </w:r>
      <w:proofErr w:type="spellStart"/>
      <w:r w:rsidRPr="00B419CE">
        <w:t>verksemder</w:t>
      </w:r>
      <w:proofErr w:type="spellEnd"/>
      <w:r w:rsidRPr="00B419CE">
        <w:t xml:space="preserve"> bruker avgjerdsgrunnlag av god kvalitet</w:t>
      </w:r>
    </w:p>
    <w:p w14:paraId="0A847DB4" w14:textId="77777777" w:rsidR="00B419CE" w:rsidRPr="00B419CE" w:rsidRDefault="00B419CE" w:rsidP="00B419CE">
      <w:r w:rsidRPr="00B419CE">
        <w:t xml:space="preserve">DFØ har ansvaret for å forvalte føresegnene om økonomistyring i staten og utgreiingsinstruksen. Dette inkluderer mellom anna å svare på spørsmål, levere </w:t>
      </w:r>
      <w:proofErr w:type="spellStart"/>
      <w:r w:rsidRPr="00B419CE">
        <w:t>kompetansetenester</w:t>
      </w:r>
      <w:proofErr w:type="spellEnd"/>
      <w:r w:rsidRPr="00B419CE">
        <w:t xml:space="preserve"> og å </w:t>
      </w:r>
      <w:proofErr w:type="spellStart"/>
      <w:r w:rsidRPr="00B419CE">
        <w:t>leggje</w:t>
      </w:r>
      <w:proofErr w:type="spellEnd"/>
      <w:r w:rsidRPr="00B419CE">
        <w:t xml:space="preserve"> fram forslag til utvikling og </w:t>
      </w:r>
      <w:proofErr w:type="spellStart"/>
      <w:r w:rsidRPr="00B419CE">
        <w:t>vedlikehald</w:t>
      </w:r>
      <w:proofErr w:type="spellEnd"/>
      <w:r w:rsidRPr="00B419CE">
        <w:t xml:space="preserve"> av regelverka. </w:t>
      </w:r>
      <w:proofErr w:type="spellStart"/>
      <w:r w:rsidRPr="00B419CE">
        <w:t>Ein</w:t>
      </w:r>
      <w:proofErr w:type="spellEnd"/>
      <w:r w:rsidRPr="00B419CE">
        <w:t xml:space="preserve"> stor del av </w:t>
      </w:r>
      <w:proofErr w:type="spellStart"/>
      <w:r w:rsidRPr="00B419CE">
        <w:t>DFØs</w:t>
      </w:r>
      <w:proofErr w:type="spellEnd"/>
      <w:r w:rsidRPr="00B419CE">
        <w:t xml:space="preserve"> </w:t>
      </w:r>
      <w:proofErr w:type="spellStart"/>
      <w:r w:rsidRPr="00B419CE">
        <w:t>kundar</w:t>
      </w:r>
      <w:proofErr w:type="spellEnd"/>
      <w:r w:rsidRPr="00B419CE">
        <w:t xml:space="preserve"> og </w:t>
      </w:r>
      <w:proofErr w:type="spellStart"/>
      <w:r w:rsidRPr="00B419CE">
        <w:t>brukarar</w:t>
      </w:r>
      <w:proofErr w:type="spellEnd"/>
      <w:r w:rsidRPr="00B419CE">
        <w:t xml:space="preserve">, om lag 90 prosent, var nøgde med </w:t>
      </w:r>
      <w:proofErr w:type="spellStart"/>
      <w:r w:rsidRPr="00B419CE">
        <w:t>tenestene</w:t>
      </w:r>
      <w:proofErr w:type="spellEnd"/>
      <w:r w:rsidRPr="00B419CE">
        <w:t xml:space="preserve"> </w:t>
      </w:r>
      <w:proofErr w:type="spellStart"/>
      <w:r w:rsidRPr="00B419CE">
        <w:t>innanfor</w:t>
      </w:r>
      <w:proofErr w:type="spellEnd"/>
      <w:r w:rsidRPr="00B419CE">
        <w:t xml:space="preserve"> økonomiregelverket og utgreiingsinstruksen.</w:t>
      </w:r>
    </w:p>
    <w:p w14:paraId="17D72AED" w14:textId="77777777" w:rsidR="00B419CE" w:rsidRPr="00B419CE" w:rsidRDefault="00B419CE" w:rsidP="00B419CE">
      <w:r w:rsidRPr="00B419CE">
        <w:t xml:space="preserve">DFØ har </w:t>
      </w:r>
      <w:proofErr w:type="spellStart"/>
      <w:r w:rsidRPr="00B419CE">
        <w:t>tidlegare</w:t>
      </w:r>
      <w:proofErr w:type="spellEnd"/>
      <w:r w:rsidRPr="00B419CE">
        <w:t xml:space="preserve"> undersøkt i kva grad </w:t>
      </w:r>
      <w:proofErr w:type="spellStart"/>
      <w:r w:rsidRPr="00B419CE">
        <w:t>statlege</w:t>
      </w:r>
      <w:proofErr w:type="spellEnd"/>
      <w:r w:rsidRPr="00B419CE">
        <w:t xml:space="preserve"> </w:t>
      </w:r>
      <w:proofErr w:type="spellStart"/>
      <w:r w:rsidRPr="00B419CE">
        <w:t>verksemder</w:t>
      </w:r>
      <w:proofErr w:type="spellEnd"/>
      <w:r w:rsidRPr="00B419CE">
        <w:t xml:space="preserve"> følgjer utgreiingsinstruksen og har målt endringa </w:t>
      </w:r>
      <w:proofErr w:type="spellStart"/>
      <w:r w:rsidRPr="00B419CE">
        <w:t>frå</w:t>
      </w:r>
      <w:proofErr w:type="spellEnd"/>
      <w:r w:rsidRPr="00B419CE">
        <w:t xml:space="preserve"> 2016 til 2019 mellom anna ved </w:t>
      </w:r>
      <w:proofErr w:type="gramStart"/>
      <w:r w:rsidRPr="00B419CE">
        <w:t>ei gjennomgang</w:t>
      </w:r>
      <w:proofErr w:type="gramEnd"/>
      <w:r w:rsidRPr="00B419CE">
        <w:t xml:space="preserve"> av </w:t>
      </w:r>
      <w:proofErr w:type="spellStart"/>
      <w:r w:rsidRPr="00B419CE">
        <w:t>offentlege</w:t>
      </w:r>
      <w:proofErr w:type="spellEnd"/>
      <w:r w:rsidRPr="00B419CE">
        <w:t xml:space="preserve"> </w:t>
      </w:r>
      <w:proofErr w:type="spellStart"/>
      <w:r w:rsidRPr="00B419CE">
        <w:t>høyringar</w:t>
      </w:r>
      <w:proofErr w:type="spellEnd"/>
      <w:r w:rsidRPr="00B419CE">
        <w:t xml:space="preserve">. Undersøkinga avdekte </w:t>
      </w:r>
      <w:proofErr w:type="spellStart"/>
      <w:r w:rsidRPr="00B419CE">
        <w:t>eit</w:t>
      </w:r>
      <w:proofErr w:type="spellEnd"/>
      <w:r w:rsidRPr="00B419CE">
        <w:t xml:space="preserve"> </w:t>
      </w:r>
      <w:proofErr w:type="spellStart"/>
      <w:r w:rsidRPr="00B419CE">
        <w:t>klårt</w:t>
      </w:r>
      <w:proofErr w:type="spellEnd"/>
      <w:r w:rsidRPr="00B419CE">
        <w:t xml:space="preserve"> </w:t>
      </w:r>
      <w:proofErr w:type="spellStart"/>
      <w:r w:rsidRPr="00B419CE">
        <w:t>forbetringspotensial</w:t>
      </w:r>
      <w:proofErr w:type="spellEnd"/>
      <w:r w:rsidRPr="00B419CE">
        <w:t xml:space="preserve"> med å etterleve instruksen og at kvaliteten på avgjerdsgrunnlag var for låg. Det vil </w:t>
      </w:r>
      <w:proofErr w:type="spellStart"/>
      <w:r w:rsidRPr="00B419CE">
        <w:t>vere</w:t>
      </w:r>
      <w:proofErr w:type="spellEnd"/>
      <w:r w:rsidRPr="00B419CE">
        <w:t xml:space="preserve"> </w:t>
      </w:r>
      <w:proofErr w:type="spellStart"/>
      <w:r w:rsidRPr="00B419CE">
        <w:t>trong</w:t>
      </w:r>
      <w:proofErr w:type="spellEnd"/>
      <w:r w:rsidRPr="00B419CE">
        <w:t xml:space="preserve"> til å arbeide med å </w:t>
      </w:r>
      <w:proofErr w:type="spellStart"/>
      <w:r w:rsidRPr="00B419CE">
        <w:t>betre</w:t>
      </w:r>
      <w:proofErr w:type="spellEnd"/>
      <w:r w:rsidRPr="00B419CE">
        <w:t xml:space="preserve"> kvaliteten i </w:t>
      </w:r>
      <w:proofErr w:type="spellStart"/>
      <w:r w:rsidRPr="00B419CE">
        <w:t>statlege</w:t>
      </w:r>
      <w:proofErr w:type="spellEnd"/>
      <w:r w:rsidRPr="00B419CE">
        <w:t xml:space="preserve"> avgjerdsgrunnlag framover.</w:t>
      </w:r>
    </w:p>
    <w:p w14:paraId="349672FB" w14:textId="77777777" w:rsidR="00B419CE" w:rsidRPr="00B419CE" w:rsidRDefault="00B419CE" w:rsidP="00B419CE">
      <w:r w:rsidRPr="00B419CE">
        <w:t xml:space="preserve">DFØ har i 2020 arbeidd </w:t>
      </w:r>
      <w:proofErr w:type="spellStart"/>
      <w:r w:rsidRPr="00B419CE">
        <w:t>vidare</w:t>
      </w:r>
      <w:proofErr w:type="spellEnd"/>
      <w:r w:rsidRPr="00B419CE">
        <w:t xml:space="preserve"> med å </w:t>
      </w:r>
      <w:proofErr w:type="spellStart"/>
      <w:r w:rsidRPr="00B419CE">
        <w:t>auke</w:t>
      </w:r>
      <w:proofErr w:type="spellEnd"/>
      <w:r w:rsidRPr="00B419CE">
        <w:t xml:space="preserve"> </w:t>
      </w:r>
      <w:proofErr w:type="spellStart"/>
      <w:r w:rsidRPr="00B419CE">
        <w:t>merksemda</w:t>
      </w:r>
      <w:proofErr w:type="spellEnd"/>
      <w:r w:rsidRPr="00B419CE">
        <w:t xml:space="preserve"> rundt betre, og </w:t>
      </w:r>
      <w:proofErr w:type="spellStart"/>
      <w:r w:rsidRPr="00B419CE">
        <w:t>meir</w:t>
      </w:r>
      <w:proofErr w:type="spellEnd"/>
      <w:r w:rsidRPr="00B419CE">
        <w:t xml:space="preserve"> bruk av, økonomisk informasjon som del av </w:t>
      </w:r>
      <w:proofErr w:type="spellStart"/>
      <w:r w:rsidRPr="00B419CE">
        <w:t>statlege</w:t>
      </w:r>
      <w:proofErr w:type="spellEnd"/>
      <w:r w:rsidRPr="00B419CE">
        <w:t xml:space="preserve"> avgjerdsgrunnlag, og då spesielt informasjon om kostnader via </w:t>
      </w:r>
      <w:proofErr w:type="spellStart"/>
      <w:r w:rsidRPr="00B419CE">
        <w:t>dei</w:t>
      </w:r>
      <w:proofErr w:type="spellEnd"/>
      <w:r w:rsidRPr="00B419CE">
        <w:t xml:space="preserve"> </w:t>
      </w:r>
      <w:proofErr w:type="spellStart"/>
      <w:r w:rsidRPr="00B419CE">
        <w:t>statlege</w:t>
      </w:r>
      <w:proofErr w:type="spellEnd"/>
      <w:r w:rsidRPr="00B419CE">
        <w:t xml:space="preserve"> </w:t>
      </w:r>
      <w:proofErr w:type="spellStart"/>
      <w:r w:rsidRPr="00B419CE">
        <w:t>rekneskapsstandardane</w:t>
      </w:r>
      <w:proofErr w:type="spellEnd"/>
      <w:r w:rsidRPr="00B419CE">
        <w:t xml:space="preserve">. DFØ har </w:t>
      </w:r>
      <w:proofErr w:type="spellStart"/>
      <w:r w:rsidRPr="00B419CE">
        <w:t>vore</w:t>
      </w:r>
      <w:proofErr w:type="spellEnd"/>
      <w:r w:rsidRPr="00B419CE">
        <w:t xml:space="preserve"> i dialog med andre </w:t>
      </w:r>
      <w:proofErr w:type="spellStart"/>
      <w:r w:rsidRPr="00B419CE">
        <w:t>statlege</w:t>
      </w:r>
      <w:proofErr w:type="spellEnd"/>
      <w:r w:rsidRPr="00B419CE">
        <w:t xml:space="preserve"> </w:t>
      </w:r>
      <w:proofErr w:type="spellStart"/>
      <w:r w:rsidRPr="00B419CE">
        <w:t>verksemder</w:t>
      </w:r>
      <w:proofErr w:type="spellEnd"/>
      <w:r w:rsidRPr="00B419CE">
        <w:t xml:space="preserve"> for å dele </w:t>
      </w:r>
      <w:proofErr w:type="spellStart"/>
      <w:r w:rsidRPr="00B419CE">
        <w:t>erfaringar</w:t>
      </w:r>
      <w:proofErr w:type="spellEnd"/>
      <w:r w:rsidRPr="00B419CE">
        <w:t xml:space="preserve"> på området. DFØ har òg styrkt arbeidet med å bidra til at departementa får betre tilgang på økonomisk informasjon i oppfølginga av </w:t>
      </w:r>
      <w:proofErr w:type="spellStart"/>
      <w:r w:rsidRPr="00B419CE">
        <w:t>underliggande</w:t>
      </w:r>
      <w:proofErr w:type="spellEnd"/>
      <w:r w:rsidRPr="00B419CE">
        <w:t xml:space="preserve"> </w:t>
      </w:r>
      <w:proofErr w:type="spellStart"/>
      <w:r w:rsidRPr="00B419CE">
        <w:t>verksemder</w:t>
      </w:r>
      <w:proofErr w:type="spellEnd"/>
      <w:r w:rsidRPr="00B419CE">
        <w:t xml:space="preserve">. Mellom anna har DFØ ei eiga teknisk løysing som tilsette i departementa kan ha nytte av i sitt arbeid med </w:t>
      </w:r>
      <w:proofErr w:type="spellStart"/>
      <w:r w:rsidRPr="00B419CE">
        <w:t>løyvingskontroll</w:t>
      </w:r>
      <w:proofErr w:type="spellEnd"/>
      <w:r w:rsidRPr="00B419CE">
        <w:t xml:space="preserve"> og oppfølging av </w:t>
      </w:r>
      <w:proofErr w:type="spellStart"/>
      <w:r w:rsidRPr="00B419CE">
        <w:t>underliggande</w:t>
      </w:r>
      <w:proofErr w:type="spellEnd"/>
      <w:r w:rsidRPr="00B419CE">
        <w:t xml:space="preserve"> </w:t>
      </w:r>
      <w:proofErr w:type="spellStart"/>
      <w:r w:rsidRPr="00B419CE">
        <w:t>verksemder</w:t>
      </w:r>
      <w:proofErr w:type="spellEnd"/>
      <w:r w:rsidRPr="00B419CE">
        <w:t xml:space="preserve">. Løysinga legg òg til rette for </w:t>
      </w:r>
      <w:proofErr w:type="spellStart"/>
      <w:r w:rsidRPr="00B419CE">
        <w:t>analysar</w:t>
      </w:r>
      <w:proofErr w:type="spellEnd"/>
      <w:r w:rsidRPr="00B419CE">
        <w:t xml:space="preserve">, </w:t>
      </w:r>
      <w:proofErr w:type="spellStart"/>
      <w:r w:rsidRPr="00B419CE">
        <w:t>prognosar</w:t>
      </w:r>
      <w:proofErr w:type="spellEnd"/>
      <w:r w:rsidRPr="00B419CE">
        <w:t xml:space="preserve"> og </w:t>
      </w:r>
      <w:proofErr w:type="spellStart"/>
      <w:r w:rsidRPr="00B419CE">
        <w:t>samanlikningar</w:t>
      </w:r>
      <w:proofErr w:type="spellEnd"/>
      <w:r w:rsidRPr="00B419CE">
        <w:t xml:space="preserve"> over tid og på tvers av </w:t>
      </w:r>
      <w:proofErr w:type="spellStart"/>
      <w:r w:rsidRPr="00B419CE">
        <w:t>statlege</w:t>
      </w:r>
      <w:proofErr w:type="spellEnd"/>
      <w:r w:rsidRPr="00B419CE">
        <w:t xml:space="preserve"> </w:t>
      </w:r>
      <w:proofErr w:type="spellStart"/>
      <w:r w:rsidRPr="00B419CE">
        <w:t>verksemder</w:t>
      </w:r>
      <w:proofErr w:type="spellEnd"/>
      <w:r w:rsidRPr="00B419CE">
        <w:t>.</w:t>
      </w:r>
    </w:p>
    <w:p w14:paraId="0AC5D975" w14:textId="77777777" w:rsidR="00B419CE" w:rsidRPr="00B419CE" w:rsidRDefault="00B419CE" w:rsidP="00B419CE">
      <w:r w:rsidRPr="00B419CE">
        <w:t xml:space="preserve">DFØ har i 2020 utarbeidd </w:t>
      </w:r>
      <w:proofErr w:type="spellStart"/>
      <w:r w:rsidRPr="00B419CE">
        <w:t>eit</w:t>
      </w:r>
      <w:proofErr w:type="spellEnd"/>
      <w:r w:rsidRPr="00B419CE">
        <w:t xml:space="preserve"> forslag til oppdaterte rundskriv om </w:t>
      </w:r>
      <w:proofErr w:type="spellStart"/>
      <w:r w:rsidRPr="00B419CE">
        <w:t>statleg</w:t>
      </w:r>
      <w:proofErr w:type="spellEnd"/>
      <w:r w:rsidRPr="00B419CE">
        <w:t xml:space="preserve"> økonomistyring. Rundskriva vart </w:t>
      </w:r>
      <w:proofErr w:type="spellStart"/>
      <w:r w:rsidRPr="00B419CE">
        <w:t>hovudsakleg</w:t>
      </w:r>
      <w:proofErr w:type="spellEnd"/>
      <w:r w:rsidRPr="00B419CE">
        <w:t xml:space="preserve"> endra som </w:t>
      </w:r>
      <w:proofErr w:type="spellStart"/>
      <w:r w:rsidRPr="00B419CE">
        <w:t>følgje</w:t>
      </w:r>
      <w:proofErr w:type="spellEnd"/>
      <w:r w:rsidRPr="00B419CE">
        <w:t xml:space="preserve"> av </w:t>
      </w:r>
      <w:proofErr w:type="spellStart"/>
      <w:r w:rsidRPr="00B419CE">
        <w:t>endringar</w:t>
      </w:r>
      <w:proofErr w:type="spellEnd"/>
      <w:r w:rsidRPr="00B419CE">
        <w:t xml:space="preserve"> i føresegnene om økonomistyring i staten </w:t>
      </w:r>
      <w:proofErr w:type="spellStart"/>
      <w:r w:rsidRPr="00B419CE">
        <w:t>hausten</w:t>
      </w:r>
      <w:proofErr w:type="spellEnd"/>
      <w:r w:rsidRPr="00B419CE">
        <w:t xml:space="preserve"> 2019. Dei oppdaterte rundskriva gjeld </w:t>
      </w:r>
      <w:proofErr w:type="spellStart"/>
      <w:r w:rsidRPr="00B419CE">
        <w:t>frå</w:t>
      </w:r>
      <w:proofErr w:type="spellEnd"/>
      <w:r w:rsidRPr="00B419CE">
        <w:t xml:space="preserve"> 1. januar 2021.</w:t>
      </w:r>
    </w:p>
    <w:p w14:paraId="633421E9" w14:textId="77777777" w:rsidR="00B419CE" w:rsidRPr="00B419CE" w:rsidRDefault="00B419CE" w:rsidP="00B419CE">
      <w:pPr>
        <w:pStyle w:val="avsnitt-tittel"/>
      </w:pPr>
      <w:proofErr w:type="spellStart"/>
      <w:r w:rsidRPr="00B419CE">
        <w:t>Hovudmål</w:t>
      </w:r>
      <w:proofErr w:type="spellEnd"/>
      <w:r w:rsidRPr="00B419CE">
        <w:t xml:space="preserve"> 3: </w:t>
      </w:r>
      <w:proofErr w:type="spellStart"/>
      <w:r w:rsidRPr="00B419CE">
        <w:t>Statleg</w:t>
      </w:r>
      <w:proofErr w:type="spellEnd"/>
      <w:r w:rsidRPr="00B419CE">
        <w:t xml:space="preserve"> styring er tilpassa eigenart og retta mot overordna mål og effektiv ressursbruk</w:t>
      </w:r>
    </w:p>
    <w:p w14:paraId="6205E1A0" w14:textId="77777777" w:rsidR="00B419CE" w:rsidRPr="00B419CE" w:rsidRDefault="00B419CE" w:rsidP="00B419CE">
      <w:r w:rsidRPr="00B419CE">
        <w:t xml:space="preserve">Gjennom forvaltninga av føresegnene om økonomistyring og av utgreiingsinstruksen </w:t>
      </w:r>
      <w:proofErr w:type="spellStart"/>
      <w:r w:rsidRPr="00B419CE">
        <w:t>bidreg</w:t>
      </w:r>
      <w:proofErr w:type="spellEnd"/>
      <w:r w:rsidRPr="00B419CE">
        <w:t xml:space="preserve"> DFØ til at </w:t>
      </w:r>
      <w:proofErr w:type="spellStart"/>
      <w:r w:rsidRPr="00B419CE">
        <w:t>statleg</w:t>
      </w:r>
      <w:proofErr w:type="spellEnd"/>
      <w:r w:rsidRPr="00B419CE">
        <w:t xml:space="preserve"> styring er tilpassa eigenart og er retta mot overordna mål og effektiv ressursbruk. DFØ </w:t>
      </w:r>
      <w:proofErr w:type="spellStart"/>
      <w:r w:rsidRPr="00B419CE">
        <w:t>utviklar</w:t>
      </w:r>
      <w:proofErr w:type="spellEnd"/>
      <w:r w:rsidRPr="00B419CE">
        <w:t xml:space="preserve"> </w:t>
      </w:r>
      <w:proofErr w:type="spellStart"/>
      <w:r w:rsidRPr="00B419CE">
        <w:t>rettleiingar</w:t>
      </w:r>
      <w:proofErr w:type="spellEnd"/>
      <w:r w:rsidRPr="00B419CE">
        <w:t xml:space="preserve">, verktøy og </w:t>
      </w:r>
      <w:proofErr w:type="spellStart"/>
      <w:r w:rsidRPr="00B419CE">
        <w:t>metodar</w:t>
      </w:r>
      <w:proofErr w:type="spellEnd"/>
      <w:r w:rsidRPr="00B419CE">
        <w:t xml:space="preserve">, og </w:t>
      </w:r>
      <w:proofErr w:type="spellStart"/>
      <w:r w:rsidRPr="00B419CE">
        <w:t>bidreg</w:t>
      </w:r>
      <w:proofErr w:type="spellEnd"/>
      <w:r w:rsidRPr="00B419CE">
        <w:t xml:space="preserve"> i utgreiingsarbeid på området.</w:t>
      </w:r>
    </w:p>
    <w:p w14:paraId="16ADAC3E" w14:textId="77777777" w:rsidR="00B419CE" w:rsidRPr="00B419CE" w:rsidRDefault="00B419CE" w:rsidP="00B419CE">
      <w:proofErr w:type="spellStart"/>
      <w:r w:rsidRPr="00B419CE">
        <w:t>DFØs</w:t>
      </w:r>
      <w:proofErr w:type="spellEnd"/>
      <w:r w:rsidRPr="00B419CE">
        <w:t xml:space="preserve"> </w:t>
      </w:r>
      <w:proofErr w:type="spellStart"/>
      <w:r w:rsidRPr="00B419CE">
        <w:t>tenestetilbod</w:t>
      </w:r>
      <w:proofErr w:type="spellEnd"/>
      <w:r w:rsidRPr="00B419CE">
        <w:t xml:space="preserve"> </w:t>
      </w:r>
      <w:proofErr w:type="spellStart"/>
      <w:r w:rsidRPr="00B419CE">
        <w:t>omfattar</w:t>
      </w:r>
      <w:proofErr w:type="spellEnd"/>
      <w:r w:rsidRPr="00B419CE">
        <w:t xml:space="preserve"> mellom anna utgreiingsinstruksen, samfunnsøkonomiske </w:t>
      </w:r>
      <w:proofErr w:type="spellStart"/>
      <w:r w:rsidRPr="00B419CE">
        <w:t>analysar</w:t>
      </w:r>
      <w:proofErr w:type="spellEnd"/>
      <w:r w:rsidRPr="00B419CE">
        <w:t xml:space="preserve">, mål- og resultatstyring, etatsstyring, </w:t>
      </w:r>
      <w:proofErr w:type="spellStart"/>
      <w:r w:rsidRPr="00B419CE">
        <w:t>verksemdstyring</w:t>
      </w:r>
      <w:proofErr w:type="spellEnd"/>
      <w:r w:rsidRPr="00B419CE">
        <w:t xml:space="preserve">, risikostyring, internkontroll, </w:t>
      </w:r>
      <w:proofErr w:type="spellStart"/>
      <w:r w:rsidRPr="00B419CE">
        <w:t>evalueringar</w:t>
      </w:r>
      <w:proofErr w:type="spellEnd"/>
      <w:r w:rsidRPr="00B419CE">
        <w:t xml:space="preserve"> og </w:t>
      </w:r>
      <w:proofErr w:type="spellStart"/>
      <w:r w:rsidRPr="00B419CE">
        <w:t>tilskot</w:t>
      </w:r>
      <w:proofErr w:type="spellEnd"/>
      <w:r w:rsidRPr="00B419CE">
        <w:t xml:space="preserve">. </w:t>
      </w:r>
      <w:proofErr w:type="spellStart"/>
      <w:r w:rsidRPr="00B419CE">
        <w:t>Kompetansetenestene</w:t>
      </w:r>
      <w:proofErr w:type="spellEnd"/>
      <w:r w:rsidRPr="00B419CE">
        <w:t xml:space="preserve"> på området skal </w:t>
      </w:r>
      <w:proofErr w:type="spellStart"/>
      <w:r w:rsidRPr="00B419CE">
        <w:t>gjere</w:t>
      </w:r>
      <w:proofErr w:type="spellEnd"/>
      <w:r w:rsidRPr="00B419CE">
        <w:t xml:space="preserve"> det </w:t>
      </w:r>
      <w:proofErr w:type="spellStart"/>
      <w:r w:rsidRPr="00B419CE">
        <w:t>tydeleg</w:t>
      </w:r>
      <w:proofErr w:type="spellEnd"/>
      <w:r w:rsidRPr="00B419CE">
        <w:t xml:space="preserve"> for departementa og </w:t>
      </w:r>
      <w:proofErr w:type="spellStart"/>
      <w:r w:rsidRPr="00B419CE">
        <w:t>statlege</w:t>
      </w:r>
      <w:proofErr w:type="spellEnd"/>
      <w:r w:rsidRPr="00B419CE">
        <w:t xml:space="preserve"> </w:t>
      </w:r>
      <w:proofErr w:type="spellStart"/>
      <w:r w:rsidRPr="00B419CE">
        <w:t>verksemder</w:t>
      </w:r>
      <w:proofErr w:type="spellEnd"/>
      <w:r w:rsidRPr="00B419CE">
        <w:t xml:space="preserve"> kva krav regelverket </w:t>
      </w:r>
      <w:proofErr w:type="spellStart"/>
      <w:r w:rsidRPr="00B419CE">
        <w:t>set</w:t>
      </w:r>
      <w:proofErr w:type="spellEnd"/>
      <w:r w:rsidRPr="00B419CE">
        <w:t xml:space="preserve"> og kva som er god praksis for </w:t>
      </w:r>
      <w:proofErr w:type="spellStart"/>
      <w:r w:rsidRPr="00B419CE">
        <w:t>statleg</w:t>
      </w:r>
      <w:proofErr w:type="spellEnd"/>
      <w:r w:rsidRPr="00B419CE">
        <w:t xml:space="preserve"> styring.</w:t>
      </w:r>
    </w:p>
    <w:p w14:paraId="1FB57654" w14:textId="77777777" w:rsidR="00B419CE" w:rsidRPr="00B419CE" w:rsidRDefault="00B419CE" w:rsidP="00B419CE">
      <w:proofErr w:type="spellStart"/>
      <w:r w:rsidRPr="00B419CE">
        <w:t>DFØs</w:t>
      </w:r>
      <w:proofErr w:type="spellEnd"/>
      <w:r w:rsidRPr="00B419CE">
        <w:t xml:space="preserve"> kunde- og brukarundersøking i 2020 syner at 84 pst. av </w:t>
      </w:r>
      <w:proofErr w:type="spellStart"/>
      <w:r w:rsidRPr="00B419CE">
        <w:t>brukarane</w:t>
      </w:r>
      <w:proofErr w:type="spellEnd"/>
      <w:r w:rsidRPr="00B419CE">
        <w:t xml:space="preserve"> meiner at DFØ har </w:t>
      </w:r>
      <w:proofErr w:type="spellStart"/>
      <w:r w:rsidRPr="00B419CE">
        <w:t>bidrege</w:t>
      </w:r>
      <w:proofErr w:type="spellEnd"/>
      <w:r w:rsidRPr="00B419CE">
        <w:t xml:space="preserve"> til god styringspraksis. Dette er </w:t>
      </w:r>
      <w:proofErr w:type="spellStart"/>
      <w:r w:rsidRPr="00B419CE">
        <w:t>noko</w:t>
      </w:r>
      <w:proofErr w:type="spellEnd"/>
      <w:r w:rsidRPr="00B419CE">
        <w:t xml:space="preserve"> </w:t>
      </w:r>
      <w:proofErr w:type="spellStart"/>
      <w:r w:rsidRPr="00B419CE">
        <w:t>fleire</w:t>
      </w:r>
      <w:proofErr w:type="spellEnd"/>
      <w:r w:rsidRPr="00B419CE">
        <w:t xml:space="preserve"> enn i 2019. </w:t>
      </w:r>
      <w:proofErr w:type="spellStart"/>
      <w:r w:rsidRPr="00B419CE">
        <w:t>Tilbakemeldingar</w:t>
      </w:r>
      <w:proofErr w:type="spellEnd"/>
      <w:r w:rsidRPr="00B419CE">
        <w:t xml:space="preserve"> </w:t>
      </w:r>
      <w:proofErr w:type="spellStart"/>
      <w:r w:rsidRPr="00B419CE">
        <w:t>frå</w:t>
      </w:r>
      <w:proofErr w:type="spellEnd"/>
      <w:r w:rsidRPr="00B419CE">
        <w:t xml:space="preserve"> </w:t>
      </w:r>
      <w:proofErr w:type="spellStart"/>
      <w:r w:rsidRPr="00B419CE">
        <w:lastRenderedPageBreak/>
        <w:t>kundar</w:t>
      </w:r>
      <w:proofErr w:type="spellEnd"/>
      <w:r w:rsidRPr="00B419CE">
        <w:t xml:space="preserve"> og </w:t>
      </w:r>
      <w:proofErr w:type="spellStart"/>
      <w:r w:rsidRPr="00B419CE">
        <w:t>brukarar</w:t>
      </w:r>
      <w:proofErr w:type="spellEnd"/>
      <w:r w:rsidRPr="00B419CE">
        <w:t xml:space="preserve"> </w:t>
      </w:r>
      <w:proofErr w:type="spellStart"/>
      <w:r w:rsidRPr="00B419CE">
        <w:t>tilseier</w:t>
      </w:r>
      <w:proofErr w:type="spellEnd"/>
      <w:r w:rsidRPr="00B419CE">
        <w:t xml:space="preserve"> òg at </w:t>
      </w:r>
      <w:proofErr w:type="spellStart"/>
      <w:r w:rsidRPr="00B419CE">
        <w:t>DFØs</w:t>
      </w:r>
      <w:proofErr w:type="spellEnd"/>
      <w:r w:rsidRPr="00B419CE">
        <w:t xml:space="preserve"> arenaer for samhandling vert opplevde som nyttige.</w:t>
      </w:r>
    </w:p>
    <w:p w14:paraId="0F894A03" w14:textId="77777777" w:rsidR="00B419CE" w:rsidRPr="00B419CE" w:rsidRDefault="00B419CE" w:rsidP="00B419CE">
      <w:r w:rsidRPr="00B419CE">
        <w:t xml:space="preserve">Endring i styringspraksis tar tid og vert </w:t>
      </w:r>
      <w:proofErr w:type="spellStart"/>
      <w:r w:rsidRPr="00B419CE">
        <w:t>påverka</w:t>
      </w:r>
      <w:proofErr w:type="spellEnd"/>
      <w:r w:rsidRPr="00B419CE">
        <w:t xml:space="preserve"> av mange ulike </w:t>
      </w:r>
      <w:proofErr w:type="spellStart"/>
      <w:r w:rsidRPr="00B419CE">
        <w:t>faktorar</w:t>
      </w:r>
      <w:proofErr w:type="spellEnd"/>
      <w:r w:rsidRPr="00B419CE">
        <w:t xml:space="preserve"> som til dømes kompetanse, kultur, eigenart, tradisjon og kontekst. DFØ ser at styring av </w:t>
      </w:r>
      <w:proofErr w:type="spellStart"/>
      <w:r w:rsidRPr="00B419CE">
        <w:t>statlege</w:t>
      </w:r>
      <w:proofErr w:type="spellEnd"/>
      <w:r w:rsidRPr="00B419CE">
        <w:t xml:space="preserve"> </w:t>
      </w:r>
      <w:proofErr w:type="spellStart"/>
      <w:r w:rsidRPr="00B419CE">
        <w:t>verksemder</w:t>
      </w:r>
      <w:proofErr w:type="spellEnd"/>
      <w:r w:rsidRPr="00B419CE">
        <w:t xml:space="preserve"> har vorte </w:t>
      </w:r>
      <w:proofErr w:type="spellStart"/>
      <w:r w:rsidRPr="00B419CE">
        <w:t>meir</w:t>
      </w:r>
      <w:proofErr w:type="spellEnd"/>
      <w:r w:rsidRPr="00B419CE">
        <w:t xml:space="preserve"> innretta mot overordna </w:t>
      </w:r>
      <w:proofErr w:type="spellStart"/>
      <w:r w:rsidRPr="00B419CE">
        <w:t>effektar</w:t>
      </w:r>
      <w:proofErr w:type="spellEnd"/>
      <w:r w:rsidRPr="00B419CE">
        <w:t xml:space="preserve">, og at </w:t>
      </w:r>
      <w:proofErr w:type="spellStart"/>
      <w:r w:rsidRPr="00B419CE">
        <w:t>samanhengen</w:t>
      </w:r>
      <w:proofErr w:type="spellEnd"/>
      <w:r w:rsidRPr="00B419CE">
        <w:t xml:space="preserve"> mellom resultat og bruk av </w:t>
      </w:r>
      <w:proofErr w:type="spellStart"/>
      <w:r w:rsidRPr="00B419CE">
        <w:t>ressursar</w:t>
      </w:r>
      <w:proofErr w:type="spellEnd"/>
      <w:r w:rsidRPr="00B419CE">
        <w:t xml:space="preserve"> har fått større </w:t>
      </w:r>
      <w:proofErr w:type="spellStart"/>
      <w:r w:rsidRPr="00B419CE">
        <w:t>merksemd</w:t>
      </w:r>
      <w:proofErr w:type="spellEnd"/>
      <w:r w:rsidRPr="00B419CE">
        <w:t xml:space="preserve"> over tid. </w:t>
      </w:r>
      <w:proofErr w:type="spellStart"/>
      <w:r w:rsidRPr="00B419CE">
        <w:t>Styringsfaglege</w:t>
      </w:r>
      <w:proofErr w:type="spellEnd"/>
      <w:r w:rsidRPr="00B419CE">
        <w:t xml:space="preserve"> spørsmål vert sette på dagsorden, og mange departement og </w:t>
      </w:r>
      <w:proofErr w:type="spellStart"/>
      <w:r w:rsidRPr="00B419CE">
        <w:t>verksemder</w:t>
      </w:r>
      <w:proofErr w:type="spellEnd"/>
      <w:r w:rsidRPr="00B419CE">
        <w:t xml:space="preserve"> arbeider aktivt med å </w:t>
      </w:r>
      <w:proofErr w:type="spellStart"/>
      <w:r w:rsidRPr="00B419CE">
        <w:t>vidareutvikle</w:t>
      </w:r>
      <w:proofErr w:type="spellEnd"/>
      <w:r w:rsidRPr="00B419CE">
        <w:t xml:space="preserve"> eigen styringspraksis. Dette </w:t>
      </w:r>
      <w:proofErr w:type="spellStart"/>
      <w:r w:rsidRPr="00B419CE">
        <w:t>gjeld</w:t>
      </w:r>
      <w:proofErr w:type="spellEnd"/>
      <w:r w:rsidRPr="00B419CE">
        <w:t xml:space="preserve"> både </w:t>
      </w:r>
      <w:proofErr w:type="spellStart"/>
      <w:r w:rsidRPr="00B419CE">
        <w:t>verksemdsstyring</w:t>
      </w:r>
      <w:proofErr w:type="spellEnd"/>
      <w:r w:rsidRPr="00B419CE">
        <w:t xml:space="preserve">, etatsstyring og </w:t>
      </w:r>
      <w:proofErr w:type="spellStart"/>
      <w:r w:rsidRPr="00B419CE">
        <w:t>tilskotsforvalting</w:t>
      </w:r>
      <w:proofErr w:type="spellEnd"/>
      <w:r w:rsidRPr="00B419CE">
        <w:t xml:space="preserve">. </w:t>
      </w:r>
      <w:proofErr w:type="spellStart"/>
      <w:r w:rsidRPr="00B419CE">
        <w:t>Vidare</w:t>
      </w:r>
      <w:proofErr w:type="spellEnd"/>
      <w:r w:rsidRPr="00B419CE">
        <w:t xml:space="preserve"> ser DFØ </w:t>
      </w:r>
      <w:proofErr w:type="spellStart"/>
      <w:r w:rsidRPr="00B419CE">
        <w:t>aukande</w:t>
      </w:r>
      <w:proofErr w:type="spellEnd"/>
      <w:r w:rsidRPr="00B419CE">
        <w:t xml:space="preserve"> </w:t>
      </w:r>
      <w:proofErr w:type="spellStart"/>
      <w:r w:rsidRPr="00B419CE">
        <w:t>merksemd</w:t>
      </w:r>
      <w:proofErr w:type="spellEnd"/>
      <w:r w:rsidRPr="00B419CE">
        <w:t xml:space="preserve"> rundt </w:t>
      </w:r>
      <w:proofErr w:type="spellStart"/>
      <w:r w:rsidRPr="00B419CE">
        <w:t>tverrgåande</w:t>
      </w:r>
      <w:proofErr w:type="spellEnd"/>
      <w:r w:rsidRPr="00B419CE">
        <w:t xml:space="preserve"> </w:t>
      </w:r>
      <w:proofErr w:type="spellStart"/>
      <w:r w:rsidRPr="00B419CE">
        <w:t>styringsutfordringar</w:t>
      </w:r>
      <w:proofErr w:type="spellEnd"/>
      <w:r w:rsidRPr="00B419CE">
        <w:t xml:space="preserve"> og samordning. Meld. St. 30 (2019–2020) </w:t>
      </w:r>
      <w:r w:rsidRPr="00B419CE">
        <w:rPr>
          <w:rStyle w:val="kursiv"/>
        </w:rPr>
        <w:t>En innovativ offentlig sektor</w:t>
      </w:r>
      <w:r w:rsidRPr="00B419CE">
        <w:t xml:space="preserve"> </w:t>
      </w:r>
      <w:proofErr w:type="spellStart"/>
      <w:r w:rsidRPr="00B419CE">
        <w:t>peika</w:t>
      </w:r>
      <w:proofErr w:type="spellEnd"/>
      <w:r w:rsidRPr="00B419CE">
        <w:t xml:space="preserve"> mellom anna på </w:t>
      </w:r>
      <w:proofErr w:type="spellStart"/>
      <w:r w:rsidRPr="00B419CE">
        <w:t>eit</w:t>
      </w:r>
      <w:proofErr w:type="spellEnd"/>
      <w:r w:rsidRPr="00B419CE">
        <w:t xml:space="preserve"> </w:t>
      </w:r>
      <w:proofErr w:type="spellStart"/>
      <w:r w:rsidRPr="00B419CE">
        <w:t>betringspotensial</w:t>
      </w:r>
      <w:proofErr w:type="spellEnd"/>
      <w:r w:rsidRPr="00B419CE">
        <w:t xml:space="preserve"> som gjeld at </w:t>
      </w:r>
      <w:proofErr w:type="spellStart"/>
      <w:r w:rsidRPr="00B419CE">
        <w:t>statleg</w:t>
      </w:r>
      <w:proofErr w:type="spellEnd"/>
      <w:r w:rsidRPr="00B419CE">
        <w:t xml:space="preserve"> styring skal </w:t>
      </w:r>
      <w:proofErr w:type="spellStart"/>
      <w:r w:rsidRPr="00B419CE">
        <w:t>gje</w:t>
      </w:r>
      <w:proofErr w:type="spellEnd"/>
      <w:r w:rsidRPr="00B419CE">
        <w:t xml:space="preserve"> </w:t>
      </w:r>
      <w:proofErr w:type="spellStart"/>
      <w:r w:rsidRPr="00B419CE">
        <w:t>verksemder</w:t>
      </w:r>
      <w:proofErr w:type="spellEnd"/>
      <w:r w:rsidRPr="00B419CE">
        <w:t xml:space="preserve"> både handlingsrom og insentiv til å innovere og samarbeide med andre </w:t>
      </w:r>
      <w:proofErr w:type="spellStart"/>
      <w:r w:rsidRPr="00B419CE">
        <w:t>instansar</w:t>
      </w:r>
      <w:proofErr w:type="spellEnd"/>
      <w:r w:rsidRPr="00B419CE">
        <w:t xml:space="preserve">. Alt i alt ser DFØ at det </w:t>
      </w:r>
      <w:proofErr w:type="spellStart"/>
      <w:r w:rsidRPr="00B419CE">
        <w:t>framleis</w:t>
      </w:r>
      <w:proofErr w:type="spellEnd"/>
      <w:r w:rsidRPr="00B419CE">
        <w:t xml:space="preserve"> er rom for å </w:t>
      </w:r>
      <w:proofErr w:type="spellStart"/>
      <w:r w:rsidRPr="00B419CE">
        <w:t>forbetre</w:t>
      </w:r>
      <w:proofErr w:type="spellEnd"/>
      <w:r w:rsidRPr="00B419CE">
        <w:t xml:space="preserve"> </w:t>
      </w:r>
      <w:proofErr w:type="spellStart"/>
      <w:r w:rsidRPr="00B419CE">
        <w:t>statleg</w:t>
      </w:r>
      <w:proofErr w:type="spellEnd"/>
      <w:r w:rsidRPr="00B419CE">
        <w:t xml:space="preserve"> styring.</w:t>
      </w:r>
    </w:p>
    <w:p w14:paraId="20E9123C" w14:textId="77777777" w:rsidR="00B419CE" w:rsidRPr="00B419CE" w:rsidRDefault="00B419CE" w:rsidP="00B419CE">
      <w:pPr>
        <w:pStyle w:val="avsnitt-tittel"/>
      </w:pPr>
      <w:proofErr w:type="spellStart"/>
      <w:r w:rsidRPr="00B419CE">
        <w:t>Hovudmål</w:t>
      </w:r>
      <w:proofErr w:type="spellEnd"/>
      <w:r w:rsidRPr="00B419CE">
        <w:t xml:space="preserve"> 4: </w:t>
      </w:r>
      <w:proofErr w:type="spellStart"/>
      <w:r w:rsidRPr="00B419CE">
        <w:t>Offentlegheita</w:t>
      </w:r>
      <w:proofErr w:type="spellEnd"/>
      <w:r w:rsidRPr="00B419CE">
        <w:t xml:space="preserve"> har enkel og god tilgang til informasjon om </w:t>
      </w:r>
      <w:proofErr w:type="spellStart"/>
      <w:r w:rsidRPr="00B419CE">
        <w:t>statleg</w:t>
      </w:r>
      <w:proofErr w:type="spellEnd"/>
      <w:r w:rsidRPr="00B419CE">
        <w:t xml:space="preserve"> ressursbruk</w:t>
      </w:r>
    </w:p>
    <w:p w14:paraId="286D43AB" w14:textId="77777777" w:rsidR="00B419CE" w:rsidRPr="00B419CE" w:rsidRDefault="00B419CE" w:rsidP="00B419CE">
      <w:r w:rsidRPr="00B419CE">
        <w:t xml:space="preserve">Gjennom forvalting av </w:t>
      </w:r>
      <w:proofErr w:type="spellStart"/>
      <w:r w:rsidRPr="00B419CE">
        <w:t>statsrekneskapen</w:t>
      </w:r>
      <w:proofErr w:type="spellEnd"/>
      <w:r w:rsidRPr="00B419CE">
        <w:t xml:space="preserve"> og produksjon av statistikk og </w:t>
      </w:r>
      <w:proofErr w:type="spellStart"/>
      <w:r w:rsidRPr="00B419CE">
        <w:t>rapportar</w:t>
      </w:r>
      <w:proofErr w:type="spellEnd"/>
      <w:r w:rsidRPr="00B419CE">
        <w:t xml:space="preserve">, </w:t>
      </w:r>
      <w:proofErr w:type="spellStart"/>
      <w:r w:rsidRPr="00B419CE">
        <w:t>bidreg</w:t>
      </w:r>
      <w:proofErr w:type="spellEnd"/>
      <w:r w:rsidRPr="00B419CE">
        <w:t xml:space="preserve"> DFØ til å </w:t>
      </w:r>
      <w:proofErr w:type="spellStart"/>
      <w:r w:rsidRPr="00B419CE">
        <w:t>gje</w:t>
      </w:r>
      <w:proofErr w:type="spellEnd"/>
      <w:r w:rsidRPr="00B419CE">
        <w:t xml:space="preserve"> </w:t>
      </w:r>
      <w:proofErr w:type="spellStart"/>
      <w:r w:rsidRPr="00B419CE">
        <w:t>offentlegheita</w:t>
      </w:r>
      <w:proofErr w:type="spellEnd"/>
      <w:r w:rsidRPr="00B419CE">
        <w:t xml:space="preserve"> informasjon om </w:t>
      </w:r>
      <w:proofErr w:type="spellStart"/>
      <w:r w:rsidRPr="00B419CE">
        <w:t>statleg</w:t>
      </w:r>
      <w:proofErr w:type="spellEnd"/>
      <w:r w:rsidRPr="00B419CE">
        <w:t xml:space="preserve"> ressursbruk. </w:t>
      </w:r>
      <w:proofErr w:type="spellStart"/>
      <w:r w:rsidRPr="00B419CE">
        <w:t>DFØs</w:t>
      </w:r>
      <w:proofErr w:type="spellEnd"/>
      <w:r w:rsidRPr="00B419CE">
        <w:t xml:space="preserve"> ansvar for forvalting av </w:t>
      </w:r>
      <w:proofErr w:type="spellStart"/>
      <w:r w:rsidRPr="00B419CE">
        <w:t>statsrekneskapen</w:t>
      </w:r>
      <w:proofErr w:type="spellEnd"/>
      <w:r w:rsidRPr="00B419CE">
        <w:t xml:space="preserve"> inkluderer mellom anna å levere </w:t>
      </w:r>
      <w:proofErr w:type="spellStart"/>
      <w:r w:rsidRPr="00B419CE">
        <w:t>månadlege</w:t>
      </w:r>
      <w:proofErr w:type="spellEnd"/>
      <w:r w:rsidRPr="00B419CE">
        <w:t xml:space="preserve"> løyvings- og </w:t>
      </w:r>
      <w:proofErr w:type="spellStart"/>
      <w:r w:rsidRPr="00B419CE">
        <w:t>kapitalrekneskap</w:t>
      </w:r>
      <w:proofErr w:type="spellEnd"/>
      <w:r w:rsidRPr="00B419CE">
        <w:t xml:space="preserve"> til departementa og </w:t>
      </w:r>
      <w:proofErr w:type="spellStart"/>
      <w:r w:rsidRPr="00B419CE">
        <w:t>årleg</w:t>
      </w:r>
      <w:proofErr w:type="spellEnd"/>
      <w:r w:rsidRPr="00B419CE">
        <w:t xml:space="preserve"> å </w:t>
      </w:r>
      <w:proofErr w:type="spellStart"/>
      <w:r w:rsidRPr="00B419CE">
        <w:t>setje</w:t>
      </w:r>
      <w:proofErr w:type="spellEnd"/>
      <w:r w:rsidRPr="00B419CE">
        <w:t xml:space="preserve"> opp </w:t>
      </w:r>
      <w:proofErr w:type="spellStart"/>
      <w:r w:rsidRPr="00B419CE">
        <w:t>desse</w:t>
      </w:r>
      <w:proofErr w:type="spellEnd"/>
      <w:r w:rsidRPr="00B419CE">
        <w:t xml:space="preserve"> to </w:t>
      </w:r>
      <w:proofErr w:type="spellStart"/>
      <w:r w:rsidRPr="00B419CE">
        <w:t>rekneskapane</w:t>
      </w:r>
      <w:proofErr w:type="spellEnd"/>
      <w:r w:rsidRPr="00B419CE">
        <w:t xml:space="preserve"> til den </w:t>
      </w:r>
      <w:proofErr w:type="spellStart"/>
      <w:r w:rsidRPr="00B419CE">
        <w:t>årlege</w:t>
      </w:r>
      <w:proofErr w:type="spellEnd"/>
      <w:r w:rsidRPr="00B419CE">
        <w:t xml:space="preserve"> stortingsmeldinga om </w:t>
      </w:r>
      <w:proofErr w:type="spellStart"/>
      <w:r w:rsidRPr="00B419CE">
        <w:t>statsrekneskapen</w:t>
      </w:r>
      <w:proofErr w:type="spellEnd"/>
      <w:r w:rsidRPr="00B419CE">
        <w:t>.</w:t>
      </w:r>
    </w:p>
    <w:p w14:paraId="02C9AF9F" w14:textId="77777777" w:rsidR="00B419CE" w:rsidRPr="00B419CE" w:rsidRDefault="00B419CE" w:rsidP="00B419CE">
      <w:r w:rsidRPr="00B419CE">
        <w:t xml:space="preserve">Portalen </w:t>
      </w:r>
      <w:r w:rsidRPr="00B419CE">
        <w:rPr>
          <w:rStyle w:val="kursiv"/>
        </w:rPr>
        <w:t>statsregnskapet.no</w:t>
      </w:r>
      <w:r w:rsidRPr="00B419CE">
        <w:t xml:space="preserve"> som </w:t>
      </w:r>
      <w:proofErr w:type="spellStart"/>
      <w:r w:rsidRPr="00B419CE">
        <w:t>vart</w:t>
      </w:r>
      <w:proofErr w:type="spellEnd"/>
      <w:r w:rsidRPr="00B419CE">
        <w:t xml:space="preserve"> lansert i 2017, </w:t>
      </w:r>
      <w:proofErr w:type="spellStart"/>
      <w:r w:rsidRPr="00B419CE">
        <w:t>gjer</w:t>
      </w:r>
      <w:proofErr w:type="spellEnd"/>
      <w:r w:rsidRPr="00B419CE">
        <w:t xml:space="preserve"> </w:t>
      </w:r>
      <w:proofErr w:type="spellStart"/>
      <w:r w:rsidRPr="00B419CE">
        <w:t>rekneskapsinformasjon</w:t>
      </w:r>
      <w:proofErr w:type="spellEnd"/>
      <w:r w:rsidRPr="00B419CE">
        <w:t xml:space="preserve"> </w:t>
      </w:r>
      <w:proofErr w:type="spellStart"/>
      <w:r w:rsidRPr="00B419CE">
        <w:t>frå</w:t>
      </w:r>
      <w:proofErr w:type="spellEnd"/>
      <w:r w:rsidRPr="00B419CE">
        <w:t xml:space="preserve"> </w:t>
      </w:r>
      <w:proofErr w:type="spellStart"/>
      <w:r w:rsidRPr="00B419CE">
        <w:t>statlege</w:t>
      </w:r>
      <w:proofErr w:type="spellEnd"/>
      <w:r w:rsidRPr="00B419CE">
        <w:t xml:space="preserve"> </w:t>
      </w:r>
      <w:proofErr w:type="spellStart"/>
      <w:r w:rsidRPr="00B419CE">
        <w:t>verksemder</w:t>
      </w:r>
      <w:proofErr w:type="spellEnd"/>
      <w:r w:rsidRPr="00B419CE">
        <w:t xml:space="preserve"> </w:t>
      </w:r>
      <w:proofErr w:type="spellStart"/>
      <w:r w:rsidRPr="00B419CE">
        <w:t>tilgjengeleg</w:t>
      </w:r>
      <w:proofErr w:type="spellEnd"/>
      <w:r w:rsidRPr="00B419CE">
        <w:t xml:space="preserve"> og </w:t>
      </w:r>
      <w:proofErr w:type="spellStart"/>
      <w:r w:rsidRPr="00B419CE">
        <w:t>gjer</w:t>
      </w:r>
      <w:proofErr w:type="spellEnd"/>
      <w:r w:rsidRPr="00B419CE">
        <w:t xml:space="preserve"> det </w:t>
      </w:r>
      <w:proofErr w:type="spellStart"/>
      <w:r w:rsidRPr="00B419CE">
        <w:t>mogleg</w:t>
      </w:r>
      <w:proofErr w:type="spellEnd"/>
      <w:r w:rsidRPr="00B419CE">
        <w:t xml:space="preserve"> å </w:t>
      </w:r>
      <w:proofErr w:type="spellStart"/>
      <w:r w:rsidRPr="00B419CE">
        <w:t>samanlikne</w:t>
      </w:r>
      <w:proofErr w:type="spellEnd"/>
      <w:r w:rsidRPr="00B419CE">
        <w:t xml:space="preserve"> på </w:t>
      </w:r>
      <w:proofErr w:type="spellStart"/>
      <w:r w:rsidRPr="00B419CE">
        <w:t>ein</w:t>
      </w:r>
      <w:proofErr w:type="spellEnd"/>
      <w:r w:rsidRPr="00B419CE">
        <w:t xml:space="preserve"> enkel måte. Portalen gjev </w:t>
      </w:r>
      <w:proofErr w:type="spellStart"/>
      <w:r w:rsidRPr="00B419CE">
        <w:t>allmenta</w:t>
      </w:r>
      <w:proofErr w:type="spellEnd"/>
      <w:r w:rsidRPr="00B419CE">
        <w:t xml:space="preserve"> </w:t>
      </w:r>
      <w:proofErr w:type="spellStart"/>
      <w:r w:rsidRPr="00B419CE">
        <w:t>enklare</w:t>
      </w:r>
      <w:proofErr w:type="spellEnd"/>
      <w:r w:rsidRPr="00B419CE">
        <w:t xml:space="preserve"> og betre tilgang til informasjon om </w:t>
      </w:r>
      <w:proofErr w:type="spellStart"/>
      <w:r w:rsidRPr="00B419CE">
        <w:t>statleg</w:t>
      </w:r>
      <w:proofErr w:type="spellEnd"/>
      <w:r w:rsidRPr="00B419CE">
        <w:t xml:space="preserve"> ressursbruk. </w:t>
      </w:r>
      <w:proofErr w:type="spellStart"/>
      <w:r w:rsidRPr="00B419CE">
        <w:t>Trafikkmålingar</w:t>
      </w:r>
      <w:proofErr w:type="spellEnd"/>
      <w:r w:rsidRPr="00B419CE">
        <w:t xml:space="preserve"> tyder på at </w:t>
      </w:r>
      <w:proofErr w:type="spellStart"/>
      <w:r w:rsidRPr="00B419CE">
        <w:t>interessa</w:t>
      </w:r>
      <w:proofErr w:type="spellEnd"/>
      <w:r w:rsidRPr="00B419CE">
        <w:t xml:space="preserve"> for løysinga er </w:t>
      </w:r>
      <w:proofErr w:type="spellStart"/>
      <w:r w:rsidRPr="00B419CE">
        <w:t>noko</w:t>
      </w:r>
      <w:proofErr w:type="spellEnd"/>
      <w:r w:rsidRPr="00B419CE">
        <w:t xml:space="preserve"> mindre enn </w:t>
      </w:r>
      <w:proofErr w:type="spellStart"/>
      <w:r w:rsidRPr="00B419CE">
        <w:t>tidlegare</w:t>
      </w:r>
      <w:proofErr w:type="spellEnd"/>
      <w:r w:rsidRPr="00B419CE">
        <w:t xml:space="preserve">, </w:t>
      </w:r>
      <w:proofErr w:type="spellStart"/>
      <w:r w:rsidRPr="00B419CE">
        <w:t>medan</w:t>
      </w:r>
      <w:proofErr w:type="spellEnd"/>
      <w:r w:rsidRPr="00B419CE">
        <w:t xml:space="preserve"> </w:t>
      </w:r>
      <w:proofErr w:type="spellStart"/>
      <w:r w:rsidRPr="00B419CE">
        <w:t>brukarane</w:t>
      </w:r>
      <w:proofErr w:type="spellEnd"/>
      <w:r w:rsidRPr="00B419CE">
        <w:t xml:space="preserve"> vert lenger </w:t>
      </w:r>
      <w:proofErr w:type="spellStart"/>
      <w:r w:rsidRPr="00B419CE">
        <w:t>varande</w:t>
      </w:r>
      <w:proofErr w:type="spellEnd"/>
      <w:r w:rsidRPr="00B419CE">
        <w:t xml:space="preserve"> i portalen for kvart besøk. Godt over halvparten av </w:t>
      </w:r>
      <w:proofErr w:type="spellStart"/>
      <w:r w:rsidRPr="00B419CE">
        <w:t>brukarane</w:t>
      </w:r>
      <w:proofErr w:type="spellEnd"/>
      <w:r w:rsidRPr="00B419CE">
        <w:t>, 63 prosent, er i stor grad nøgde med portalen.</w:t>
      </w:r>
    </w:p>
    <w:p w14:paraId="0E631898" w14:textId="77777777" w:rsidR="00B419CE" w:rsidRPr="00B419CE" w:rsidRDefault="00B419CE" w:rsidP="00B419CE">
      <w:proofErr w:type="spellStart"/>
      <w:r w:rsidRPr="00B419CE">
        <w:t>DFØs</w:t>
      </w:r>
      <w:proofErr w:type="spellEnd"/>
      <w:r w:rsidRPr="00B419CE">
        <w:t xml:space="preserve"> nettsider for </w:t>
      </w:r>
      <w:proofErr w:type="spellStart"/>
      <w:r w:rsidRPr="00B419CE">
        <w:t>rapportar</w:t>
      </w:r>
      <w:proofErr w:type="spellEnd"/>
      <w:r w:rsidRPr="00B419CE">
        <w:t xml:space="preserve"> og statistikk vert hyppig brukt og </w:t>
      </w:r>
      <w:proofErr w:type="spellStart"/>
      <w:r w:rsidRPr="00B419CE">
        <w:t>inneheld</w:t>
      </w:r>
      <w:proofErr w:type="spellEnd"/>
      <w:r w:rsidRPr="00B419CE">
        <w:t xml:space="preserve"> ei </w:t>
      </w:r>
      <w:proofErr w:type="spellStart"/>
      <w:r w:rsidRPr="00B419CE">
        <w:t>rekkje</w:t>
      </w:r>
      <w:proofErr w:type="spellEnd"/>
      <w:r w:rsidRPr="00B419CE">
        <w:t xml:space="preserve"> produkt som får </w:t>
      </w:r>
      <w:proofErr w:type="spellStart"/>
      <w:r w:rsidRPr="00B419CE">
        <w:t>mykje</w:t>
      </w:r>
      <w:proofErr w:type="spellEnd"/>
      <w:r w:rsidRPr="00B419CE">
        <w:t xml:space="preserve"> </w:t>
      </w:r>
      <w:proofErr w:type="spellStart"/>
      <w:r w:rsidRPr="00B419CE">
        <w:t>merksemd</w:t>
      </w:r>
      <w:proofErr w:type="spellEnd"/>
      <w:r w:rsidRPr="00B419CE">
        <w:t xml:space="preserve">. Mellom anna publiserer DFØ </w:t>
      </w:r>
      <w:proofErr w:type="spellStart"/>
      <w:r w:rsidRPr="00B419CE">
        <w:t>årleg</w:t>
      </w:r>
      <w:proofErr w:type="spellEnd"/>
      <w:r w:rsidRPr="00B419CE">
        <w:t xml:space="preserve"> </w:t>
      </w:r>
      <w:proofErr w:type="spellStart"/>
      <w:r w:rsidRPr="00B419CE">
        <w:t>ein</w:t>
      </w:r>
      <w:proofErr w:type="spellEnd"/>
      <w:r w:rsidRPr="00B419CE">
        <w:t xml:space="preserve"> rapport og statistikk om utvikling i </w:t>
      </w:r>
      <w:proofErr w:type="spellStart"/>
      <w:r w:rsidRPr="00B419CE">
        <w:t>talet</w:t>
      </w:r>
      <w:proofErr w:type="spellEnd"/>
      <w:r w:rsidRPr="00B419CE">
        <w:t xml:space="preserve"> på </w:t>
      </w:r>
      <w:proofErr w:type="gramStart"/>
      <w:r w:rsidRPr="00B419CE">
        <w:t>tilsette</w:t>
      </w:r>
      <w:proofErr w:type="gramEnd"/>
      <w:r w:rsidRPr="00B419CE">
        <w:t xml:space="preserve"> i statsforvaltninga. DFØ arbeider òg med ei løysing som etter kvart skal </w:t>
      </w:r>
      <w:proofErr w:type="spellStart"/>
      <w:r w:rsidRPr="00B419CE">
        <w:t>gje</w:t>
      </w:r>
      <w:proofErr w:type="spellEnd"/>
      <w:r w:rsidRPr="00B419CE">
        <w:t xml:space="preserve"> betre oversikt over </w:t>
      </w:r>
      <w:proofErr w:type="spellStart"/>
      <w:r w:rsidRPr="00B419CE">
        <w:t>statlege</w:t>
      </w:r>
      <w:proofErr w:type="spellEnd"/>
      <w:r w:rsidRPr="00B419CE">
        <w:t xml:space="preserve"> </w:t>
      </w:r>
      <w:proofErr w:type="spellStart"/>
      <w:r w:rsidRPr="00B419CE">
        <w:t>tilskot</w:t>
      </w:r>
      <w:proofErr w:type="spellEnd"/>
      <w:r w:rsidRPr="00B419CE">
        <w:t xml:space="preserve"> til frivillig sektor.</w:t>
      </w:r>
    </w:p>
    <w:p w14:paraId="0AB32AAF" w14:textId="77777777" w:rsidR="00B419CE" w:rsidRPr="00B419CE" w:rsidRDefault="00B419CE" w:rsidP="00B419CE">
      <w:pPr>
        <w:pStyle w:val="avsnitt-tittel"/>
      </w:pPr>
      <w:proofErr w:type="spellStart"/>
      <w:r w:rsidRPr="00B419CE">
        <w:t>Hovudmål</w:t>
      </w:r>
      <w:proofErr w:type="spellEnd"/>
      <w:r w:rsidRPr="00B419CE">
        <w:t xml:space="preserve"> 5: </w:t>
      </w:r>
      <w:proofErr w:type="spellStart"/>
      <w:r w:rsidRPr="00B419CE">
        <w:t>Statlege</w:t>
      </w:r>
      <w:proofErr w:type="spellEnd"/>
      <w:r w:rsidRPr="00B419CE">
        <w:t xml:space="preserve"> </w:t>
      </w:r>
      <w:proofErr w:type="spellStart"/>
      <w:r w:rsidRPr="00B419CE">
        <w:t>verksemder</w:t>
      </w:r>
      <w:proofErr w:type="spellEnd"/>
      <w:r w:rsidRPr="00B419CE">
        <w:t xml:space="preserve"> er effektivt organisert og leia</w:t>
      </w:r>
    </w:p>
    <w:p w14:paraId="16792D2E" w14:textId="77777777" w:rsidR="00B419CE" w:rsidRPr="00B419CE" w:rsidRDefault="00B419CE" w:rsidP="00B419CE">
      <w:r w:rsidRPr="00B419CE">
        <w:t xml:space="preserve">DFØ overtok fagområda organisering og leiing i 2020. Ansvaret </w:t>
      </w:r>
      <w:proofErr w:type="spellStart"/>
      <w:r w:rsidRPr="00B419CE">
        <w:t>inneber</w:t>
      </w:r>
      <w:proofErr w:type="spellEnd"/>
      <w:r w:rsidRPr="00B419CE">
        <w:t xml:space="preserve"> å </w:t>
      </w:r>
      <w:proofErr w:type="spellStart"/>
      <w:r w:rsidRPr="00B419CE">
        <w:t>gje</w:t>
      </w:r>
      <w:proofErr w:type="spellEnd"/>
      <w:r w:rsidRPr="00B419CE">
        <w:t xml:space="preserve"> </w:t>
      </w:r>
      <w:proofErr w:type="spellStart"/>
      <w:r w:rsidRPr="00B419CE">
        <w:t>leiarar</w:t>
      </w:r>
      <w:proofErr w:type="spellEnd"/>
      <w:r w:rsidRPr="00B419CE">
        <w:t xml:space="preserve"> og tilsette i </w:t>
      </w:r>
      <w:proofErr w:type="spellStart"/>
      <w:r w:rsidRPr="00B419CE">
        <w:t>statlege</w:t>
      </w:r>
      <w:proofErr w:type="spellEnd"/>
      <w:r w:rsidRPr="00B419CE">
        <w:t xml:space="preserve"> </w:t>
      </w:r>
      <w:proofErr w:type="spellStart"/>
      <w:r w:rsidRPr="00B419CE">
        <w:t>verksemder</w:t>
      </w:r>
      <w:proofErr w:type="spellEnd"/>
      <w:r w:rsidRPr="00B419CE">
        <w:t xml:space="preserve"> </w:t>
      </w:r>
      <w:proofErr w:type="spellStart"/>
      <w:r w:rsidRPr="00B419CE">
        <w:t>tilbod</w:t>
      </w:r>
      <w:proofErr w:type="spellEnd"/>
      <w:r w:rsidRPr="00B419CE">
        <w:t xml:space="preserve"> om kompetanseutvikling på </w:t>
      </w:r>
      <w:proofErr w:type="spellStart"/>
      <w:r w:rsidRPr="00B419CE">
        <w:t>deira</w:t>
      </w:r>
      <w:proofErr w:type="spellEnd"/>
      <w:r w:rsidRPr="00B419CE">
        <w:t xml:space="preserve"> fagområde, samt å </w:t>
      </w:r>
      <w:proofErr w:type="spellStart"/>
      <w:r w:rsidRPr="00B419CE">
        <w:t>gje</w:t>
      </w:r>
      <w:proofErr w:type="spellEnd"/>
      <w:r w:rsidRPr="00B419CE">
        <w:t xml:space="preserve"> støtte til </w:t>
      </w:r>
      <w:proofErr w:type="spellStart"/>
      <w:r w:rsidRPr="00B419CE">
        <w:t>statlege</w:t>
      </w:r>
      <w:proofErr w:type="spellEnd"/>
      <w:r w:rsidRPr="00B419CE">
        <w:t xml:space="preserve"> </w:t>
      </w:r>
      <w:proofErr w:type="spellStart"/>
      <w:r w:rsidRPr="00B419CE">
        <w:t>verksemder</w:t>
      </w:r>
      <w:proofErr w:type="spellEnd"/>
      <w:r w:rsidRPr="00B419CE">
        <w:t xml:space="preserve"> i </w:t>
      </w:r>
      <w:proofErr w:type="spellStart"/>
      <w:r w:rsidRPr="00B419CE">
        <w:t>arbeidsgjevarrolla</w:t>
      </w:r>
      <w:proofErr w:type="spellEnd"/>
      <w:r w:rsidRPr="00B419CE">
        <w:t xml:space="preserve">. </w:t>
      </w:r>
      <w:proofErr w:type="spellStart"/>
      <w:r w:rsidRPr="00B419CE">
        <w:t>Innanfor</w:t>
      </w:r>
      <w:proofErr w:type="spellEnd"/>
      <w:r w:rsidRPr="00B419CE">
        <w:t xml:space="preserve"> </w:t>
      </w:r>
      <w:proofErr w:type="spellStart"/>
      <w:r w:rsidRPr="00B419CE">
        <w:t>dei</w:t>
      </w:r>
      <w:proofErr w:type="spellEnd"/>
      <w:r w:rsidRPr="00B419CE">
        <w:t xml:space="preserve"> nye fagområda </w:t>
      </w:r>
      <w:proofErr w:type="spellStart"/>
      <w:r w:rsidRPr="00B419CE">
        <w:t>undersøkjer</w:t>
      </w:r>
      <w:proofErr w:type="spellEnd"/>
      <w:r w:rsidRPr="00B419CE">
        <w:t xml:space="preserve"> og analyserer DFØ tilstand, utvikling og endringsbehov i norsk forvaltning.</w:t>
      </w:r>
    </w:p>
    <w:p w14:paraId="41C6FAA1" w14:textId="77777777" w:rsidR="00B419CE" w:rsidRPr="00B419CE" w:rsidRDefault="00B419CE" w:rsidP="00B419CE">
      <w:r w:rsidRPr="00B419CE">
        <w:t xml:space="preserve">I 2020 har DFØ dreidd </w:t>
      </w:r>
      <w:proofErr w:type="spellStart"/>
      <w:r w:rsidRPr="00B419CE">
        <w:t>ein</w:t>
      </w:r>
      <w:proofErr w:type="spellEnd"/>
      <w:r w:rsidRPr="00B419CE">
        <w:t xml:space="preserve"> stor del av kompetansetiltaka retta mot </w:t>
      </w:r>
      <w:proofErr w:type="spellStart"/>
      <w:r w:rsidRPr="00B419CE">
        <w:t>leiarar</w:t>
      </w:r>
      <w:proofErr w:type="spellEnd"/>
      <w:r w:rsidRPr="00B419CE">
        <w:t xml:space="preserve">, </w:t>
      </w:r>
      <w:proofErr w:type="spellStart"/>
      <w:r w:rsidRPr="00B419CE">
        <w:t>medarbeidarar</w:t>
      </w:r>
      <w:proofErr w:type="spellEnd"/>
      <w:r w:rsidRPr="00B419CE">
        <w:t xml:space="preserve"> og </w:t>
      </w:r>
      <w:proofErr w:type="spellStart"/>
      <w:r w:rsidRPr="00B419CE">
        <w:t>lærlingar</w:t>
      </w:r>
      <w:proofErr w:type="spellEnd"/>
      <w:r w:rsidRPr="00B419CE">
        <w:t xml:space="preserve">, over på digitale </w:t>
      </w:r>
      <w:proofErr w:type="spellStart"/>
      <w:r w:rsidRPr="00B419CE">
        <w:t>løysingar</w:t>
      </w:r>
      <w:proofErr w:type="spellEnd"/>
      <w:r w:rsidRPr="00B419CE">
        <w:t xml:space="preserve">. </w:t>
      </w:r>
      <w:proofErr w:type="spellStart"/>
      <w:r w:rsidRPr="00B419CE">
        <w:t>Omfattande</w:t>
      </w:r>
      <w:proofErr w:type="spellEnd"/>
      <w:r w:rsidRPr="00B419CE">
        <w:t xml:space="preserve"> bruk av heimekontor har bidratt til denne utviklinga og gjort at DFØ har nådd ut til </w:t>
      </w:r>
      <w:proofErr w:type="spellStart"/>
      <w:r w:rsidRPr="00B419CE">
        <w:t>fleire</w:t>
      </w:r>
      <w:proofErr w:type="spellEnd"/>
      <w:r w:rsidRPr="00B419CE">
        <w:t xml:space="preserve"> </w:t>
      </w:r>
      <w:proofErr w:type="spellStart"/>
      <w:r w:rsidRPr="00B419CE">
        <w:t>brukarar</w:t>
      </w:r>
      <w:proofErr w:type="spellEnd"/>
      <w:r w:rsidRPr="00B419CE">
        <w:t xml:space="preserve"> enn </w:t>
      </w:r>
      <w:proofErr w:type="spellStart"/>
      <w:r w:rsidRPr="00B419CE">
        <w:t>tidlegare</w:t>
      </w:r>
      <w:proofErr w:type="spellEnd"/>
      <w:r w:rsidRPr="00B419CE">
        <w:t xml:space="preserve">. Over 70 prosent av </w:t>
      </w:r>
      <w:proofErr w:type="spellStart"/>
      <w:r w:rsidRPr="00B419CE">
        <w:t>DFØs</w:t>
      </w:r>
      <w:proofErr w:type="spellEnd"/>
      <w:r w:rsidRPr="00B419CE">
        <w:t xml:space="preserve"> </w:t>
      </w:r>
      <w:proofErr w:type="spellStart"/>
      <w:r w:rsidRPr="00B419CE">
        <w:t>brukarar</w:t>
      </w:r>
      <w:proofErr w:type="spellEnd"/>
      <w:r w:rsidRPr="00B419CE">
        <w:t xml:space="preserve"> har nytta </w:t>
      </w:r>
      <w:proofErr w:type="spellStart"/>
      <w:r w:rsidRPr="00B419CE">
        <w:t>eit</w:t>
      </w:r>
      <w:proofErr w:type="spellEnd"/>
      <w:r w:rsidRPr="00B419CE">
        <w:t xml:space="preserve"> eller </w:t>
      </w:r>
      <w:proofErr w:type="spellStart"/>
      <w:r w:rsidRPr="00B419CE">
        <w:t>fleire</w:t>
      </w:r>
      <w:proofErr w:type="spellEnd"/>
      <w:r w:rsidRPr="00B419CE">
        <w:t xml:space="preserve"> digitale kompetansetiltak i 2020, og </w:t>
      </w:r>
      <w:proofErr w:type="spellStart"/>
      <w:r w:rsidRPr="00B419CE">
        <w:lastRenderedPageBreak/>
        <w:t>brukarane</w:t>
      </w:r>
      <w:proofErr w:type="spellEnd"/>
      <w:r w:rsidRPr="00B419CE">
        <w:t xml:space="preserve"> vurderer </w:t>
      </w:r>
      <w:proofErr w:type="spellStart"/>
      <w:r w:rsidRPr="00B419CE">
        <w:t>kompetansetilbodet</w:t>
      </w:r>
      <w:proofErr w:type="spellEnd"/>
      <w:r w:rsidRPr="00B419CE">
        <w:t xml:space="preserve"> som både relevant, </w:t>
      </w:r>
      <w:proofErr w:type="spellStart"/>
      <w:r w:rsidRPr="00B419CE">
        <w:t>tilgjengeleg</w:t>
      </w:r>
      <w:proofErr w:type="spellEnd"/>
      <w:r w:rsidRPr="00B419CE">
        <w:t xml:space="preserve"> og brukerretta. I 2020 </w:t>
      </w:r>
      <w:proofErr w:type="spellStart"/>
      <w:r w:rsidRPr="00B419CE">
        <w:t>vart</w:t>
      </w:r>
      <w:proofErr w:type="spellEnd"/>
      <w:r w:rsidRPr="00B419CE">
        <w:t xml:space="preserve"> det </w:t>
      </w:r>
      <w:proofErr w:type="spellStart"/>
      <w:r w:rsidRPr="00B419CE">
        <w:t>teke</w:t>
      </w:r>
      <w:proofErr w:type="spellEnd"/>
      <w:r w:rsidRPr="00B419CE">
        <w:t xml:space="preserve"> opp 18 nye </w:t>
      </w:r>
      <w:proofErr w:type="spellStart"/>
      <w:r w:rsidRPr="00B419CE">
        <w:t>verksemder</w:t>
      </w:r>
      <w:proofErr w:type="spellEnd"/>
      <w:r w:rsidRPr="00B419CE">
        <w:t xml:space="preserve"> på </w:t>
      </w:r>
      <w:proofErr w:type="spellStart"/>
      <w:r w:rsidRPr="00B419CE">
        <w:rPr>
          <w:rStyle w:val="kursiv"/>
        </w:rPr>
        <w:t>verksemdsplattforma</w:t>
      </w:r>
      <w:proofErr w:type="spellEnd"/>
      <w:r w:rsidRPr="00B419CE">
        <w:t xml:space="preserve">. Plattforma gjev </w:t>
      </w:r>
      <w:proofErr w:type="spellStart"/>
      <w:r w:rsidRPr="00B419CE">
        <w:t>brukarane</w:t>
      </w:r>
      <w:proofErr w:type="spellEnd"/>
      <w:r w:rsidRPr="00B419CE">
        <w:t xml:space="preserve"> støtte til utvikling, styring og deling av kompetanse mellom </w:t>
      </w:r>
      <w:proofErr w:type="spellStart"/>
      <w:r w:rsidRPr="00B419CE">
        <w:t>statlege</w:t>
      </w:r>
      <w:proofErr w:type="spellEnd"/>
      <w:r w:rsidRPr="00B419CE">
        <w:t xml:space="preserve"> </w:t>
      </w:r>
      <w:proofErr w:type="spellStart"/>
      <w:r w:rsidRPr="00B419CE">
        <w:t>verksemder</w:t>
      </w:r>
      <w:proofErr w:type="spellEnd"/>
      <w:r w:rsidRPr="00B419CE">
        <w:t>.</w:t>
      </w:r>
    </w:p>
    <w:p w14:paraId="0989BFD1" w14:textId="77777777" w:rsidR="00B419CE" w:rsidRPr="00B419CE" w:rsidRDefault="00B419CE" w:rsidP="00B419CE">
      <w:r w:rsidRPr="00B419CE">
        <w:t xml:space="preserve">DFØ får stadig </w:t>
      </w:r>
      <w:proofErr w:type="spellStart"/>
      <w:r w:rsidRPr="00B419CE">
        <w:t>fleire</w:t>
      </w:r>
      <w:proofErr w:type="spellEnd"/>
      <w:r w:rsidRPr="00B419CE">
        <w:t xml:space="preserve"> </w:t>
      </w:r>
      <w:proofErr w:type="spellStart"/>
      <w:r w:rsidRPr="00B419CE">
        <w:t>faglege</w:t>
      </w:r>
      <w:proofErr w:type="spellEnd"/>
      <w:r w:rsidRPr="00B419CE">
        <w:t xml:space="preserve"> </w:t>
      </w:r>
      <w:proofErr w:type="spellStart"/>
      <w:r w:rsidRPr="00B419CE">
        <w:t>førespurnader</w:t>
      </w:r>
      <w:proofErr w:type="spellEnd"/>
      <w:r w:rsidRPr="00B419CE">
        <w:t xml:space="preserve"> om </w:t>
      </w:r>
      <w:proofErr w:type="spellStart"/>
      <w:r w:rsidRPr="00B419CE">
        <w:t>arbeidsgjevarrolla</w:t>
      </w:r>
      <w:proofErr w:type="spellEnd"/>
      <w:r w:rsidRPr="00B419CE">
        <w:t xml:space="preserve">. Ei undersøking viser at </w:t>
      </w:r>
      <w:proofErr w:type="spellStart"/>
      <w:r w:rsidRPr="00B419CE">
        <w:t>brukarane</w:t>
      </w:r>
      <w:proofErr w:type="spellEnd"/>
      <w:r w:rsidRPr="00B419CE">
        <w:t xml:space="preserve"> er </w:t>
      </w:r>
      <w:proofErr w:type="spellStart"/>
      <w:r w:rsidRPr="00B419CE">
        <w:t>meir</w:t>
      </w:r>
      <w:proofErr w:type="spellEnd"/>
      <w:r w:rsidRPr="00B419CE">
        <w:t xml:space="preserve"> tilfredse med svara </w:t>
      </w:r>
      <w:proofErr w:type="spellStart"/>
      <w:r w:rsidRPr="00B419CE">
        <w:t>dei</w:t>
      </w:r>
      <w:proofErr w:type="spellEnd"/>
      <w:r w:rsidRPr="00B419CE">
        <w:t xml:space="preserve"> </w:t>
      </w:r>
      <w:proofErr w:type="spellStart"/>
      <w:r w:rsidRPr="00B419CE">
        <w:t>fekk</w:t>
      </w:r>
      <w:proofErr w:type="spellEnd"/>
      <w:r w:rsidRPr="00B419CE">
        <w:t xml:space="preserve"> i 2020 enn </w:t>
      </w:r>
      <w:proofErr w:type="spellStart"/>
      <w:r w:rsidRPr="00B419CE">
        <w:t>tidlegare</w:t>
      </w:r>
      <w:proofErr w:type="spellEnd"/>
      <w:r w:rsidRPr="00B419CE">
        <w:t xml:space="preserve">. </w:t>
      </w:r>
      <w:proofErr w:type="spellStart"/>
      <w:r w:rsidRPr="00B419CE">
        <w:t>Brukarane</w:t>
      </w:r>
      <w:proofErr w:type="spellEnd"/>
      <w:r w:rsidRPr="00B419CE">
        <w:t xml:space="preserve"> er òg godt nøgde med </w:t>
      </w:r>
      <w:proofErr w:type="spellStart"/>
      <w:r w:rsidRPr="00B419CE">
        <w:t>innhaldet</w:t>
      </w:r>
      <w:proofErr w:type="spellEnd"/>
      <w:r w:rsidRPr="00B419CE">
        <w:t xml:space="preserve"> på </w:t>
      </w:r>
      <w:proofErr w:type="spellStart"/>
      <w:r w:rsidRPr="00B419CE">
        <w:rPr>
          <w:rStyle w:val="kursiv"/>
        </w:rPr>
        <w:t>arbeidsgjevarportalen</w:t>
      </w:r>
      <w:proofErr w:type="spellEnd"/>
      <w:r w:rsidRPr="00B419CE">
        <w:t xml:space="preserve">. Resultatet viser at det </w:t>
      </w:r>
      <w:proofErr w:type="spellStart"/>
      <w:r w:rsidRPr="00B419CE">
        <w:t>faglege</w:t>
      </w:r>
      <w:proofErr w:type="spellEnd"/>
      <w:r w:rsidRPr="00B419CE">
        <w:t xml:space="preserve"> </w:t>
      </w:r>
      <w:proofErr w:type="spellStart"/>
      <w:r w:rsidRPr="00B419CE">
        <w:t>innhaldet</w:t>
      </w:r>
      <w:proofErr w:type="spellEnd"/>
      <w:r w:rsidRPr="00B419CE">
        <w:t xml:space="preserve"> på portalen vert </w:t>
      </w:r>
      <w:proofErr w:type="spellStart"/>
      <w:r w:rsidRPr="00B419CE">
        <w:t>mykje</w:t>
      </w:r>
      <w:proofErr w:type="spellEnd"/>
      <w:r w:rsidRPr="00B419CE">
        <w:t xml:space="preserve"> brukt, og DFØ vurderer portalen som </w:t>
      </w:r>
      <w:proofErr w:type="spellStart"/>
      <w:r w:rsidRPr="00B419CE">
        <w:t>eit</w:t>
      </w:r>
      <w:proofErr w:type="spellEnd"/>
      <w:r w:rsidRPr="00B419CE">
        <w:t xml:space="preserve"> godt verktøy for </w:t>
      </w:r>
      <w:proofErr w:type="spellStart"/>
      <w:r w:rsidRPr="00B419CE">
        <w:t>arbeidsgjevarar</w:t>
      </w:r>
      <w:proofErr w:type="spellEnd"/>
      <w:r w:rsidRPr="00B419CE">
        <w:t xml:space="preserve">, </w:t>
      </w:r>
      <w:proofErr w:type="spellStart"/>
      <w:r w:rsidRPr="00B419CE">
        <w:t>leiarar</w:t>
      </w:r>
      <w:proofErr w:type="spellEnd"/>
      <w:r w:rsidRPr="00B419CE">
        <w:t xml:space="preserve"> og HR-</w:t>
      </w:r>
      <w:proofErr w:type="spellStart"/>
      <w:r w:rsidRPr="00B419CE">
        <w:t>medarbeidarar</w:t>
      </w:r>
      <w:proofErr w:type="spellEnd"/>
      <w:r w:rsidRPr="00B419CE">
        <w:t xml:space="preserve"> i staten.</w:t>
      </w:r>
    </w:p>
    <w:p w14:paraId="049079CA" w14:textId="77777777" w:rsidR="00B419CE" w:rsidRPr="00B419CE" w:rsidRDefault="00B419CE" w:rsidP="00B419CE">
      <w:r w:rsidRPr="00B419CE">
        <w:t xml:space="preserve">DFØ analyserer og produserer kunnskap om tilstand, utviklingstrekk og behov for endring i </w:t>
      </w:r>
      <w:proofErr w:type="spellStart"/>
      <w:r w:rsidRPr="00B419CE">
        <w:t>offentleg</w:t>
      </w:r>
      <w:proofErr w:type="spellEnd"/>
      <w:r w:rsidRPr="00B419CE">
        <w:t xml:space="preserve"> forvaltning. Sentrale tema i 2020 har mellom anna </w:t>
      </w:r>
      <w:proofErr w:type="spellStart"/>
      <w:r w:rsidRPr="00B419CE">
        <w:t>vore</w:t>
      </w:r>
      <w:proofErr w:type="spellEnd"/>
      <w:r w:rsidRPr="00B419CE">
        <w:t xml:space="preserve"> </w:t>
      </w:r>
      <w:proofErr w:type="spellStart"/>
      <w:r w:rsidRPr="00B419CE">
        <w:t>statleg</w:t>
      </w:r>
      <w:proofErr w:type="spellEnd"/>
      <w:r w:rsidRPr="00B419CE">
        <w:t xml:space="preserve"> styring av </w:t>
      </w:r>
      <w:proofErr w:type="spellStart"/>
      <w:r w:rsidRPr="00B419CE">
        <w:t>kommunane</w:t>
      </w:r>
      <w:proofErr w:type="spellEnd"/>
      <w:r w:rsidRPr="00B419CE">
        <w:t xml:space="preserve">, store </w:t>
      </w:r>
      <w:proofErr w:type="spellStart"/>
      <w:r w:rsidRPr="00B419CE">
        <w:t>reformar</w:t>
      </w:r>
      <w:proofErr w:type="spellEnd"/>
      <w:r w:rsidRPr="00B419CE">
        <w:t xml:space="preserve">, kvalitet på </w:t>
      </w:r>
      <w:proofErr w:type="spellStart"/>
      <w:r w:rsidRPr="00B419CE">
        <w:t>utgreiingar</w:t>
      </w:r>
      <w:proofErr w:type="spellEnd"/>
      <w:r w:rsidRPr="00B419CE">
        <w:t xml:space="preserve">, nye organisasjonsformer, samordning, krisehandtering og innovasjon. DFØ arbeider </w:t>
      </w:r>
      <w:proofErr w:type="spellStart"/>
      <w:r w:rsidRPr="00B419CE">
        <w:t>kontinuerleg</w:t>
      </w:r>
      <w:proofErr w:type="spellEnd"/>
      <w:r w:rsidRPr="00B419CE">
        <w:t xml:space="preserve"> med å få betre tilgang til data og statistikk på sine fagområde, mellom anna ved å samarbeide med Statistisk sentralbyrå og Norsk senter for forskningsdata. I tillegg </w:t>
      </w:r>
      <w:proofErr w:type="spellStart"/>
      <w:r w:rsidRPr="00B419CE">
        <w:t>satsar</w:t>
      </w:r>
      <w:proofErr w:type="spellEnd"/>
      <w:r w:rsidRPr="00B419CE">
        <w:t xml:space="preserve"> DFØ på å utvikle </w:t>
      </w:r>
      <w:proofErr w:type="spellStart"/>
      <w:r w:rsidRPr="00B419CE">
        <w:t>eit</w:t>
      </w:r>
      <w:proofErr w:type="spellEnd"/>
      <w:r w:rsidRPr="00B419CE">
        <w:t xml:space="preserve"> </w:t>
      </w:r>
      <w:proofErr w:type="spellStart"/>
      <w:r w:rsidRPr="00B419CE">
        <w:t>sterkare</w:t>
      </w:r>
      <w:proofErr w:type="spellEnd"/>
      <w:r w:rsidRPr="00B419CE">
        <w:t xml:space="preserve"> kvantitativt analysemiljø i </w:t>
      </w:r>
      <w:proofErr w:type="spellStart"/>
      <w:r w:rsidRPr="00B419CE">
        <w:t>verksemda</w:t>
      </w:r>
      <w:proofErr w:type="spellEnd"/>
      <w:r w:rsidRPr="00B419CE">
        <w:t>.</w:t>
      </w:r>
    </w:p>
    <w:p w14:paraId="359CEB16" w14:textId="77777777" w:rsidR="00B419CE" w:rsidRPr="00B419CE" w:rsidRDefault="00B419CE" w:rsidP="00B419CE">
      <w:pPr>
        <w:pStyle w:val="avsnitt-tittel"/>
      </w:pPr>
      <w:proofErr w:type="spellStart"/>
      <w:r w:rsidRPr="00B419CE">
        <w:t>Offentlege</w:t>
      </w:r>
      <w:proofErr w:type="spellEnd"/>
      <w:r w:rsidRPr="00B419CE">
        <w:t xml:space="preserve"> innkjøp</w:t>
      </w:r>
    </w:p>
    <w:p w14:paraId="5FF38761" w14:textId="77777777" w:rsidR="00B419CE" w:rsidRPr="00B419CE" w:rsidRDefault="00B419CE" w:rsidP="00B419CE">
      <w:r w:rsidRPr="00B419CE">
        <w:t xml:space="preserve">DFØ overtok fagområdet innkjøp i </w:t>
      </w:r>
      <w:proofErr w:type="spellStart"/>
      <w:r w:rsidRPr="00B419CE">
        <w:t>offentleg</w:t>
      </w:r>
      <w:proofErr w:type="spellEnd"/>
      <w:r w:rsidRPr="00B419CE">
        <w:t xml:space="preserve"> sektor i september 2020. DFØ er statens fagorgan på området, </w:t>
      </w:r>
      <w:proofErr w:type="spellStart"/>
      <w:r w:rsidRPr="00B419CE">
        <w:t>eit</w:t>
      </w:r>
      <w:proofErr w:type="spellEnd"/>
      <w:r w:rsidRPr="00B419CE">
        <w:t xml:space="preserve"> ansvar som mellom anna </w:t>
      </w:r>
      <w:proofErr w:type="spellStart"/>
      <w:r w:rsidRPr="00B419CE">
        <w:t>inneber</w:t>
      </w:r>
      <w:proofErr w:type="spellEnd"/>
      <w:r w:rsidRPr="00B419CE">
        <w:t xml:space="preserve"> å </w:t>
      </w:r>
      <w:proofErr w:type="spellStart"/>
      <w:r w:rsidRPr="00B419CE">
        <w:t>gje</w:t>
      </w:r>
      <w:proofErr w:type="spellEnd"/>
      <w:r w:rsidRPr="00B419CE">
        <w:t xml:space="preserve"> råd, rettleiing og formidle kunnskap om innkjøp i </w:t>
      </w:r>
      <w:proofErr w:type="spellStart"/>
      <w:r w:rsidRPr="00B419CE">
        <w:t>offentleg</w:t>
      </w:r>
      <w:proofErr w:type="spellEnd"/>
      <w:r w:rsidRPr="00B419CE">
        <w:t xml:space="preserve"> sektor. DFØ arbeider òg for betre regelverksetterleving og effektivisering av </w:t>
      </w:r>
      <w:proofErr w:type="spellStart"/>
      <w:r w:rsidRPr="00B419CE">
        <w:t>offentlege</w:t>
      </w:r>
      <w:proofErr w:type="spellEnd"/>
      <w:r w:rsidRPr="00B419CE">
        <w:t xml:space="preserve"> innkjøp. I tillegg til fagansvaret for </w:t>
      </w:r>
      <w:proofErr w:type="spellStart"/>
      <w:r w:rsidRPr="00B419CE">
        <w:t>offentlege</w:t>
      </w:r>
      <w:proofErr w:type="spellEnd"/>
      <w:r w:rsidRPr="00B419CE">
        <w:t xml:space="preserve"> innkjøp i stort, overtok DFØ òg Statens innkjøpssenter i 2020 og </w:t>
      </w:r>
      <w:proofErr w:type="spellStart"/>
      <w:r w:rsidRPr="00B419CE">
        <w:t>dessutan</w:t>
      </w:r>
      <w:proofErr w:type="spellEnd"/>
      <w:r w:rsidRPr="00B419CE">
        <w:t xml:space="preserve"> ansvaret for å </w:t>
      </w:r>
      <w:proofErr w:type="spellStart"/>
      <w:r w:rsidRPr="00B419CE">
        <w:t>leggje</w:t>
      </w:r>
      <w:proofErr w:type="spellEnd"/>
      <w:r w:rsidRPr="00B419CE">
        <w:t xml:space="preserve"> til rette for at staten, gjennom felles </w:t>
      </w:r>
      <w:proofErr w:type="spellStart"/>
      <w:r w:rsidRPr="00B419CE">
        <w:t>innkjøpsavtalar</w:t>
      </w:r>
      <w:proofErr w:type="spellEnd"/>
      <w:r w:rsidRPr="00B419CE">
        <w:t xml:space="preserve">, oppnår </w:t>
      </w:r>
      <w:proofErr w:type="spellStart"/>
      <w:r w:rsidRPr="00B419CE">
        <w:t>effektiviseringsgevinstar</w:t>
      </w:r>
      <w:proofErr w:type="spellEnd"/>
      <w:r w:rsidRPr="00B419CE">
        <w:t>.</w:t>
      </w:r>
    </w:p>
    <w:p w14:paraId="1C9D6CA8" w14:textId="77777777" w:rsidR="00B419CE" w:rsidRPr="00B419CE" w:rsidRDefault="00B419CE" w:rsidP="00B419CE">
      <w:r w:rsidRPr="00B419CE">
        <w:t xml:space="preserve">Området </w:t>
      </w:r>
      <w:proofErr w:type="spellStart"/>
      <w:r w:rsidRPr="00B419CE">
        <w:t>offentlege</w:t>
      </w:r>
      <w:proofErr w:type="spellEnd"/>
      <w:r w:rsidRPr="00B419CE">
        <w:t xml:space="preserve"> innkjøp er stort, og nær 600 </w:t>
      </w:r>
      <w:proofErr w:type="spellStart"/>
      <w:r w:rsidRPr="00B419CE">
        <w:t>milliardar</w:t>
      </w:r>
      <w:proofErr w:type="spellEnd"/>
      <w:r w:rsidRPr="00B419CE">
        <w:t xml:space="preserve"> kroner vert nytta til innkjøp over </w:t>
      </w:r>
      <w:proofErr w:type="spellStart"/>
      <w:r w:rsidRPr="00B419CE">
        <w:t>offentlege</w:t>
      </w:r>
      <w:proofErr w:type="spellEnd"/>
      <w:r w:rsidRPr="00B419CE">
        <w:t xml:space="preserve"> budsjett i 2019. DFØ har i 2020 </w:t>
      </w:r>
      <w:proofErr w:type="spellStart"/>
      <w:r w:rsidRPr="00B419CE">
        <w:t>arbeidd</w:t>
      </w:r>
      <w:proofErr w:type="spellEnd"/>
      <w:r w:rsidRPr="00B419CE">
        <w:t xml:space="preserve"> aktivt på </w:t>
      </w:r>
      <w:proofErr w:type="spellStart"/>
      <w:r w:rsidRPr="00B419CE">
        <w:t>fleire</w:t>
      </w:r>
      <w:proofErr w:type="spellEnd"/>
      <w:r w:rsidRPr="00B419CE">
        <w:t xml:space="preserve"> område for å bidra til betre forvalting av </w:t>
      </w:r>
      <w:proofErr w:type="spellStart"/>
      <w:r w:rsidRPr="00B419CE">
        <w:t>desse</w:t>
      </w:r>
      <w:proofErr w:type="spellEnd"/>
      <w:r w:rsidRPr="00B419CE">
        <w:t xml:space="preserve"> </w:t>
      </w:r>
      <w:proofErr w:type="spellStart"/>
      <w:r w:rsidRPr="00B419CE">
        <w:t>midlane</w:t>
      </w:r>
      <w:proofErr w:type="spellEnd"/>
      <w:r w:rsidRPr="00B419CE">
        <w:t xml:space="preserve">. Meld. St. 22 (2018–2019) </w:t>
      </w:r>
      <w:r w:rsidRPr="00B419CE">
        <w:rPr>
          <w:rStyle w:val="kursiv"/>
        </w:rPr>
        <w:t>Smartere innkjøp – effektive og profesjonelle offentlige anskaffelser,</w:t>
      </w:r>
      <w:r w:rsidRPr="00B419CE">
        <w:t xml:space="preserve"> </w:t>
      </w:r>
      <w:proofErr w:type="spellStart"/>
      <w:r w:rsidRPr="00B419CE">
        <w:t>inneheld</w:t>
      </w:r>
      <w:proofErr w:type="spellEnd"/>
      <w:r w:rsidRPr="00B419CE">
        <w:t xml:space="preserve"> ei </w:t>
      </w:r>
      <w:proofErr w:type="spellStart"/>
      <w:r w:rsidRPr="00B419CE">
        <w:t>rekkje</w:t>
      </w:r>
      <w:proofErr w:type="spellEnd"/>
      <w:r w:rsidRPr="00B419CE">
        <w:t xml:space="preserve"> tiltak som DFØ har </w:t>
      </w:r>
      <w:proofErr w:type="spellStart"/>
      <w:r w:rsidRPr="00B419CE">
        <w:t>arbeidd</w:t>
      </w:r>
      <w:proofErr w:type="spellEnd"/>
      <w:r w:rsidRPr="00B419CE">
        <w:t xml:space="preserve"> med i 2020. Døme her er </w:t>
      </w:r>
      <w:proofErr w:type="spellStart"/>
      <w:r w:rsidRPr="00B419CE">
        <w:t>satsingar</w:t>
      </w:r>
      <w:proofErr w:type="spellEnd"/>
      <w:r w:rsidRPr="00B419CE">
        <w:t xml:space="preserve"> som </w:t>
      </w:r>
      <w:proofErr w:type="spellStart"/>
      <w:r w:rsidRPr="00B419CE">
        <w:t>marknadsplassen</w:t>
      </w:r>
      <w:proofErr w:type="spellEnd"/>
      <w:r w:rsidRPr="00B419CE">
        <w:t xml:space="preserve"> for </w:t>
      </w:r>
      <w:proofErr w:type="spellStart"/>
      <w:r w:rsidRPr="00B419CE">
        <w:t>skytenester</w:t>
      </w:r>
      <w:proofErr w:type="spellEnd"/>
      <w:r w:rsidRPr="00B419CE">
        <w:t xml:space="preserve"> som skal </w:t>
      </w:r>
      <w:proofErr w:type="spellStart"/>
      <w:r w:rsidRPr="00B419CE">
        <w:t>gjere</w:t>
      </w:r>
      <w:proofErr w:type="spellEnd"/>
      <w:r w:rsidRPr="00B419CE">
        <w:t xml:space="preserve"> det </w:t>
      </w:r>
      <w:proofErr w:type="spellStart"/>
      <w:r w:rsidRPr="00B419CE">
        <w:t>enklare</w:t>
      </w:r>
      <w:proofErr w:type="spellEnd"/>
      <w:r w:rsidRPr="00B419CE">
        <w:t xml:space="preserve"> for </w:t>
      </w:r>
      <w:proofErr w:type="spellStart"/>
      <w:r w:rsidRPr="00B419CE">
        <w:t>verksemder</w:t>
      </w:r>
      <w:proofErr w:type="spellEnd"/>
      <w:r w:rsidRPr="00B419CE">
        <w:t xml:space="preserve"> å skaffe seg </w:t>
      </w:r>
      <w:proofErr w:type="spellStart"/>
      <w:r w:rsidRPr="00B419CE">
        <w:t>forsvarlege</w:t>
      </w:r>
      <w:proofErr w:type="spellEnd"/>
      <w:r w:rsidRPr="00B419CE">
        <w:t xml:space="preserve">, </w:t>
      </w:r>
      <w:proofErr w:type="spellStart"/>
      <w:r w:rsidRPr="00B419CE">
        <w:t>lovlege</w:t>
      </w:r>
      <w:proofErr w:type="spellEnd"/>
      <w:r w:rsidRPr="00B419CE">
        <w:t xml:space="preserve"> og kostnadseffektive </w:t>
      </w:r>
      <w:proofErr w:type="spellStart"/>
      <w:r w:rsidRPr="00B419CE">
        <w:t>skytenester</w:t>
      </w:r>
      <w:proofErr w:type="spellEnd"/>
      <w:r w:rsidRPr="00B419CE">
        <w:t xml:space="preserve">. DFØ arbeidde òg i 2020 med å </w:t>
      </w:r>
      <w:proofErr w:type="spellStart"/>
      <w:r w:rsidRPr="00B419CE">
        <w:t>auke</w:t>
      </w:r>
      <w:proofErr w:type="spellEnd"/>
      <w:r w:rsidRPr="00B419CE">
        <w:t xml:space="preserve"> bruken av innkjøp som er eigna til å </w:t>
      </w:r>
      <w:proofErr w:type="spellStart"/>
      <w:r w:rsidRPr="00B419CE">
        <w:t>gje</w:t>
      </w:r>
      <w:proofErr w:type="spellEnd"/>
      <w:r w:rsidRPr="00B419CE">
        <w:t xml:space="preserve"> innovasjon, </w:t>
      </w:r>
      <w:proofErr w:type="spellStart"/>
      <w:r w:rsidRPr="00B419CE">
        <w:t>medrekna</w:t>
      </w:r>
      <w:proofErr w:type="spellEnd"/>
      <w:r w:rsidRPr="00B419CE">
        <w:t xml:space="preserve"> regjeringa sitt program for innovasjonskjøp </w:t>
      </w:r>
      <w:proofErr w:type="spellStart"/>
      <w:r w:rsidRPr="00B419CE">
        <w:t>frå</w:t>
      </w:r>
      <w:proofErr w:type="spellEnd"/>
      <w:r w:rsidRPr="00B419CE">
        <w:t xml:space="preserve"> oppstartsselskap (</w:t>
      </w:r>
      <w:proofErr w:type="spellStart"/>
      <w:r w:rsidRPr="00B419CE">
        <w:rPr>
          <w:rStyle w:val="kursiv"/>
        </w:rPr>
        <w:t>StartOff</w:t>
      </w:r>
      <w:proofErr w:type="spellEnd"/>
      <w:r w:rsidRPr="00B419CE">
        <w:t xml:space="preserve">). Programmet </w:t>
      </w:r>
      <w:proofErr w:type="spellStart"/>
      <w:r w:rsidRPr="00B419CE">
        <w:t>vart</w:t>
      </w:r>
      <w:proofErr w:type="spellEnd"/>
      <w:r w:rsidRPr="00B419CE">
        <w:t xml:space="preserve"> offisielt lansert 1. januar 2021.</w:t>
      </w:r>
    </w:p>
    <w:p w14:paraId="5E5E2965" w14:textId="77777777" w:rsidR="00B419CE" w:rsidRPr="00B419CE" w:rsidRDefault="00B419CE" w:rsidP="00B419CE">
      <w:r w:rsidRPr="00B419CE">
        <w:t xml:space="preserve">Våren 2020 </w:t>
      </w:r>
      <w:proofErr w:type="spellStart"/>
      <w:r w:rsidRPr="00B419CE">
        <w:t>vart</w:t>
      </w:r>
      <w:proofErr w:type="spellEnd"/>
      <w:r w:rsidRPr="00B419CE">
        <w:t xml:space="preserve"> det gjennomført ei undersøking av </w:t>
      </w:r>
      <w:proofErr w:type="spellStart"/>
      <w:r w:rsidRPr="00B419CE">
        <w:t>mogenskap</w:t>
      </w:r>
      <w:proofErr w:type="spellEnd"/>
      <w:r w:rsidRPr="00B419CE">
        <w:t xml:space="preserve"> i </w:t>
      </w:r>
      <w:proofErr w:type="spellStart"/>
      <w:r w:rsidRPr="00B419CE">
        <w:t>offentlege</w:t>
      </w:r>
      <w:proofErr w:type="spellEnd"/>
      <w:r w:rsidRPr="00B419CE">
        <w:t xml:space="preserve"> innkjøp. Undersøkinga viser at </w:t>
      </w:r>
      <w:proofErr w:type="spellStart"/>
      <w:r w:rsidRPr="00B419CE">
        <w:t>mognaden</w:t>
      </w:r>
      <w:proofErr w:type="spellEnd"/>
      <w:r w:rsidRPr="00B419CE">
        <w:t xml:space="preserve"> er </w:t>
      </w:r>
      <w:proofErr w:type="spellStart"/>
      <w:r w:rsidRPr="00B419CE">
        <w:t>sterkast</w:t>
      </w:r>
      <w:proofErr w:type="spellEnd"/>
      <w:r w:rsidRPr="00B419CE">
        <w:t xml:space="preserve"> </w:t>
      </w:r>
      <w:proofErr w:type="spellStart"/>
      <w:r w:rsidRPr="00B419CE">
        <w:t>innan</w:t>
      </w:r>
      <w:proofErr w:type="spellEnd"/>
      <w:r w:rsidRPr="00B419CE">
        <w:t xml:space="preserve"> samarbeid og prosess, </w:t>
      </w:r>
      <w:proofErr w:type="spellStart"/>
      <w:r w:rsidRPr="00B419CE">
        <w:t>medan</w:t>
      </w:r>
      <w:proofErr w:type="spellEnd"/>
      <w:r w:rsidRPr="00B419CE">
        <w:t xml:space="preserve"> den er </w:t>
      </w:r>
      <w:proofErr w:type="spellStart"/>
      <w:r w:rsidRPr="00B419CE">
        <w:t>svakast</w:t>
      </w:r>
      <w:proofErr w:type="spellEnd"/>
      <w:r w:rsidRPr="00B419CE">
        <w:t xml:space="preserve"> </w:t>
      </w:r>
      <w:proofErr w:type="spellStart"/>
      <w:r w:rsidRPr="00B419CE">
        <w:t>innan</w:t>
      </w:r>
      <w:proofErr w:type="spellEnd"/>
      <w:r w:rsidRPr="00B419CE">
        <w:t xml:space="preserve"> digitalisering. DFØ </w:t>
      </w:r>
      <w:proofErr w:type="spellStart"/>
      <w:r w:rsidRPr="00B419CE">
        <w:t>peikar</w:t>
      </w:r>
      <w:proofErr w:type="spellEnd"/>
      <w:r w:rsidRPr="00B419CE">
        <w:t xml:space="preserve"> på at spesielt gjenbruk av data </w:t>
      </w:r>
      <w:proofErr w:type="spellStart"/>
      <w:r w:rsidRPr="00B419CE">
        <w:t>trekkjer</w:t>
      </w:r>
      <w:proofErr w:type="spellEnd"/>
      <w:r w:rsidRPr="00B419CE">
        <w:t xml:space="preserve"> ned den digitale </w:t>
      </w:r>
      <w:proofErr w:type="spellStart"/>
      <w:r w:rsidRPr="00B419CE">
        <w:t>mognaden</w:t>
      </w:r>
      <w:proofErr w:type="spellEnd"/>
      <w:r w:rsidRPr="00B419CE">
        <w:t xml:space="preserve"> i </w:t>
      </w:r>
      <w:proofErr w:type="spellStart"/>
      <w:r w:rsidRPr="00B419CE">
        <w:t>verksemdene</w:t>
      </w:r>
      <w:proofErr w:type="spellEnd"/>
      <w:r w:rsidRPr="00B419CE">
        <w:t xml:space="preserve">. Digitalisering av </w:t>
      </w:r>
      <w:proofErr w:type="spellStart"/>
      <w:r w:rsidRPr="00B419CE">
        <w:t>offentlege</w:t>
      </w:r>
      <w:proofErr w:type="spellEnd"/>
      <w:r w:rsidRPr="00B419CE">
        <w:t xml:space="preserve"> </w:t>
      </w:r>
      <w:proofErr w:type="spellStart"/>
      <w:r w:rsidRPr="00B419CE">
        <w:t>innkjøpsprosessar</w:t>
      </w:r>
      <w:proofErr w:type="spellEnd"/>
      <w:r w:rsidRPr="00B419CE">
        <w:t xml:space="preserve"> er </w:t>
      </w:r>
      <w:proofErr w:type="spellStart"/>
      <w:r w:rsidRPr="00B419CE">
        <w:t>eit</w:t>
      </w:r>
      <w:proofErr w:type="spellEnd"/>
      <w:r w:rsidRPr="00B419CE">
        <w:t xml:space="preserve"> prioritert arbeid i DFØ. Ambisjonen er at </w:t>
      </w:r>
      <w:proofErr w:type="spellStart"/>
      <w:r w:rsidRPr="00B419CE">
        <w:t>offentlege</w:t>
      </w:r>
      <w:proofErr w:type="spellEnd"/>
      <w:r w:rsidRPr="00B419CE">
        <w:t xml:space="preserve"> </w:t>
      </w:r>
      <w:proofErr w:type="spellStart"/>
      <w:r w:rsidRPr="00B419CE">
        <w:t>innkjøpsprosessar</w:t>
      </w:r>
      <w:proofErr w:type="spellEnd"/>
      <w:r w:rsidRPr="00B419CE">
        <w:t xml:space="preserve"> skal </w:t>
      </w:r>
      <w:proofErr w:type="spellStart"/>
      <w:r w:rsidRPr="00B419CE">
        <w:t>vere</w:t>
      </w:r>
      <w:proofErr w:type="spellEnd"/>
      <w:r w:rsidRPr="00B419CE">
        <w:t xml:space="preserve"> </w:t>
      </w:r>
      <w:proofErr w:type="spellStart"/>
      <w:r w:rsidRPr="00B419CE">
        <w:t>heildigitale</w:t>
      </w:r>
      <w:proofErr w:type="spellEnd"/>
      <w:r w:rsidRPr="00B419CE">
        <w:t xml:space="preserve"> </w:t>
      </w:r>
      <w:proofErr w:type="spellStart"/>
      <w:r w:rsidRPr="00B419CE">
        <w:t>innan</w:t>
      </w:r>
      <w:proofErr w:type="spellEnd"/>
      <w:r w:rsidRPr="00B419CE">
        <w:t xml:space="preserve"> 2024.</w:t>
      </w:r>
    </w:p>
    <w:p w14:paraId="5D66E2A7" w14:textId="77777777" w:rsidR="00B419CE" w:rsidRPr="00B419CE" w:rsidRDefault="00B419CE" w:rsidP="00B419CE">
      <w:r w:rsidRPr="00B419CE">
        <w:t xml:space="preserve">DFØ melder om gode tal </w:t>
      </w:r>
      <w:proofErr w:type="spellStart"/>
      <w:r w:rsidRPr="00B419CE">
        <w:t>innan</w:t>
      </w:r>
      <w:proofErr w:type="spellEnd"/>
      <w:r w:rsidRPr="00B419CE">
        <w:t xml:space="preserve"> bruk av elektroniske </w:t>
      </w:r>
      <w:proofErr w:type="spellStart"/>
      <w:r w:rsidRPr="00B419CE">
        <w:t>løysingar</w:t>
      </w:r>
      <w:proofErr w:type="spellEnd"/>
      <w:r w:rsidRPr="00B419CE">
        <w:t xml:space="preserve"> i </w:t>
      </w:r>
      <w:proofErr w:type="spellStart"/>
      <w:r w:rsidRPr="00B419CE">
        <w:t>offentlege</w:t>
      </w:r>
      <w:proofErr w:type="spellEnd"/>
      <w:r w:rsidRPr="00B419CE">
        <w:t xml:space="preserve"> </w:t>
      </w:r>
      <w:proofErr w:type="spellStart"/>
      <w:r w:rsidRPr="00B419CE">
        <w:t>innkjøpsprosessar</w:t>
      </w:r>
      <w:proofErr w:type="spellEnd"/>
      <w:r w:rsidRPr="00B419CE">
        <w:t xml:space="preserve">: Tal for gjennomførte </w:t>
      </w:r>
      <w:proofErr w:type="spellStart"/>
      <w:r w:rsidRPr="00B419CE">
        <w:t>konkurransar</w:t>
      </w:r>
      <w:proofErr w:type="spellEnd"/>
      <w:r w:rsidRPr="00B419CE">
        <w:t xml:space="preserve">, bruk av </w:t>
      </w:r>
      <w:proofErr w:type="spellStart"/>
      <w:r w:rsidRPr="00B419CE">
        <w:rPr>
          <w:rStyle w:val="kursiv"/>
        </w:rPr>
        <w:t>eBevis</w:t>
      </w:r>
      <w:proofErr w:type="spellEnd"/>
      <w:r w:rsidRPr="00B419CE">
        <w:t xml:space="preserve">, </w:t>
      </w:r>
      <w:proofErr w:type="spellStart"/>
      <w:r w:rsidRPr="00B419CE">
        <w:t>bestillingar</w:t>
      </w:r>
      <w:proofErr w:type="spellEnd"/>
      <w:r w:rsidRPr="00B419CE">
        <w:t>, EHF-</w:t>
      </w:r>
      <w:r w:rsidRPr="00B419CE">
        <w:lastRenderedPageBreak/>
        <w:t xml:space="preserve">faktura og </w:t>
      </w:r>
      <w:proofErr w:type="spellStart"/>
      <w:r w:rsidRPr="00B419CE">
        <w:t>betalingstransaksjonar</w:t>
      </w:r>
      <w:proofErr w:type="spellEnd"/>
      <w:r w:rsidRPr="00B419CE">
        <w:t xml:space="preserve"> </w:t>
      </w:r>
      <w:proofErr w:type="spellStart"/>
      <w:r w:rsidRPr="00B419CE">
        <w:t>peikar</w:t>
      </w:r>
      <w:proofErr w:type="spellEnd"/>
      <w:r w:rsidRPr="00B419CE">
        <w:t xml:space="preserve"> i riktig retning. Med unntak av </w:t>
      </w:r>
      <w:proofErr w:type="spellStart"/>
      <w:r w:rsidRPr="00B419CE">
        <w:t>innkjøpsavtalar</w:t>
      </w:r>
      <w:proofErr w:type="spellEnd"/>
      <w:r w:rsidRPr="00B419CE">
        <w:t xml:space="preserve"> for reisebyrå som på grunn av koronapandemien vart mindre brukte enn </w:t>
      </w:r>
      <w:proofErr w:type="spellStart"/>
      <w:r w:rsidRPr="00B419CE">
        <w:t>tidlegare</w:t>
      </w:r>
      <w:proofErr w:type="spellEnd"/>
      <w:r w:rsidRPr="00B419CE">
        <w:t xml:space="preserve">, vart </w:t>
      </w:r>
      <w:proofErr w:type="spellStart"/>
      <w:r w:rsidRPr="00B419CE">
        <w:t>dei</w:t>
      </w:r>
      <w:proofErr w:type="spellEnd"/>
      <w:r w:rsidRPr="00B419CE">
        <w:t xml:space="preserve"> </w:t>
      </w:r>
      <w:proofErr w:type="spellStart"/>
      <w:r w:rsidRPr="00B419CE">
        <w:t>statlege</w:t>
      </w:r>
      <w:proofErr w:type="spellEnd"/>
      <w:r w:rsidRPr="00B419CE">
        <w:t xml:space="preserve"> fellesavtalene for innkjøp brukte i </w:t>
      </w:r>
      <w:proofErr w:type="spellStart"/>
      <w:r w:rsidRPr="00B419CE">
        <w:t>aukande</w:t>
      </w:r>
      <w:proofErr w:type="spellEnd"/>
      <w:r w:rsidRPr="00B419CE">
        <w:t xml:space="preserve"> grad i 2020. </w:t>
      </w:r>
      <w:proofErr w:type="spellStart"/>
      <w:r w:rsidRPr="00B419CE">
        <w:t>Vidare</w:t>
      </w:r>
      <w:proofErr w:type="spellEnd"/>
      <w:r w:rsidRPr="00B419CE">
        <w:t xml:space="preserve"> er </w:t>
      </w:r>
      <w:proofErr w:type="spellStart"/>
      <w:r w:rsidRPr="00B419CE">
        <w:t>DFØs</w:t>
      </w:r>
      <w:proofErr w:type="spellEnd"/>
      <w:r w:rsidRPr="00B419CE">
        <w:t xml:space="preserve"> </w:t>
      </w:r>
      <w:proofErr w:type="spellStart"/>
      <w:r w:rsidRPr="00B419CE">
        <w:t>røynsle</w:t>
      </w:r>
      <w:proofErr w:type="spellEnd"/>
      <w:r w:rsidRPr="00B419CE">
        <w:t xml:space="preserve"> at </w:t>
      </w:r>
      <w:proofErr w:type="spellStart"/>
      <w:r w:rsidRPr="00B419CE">
        <w:t>fleire</w:t>
      </w:r>
      <w:proofErr w:type="spellEnd"/>
      <w:r w:rsidRPr="00B419CE">
        <w:t xml:space="preserve"> </w:t>
      </w:r>
      <w:proofErr w:type="spellStart"/>
      <w:r w:rsidRPr="00B419CE">
        <w:t>verksemder</w:t>
      </w:r>
      <w:proofErr w:type="spellEnd"/>
      <w:r w:rsidRPr="00B419CE">
        <w:t xml:space="preserve"> stiller krav til miljø i </w:t>
      </w:r>
      <w:proofErr w:type="spellStart"/>
      <w:r w:rsidRPr="00B419CE">
        <w:t>offentlege</w:t>
      </w:r>
      <w:proofErr w:type="spellEnd"/>
      <w:r w:rsidRPr="00B419CE">
        <w:t xml:space="preserve"> innkjøp. DFØ erfarer òg stor </w:t>
      </w:r>
      <w:proofErr w:type="spellStart"/>
      <w:r w:rsidRPr="00B419CE">
        <w:t>auke</w:t>
      </w:r>
      <w:proofErr w:type="spellEnd"/>
      <w:r w:rsidRPr="00B419CE">
        <w:t xml:space="preserve"> i bruken av </w:t>
      </w:r>
      <w:proofErr w:type="spellStart"/>
      <w:r w:rsidRPr="00B419CE">
        <w:t>rettleiingstenestene</w:t>
      </w:r>
      <w:proofErr w:type="spellEnd"/>
      <w:r w:rsidRPr="00B419CE">
        <w:t xml:space="preserve"> </w:t>
      </w:r>
      <w:proofErr w:type="spellStart"/>
      <w:r w:rsidRPr="00B419CE">
        <w:t>innan</w:t>
      </w:r>
      <w:proofErr w:type="spellEnd"/>
      <w:r w:rsidRPr="00B419CE">
        <w:t xml:space="preserve"> innkjøp av skytjenester.</w:t>
      </w:r>
    </w:p>
    <w:p w14:paraId="4F120E23" w14:textId="77777777" w:rsidR="00B419CE" w:rsidRPr="00B419CE" w:rsidRDefault="00B419CE" w:rsidP="00B419CE">
      <w:pPr>
        <w:pStyle w:val="Undertittel"/>
      </w:pPr>
      <w:r w:rsidRPr="00B419CE">
        <w:t>Samla resultatvurdering</w:t>
      </w:r>
    </w:p>
    <w:p w14:paraId="02B53D05" w14:textId="77777777" w:rsidR="00B419CE" w:rsidRPr="00B419CE" w:rsidRDefault="00B419CE" w:rsidP="00B419CE">
      <w:r w:rsidRPr="00B419CE">
        <w:t xml:space="preserve">Finansdepartementet meiner </w:t>
      </w:r>
      <w:proofErr w:type="spellStart"/>
      <w:r w:rsidRPr="00B419CE">
        <w:t>DFØs</w:t>
      </w:r>
      <w:proofErr w:type="spellEnd"/>
      <w:r w:rsidRPr="00B419CE">
        <w:t xml:space="preserve"> resultat i 2020 syner at </w:t>
      </w:r>
      <w:proofErr w:type="spellStart"/>
      <w:r w:rsidRPr="00B419CE">
        <w:t>brukarane</w:t>
      </w:r>
      <w:proofErr w:type="spellEnd"/>
      <w:r w:rsidRPr="00B419CE">
        <w:t xml:space="preserve"> og </w:t>
      </w:r>
      <w:proofErr w:type="spellStart"/>
      <w:r w:rsidRPr="00B419CE">
        <w:t>kundane</w:t>
      </w:r>
      <w:proofErr w:type="spellEnd"/>
      <w:r w:rsidRPr="00B419CE">
        <w:t xml:space="preserve"> jamt over er tilfredse og at enkeltoppdrag i </w:t>
      </w:r>
      <w:proofErr w:type="spellStart"/>
      <w:r w:rsidRPr="00B419CE">
        <w:t>hovudsak</w:t>
      </w:r>
      <w:proofErr w:type="spellEnd"/>
      <w:r w:rsidRPr="00B419CE">
        <w:t xml:space="preserve"> er leverte i tråd med departementet sine </w:t>
      </w:r>
      <w:proofErr w:type="spellStart"/>
      <w:r w:rsidRPr="00B419CE">
        <w:t>forventningar</w:t>
      </w:r>
      <w:proofErr w:type="spellEnd"/>
      <w:r w:rsidRPr="00B419CE">
        <w:t xml:space="preserve">. DFØ har i 2020 </w:t>
      </w:r>
      <w:proofErr w:type="spellStart"/>
      <w:r w:rsidRPr="00B419CE">
        <w:t>vore</w:t>
      </w:r>
      <w:proofErr w:type="spellEnd"/>
      <w:r w:rsidRPr="00B419CE">
        <w:t xml:space="preserve"> gjennom ei omorganisering og står midt i </w:t>
      </w:r>
      <w:proofErr w:type="spellStart"/>
      <w:r w:rsidRPr="00B419CE">
        <w:t>ein</w:t>
      </w:r>
      <w:proofErr w:type="spellEnd"/>
      <w:r w:rsidRPr="00B419CE">
        <w:t xml:space="preserve"> prosess med opptak av store </w:t>
      </w:r>
      <w:proofErr w:type="spellStart"/>
      <w:r w:rsidRPr="00B419CE">
        <w:t>kundar</w:t>
      </w:r>
      <w:proofErr w:type="spellEnd"/>
      <w:r w:rsidRPr="00B419CE">
        <w:t xml:space="preserve"> i universitetssektoren. Ut i </w:t>
      </w:r>
      <w:proofErr w:type="spellStart"/>
      <w:r w:rsidRPr="00B419CE">
        <w:t>frå</w:t>
      </w:r>
      <w:proofErr w:type="spellEnd"/>
      <w:r w:rsidRPr="00B419CE">
        <w:t xml:space="preserve"> både </w:t>
      </w:r>
      <w:proofErr w:type="spellStart"/>
      <w:r w:rsidRPr="00B419CE">
        <w:t>hovudmåla</w:t>
      </w:r>
      <w:proofErr w:type="spellEnd"/>
      <w:r w:rsidRPr="00B419CE">
        <w:t xml:space="preserve"> som vart sette for etaten, og koronasituasjonen i 2020, vurderer departementet resultata samla sett som gode.</w:t>
      </w:r>
    </w:p>
    <w:p w14:paraId="7DF2964B" w14:textId="77777777" w:rsidR="00B419CE" w:rsidRPr="00B419CE" w:rsidRDefault="00B419CE" w:rsidP="00B419CE">
      <w:pPr>
        <w:pStyle w:val="Undertittel"/>
      </w:pPr>
      <w:r w:rsidRPr="00B419CE">
        <w:t xml:space="preserve">Viktige </w:t>
      </w:r>
      <w:proofErr w:type="spellStart"/>
      <w:r w:rsidRPr="00B419CE">
        <w:t>utfordringar</w:t>
      </w:r>
      <w:proofErr w:type="spellEnd"/>
    </w:p>
    <w:p w14:paraId="5E7CC544" w14:textId="77777777" w:rsidR="00B419CE" w:rsidRPr="00B419CE" w:rsidRDefault="00B419CE" w:rsidP="00B419CE">
      <w:r w:rsidRPr="00B419CE">
        <w:t xml:space="preserve">DFØ </w:t>
      </w:r>
      <w:proofErr w:type="spellStart"/>
      <w:r w:rsidRPr="00B419CE">
        <w:t>vart</w:t>
      </w:r>
      <w:proofErr w:type="spellEnd"/>
      <w:r w:rsidRPr="00B419CE">
        <w:t xml:space="preserve"> omorganisert i 2020. Fagområda til avdeling leiing, avdeling for utgreiing og analyse og avdeling for </w:t>
      </w:r>
      <w:proofErr w:type="spellStart"/>
      <w:r w:rsidRPr="00B419CE">
        <w:t>offentlege</w:t>
      </w:r>
      <w:proofErr w:type="spellEnd"/>
      <w:r w:rsidRPr="00B419CE">
        <w:t xml:space="preserve"> innkjøp i Digitaliseringsdirektoratet vart flytta til DFØ. Samlinga av fagmiljø gjev DFØ nye </w:t>
      </w:r>
      <w:proofErr w:type="spellStart"/>
      <w:r w:rsidRPr="00B419CE">
        <w:t>moglegheiter</w:t>
      </w:r>
      <w:proofErr w:type="spellEnd"/>
      <w:r w:rsidRPr="00B419CE">
        <w:t xml:space="preserve"> i arbeidet med å </w:t>
      </w:r>
      <w:proofErr w:type="spellStart"/>
      <w:r w:rsidRPr="00B419CE">
        <w:t>leggje</w:t>
      </w:r>
      <w:proofErr w:type="spellEnd"/>
      <w:r w:rsidRPr="00B419CE">
        <w:t xml:space="preserve"> til rette for effektiv ressursbruk og bidra til ei kunnskapsbasert og utviklingsorientert forvalting. Arbeidet med å tilpasse </w:t>
      </w:r>
      <w:proofErr w:type="spellStart"/>
      <w:r w:rsidRPr="00B419CE">
        <w:t>verksemda</w:t>
      </w:r>
      <w:proofErr w:type="spellEnd"/>
      <w:r w:rsidRPr="00B419CE">
        <w:t xml:space="preserve"> til </w:t>
      </w:r>
      <w:proofErr w:type="spellStart"/>
      <w:r w:rsidRPr="00B419CE">
        <w:t>endringane</w:t>
      </w:r>
      <w:proofErr w:type="spellEnd"/>
      <w:r w:rsidRPr="00B419CE">
        <w:t xml:space="preserve"> og henta ut </w:t>
      </w:r>
      <w:proofErr w:type="spellStart"/>
      <w:r w:rsidRPr="00B419CE">
        <w:t>synergieffektar</w:t>
      </w:r>
      <w:proofErr w:type="spellEnd"/>
      <w:r w:rsidRPr="00B419CE">
        <w:t xml:space="preserve"> på tvers av fagområda, vil </w:t>
      </w:r>
      <w:proofErr w:type="spellStart"/>
      <w:r w:rsidRPr="00B419CE">
        <w:t>vere</w:t>
      </w:r>
      <w:proofErr w:type="spellEnd"/>
      <w:r w:rsidRPr="00B419CE">
        <w:t xml:space="preserve"> </w:t>
      </w:r>
      <w:proofErr w:type="spellStart"/>
      <w:r w:rsidRPr="00B419CE">
        <w:t>eit</w:t>
      </w:r>
      <w:proofErr w:type="spellEnd"/>
      <w:r w:rsidRPr="00B419CE">
        <w:t xml:space="preserve"> arbeid som må </w:t>
      </w:r>
      <w:proofErr w:type="spellStart"/>
      <w:r w:rsidRPr="00B419CE">
        <w:t>prioriterast</w:t>
      </w:r>
      <w:proofErr w:type="spellEnd"/>
      <w:r w:rsidRPr="00B419CE">
        <w:t xml:space="preserve"> i 2022 òg.</w:t>
      </w:r>
    </w:p>
    <w:p w14:paraId="73A8A295" w14:textId="77777777" w:rsidR="00B419CE" w:rsidRPr="00B419CE" w:rsidRDefault="00B419CE" w:rsidP="00B419CE">
      <w:r w:rsidRPr="00B419CE">
        <w:t xml:space="preserve">På økonomiområdet leverer DFØ </w:t>
      </w:r>
      <w:proofErr w:type="spellStart"/>
      <w:r w:rsidRPr="00B419CE">
        <w:t>fellestenester</w:t>
      </w:r>
      <w:proofErr w:type="spellEnd"/>
      <w:r w:rsidRPr="00B419CE">
        <w:t xml:space="preserve"> som gjev </w:t>
      </w:r>
      <w:proofErr w:type="spellStart"/>
      <w:r w:rsidRPr="00B419CE">
        <w:t>synergiar</w:t>
      </w:r>
      <w:proofErr w:type="spellEnd"/>
      <w:r w:rsidRPr="00B419CE">
        <w:t xml:space="preserve"> og </w:t>
      </w:r>
      <w:proofErr w:type="spellStart"/>
      <w:r w:rsidRPr="00B419CE">
        <w:t>stordriftsfordelar</w:t>
      </w:r>
      <w:proofErr w:type="spellEnd"/>
      <w:r w:rsidRPr="00B419CE">
        <w:t xml:space="preserve"> for staten. For å kunne </w:t>
      </w:r>
      <w:proofErr w:type="spellStart"/>
      <w:r w:rsidRPr="00B419CE">
        <w:t>gjere</w:t>
      </w:r>
      <w:proofErr w:type="spellEnd"/>
      <w:r w:rsidRPr="00B419CE">
        <w:t xml:space="preserve"> dette må direktoratet vege omsynet til direkte </w:t>
      </w:r>
      <w:proofErr w:type="spellStart"/>
      <w:r w:rsidRPr="00B419CE">
        <w:t>gevinstar</w:t>
      </w:r>
      <w:proofErr w:type="spellEnd"/>
      <w:r w:rsidRPr="00B419CE">
        <w:t xml:space="preserve"> </w:t>
      </w:r>
      <w:proofErr w:type="spellStart"/>
      <w:r w:rsidRPr="00B419CE">
        <w:t>frå</w:t>
      </w:r>
      <w:proofErr w:type="spellEnd"/>
      <w:r w:rsidRPr="00B419CE">
        <w:t xml:space="preserve"> standardiserte </w:t>
      </w:r>
      <w:proofErr w:type="spellStart"/>
      <w:r w:rsidRPr="00B419CE">
        <w:t>fellesløysingar</w:t>
      </w:r>
      <w:proofErr w:type="spellEnd"/>
      <w:r w:rsidRPr="00B419CE">
        <w:t xml:space="preserve">, mot behovet for </w:t>
      </w:r>
      <w:proofErr w:type="spellStart"/>
      <w:r w:rsidRPr="00B419CE">
        <w:t>spesialtilpassingar</w:t>
      </w:r>
      <w:proofErr w:type="spellEnd"/>
      <w:r w:rsidRPr="00B419CE">
        <w:t xml:space="preserve"> for </w:t>
      </w:r>
      <w:proofErr w:type="spellStart"/>
      <w:r w:rsidRPr="00B419CE">
        <w:t>einskildverksemder</w:t>
      </w:r>
      <w:proofErr w:type="spellEnd"/>
      <w:r w:rsidRPr="00B419CE">
        <w:t xml:space="preserve"> eller grupper av </w:t>
      </w:r>
      <w:proofErr w:type="spellStart"/>
      <w:r w:rsidRPr="00B419CE">
        <w:t>verksemder</w:t>
      </w:r>
      <w:proofErr w:type="spellEnd"/>
      <w:r w:rsidRPr="00B419CE">
        <w:t>.</w:t>
      </w:r>
    </w:p>
    <w:p w14:paraId="27722903"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i 2022</w:t>
      </w:r>
    </w:p>
    <w:p w14:paraId="619C2DBB" w14:textId="77777777" w:rsidR="00B419CE" w:rsidRPr="00B419CE" w:rsidRDefault="00B419CE" w:rsidP="00B419CE">
      <w:r w:rsidRPr="00B419CE">
        <w:t xml:space="preserve">Finansdepartementet fastsett </w:t>
      </w:r>
      <w:proofErr w:type="spellStart"/>
      <w:r w:rsidRPr="00B419CE">
        <w:t>desse</w:t>
      </w:r>
      <w:proofErr w:type="spellEnd"/>
      <w:r w:rsidRPr="00B419CE">
        <w:t xml:space="preserve"> </w:t>
      </w:r>
      <w:proofErr w:type="spellStart"/>
      <w:r w:rsidRPr="00B419CE">
        <w:t>hovudmåla</w:t>
      </w:r>
      <w:proofErr w:type="spellEnd"/>
      <w:r w:rsidRPr="00B419CE">
        <w:t xml:space="preserve"> for DFØ for 2022:</w:t>
      </w:r>
    </w:p>
    <w:p w14:paraId="3F935060" w14:textId="77777777" w:rsidR="00B419CE" w:rsidRPr="00B419CE" w:rsidRDefault="00B419CE" w:rsidP="00B419CE">
      <w:pPr>
        <w:pStyle w:val="Liste"/>
      </w:pPr>
      <w:proofErr w:type="spellStart"/>
      <w:r w:rsidRPr="00B419CE">
        <w:t>DFØs</w:t>
      </w:r>
      <w:proofErr w:type="spellEnd"/>
      <w:r w:rsidRPr="00B419CE">
        <w:t xml:space="preserve"> </w:t>
      </w:r>
      <w:proofErr w:type="spellStart"/>
      <w:r w:rsidRPr="00B419CE">
        <w:t>kundar</w:t>
      </w:r>
      <w:proofErr w:type="spellEnd"/>
      <w:r w:rsidRPr="00B419CE">
        <w:t xml:space="preserve"> har effektiv økonomistyring</w:t>
      </w:r>
    </w:p>
    <w:p w14:paraId="117F4CDE" w14:textId="77777777" w:rsidR="00B419CE" w:rsidRPr="00B419CE" w:rsidRDefault="00B419CE" w:rsidP="00B419CE">
      <w:pPr>
        <w:pStyle w:val="Liste"/>
      </w:pPr>
      <w:proofErr w:type="spellStart"/>
      <w:r w:rsidRPr="00B419CE">
        <w:t>Offentleg</w:t>
      </w:r>
      <w:proofErr w:type="spellEnd"/>
      <w:r w:rsidRPr="00B419CE">
        <w:t xml:space="preserve"> sektor </w:t>
      </w:r>
      <w:proofErr w:type="spellStart"/>
      <w:r w:rsidRPr="00B419CE">
        <w:t>gjer</w:t>
      </w:r>
      <w:proofErr w:type="spellEnd"/>
      <w:r w:rsidRPr="00B419CE">
        <w:t xml:space="preserve"> effektive og </w:t>
      </w:r>
      <w:proofErr w:type="spellStart"/>
      <w:r w:rsidRPr="00B419CE">
        <w:t>berekraftige</w:t>
      </w:r>
      <w:proofErr w:type="spellEnd"/>
      <w:r w:rsidRPr="00B419CE">
        <w:t xml:space="preserve"> innkjøp</w:t>
      </w:r>
    </w:p>
    <w:p w14:paraId="5BB499E4" w14:textId="77777777" w:rsidR="00B419CE" w:rsidRPr="00B419CE" w:rsidRDefault="00B419CE" w:rsidP="00B419CE">
      <w:pPr>
        <w:pStyle w:val="Liste"/>
      </w:pPr>
      <w:r w:rsidRPr="00B419CE">
        <w:t xml:space="preserve">Statsforvaltninga </w:t>
      </w:r>
      <w:proofErr w:type="spellStart"/>
      <w:r w:rsidRPr="00B419CE">
        <w:t>byggjer</w:t>
      </w:r>
      <w:proofErr w:type="spellEnd"/>
      <w:r w:rsidRPr="00B419CE">
        <w:t xml:space="preserve"> på kunnskap, er utviklingsorientert og har god styring, organisering og leiing</w:t>
      </w:r>
    </w:p>
    <w:p w14:paraId="3A80B757" w14:textId="77777777" w:rsidR="00B419CE" w:rsidRPr="00B419CE" w:rsidRDefault="00B419CE" w:rsidP="00B419CE">
      <w:pPr>
        <w:pStyle w:val="Liste"/>
      </w:pPr>
      <w:proofErr w:type="spellStart"/>
      <w:r w:rsidRPr="00B419CE">
        <w:t>Offentlegheita</w:t>
      </w:r>
      <w:proofErr w:type="spellEnd"/>
      <w:r w:rsidRPr="00B419CE">
        <w:t xml:space="preserve"> kan enkelt ta i bruk informasjon om resultat og bruk av </w:t>
      </w:r>
      <w:proofErr w:type="spellStart"/>
      <w:r w:rsidRPr="00B419CE">
        <w:t>ressursar</w:t>
      </w:r>
      <w:proofErr w:type="spellEnd"/>
      <w:r w:rsidRPr="00B419CE">
        <w:t xml:space="preserve"> i forvaltninga</w:t>
      </w:r>
    </w:p>
    <w:p w14:paraId="77065394" w14:textId="77777777" w:rsidR="00B419CE" w:rsidRPr="00B419CE" w:rsidRDefault="00B419CE" w:rsidP="00B419CE">
      <w:r w:rsidRPr="00B419CE">
        <w:t xml:space="preserve">Departementet venter at resultata i 2022 samla sett skal </w:t>
      </w:r>
      <w:proofErr w:type="spellStart"/>
      <w:r w:rsidRPr="00B419CE">
        <w:t>vere</w:t>
      </w:r>
      <w:proofErr w:type="spellEnd"/>
      <w:r w:rsidRPr="00B419CE">
        <w:t xml:space="preserve"> minst like gode som i 2020. I resultatvurderinga vil departementet </w:t>
      </w:r>
      <w:proofErr w:type="spellStart"/>
      <w:r w:rsidRPr="00B419CE">
        <w:t>leggje</w:t>
      </w:r>
      <w:proofErr w:type="spellEnd"/>
      <w:r w:rsidRPr="00B419CE">
        <w:t xml:space="preserve"> vekt på heilskapen i </w:t>
      </w:r>
      <w:proofErr w:type="spellStart"/>
      <w:r w:rsidRPr="00B419CE">
        <w:t>verksemda</w:t>
      </w:r>
      <w:proofErr w:type="spellEnd"/>
      <w:r w:rsidRPr="00B419CE">
        <w:t>.</w:t>
      </w:r>
    </w:p>
    <w:p w14:paraId="48C13FD7" w14:textId="77777777" w:rsidR="00B419CE" w:rsidRPr="00B419CE" w:rsidRDefault="00B419CE" w:rsidP="00B419CE">
      <w:r w:rsidRPr="00B419CE">
        <w:t xml:space="preserve">DFØ arbeider jamt med å løyse </w:t>
      </w:r>
      <w:proofErr w:type="spellStart"/>
      <w:r w:rsidRPr="00B419CE">
        <w:t>oppgåvene</w:t>
      </w:r>
      <w:proofErr w:type="spellEnd"/>
      <w:r w:rsidRPr="00B419CE">
        <w:t xml:space="preserve"> sine betre. I det </w:t>
      </w:r>
      <w:proofErr w:type="spellStart"/>
      <w:r w:rsidRPr="00B419CE">
        <w:t>daglege</w:t>
      </w:r>
      <w:proofErr w:type="spellEnd"/>
      <w:r w:rsidRPr="00B419CE">
        <w:t xml:space="preserve"> arbeidet er det </w:t>
      </w:r>
      <w:proofErr w:type="spellStart"/>
      <w:r w:rsidRPr="00B419CE">
        <w:t>naudsynt</w:t>
      </w:r>
      <w:proofErr w:type="spellEnd"/>
      <w:r w:rsidRPr="00B419CE">
        <w:t xml:space="preserve"> at etaten veg kvalitet opp mot effektivitet.</w:t>
      </w:r>
    </w:p>
    <w:p w14:paraId="38BAE450" w14:textId="77777777" w:rsidR="00B419CE" w:rsidRPr="00B419CE" w:rsidRDefault="00B419CE" w:rsidP="00B419CE">
      <w:pPr>
        <w:pStyle w:val="Undertittel"/>
      </w:pPr>
      <w:r w:rsidRPr="00B419CE">
        <w:lastRenderedPageBreak/>
        <w:t xml:space="preserve">Viktige </w:t>
      </w:r>
      <w:proofErr w:type="spellStart"/>
      <w:r w:rsidRPr="00B419CE">
        <w:t>prioriteringar</w:t>
      </w:r>
      <w:proofErr w:type="spellEnd"/>
      <w:r w:rsidRPr="00B419CE">
        <w:t xml:space="preserve"> i 2022</w:t>
      </w:r>
    </w:p>
    <w:p w14:paraId="74D5964B" w14:textId="77777777" w:rsidR="00B419CE" w:rsidRPr="00B419CE" w:rsidRDefault="00B419CE" w:rsidP="00B419CE">
      <w:pPr>
        <w:pStyle w:val="avsnitt-tittel"/>
      </w:pPr>
      <w:proofErr w:type="spellStart"/>
      <w:r w:rsidRPr="00B419CE">
        <w:t>Heilskapleg</w:t>
      </w:r>
      <w:proofErr w:type="spellEnd"/>
      <w:r w:rsidRPr="00B419CE">
        <w:t xml:space="preserve"> utvikling</w:t>
      </w:r>
    </w:p>
    <w:p w14:paraId="40F3B528" w14:textId="77777777" w:rsidR="00B419CE" w:rsidRPr="00B419CE" w:rsidRDefault="00B419CE" w:rsidP="00B419CE">
      <w:r w:rsidRPr="00B419CE">
        <w:t xml:space="preserve">Samlinga av fagområda leiing, organisering, </w:t>
      </w:r>
      <w:proofErr w:type="spellStart"/>
      <w:r w:rsidRPr="00B419CE">
        <w:t>arbeidsgjevarstøtte</w:t>
      </w:r>
      <w:proofErr w:type="spellEnd"/>
      <w:r w:rsidRPr="00B419CE">
        <w:t xml:space="preserve"> og </w:t>
      </w:r>
      <w:proofErr w:type="spellStart"/>
      <w:r w:rsidRPr="00B419CE">
        <w:t>offentlege</w:t>
      </w:r>
      <w:proofErr w:type="spellEnd"/>
      <w:r w:rsidRPr="00B419CE">
        <w:t xml:space="preserve"> innkjøp i DFØ, legg til rette for </w:t>
      </w:r>
      <w:proofErr w:type="spellStart"/>
      <w:r w:rsidRPr="00B419CE">
        <w:t>meir</w:t>
      </w:r>
      <w:proofErr w:type="spellEnd"/>
      <w:r w:rsidRPr="00B419CE">
        <w:t xml:space="preserve"> samordna utvikling av </w:t>
      </w:r>
      <w:proofErr w:type="spellStart"/>
      <w:r w:rsidRPr="00B419CE">
        <w:t>desse</w:t>
      </w:r>
      <w:proofErr w:type="spellEnd"/>
      <w:r w:rsidRPr="00B419CE">
        <w:t xml:space="preserve"> fagområda framover. Det er viktig at DFØ òg i 2022 har ei </w:t>
      </w:r>
      <w:proofErr w:type="spellStart"/>
      <w:r w:rsidRPr="00B419CE">
        <w:t>heilskapleg</w:t>
      </w:r>
      <w:proofErr w:type="spellEnd"/>
      <w:r w:rsidRPr="00B419CE">
        <w:t xml:space="preserve"> tilnærming og ser i kva mon samordninga av fagområda kan </w:t>
      </w:r>
      <w:proofErr w:type="spellStart"/>
      <w:r w:rsidRPr="00B419CE">
        <w:t>gje</w:t>
      </w:r>
      <w:proofErr w:type="spellEnd"/>
      <w:r w:rsidRPr="00B419CE">
        <w:t xml:space="preserve"> </w:t>
      </w:r>
      <w:proofErr w:type="spellStart"/>
      <w:r w:rsidRPr="00B419CE">
        <w:t>brukarane</w:t>
      </w:r>
      <w:proofErr w:type="spellEnd"/>
      <w:r w:rsidRPr="00B419CE">
        <w:t xml:space="preserve"> betre </w:t>
      </w:r>
      <w:proofErr w:type="spellStart"/>
      <w:r w:rsidRPr="00B419CE">
        <w:t>tenester</w:t>
      </w:r>
      <w:proofErr w:type="spellEnd"/>
      <w:r w:rsidRPr="00B419CE">
        <w:t xml:space="preserve">. Arbeidet med å tilpasse </w:t>
      </w:r>
      <w:proofErr w:type="spellStart"/>
      <w:r w:rsidRPr="00B419CE">
        <w:t>verksemda</w:t>
      </w:r>
      <w:proofErr w:type="spellEnd"/>
      <w:r w:rsidRPr="00B419CE">
        <w:t xml:space="preserve"> til </w:t>
      </w:r>
      <w:proofErr w:type="spellStart"/>
      <w:r w:rsidRPr="00B419CE">
        <w:t>endringane</w:t>
      </w:r>
      <w:proofErr w:type="spellEnd"/>
      <w:r w:rsidRPr="00B419CE">
        <w:t xml:space="preserve"> og hente ut </w:t>
      </w:r>
      <w:proofErr w:type="spellStart"/>
      <w:r w:rsidRPr="00B419CE">
        <w:t>synergieffektar</w:t>
      </w:r>
      <w:proofErr w:type="spellEnd"/>
      <w:r w:rsidRPr="00B419CE">
        <w:t xml:space="preserve"> på tvers av fagområda, vil måtte </w:t>
      </w:r>
      <w:proofErr w:type="spellStart"/>
      <w:r w:rsidRPr="00B419CE">
        <w:t>prioriterast</w:t>
      </w:r>
      <w:proofErr w:type="spellEnd"/>
      <w:r w:rsidRPr="00B419CE">
        <w:t xml:space="preserve"> i 2022 òg.</w:t>
      </w:r>
    </w:p>
    <w:p w14:paraId="60798763" w14:textId="77777777" w:rsidR="00B419CE" w:rsidRPr="00B419CE" w:rsidRDefault="00B419CE" w:rsidP="00B419CE">
      <w:pPr>
        <w:pStyle w:val="avsnitt-tittel"/>
      </w:pPr>
      <w:r w:rsidRPr="00B419CE">
        <w:t xml:space="preserve">Innføring av sams </w:t>
      </w:r>
      <w:proofErr w:type="spellStart"/>
      <w:r w:rsidRPr="00B419CE">
        <w:t>rekneskapsstandardar</w:t>
      </w:r>
      <w:proofErr w:type="spellEnd"/>
      <w:r w:rsidRPr="00B419CE">
        <w:t xml:space="preserve"> i </w:t>
      </w:r>
      <w:proofErr w:type="spellStart"/>
      <w:r w:rsidRPr="00B419CE">
        <w:t>statlege</w:t>
      </w:r>
      <w:proofErr w:type="spellEnd"/>
      <w:r w:rsidRPr="00B419CE">
        <w:t xml:space="preserve"> </w:t>
      </w:r>
      <w:proofErr w:type="spellStart"/>
      <w:r w:rsidRPr="00B419CE">
        <w:t>verksemder</w:t>
      </w:r>
      <w:proofErr w:type="spellEnd"/>
    </w:p>
    <w:p w14:paraId="314BC239" w14:textId="77777777" w:rsidR="00B419CE" w:rsidRPr="00B419CE" w:rsidRDefault="00B419CE" w:rsidP="00B419CE">
      <w:r w:rsidRPr="00B419CE">
        <w:t xml:space="preserve">Finansdepartementet har fastsett at </w:t>
      </w:r>
      <w:proofErr w:type="spellStart"/>
      <w:r w:rsidRPr="00B419CE">
        <w:t>dei</w:t>
      </w:r>
      <w:proofErr w:type="spellEnd"/>
      <w:r w:rsidRPr="00B419CE">
        <w:t xml:space="preserve"> </w:t>
      </w:r>
      <w:proofErr w:type="spellStart"/>
      <w:r w:rsidRPr="00B419CE">
        <w:t>statlege</w:t>
      </w:r>
      <w:proofErr w:type="spellEnd"/>
      <w:r w:rsidRPr="00B419CE">
        <w:t xml:space="preserve"> </w:t>
      </w:r>
      <w:proofErr w:type="spellStart"/>
      <w:r w:rsidRPr="00B419CE">
        <w:t>rekneskapsstandardane</w:t>
      </w:r>
      <w:proofErr w:type="spellEnd"/>
      <w:r w:rsidRPr="00B419CE">
        <w:t xml:space="preserve"> (SRS) skal </w:t>
      </w:r>
      <w:proofErr w:type="spellStart"/>
      <w:r w:rsidRPr="00B419CE">
        <w:t>vere</w:t>
      </w:r>
      <w:proofErr w:type="spellEnd"/>
      <w:r w:rsidRPr="00B419CE">
        <w:t xml:space="preserve"> obligatorisk for alle </w:t>
      </w:r>
      <w:proofErr w:type="spellStart"/>
      <w:r w:rsidRPr="00B419CE">
        <w:t>statlege</w:t>
      </w:r>
      <w:proofErr w:type="spellEnd"/>
      <w:r w:rsidRPr="00B419CE">
        <w:t xml:space="preserve"> </w:t>
      </w:r>
      <w:proofErr w:type="spellStart"/>
      <w:r w:rsidRPr="00B419CE">
        <w:t>verksemder</w:t>
      </w:r>
      <w:proofErr w:type="spellEnd"/>
      <w:r w:rsidRPr="00B419CE">
        <w:t xml:space="preserve">, med </w:t>
      </w:r>
      <w:proofErr w:type="spellStart"/>
      <w:r w:rsidRPr="00B419CE">
        <w:t>ein</w:t>
      </w:r>
      <w:proofErr w:type="spellEnd"/>
      <w:r w:rsidRPr="00B419CE">
        <w:t xml:space="preserve"> innføringsperiode på fem år </w:t>
      </w:r>
      <w:proofErr w:type="spellStart"/>
      <w:r w:rsidRPr="00B419CE">
        <w:t>frå</w:t>
      </w:r>
      <w:proofErr w:type="spellEnd"/>
      <w:r w:rsidRPr="00B419CE">
        <w:t xml:space="preserve"> 1. januar 2022 for </w:t>
      </w:r>
      <w:proofErr w:type="spellStart"/>
      <w:r w:rsidRPr="00B419CE">
        <w:t>dei</w:t>
      </w:r>
      <w:proofErr w:type="spellEnd"/>
      <w:r w:rsidRPr="00B419CE">
        <w:t xml:space="preserve"> </w:t>
      </w:r>
      <w:proofErr w:type="spellStart"/>
      <w:r w:rsidRPr="00B419CE">
        <w:t>verksemdene</w:t>
      </w:r>
      <w:proofErr w:type="spellEnd"/>
      <w:r w:rsidRPr="00B419CE">
        <w:t xml:space="preserve"> som </w:t>
      </w:r>
      <w:proofErr w:type="spellStart"/>
      <w:r w:rsidRPr="00B419CE">
        <w:t>ikkje</w:t>
      </w:r>
      <w:proofErr w:type="spellEnd"/>
      <w:r w:rsidRPr="00B419CE">
        <w:t xml:space="preserve"> </w:t>
      </w:r>
      <w:proofErr w:type="spellStart"/>
      <w:r w:rsidRPr="00B419CE">
        <w:t>nyttar</w:t>
      </w:r>
      <w:proofErr w:type="spellEnd"/>
      <w:r w:rsidRPr="00B419CE">
        <w:t xml:space="preserve"> SRS, jf. omtale i Gul bok 2022. SRS vart fastsett som tilrådde </w:t>
      </w:r>
      <w:proofErr w:type="spellStart"/>
      <w:r w:rsidRPr="00B419CE">
        <w:t>standardar</w:t>
      </w:r>
      <w:proofErr w:type="spellEnd"/>
      <w:r w:rsidRPr="00B419CE">
        <w:t xml:space="preserve"> i 2010. Om lag 35 prosent av </w:t>
      </w:r>
      <w:proofErr w:type="spellStart"/>
      <w:r w:rsidRPr="00B419CE">
        <w:t>verksemdene</w:t>
      </w:r>
      <w:proofErr w:type="spellEnd"/>
      <w:r w:rsidRPr="00B419CE">
        <w:t xml:space="preserve"> fører </w:t>
      </w:r>
      <w:proofErr w:type="spellStart"/>
      <w:r w:rsidRPr="00B419CE">
        <w:t>allereie</w:t>
      </w:r>
      <w:proofErr w:type="spellEnd"/>
      <w:r w:rsidRPr="00B419CE">
        <w:t xml:space="preserve"> </w:t>
      </w:r>
      <w:proofErr w:type="spellStart"/>
      <w:r w:rsidRPr="00B419CE">
        <w:t>rekneskapen</w:t>
      </w:r>
      <w:proofErr w:type="spellEnd"/>
      <w:r w:rsidRPr="00B419CE">
        <w:t xml:space="preserve"> i tråd med SRS. Sams </w:t>
      </w:r>
      <w:proofErr w:type="spellStart"/>
      <w:r w:rsidRPr="00B419CE">
        <w:t>rekneskapsstandardar</w:t>
      </w:r>
      <w:proofErr w:type="spellEnd"/>
      <w:r w:rsidRPr="00B419CE">
        <w:t xml:space="preserve"> vil bidra til å </w:t>
      </w:r>
      <w:proofErr w:type="spellStart"/>
      <w:r w:rsidRPr="00B419CE">
        <w:t>gjere</w:t>
      </w:r>
      <w:proofErr w:type="spellEnd"/>
      <w:r w:rsidRPr="00B419CE">
        <w:t xml:space="preserve"> det </w:t>
      </w:r>
      <w:proofErr w:type="spellStart"/>
      <w:r w:rsidRPr="00B419CE">
        <w:t>enklare</w:t>
      </w:r>
      <w:proofErr w:type="spellEnd"/>
      <w:r w:rsidRPr="00B419CE">
        <w:t xml:space="preserve"> å analysere og </w:t>
      </w:r>
      <w:proofErr w:type="spellStart"/>
      <w:r w:rsidRPr="00B419CE">
        <w:t>samanlikne</w:t>
      </w:r>
      <w:proofErr w:type="spellEnd"/>
      <w:r w:rsidRPr="00B419CE">
        <w:t xml:space="preserve"> ressursbruken i staten. Standardiseringa vil òg forenkle </w:t>
      </w:r>
      <w:proofErr w:type="spellStart"/>
      <w:r w:rsidRPr="00B419CE">
        <w:t>tenester</w:t>
      </w:r>
      <w:proofErr w:type="spellEnd"/>
      <w:r w:rsidRPr="00B419CE">
        <w:t xml:space="preserve"> og forvalting i DFØ.</w:t>
      </w:r>
    </w:p>
    <w:p w14:paraId="4266D5B4" w14:textId="77777777" w:rsidR="00B419CE" w:rsidRPr="00B419CE" w:rsidRDefault="00B419CE" w:rsidP="00B419CE">
      <w:r w:rsidRPr="00B419CE">
        <w:t xml:space="preserve">DFØ vil stø </w:t>
      </w:r>
      <w:proofErr w:type="spellStart"/>
      <w:r w:rsidRPr="00B419CE">
        <w:t>verksemder</w:t>
      </w:r>
      <w:proofErr w:type="spellEnd"/>
      <w:r w:rsidRPr="00B419CE">
        <w:t xml:space="preserve"> som skal ta i bruk obligatorisk SRS i innføringsperioden, mellom anna med rettleiing og tilpassa kompetansetiltak. DFØ vil i dialog med departementa etablere </w:t>
      </w:r>
      <w:proofErr w:type="spellStart"/>
      <w:r w:rsidRPr="00B419CE">
        <w:t>ein</w:t>
      </w:r>
      <w:proofErr w:type="spellEnd"/>
      <w:r w:rsidRPr="00B419CE">
        <w:t xml:space="preserve"> plan for puljevis gjennomføring for </w:t>
      </w:r>
      <w:proofErr w:type="spellStart"/>
      <w:r w:rsidRPr="00B419CE">
        <w:t>verksemder</w:t>
      </w:r>
      <w:proofErr w:type="spellEnd"/>
      <w:r w:rsidRPr="00B419CE">
        <w:t xml:space="preserve"> der DFØ er </w:t>
      </w:r>
      <w:proofErr w:type="spellStart"/>
      <w:r w:rsidRPr="00B419CE">
        <w:t>tenesteytar</w:t>
      </w:r>
      <w:proofErr w:type="spellEnd"/>
      <w:r w:rsidRPr="00B419CE">
        <w:t xml:space="preserve">. I samarbeid med </w:t>
      </w:r>
      <w:proofErr w:type="spellStart"/>
      <w:r w:rsidRPr="00B419CE">
        <w:t>dei</w:t>
      </w:r>
      <w:proofErr w:type="spellEnd"/>
      <w:r w:rsidRPr="00B419CE">
        <w:t xml:space="preserve"> aktuelle </w:t>
      </w:r>
      <w:proofErr w:type="spellStart"/>
      <w:r w:rsidRPr="00B419CE">
        <w:t>verksemdene</w:t>
      </w:r>
      <w:proofErr w:type="spellEnd"/>
      <w:r w:rsidRPr="00B419CE">
        <w:t xml:space="preserve"> vil DFØ òg avklare behandling av </w:t>
      </w:r>
      <w:proofErr w:type="spellStart"/>
      <w:r w:rsidRPr="00B419CE">
        <w:t>pensjonar</w:t>
      </w:r>
      <w:proofErr w:type="spellEnd"/>
      <w:r w:rsidRPr="00B419CE">
        <w:t xml:space="preserve"> og stønader i </w:t>
      </w:r>
      <w:proofErr w:type="spellStart"/>
      <w:r w:rsidRPr="00B419CE">
        <w:t>rekneskapen</w:t>
      </w:r>
      <w:proofErr w:type="spellEnd"/>
      <w:r w:rsidRPr="00B419CE">
        <w:t xml:space="preserve">. </w:t>
      </w:r>
      <w:proofErr w:type="spellStart"/>
      <w:r w:rsidRPr="00B419CE">
        <w:t>Vidare</w:t>
      </w:r>
      <w:proofErr w:type="spellEnd"/>
      <w:r w:rsidRPr="00B419CE">
        <w:t xml:space="preserve"> vil DFØ utarbeide rettleiing til departementa for bruk av SRS-</w:t>
      </w:r>
      <w:proofErr w:type="spellStart"/>
      <w:r w:rsidRPr="00B419CE">
        <w:t>rekneskap</w:t>
      </w:r>
      <w:proofErr w:type="spellEnd"/>
      <w:r w:rsidRPr="00B419CE">
        <w:t xml:space="preserve"> i styringa av </w:t>
      </w:r>
      <w:proofErr w:type="spellStart"/>
      <w:r w:rsidRPr="00B419CE">
        <w:t>verksemdene</w:t>
      </w:r>
      <w:proofErr w:type="spellEnd"/>
      <w:r w:rsidRPr="00B419CE">
        <w:t>.</w:t>
      </w:r>
    </w:p>
    <w:p w14:paraId="7E2141CA" w14:textId="77777777" w:rsidR="00B419CE" w:rsidRPr="00B419CE" w:rsidRDefault="00B419CE" w:rsidP="00B419CE">
      <w:pPr>
        <w:pStyle w:val="avsnitt-tittel"/>
      </w:pPr>
      <w:proofErr w:type="spellStart"/>
      <w:r w:rsidRPr="00B419CE">
        <w:t>Offentleg</w:t>
      </w:r>
      <w:proofErr w:type="spellEnd"/>
      <w:r w:rsidRPr="00B419CE">
        <w:t xml:space="preserve"> ressursbruk</w:t>
      </w:r>
    </w:p>
    <w:p w14:paraId="5CE5D5B2" w14:textId="77777777" w:rsidR="00B419CE" w:rsidRPr="00B419CE" w:rsidRDefault="00B419CE" w:rsidP="00B419CE">
      <w:r w:rsidRPr="00B419CE">
        <w:t xml:space="preserve">Det er </w:t>
      </w:r>
      <w:proofErr w:type="spellStart"/>
      <w:r w:rsidRPr="00B419CE">
        <w:t>ein</w:t>
      </w:r>
      <w:proofErr w:type="spellEnd"/>
      <w:r w:rsidRPr="00B419CE">
        <w:t xml:space="preserve"> ambisjon å utvikle direktoratet til </w:t>
      </w:r>
      <w:proofErr w:type="spellStart"/>
      <w:r w:rsidRPr="00B419CE">
        <w:t>eit</w:t>
      </w:r>
      <w:proofErr w:type="spellEnd"/>
      <w:r w:rsidRPr="00B419CE">
        <w:t xml:space="preserve"> kompetansesenter for </w:t>
      </w:r>
      <w:proofErr w:type="spellStart"/>
      <w:r w:rsidRPr="00B419CE">
        <w:t>offentleg</w:t>
      </w:r>
      <w:proofErr w:type="spellEnd"/>
      <w:r w:rsidRPr="00B419CE">
        <w:t xml:space="preserve"> ressursbruk. Departementet </w:t>
      </w:r>
      <w:proofErr w:type="spellStart"/>
      <w:r w:rsidRPr="00B419CE">
        <w:t>tek</w:t>
      </w:r>
      <w:proofErr w:type="spellEnd"/>
      <w:r w:rsidRPr="00B419CE">
        <w:t xml:space="preserve"> sikte på at DFØ skal hjelpe til i arbeidet med områdegjennomgangar og andre </w:t>
      </w:r>
      <w:proofErr w:type="spellStart"/>
      <w:r w:rsidRPr="00B419CE">
        <w:t>analysar</w:t>
      </w:r>
      <w:proofErr w:type="spellEnd"/>
      <w:r w:rsidRPr="00B419CE">
        <w:t xml:space="preserve"> av </w:t>
      </w:r>
      <w:proofErr w:type="spellStart"/>
      <w:r w:rsidRPr="00B419CE">
        <w:t>offentleg</w:t>
      </w:r>
      <w:proofErr w:type="spellEnd"/>
      <w:r w:rsidRPr="00B419CE">
        <w:t xml:space="preserve"> ressursbruk i 2022 og framover. Direktoratet skal òg arbeide med å </w:t>
      </w:r>
      <w:proofErr w:type="spellStart"/>
      <w:r w:rsidRPr="00B419CE">
        <w:t>leggje</w:t>
      </w:r>
      <w:proofErr w:type="spellEnd"/>
      <w:r w:rsidRPr="00B419CE">
        <w:t xml:space="preserve"> til rette for betre produksjon og bruk av data for effektiv ressursbruk slik at forvaltninga kan </w:t>
      </w:r>
      <w:proofErr w:type="spellStart"/>
      <w:r w:rsidRPr="00B419CE">
        <w:t>forbetre</w:t>
      </w:r>
      <w:proofErr w:type="spellEnd"/>
      <w:r w:rsidRPr="00B419CE">
        <w:t xml:space="preserve"> eigen ressursbruk og måloppnåing. Dette arbeidet krev ei </w:t>
      </w:r>
      <w:proofErr w:type="spellStart"/>
      <w:r w:rsidRPr="00B419CE">
        <w:t>heilskapleg</w:t>
      </w:r>
      <w:proofErr w:type="spellEnd"/>
      <w:r w:rsidRPr="00B419CE">
        <w:t xml:space="preserve"> tilnærming på tvers av fagområde i direktoratet.</w:t>
      </w:r>
    </w:p>
    <w:p w14:paraId="7843FC7B" w14:textId="77777777" w:rsidR="00B419CE" w:rsidRPr="00B419CE" w:rsidRDefault="00B419CE" w:rsidP="00B419CE">
      <w:pPr>
        <w:pStyle w:val="avsnitt-tittel"/>
      </w:pPr>
      <w:r w:rsidRPr="00B419CE">
        <w:t xml:space="preserve">Stabil </w:t>
      </w:r>
      <w:proofErr w:type="spellStart"/>
      <w:r w:rsidRPr="00B419CE">
        <w:t>teneste</w:t>
      </w:r>
      <w:proofErr w:type="spellEnd"/>
      <w:r w:rsidRPr="00B419CE">
        <w:t xml:space="preserve"> og drift</w:t>
      </w:r>
    </w:p>
    <w:p w14:paraId="6339ED52" w14:textId="77777777" w:rsidR="00B419CE" w:rsidRPr="00B419CE" w:rsidRDefault="00B419CE" w:rsidP="00B419CE">
      <w:r w:rsidRPr="00B419CE">
        <w:t xml:space="preserve">DFØ har </w:t>
      </w:r>
      <w:proofErr w:type="spellStart"/>
      <w:r w:rsidRPr="00B419CE">
        <w:t>dei</w:t>
      </w:r>
      <w:proofErr w:type="spellEnd"/>
      <w:r w:rsidRPr="00B419CE">
        <w:t xml:space="preserve"> siste åra </w:t>
      </w:r>
      <w:proofErr w:type="spellStart"/>
      <w:r w:rsidRPr="00B419CE">
        <w:t>vore</w:t>
      </w:r>
      <w:proofErr w:type="spellEnd"/>
      <w:r w:rsidRPr="00B419CE">
        <w:t xml:space="preserve"> gjennom to store </w:t>
      </w:r>
      <w:proofErr w:type="spellStart"/>
      <w:r w:rsidRPr="00B419CE">
        <w:t>omstillingsprosessar</w:t>
      </w:r>
      <w:proofErr w:type="spellEnd"/>
      <w:r w:rsidRPr="00B419CE">
        <w:t xml:space="preserve"> og </w:t>
      </w:r>
      <w:proofErr w:type="spellStart"/>
      <w:r w:rsidRPr="00B419CE">
        <w:t>fekk</w:t>
      </w:r>
      <w:proofErr w:type="spellEnd"/>
      <w:r w:rsidRPr="00B419CE">
        <w:t xml:space="preserve"> i 2020 ansvaret for </w:t>
      </w:r>
      <w:proofErr w:type="spellStart"/>
      <w:r w:rsidRPr="00B419CE">
        <w:t>fleire</w:t>
      </w:r>
      <w:proofErr w:type="spellEnd"/>
      <w:r w:rsidRPr="00B419CE">
        <w:t xml:space="preserve"> nye fagområde. Samstundes har </w:t>
      </w:r>
      <w:proofErr w:type="spellStart"/>
      <w:r w:rsidRPr="00B419CE">
        <w:t>talet</w:t>
      </w:r>
      <w:proofErr w:type="spellEnd"/>
      <w:r w:rsidRPr="00B419CE">
        <w:t xml:space="preserve"> på </w:t>
      </w:r>
      <w:proofErr w:type="spellStart"/>
      <w:r w:rsidRPr="00B419CE">
        <w:t>kundar</w:t>
      </w:r>
      <w:proofErr w:type="spellEnd"/>
      <w:r w:rsidRPr="00B419CE">
        <w:t xml:space="preserve"> </w:t>
      </w:r>
      <w:proofErr w:type="spellStart"/>
      <w:r w:rsidRPr="00B419CE">
        <w:t>auka</w:t>
      </w:r>
      <w:proofErr w:type="spellEnd"/>
      <w:r w:rsidRPr="00B419CE">
        <w:t xml:space="preserve"> raskt, og direktoratet har tatt opp </w:t>
      </w:r>
      <w:proofErr w:type="spellStart"/>
      <w:r w:rsidRPr="00B419CE">
        <w:t>fleire</w:t>
      </w:r>
      <w:proofErr w:type="spellEnd"/>
      <w:r w:rsidRPr="00B419CE">
        <w:t xml:space="preserve"> svært store </w:t>
      </w:r>
      <w:proofErr w:type="spellStart"/>
      <w:r w:rsidRPr="00B419CE">
        <w:t>verksemder</w:t>
      </w:r>
      <w:proofErr w:type="spellEnd"/>
      <w:r w:rsidRPr="00B419CE">
        <w:t xml:space="preserve"> som </w:t>
      </w:r>
      <w:proofErr w:type="spellStart"/>
      <w:r w:rsidRPr="00B419CE">
        <w:t>kundar</w:t>
      </w:r>
      <w:proofErr w:type="spellEnd"/>
      <w:r w:rsidRPr="00B419CE">
        <w:t xml:space="preserve">. Universiteta i Trondheim og Tromsø vert etter planen </w:t>
      </w:r>
      <w:proofErr w:type="spellStart"/>
      <w:r w:rsidRPr="00B419CE">
        <w:t>løns</w:t>
      </w:r>
      <w:proofErr w:type="spellEnd"/>
      <w:r w:rsidRPr="00B419CE">
        <w:t xml:space="preserve">- og </w:t>
      </w:r>
      <w:proofErr w:type="spellStart"/>
      <w:r w:rsidRPr="00B419CE">
        <w:t>rekneskapskundar</w:t>
      </w:r>
      <w:proofErr w:type="spellEnd"/>
      <w:r w:rsidRPr="00B419CE">
        <w:t xml:space="preserve"> av DFØ </w:t>
      </w:r>
      <w:proofErr w:type="spellStart"/>
      <w:r w:rsidRPr="00B419CE">
        <w:t>frå</w:t>
      </w:r>
      <w:proofErr w:type="spellEnd"/>
      <w:r w:rsidRPr="00B419CE">
        <w:t xml:space="preserve"> 2022. Saman med universiteta i Bergen og Oslo som vart </w:t>
      </w:r>
      <w:proofErr w:type="spellStart"/>
      <w:r w:rsidRPr="00B419CE">
        <w:t>kundar</w:t>
      </w:r>
      <w:proofErr w:type="spellEnd"/>
      <w:r w:rsidRPr="00B419CE">
        <w:t xml:space="preserve"> i 2021, </w:t>
      </w:r>
      <w:proofErr w:type="spellStart"/>
      <w:r w:rsidRPr="00B419CE">
        <w:t>inneber</w:t>
      </w:r>
      <w:proofErr w:type="spellEnd"/>
      <w:r w:rsidRPr="00B419CE">
        <w:t xml:space="preserve"> dette at </w:t>
      </w:r>
      <w:proofErr w:type="spellStart"/>
      <w:r w:rsidRPr="00B419CE">
        <w:t>talet</w:t>
      </w:r>
      <w:proofErr w:type="spellEnd"/>
      <w:r w:rsidRPr="00B419CE">
        <w:t xml:space="preserve"> på </w:t>
      </w:r>
      <w:proofErr w:type="gramStart"/>
      <w:r w:rsidRPr="00B419CE">
        <w:t>tilsette</w:t>
      </w:r>
      <w:proofErr w:type="gramEnd"/>
      <w:r w:rsidRPr="00B419CE">
        <w:t xml:space="preserve"> hos </w:t>
      </w:r>
      <w:proofErr w:type="spellStart"/>
      <w:r w:rsidRPr="00B419CE">
        <w:t>DFØs</w:t>
      </w:r>
      <w:proofErr w:type="spellEnd"/>
      <w:r w:rsidRPr="00B419CE">
        <w:t xml:space="preserve"> </w:t>
      </w:r>
      <w:proofErr w:type="spellStart"/>
      <w:r w:rsidRPr="00B419CE">
        <w:t>kundar</w:t>
      </w:r>
      <w:proofErr w:type="spellEnd"/>
      <w:r w:rsidRPr="00B419CE">
        <w:t xml:space="preserve"> </w:t>
      </w:r>
      <w:proofErr w:type="spellStart"/>
      <w:r w:rsidRPr="00B419CE">
        <w:t>aukar</w:t>
      </w:r>
      <w:proofErr w:type="spellEnd"/>
      <w:r w:rsidRPr="00B419CE">
        <w:t xml:space="preserve"> </w:t>
      </w:r>
      <w:proofErr w:type="spellStart"/>
      <w:r w:rsidRPr="00B419CE">
        <w:t>frå</w:t>
      </w:r>
      <w:proofErr w:type="spellEnd"/>
      <w:r w:rsidRPr="00B419CE">
        <w:t xml:space="preserve"> 93 000 til 116 000. Dette er </w:t>
      </w:r>
      <w:proofErr w:type="spellStart"/>
      <w:r w:rsidRPr="00B419CE">
        <w:t>ein</w:t>
      </w:r>
      <w:proofErr w:type="spellEnd"/>
      <w:r w:rsidRPr="00B419CE">
        <w:t xml:space="preserve"> </w:t>
      </w:r>
      <w:proofErr w:type="spellStart"/>
      <w:r w:rsidRPr="00B419CE">
        <w:t>monaleg</w:t>
      </w:r>
      <w:proofErr w:type="spellEnd"/>
      <w:r w:rsidRPr="00B419CE">
        <w:t xml:space="preserve"> </w:t>
      </w:r>
      <w:proofErr w:type="spellStart"/>
      <w:r w:rsidRPr="00B419CE">
        <w:t>auke</w:t>
      </w:r>
      <w:proofErr w:type="spellEnd"/>
      <w:r w:rsidRPr="00B419CE">
        <w:t xml:space="preserve"> med 25 pst., og universiteta er komplekse </w:t>
      </w:r>
      <w:proofErr w:type="spellStart"/>
      <w:r w:rsidRPr="00B419CE">
        <w:t>kundar</w:t>
      </w:r>
      <w:proofErr w:type="spellEnd"/>
      <w:r w:rsidRPr="00B419CE">
        <w:t xml:space="preserve">. DFØ skal utvikle </w:t>
      </w:r>
      <w:proofErr w:type="spellStart"/>
      <w:r w:rsidRPr="00B419CE">
        <w:t>fleire</w:t>
      </w:r>
      <w:proofErr w:type="spellEnd"/>
      <w:r w:rsidRPr="00B419CE">
        <w:t xml:space="preserve"> nye </w:t>
      </w:r>
      <w:proofErr w:type="spellStart"/>
      <w:r w:rsidRPr="00B419CE">
        <w:t>løysingar</w:t>
      </w:r>
      <w:proofErr w:type="spellEnd"/>
      <w:r w:rsidRPr="00B419CE">
        <w:t xml:space="preserve"> for både </w:t>
      </w:r>
      <w:proofErr w:type="spellStart"/>
      <w:r w:rsidRPr="00B419CE">
        <w:t>dei</w:t>
      </w:r>
      <w:proofErr w:type="spellEnd"/>
      <w:r w:rsidRPr="00B419CE">
        <w:t xml:space="preserve"> store universiteta og andre </w:t>
      </w:r>
      <w:proofErr w:type="spellStart"/>
      <w:r w:rsidRPr="00B419CE">
        <w:t>kundar</w:t>
      </w:r>
      <w:proofErr w:type="spellEnd"/>
      <w:r w:rsidRPr="00B419CE">
        <w:t xml:space="preserve">. Slike nye </w:t>
      </w:r>
      <w:proofErr w:type="spellStart"/>
      <w:r w:rsidRPr="00B419CE">
        <w:t>løysingar</w:t>
      </w:r>
      <w:proofErr w:type="spellEnd"/>
      <w:r w:rsidRPr="00B419CE">
        <w:t xml:space="preserve"> </w:t>
      </w:r>
      <w:proofErr w:type="spellStart"/>
      <w:r w:rsidRPr="00B419CE">
        <w:t>gjer</w:t>
      </w:r>
      <w:proofErr w:type="spellEnd"/>
      <w:r w:rsidRPr="00B419CE">
        <w:t xml:space="preserve"> DFØ i betre stand til å tilby effektive </w:t>
      </w:r>
      <w:proofErr w:type="spellStart"/>
      <w:r w:rsidRPr="00B419CE">
        <w:t>løns</w:t>
      </w:r>
      <w:proofErr w:type="spellEnd"/>
      <w:r w:rsidRPr="00B419CE">
        <w:t xml:space="preserve">- og </w:t>
      </w:r>
      <w:proofErr w:type="spellStart"/>
      <w:r w:rsidRPr="00B419CE">
        <w:lastRenderedPageBreak/>
        <w:t>rekneskapstenester</w:t>
      </w:r>
      <w:proofErr w:type="spellEnd"/>
      <w:r w:rsidRPr="00B419CE">
        <w:t xml:space="preserve"> i staten. Dette </w:t>
      </w:r>
      <w:proofErr w:type="spellStart"/>
      <w:r w:rsidRPr="00B419CE">
        <w:t>inneber</w:t>
      </w:r>
      <w:proofErr w:type="spellEnd"/>
      <w:r w:rsidRPr="00B419CE">
        <w:t xml:space="preserve"> òg at direktoratet har behov for å </w:t>
      </w:r>
      <w:proofErr w:type="spellStart"/>
      <w:r w:rsidRPr="00B419CE">
        <w:t>tryggje</w:t>
      </w:r>
      <w:proofErr w:type="spellEnd"/>
      <w:r w:rsidRPr="00B419CE">
        <w:t xml:space="preserve"> drifta og tid til å gjennomføre </w:t>
      </w:r>
      <w:proofErr w:type="spellStart"/>
      <w:r w:rsidRPr="00B419CE">
        <w:t>desse</w:t>
      </w:r>
      <w:proofErr w:type="spellEnd"/>
      <w:r w:rsidRPr="00B419CE">
        <w:t xml:space="preserve"> </w:t>
      </w:r>
      <w:proofErr w:type="spellStart"/>
      <w:r w:rsidRPr="00B419CE">
        <w:t>krevjande</w:t>
      </w:r>
      <w:proofErr w:type="spellEnd"/>
      <w:r w:rsidRPr="00B419CE">
        <w:t xml:space="preserve"> </w:t>
      </w:r>
      <w:proofErr w:type="spellStart"/>
      <w:r w:rsidRPr="00B419CE">
        <w:t>prosessane</w:t>
      </w:r>
      <w:proofErr w:type="spellEnd"/>
      <w:r w:rsidRPr="00B419CE">
        <w:t>.</w:t>
      </w:r>
    </w:p>
    <w:p w14:paraId="40525FB2" w14:textId="77777777" w:rsidR="00B419CE" w:rsidRPr="00B419CE" w:rsidRDefault="00B419CE" w:rsidP="00B419CE">
      <w:pPr>
        <w:pStyle w:val="avsnitt-tittel"/>
      </w:pPr>
      <w:r w:rsidRPr="00B419CE">
        <w:t xml:space="preserve">Informasjonstryggleik og behandling av </w:t>
      </w:r>
      <w:proofErr w:type="spellStart"/>
      <w:r w:rsidRPr="00B419CE">
        <w:t>personopplysingar</w:t>
      </w:r>
      <w:proofErr w:type="spellEnd"/>
    </w:p>
    <w:p w14:paraId="332E01A3" w14:textId="77777777" w:rsidR="00B419CE" w:rsidRPr="00B419CE" w:rsidRDefault="00B419CE" w:rsidP="00B419CE">
      <w:r w:rsidRPr="00B419CE">
        <w:t xml:space="preserve">Direktoratet yter viktige </w:t>
      </w:r>
      <w:proofErr w:type="spellStart"/>
      <w:r w:rsidRPr="00B419CE">
        <w:t>fellestenester</w:t>
      </w:r>
      <w:proofErr w:type="spellEnd"/>
      <w:r w:rsidRPr="00B419CE">
        <w:t xml:space="preserve"> til </w:t>
      </w:r>
      <w:proofErr w:type="spellStart"/>
      <w:r w:rsidRPr="00B419CE">
        <w:t>dei</w:t>
      </w:r>
      <w:proofErr w:type="spellEnd"/>
      <w:r w:rsidRPr="00B419CE">
        <w:t xml:space="preserve"> fleste </w:t>
      </w:r>
      <w:proofErr w:type="spellStart"/>
      <w:r w:rsidRPr="00B419CE">
        <w:t>verksemdene</w:t>
      </w:r>
      <w:proofErr w:type="spellEnd"/>
      <w:r w:rsidRPr="00B419CE">
        <w:t xml:space="preserve"> i staten. I takt med at </w:t>
      </w:r>
      <w:proofErr w:type="spellStart"/>
      <w:r w:rsidRPr="00B419CE">
        <w:t>talet</w:t>
      </w:r>
      <w:proofErr w:type="spellEnd"/>
      <w:r w:rsidRPr="00B419CE">
        <w:t xml:space="preserve"> på </w:t>
      </w:r>
      <w:proofErr w:type="spellStart"/>
      <w:r w:rsidRPr="00B419CE">
        <w:t>kundar</w:t>
      </w:r>
      <w:proofErr w:type="spellEnd"/>
      <w:r w:rsidRPr="00B419CE">
        <w:t xml:space="preserve"> </w:t>
      </w:r>
      <w:proofErr w:type="spellStart"/>
      <w:r w:rsidRPr="00B419CE">
        <w:t>aukar</w:t>
      </w:r>
      <w:proofErr w:type="spellEnd"/>
      <w:r w:rsidRPr="00B419CE">
        <w:t xml:space="preserve"> og at DFØ tilbyr nye </w:t>
      </w:r>
      <w:proofErr w:type="spellStart"/>
      <w:r w:rsidRPr="00B419CE">
        <w:t>løysingar</w:t>
      </w:r>
      <w:proofErr w:type="spellEnd"/>
      <w:r w:rsidRPr="00B419CE">
        <w:t xml:space="preserve">, </w:t>
      </w:r>
      <w:proofErr w:type="spellStart"/>
      <w:r w:rsidRPr="00B419CE">
        <w:t>aukar</w:t>
      </w:r>
      <w:proofErr w:type="spellEnd"/>
      <w:r w:rsidRPr="00B419CE">
        <w:t xml:space="preserve"> òg informasjonen DFØ er </w:t>
      </w:r>
      <w:proofErr w:type="spellStart"/>
      <w:r w:rsidRPr="00B419CE">
        <w:t>ansvarleg</w:t>
      </w:r>
      <w:proofErr w:type="spellEnd"/>
      <w:r w:rsidRPr="00B419CE">
        <w:t xml:space="preserve"> for. DFØ må arbeide systematisk med å </w:t>
      </w:r>
      <w:proofErr w:type="spellStart"/>
      <w:r w:rsidRPr="00B419CE">
        <w:t>forbetre</w:t>
      </w:r>
      <w:proofErr w:type="spellEnd"/>
      <w:r w:rsidRPr="00B419CE">
        <w:t xml:space="preserve"> informasjonstryggleiken. DFØ må syte for å ha </w:t>
      </w:r>
      <w:proofErr w:type="spellStart"/>
      <w:r w:rsidRPr="00B419CE">
        <w:t>rutinar</w:t>
      </w:r>
      <w:proofErr w:type="spellEnd"/>
      <w:r w:rsidRPr="00B419CE">
        <w:t xml:space="preserve"> og system som </w:t>
      </w:r>
      <w:proofErr w:type="spellStart"/>
      <w:r w:rsidRPr="00B419CE">
        <w:t>gjer</w:t>
      </w:r>
      <w:proofErr w:type="spellEnd"/>
      <w:r w:rsidRPr="00B419CE">
        <w:t xml:space="preserve"> at </w:t>
      </w:r>
      <w:proofErr w:type="spellStart"/>
      <w:r w:rsidRPr="00B419CE">
        <w:t>behandlinga</w:t>
      </w:r>
      <w:proofErr w:type="spellEnd"/>
      <w:r w:rsidRPr="00B419CE">
        <w:t xml:space="preserve"> av slike </w:t>
      </w:r>
      <w:proofErr w:type="spellStart"/>
      <w:r w:rsidRPr="00B419CE">
        <w:t>opplysningar</w:t>
      </w:r>
      <w:proofErr w:type="spellEnd"/>
      <w:r w:rsidRPr="00B419CE">
        <w:t xml:space="preserve"> er </w:t>
      </w:r>
      <w:proofErr w:type="spellStart"/>
      <w:r w:rsidRPr="00B419CE">
        <w:t>forsvarleg</w:t>
      </w:r>
      <w:proofErr w:type="spellEnd"/>
      <w:r w:rsidRPr="00B419CE">
        <w:t xml:space="preserve">. DFØ skal i 2022 arbeide </w:t>
      </w:r>
      <w:proofErr w:type="spellStart"/>
      <w:r w:rsidRPr="00B419CE">
        <w:t>vidare</w:t>
      </w:r>
      <w:proofErr w:type="spellEnd"/>
      <w:r w:rsidRPr="00B419CE">
        <w:t xml:space="preserve"> med å </w:t>
      </w:r>
      <w:proofErr w:type="spellStart"/>
      <w:r w:rsidRPr="00B419CE">
        <w:t>styrkje</w:t>
      </w:r>
      <w:proofErr w:type="spellEnd"/>
      <w:r w:rsidRPr="00B419CE">
        <w:t xml:space="preserve"> informasjonstryggleiken på dette området.</w:t>
      </w:r>
    </w:p>
    <w:p w14:paraId="0701991E" w14:textId="77777777" w:rsidR="00B419CE" w:rsidRPr="00B419CE" w:rsidRDefault="00B419CE" w:rsidP="00B419CE">
      <w:pPr>
        <w:pStyle w:val="avsnitt-tittel"/>
      </w:pPr>
      <w:proofErr w:type="spellStart"/>
      <w:r w:rsidRPr="00B419CE">
        <w:t>Ein</w:t>
      </w:r>
      <w:proofErr w:type="spellEnd"/>
      <w:r w:rsidRPr="00B419CE">
        <w:t xml:space="preserve"> innovativ </w:t>
      </w:r>
      <w:proofErr w:type="spellStart"/>
      <w:r w:rsidRPr="00B419CE">
        <w:t>offentleg</w:t>
      </w:r>
      <w:proofErr w:type="spellEnd"/>
      <w:r w:rsidRPr="00B419CE">
        <w:t xml:space="preserve"> sektor</w:t>
      </w:r>
    </w:p>
    <w:p w14:paraId="635BD1A3" w14:textId="77777777" w:rsidR="00B419CE" w:rsidRPr="00B419CE" w:rsidRDefault="00B419CE" w:rsidP="00B419CE">
      <w:r w:rsidRPr="00B419CE">
        <w:t xml:space="preserve">DFØ skal </w:t>
      </w:r>
      <w:proofErr w:type="spellStart"/>
      <w:r w:rsidRPr="00B419CE">
        <w:t>følgje</w:t>
      </w:r>
      <w:proofErr w:type="spellEnd"/>
      <w:r w:rsidRPr="00B419CE">
        <w:t xml:space="preserve"> opp tiltaka </w:t>
      </w:r>
      <w:proofErr w:type="spellStart"/>
      <w:r w:rsidRPr="00B419CE">
        <w:t>frå</w:t>
      </w:r>
      <w:proofErr w:type="spellEnd"/>
      <w:r w:rsidRPr="00B419CE">
        <w:t xml:space="preserve"> Meld. St. 30 (2019–2020) </w:t>
      </w:r>
      <w:r w:rsidRPr="00B419CE">
        <w:rPr>
          <w:rStyle w:val="kursiv"/>
        </w:rPr>
        <w:t>En innovativ offentlig sektor – Kultur, ledelse og kompetanse</w:t>
      </w:r>
      <w:r w:rsidRPr="00B419CE">
        <w:t xml:space="preserve">, på </w:t>
      </w:r>
      <w:proofErr w:type="gramStart"/>
      <w:r w:rsidRPr="00B419CE">
        <w:t>sine fagområde</w:t>
      </w:r>
      <w:proofErr w:type="gramEnd"/>
      <w:r w:rsidRPr="00B419CE">
        <w:t xml:space="preserve">. Det gjeld </w:t>
      </w:r>
      <w:proofErr w:type="spellStart"/>
      <w:r w:rsidRPr="00B419CE">
        <w:t>særleg</w:t>
      </w:r>
      <w:proofErr w:type="spellEnd"/>
      <w:r w:rsidRPr="00B419CE">
        <w:t xml:space="preserve"> arbeidet med rammevilkår som å utforske nye </w:t>
      </w:r>
      <w:proofErr w:type="spellStart"/>
      <w:r w:rsidRPr="00B419CE">
        <w:t>modellar</w:t>
      </w:r>
      <w:proofErr w:type="spellEnd"/>
      <w:r w:rsidRPr="00B419CE">
        <w:t xml:space="preserve"> for styring, organisering og finansiering, samt å utvikle kompetanse og kultur for innovasjon i </w:t>
      </w:r>
      <w:proofErr w:type="spellStart"/>
      <w:r w:rsidRPr="00B419CE">
        <w:t>offentleg</w:t>
      </w:r>
      <w:proofErr w:type="spellEnd"/>
      <w:r w:rsidRPr="00B419CE">
        <w:t xml:space="preserve"> sektor. </w:t>
      </w:r>
      <w:proofErr w:type="spellStart"/>
      <w:r w:rsidRPr="00B419CE">
        <w:t>Leiarane</w:t>
      </w:r>
      <w:proofErr w:type="spellEnd"/>
      <w:r w:rsidRPr="00B419CE">
        <w:t xml:space="preserve"> i staten vil </w:t>
      </w:r>
      <w:proofErr w:type="spellStart"/>
      <w:r w:rsidRPr="00B419CE">
        <w:t>vere</w:t>
      </w:r>
      <w:proofErr w:type="spellEnd"/>
      <w:r w:rsidRPr="00B419CE">
        <w:t xml:space="preserve"> ei </w:t>
      </w:r>
      <w:proofErr w:type="spellStart"/>
      <w:r w:rsidRPr="00B419CE">
        <w:t>særleg</w:t>
      </w:r>
      <w:proofErr w:type="spellEnd"/>
      <w:r w:rsidRPr="00B419CE">
        <w:t xml:space="preserve"> prioritert målgruppe. </w:t>
      </w:r>
      <w:proofErr w:type="spellStart"/>
      <w:r w:rsidRPr="00B419CE">
        <w:t>Vidare</w:t>
      </w:r>
      <w:proofErr w:type="spellEnd"/>
      <w:r w:rsidRPr="00B419CE">
        <w:t xml:space="preserve"> er det viktig at DFØ arbeider med å </w:t>
      </w:r>
      <w:proofErr w:type="spellStart"/>
      <w:r w:rsidRPr="00B419CE">
        <w:t>vidareutvikle</w:t>
      </w:r>
      <w:proofErr w:type="spellEnd"/>
      <w:r w:rsidRPr="00B419CE">
        <w:t xml:space="preserve"> </w:t>
      </w:r>
      <w:proofErr w:type="spellStart"/>
      <w:r w:rsidRPr="00B419CE">
        <w:t>eit</w:t>
      </w:r>
      <w:proofErr w:type="spellEnd"/>
      <w:r w:rsidRPr="00B419CE">
        <w:t xml:space="preserve"> godt samarbeid med resten av </w:t>
      </w:r>
      <w:proofErr w:type="spellStart"/>
      <w:r w:rsidRPr="00B419CE">
        <w:t>virkemiddelaktørane</w:t>
      </w:r>
      <w:proofErr w:type="spellEnd"/>
      <w:r w:rsidRPr="00B419CE">
        <w:t xml:space="preserve"> for innovasjon i </w:t>
      </w:r>
      <w:proofErr w:type="spellStart"/>
      <w:r w:rsidRPr="00B419CE">
        <w:t>offentleg</w:t>
      </w:r>
      <w:proofErr w:type="spellEnd"/>
      <w:r w:rsidRPr="00B419CE">
        <w:t xml:space="preserve"> sektor og tek </w:t>
      </w:r>
      <w:proofErr w:type="spellStart"/>
      <w:r w:rsidRPr="00B419CE">
        <w:t>eit</w:t>
      </w:r>
      <w:proofErr w:type="spellEnd"/>
      <w:r w:rsidRPr="00B419CE">
        <w:t xml:space="preserve"> større ansvar for kunnskapsutvikling og deling av innovasjon i staten.</w:t>
      </w:r>
    </w:p>
    <w:p w14:paraId="54864DD4" w14:textId="77777777" w:rsidR="00B419CE" w:rsidRPr="00B419CE" w:rsidRDefault="00B419CE" w:rsidP="00B419CE">
      <w:pPr>
        <w:pStyle w:val="avsnitt-tittel"/>
      </w:pPr>
      <w:proofErr w:type="spellStart"/>
      <w:r w:rsidRPr="00B419CE">
        <w:t>Meir</w:t>
      </w:r>
      <w:proofErr w:type="spellEnd"/>
      <w:r w:rsidRPr="00B419CE">
        <w:t xml:space="preserve"> effektive og profesjonelle </w:t>
      </w:r>
      <w:proofErr w:type="spellStart"/>
      <w:r w:rsidRPr="00B419CE">
        <w:t>offentlege</w:t>
      </w:r>
      <w:proofErr w:type="spellEnd"/>
      <w:r w:rsidRPr="00B419CE">
        <w:t xml:space="preserve"> innkjøp</w:t>
      </w:r>
    </w:p>
    <w:p w14:paraId="3F64A245" w14:textId="77777777" w:rsidR="00B419CE" w:rsidRPr="00B419CE" w:rsidRDefault="00B419CE" w:rsidP="00B419CE">
      <w:r w:rsidRPr="00B419CE">
        <w:t xml:space="preserve">For å kunne gjennomføre </w:t>
      </w:r>
      <w:proofErr w:type="spellStart"/>
      <w:r w:rsidRPr="00B419CE">
        <w:t>meir</w:t>
      </w:r>
      <w:proofErr w:type="spellEnd"/>
      <w:r w:rsidRPr="00B419CE">
        <w:t xml:space="preserve"> effektive innkjøp, har </w:t>
      </w:r>
      <w:proofErr w:type="spellStart"/>
      <w:r w:rsidRPr="00B419CE">
        <w:t>oppdragsgjevarar</w:t>
      </w:r>
      <w:proofErr w:type="spellEnd"/>
      <w:r w:rsidRPr="00B419CE">
        <w:t xml:space="preserve"> behov for god rettleiing om planlegging av innkjøp og oppfølging av </w:t>
      </w:r>
      <w:proofErr w:type="spellStart"/>
      <w:r w:rsidRPr="00B419CE">
        <w:t>kontraktar</w:t>
      </w:r>
      <w:proofErr w:type="spellEnd"/>
      <w:r w:rsidRPr="00B419CE">
        <w:t xml:space="preserve">, </w:t>
      </w:r>
      <w:proofErr w:type="spellStart"/>
      <w:r w:rsidRPr="00B419CE">
        <w:t>irekna</w:t>
      </w:r>
      <w:proofErr w:type="spellEnd"/>
      <w:r w:rsidRPr="00B419CE">
        <w:t xml:space="preserve"> avklaring av behov, dialog med </w:t>
      </w:r>
      <w:proofErr w:type="spellStart"/>
      <w:r w:rsidRPr="00B419CE">
        <w:t>marknaden</w:t>
      </w:r>
      <w:proofErr w:type="spellEnd"/>
      <w:r w:rsidRPr="00B419CE">
        <w:t xml:space="preserve"> og gevinstrealisering gjennom oppfølginga av </w:t>
      </w:r>
      <w:proofErr w:type="spellStart"/>
      <w:r w:rsidRPr="00B419CE">
        <w:t>kontraktane</w:t>
      </w:r>
      <w:proofErr w:type="spellEnd"/>
      <w:r w:rsidRPr="00B419CE">
        <w:t xml:space="preserve">. Nærings- og fiskeridepartementets og </w:t>
      </w:r>
      <w:proofErr w:type="spellStart"/>
      <w:r w:rsidRPr="00B419CE">
        <w:t>DFØs</w:t>
      </w:r>
      <w:proofErr w:type="spellEnd"/>
      <w:r w:rsidRPr="00B419CE">
        <w:t xml:space="preserve"> arbeid med utarbeiding av </w:t>
      </w:r>
      <w:proofErr w:type="spellStart"/>
      <w:r w:rsidRPr="00B419CE">
        <w:t>rettleiingsverksemd</w:t>
      </w:r>
      <w:proofErr w:type="spellEnd"/>
      <w:r w:rsidRPr="00B419CE">
        <w:t xml:space="preserve"> er </w:t>
      </w:r>
      <w:proofErr w:type="spellStart"/>
      <w:r w:rsidRPr="00B419CE">
        <w:t>eit</w:t>
      </w:r>
      <w:proofErr w:type="spellEnd"/>
      <w:r w:rsidRPr="00B419CE">
        <w:t xml:space="preserve"> </w:t>
      </w:r>
      <w:proofErr w:type="spellStart"/>
      <w:r w:rsidRPr="00B419CE">
        <w:t>kontinuerleg</w:t>
      </w:r>
      <w:proofErr w:type="spellEnd"/>
      <w:r w:rsidRPr="00B419CE">
        <w:t xml:space="preserve"> arbeid som regjeringa vil utvikle i ei </w:t>
      </w:r>
      <w:proofErr w:type="spellStart"/>
      <w:r w:rsidRPr="00B419CE">
        <w:t>meir</w:t>
      </w:r>
      <w:proofErr w:type="spellEnd"/>
      <w:r w:rsidRPr="00B419CE">
        <w:t xml:space="preserve"> </w:t>
      </w:r>
      <w:proofErr w:type="spellStart"/>
      <w:r w:rsidRPr="00B419CE">
        <w:t>heilskapleg</w:t>
      </w:r>
      <w:proofErr w:type="spellEnd"/>
      <w:r w:rsidRPr="00B419CE">
        <w:t xml:space="preserve"> og brukartilpassa retning. I arbeidet skal DFØ vurdere behov for at rettleiinga vert tilpassa </w:t>
      </w:r>
      <w:proofErr w:type="spellStart"/>
      <w:r w:rsidRPr="00B419CE">
        <w:t>særskilde</w:t>
      </w:r>
      <w:proofErr w:type="spellEnd"/>
      <w:r w:rsidRPr="00B419CE">
        <w:t xml:space="preserve"> </w:t>
      </w:r>
      <w:proofErr w:type="spellStart"/>
      <w:r w:rsidRPr="00B419CE">
        <w:t>brukargrupper</w:t>
      </w:r>
      <w:proofErr w:type="spellEnd"/>
      <w:r w:rsidRPr="00B419CE">
        <w:t xml:space="preserve">, mellom anna </w:t>
      </w:r>
      <w:proofErr w:type="spellStart"/>
      <w:r w:rsidRPr="00B419CE">
        <w:t>kommunar</w:t>
      </w:r>
      <w:proofErr w:type="spellEnd"/>
      <w:r w:rsidRPr="00B419CE">
        <w:t xml:space="preserve"> og </w:t>
      </w:r>
      <w:proofErr w:type="spellStart"/>
      <w:r w:rsidRPr="00B419CE">
        <w:t>fylkeskommunar</w:t>
      </w:r>
      <w:proofErr w:type="spellEnd"/>
      <w:r w:rsidRPr="00B419CE">
        <w:t>.</w:t>
      </w:r>
    </w:p>
    <w:p w14:paraId="12B20C42" w14:textId="77777777" w:rsidR="00B419CE" w:rsidRPr="00B419CE" w:rsidRDefault="00B419CE" w:rsidP="00B419CE">
      <w:pPr>
        <w:pStyle w:val="avsnitt-tittel"/>
      </w:pPr>
      <w:r w:rsidRPr="00B419CE">
        <w:t xml:space="preserve">Leiing og </w:t>
      </w:r>
      <w:proofErr w:type="spellStart"/>
      <w:r w:rsidRPr="00B419CE">
        <w:t>arbeidsgjevarrolla</w:t>
      </w:r>
      <w:proofErr w:type="spellEnd"/>
    </w:p>
    <w:p w14:paraId="538CF5A0" w14:textId="77777777" w:rsidR="00B419CE" w:rsidRPr="00B419CE" w:rsidRDefault="00B419CE" w:rsidP="00B419CE">
      <w:r w:rsidRPr="00B419CE">
        <w:t xml:space="preserve">Den </w:t>
      </w:r>
      <w:proofErr w:type="spellStart"/>
      <w:r w:rsidRPr="00B419CE">
        <w:t>statlege</w:t>
      </w:r>
      <w:proofErr w:type="spellEnd"/>
      <w:r w:rsidRPr="00B419CE">
        <w:t xml:space="preserve"> </w:t>
      </w:r>
      <w:proofErr w:type="spellStart"/>
      <w:r w:rsidRPr="00B419CE">
        <w:t>arbeidsgjevarstrategien</w:t>
      </w:r>
      <w:proofErr w:type="spellEnd"/>
      <w:r w:rsidRPr="00B419CE">
        <w:t xml:space="preserve"> (2020–2023), med temaområda kompetanse, omstilling og endring, og </w:t>
      </w:r>
      <w:proofErr w:type="spellStart"/>
      <w:r w:rsidRPr="00B419CE">
        <w:t>arbeidsgjevarrolla</w:t>
      </w:r>
      <w:proofErr w:type="spellEnd"/>
      <w:r w:rsidRPr="00B419CE">
        <w:t xml:space="preserve">, skal </w:t>
      </w:r>
      <w:proofErr w:type="spellStart"/>
      <w:r w:rsidRPr="00B419CE">
        <w:t>vere</w:t>
      </w:r>
      <w:proofErr w:type="spellEnd"/>
      <w:r w:rsidRPr="00B419CE">
        <w:t xml:space="preserve"> </w:t>
      </w:r>
      <w:proofErr w:type="spellStart"/>
      <w:r w:rsidRPr="00B419CE">
        <w:t>førande</w:t>
      </w:r>
      <w:proofErr w:type="spellEnd"/>
      <w:r w:rsidRPr="00B419CE">
        <w:t xml:space="preserve"> for </w:t>
      </w:r>
      <w:proofErr w:type="spellStart"/>
      <w:r w:rsidRPr="00B419CE">
        <w:t>DFØs</w:t>
      </w:r>
      <w:proofErr w:type="spellEnd"/>
      <w:r w:rsidRPr="00B419CE">
        <w:t xml:space="preserve"> </w:t>
      </w:r>
      <w:proofErr w:type="spellStart"/>
      <w:r w:rsidRPr="00B419CE">
        <w:t>tenester</w:t>
      </w:r>
      <w:proofErr w:type="spellEnd"/>
      <w:r w:rsidRPr="00B419CE">
        <w:t xml:space="preserve"> på leiing- og </w:t>
      </w:r>
      <w:proofErr w:type="spellStart"/>
      <w:r w:rsidRPr="00B419CE">
        <w:t>arbeidsgjevarområdet</w:t>
      </w:r>
      <w:proofErr w:type="spellEnd"/>
      <w:r w:rsidRPr="00B419CE">
        <w:t xml:space="preserve">. DFØ skal samordne </w:t>
      </w:r>
      <w:proofErr w:type="spellStart"/>
      <w:r w:rsidRPr="00B419CE">
        <w:t>kompetansetilbodet</w:t>
      </w:r>
      <w:proofErr w:type="spellEnd"/>
      <w:r w:rsidRPr="00B419CE">
        <w:t xml:space="preserve"> til heile statsforvaltninga i samsvar med prioritering av </w:t>
      </w:r>
      <w:proofErr w:type="spellStart"/>
      <w:r w:rsidRPr="00B419CE">
        <w:t>tverrgåande</w:t>
      </w:r>
      <w:proofErr w:type="spellEnd"/>
      <w:r w:rsidRPr="00B419CE">
        <w:t xml:space="preserve"> og strategiske kompetansebehov for </w:t>
      </w:r>
      <w:proofErr w:type="spellStart"/>
      <w:r w:rsidRPr="00B419CE">
        <w:t>leiarar</w:t>
      </w:r>
      <w:proofErr w:type="spellEnd"/>
      <w:r w:rsidRPr="00B419CE">
        <w:t xml:space="preserve"> og </w:t>
      </w:r>
      <w:proofErr w:type="spellStart"/>
      <w:r w:rsidRPr="00B419CE">
        <w:t>medarbeidarar</w:t>
      </w:r>
      <w:proofErr w:type="spellEnd"/>
      <w:r w:rsidRPr="00B419CE">
        <w:t xml:space="preserve">. Støtta til </w:t>
      </w:r>
      <w:proofErr w:type="spellStart"/>
      <w:r w:rsidRPr="00B419CE">
        <w:t>arbeidsgjevarar</w:t>
      </w:r>
      <w:proofErr w:type="spellEnd"/>
      <w:r w:rsidRPr="00B419CE">
        <w:t xml:space="preserve"> skal </w:t>
      </w:r>
      <w:proofErr w:type="spellStart"/>
      <w:r w:rsidRPr="00B419CE">
        <w:t>vidareutviklast</w:t>
      </w:r>
      <w:proofErr w:type="spellEnd"/>
      <w:r w:rsidRPr="00B419CE">
        <w:t xml:space="preserve">, òg i </w:t>
      </w:r>
      <w:proofErr w:type="spellStart"/>
      <w:r w:rsidRPr="00B419CE">
        <w:t>tilknyting</w:t>
      </w:r>
      <w:proofErr w:type="spellEnd"/>
      <w:r w:rsidRPr="00B419CE">
        <w:t xml:space="preserve"> til </w:t>
      </w:r>
      <w:proofErr w:type="spellStart"/>
      <w:r w:rsidRPr="00B419CE">
        <w:t>lærlingsatsinga</w:t>
      </w:r>
      <w:proofErr w:type="spellEnd"/>
      <w:r w:rsidRPr="00B419CE">
        <w:t xml:space="preserve"> og tiltak for </w:t>
      </w:r>
      <w:proofErr w:type="spellStart"/>
      <w:r w:rsidRPr="00B419CE">
        <w:t>mangfald</w:t>
      </w:r>
      <w:proofErr w:type="spellEnd"/>
      <w:r w:rsidRPr="00B419CE">
        <w:t xml:space="preserve"> og inkludering.</w:t>
      </w:r>
    </w:p>
    <w:p w14:paraId="61B7D70F" w14:textId="77777777" w:rsidR="00B419CE" w:rsidRPr="00B419CE" w:rsidRDefault="00B419CE" w:rsidP="00B419CE">
      <w:proofErr w:type="spellStart"/>
      <w:r w:rsidRPr="00B419CE">
        <w:t>DFØs</w:t>
      </w:r>
      <w:proofErr w:type="spellEnd"/>
      <w:r w:rsidRPr="00B419CE">
        <w:t xml:space="preserve"> støtte til </w:t>
      </w:r>
      <w:proofErr w:type="spellStart"/>
      <w:r w:rsidRPr="00B419CE">
        <w:t>dei</w:t>
      </w:r>
      <w:proofErr w:type="spellEnd"/>
      <w:r w:rsidRPr="00B419CE">
        <w:t xml:space="preserve"> </w:t>
      </w:r>
      <w:proofErr w:type="spellStart"/>
      <w:r w:rsidRPr="00B419CE">
        <w:t>statlege</w:t>
      </w:r>
      <w:proofErr w:type="spellEnd"/>
      <w:r w:rsidRPr="00B419CE">
        <w:t xml:space="preserve"> </w:t>
      </w:r>
      <w:proofErr w:type="spellStart"/>
      <w:r w:rsidRPr="00B419CE">
        <w:t>arbeidsgjevarane</w:t>
      </w:r>
      <w:proofErr w:type="spellEnd"/>
      <w:r w:rsidRPr="00B419CE">
        <w:t xml:space="preserve"> vert foreslått styrkt. </w:t>
      </w:r>
      <w:proofErr w:type="spellStart"/>
      <w:r w:rsidRPr="00B419CE">
        <w:t>Føremålet</w:t>
      </w:r>
      <w:proofErr w:type="spellEnd"/>
      <w:r w:rsidRPr="00B419CE">
        <w:t xml:space="preserve"> er at DFØ har spisskompetanse i </w:t>
      </w:r>
      <w:proofErr w:type="spellStart"/>
      <w:r w:rsidRPr="00B419CE">
        <w:t>arbeidsgjevarspørsmål</w:t>
      </w:r>
      <w:proofErr w:type="spellEnd"/>
      <w:r w:rsidRPr="00B419CE">
        <w:t xml:space="preserve">, slik at den enkelte </w:t>
      </w:r>
      <w:proofErr w:type="spellStart"/>
      <w:r w:rsidRPr="00B419CE">
        <w:t>verksemd</w:t>
      </w:r>
      <w:proofErr w:type="spellEnd"/>
      <w:r w:rsidRPr="00B419CE">
        <w:t xml:space="preserve"> kan få </w:t>
      </w:r>
      <w:proofErr w:type="spellStart"/>
      <w:r w:rsidRPr="00B419CE">
        <w:t>meir</w:t>
      </w:r>
      <w:proofErr w:type="spellEnd"/>
      <w:r w:rsidRPr="00B419CE">
        <w:t xml:space="preserve"> målretta rådgiving. DFØ skal mellom anna </w:t>
      </w:r>
      <w:proofErr w:type="spellStart"/>
      <w:r w:rsidRPr="00B419CE">
        <w:t>vidareutvikle</w:t>
      </w:r>
      <w:proofErr w:type="spellEnd"/>
      <w:r w:rsidRPr="00B419CE">
        <w:t xml:space="preserve"> sin juridiske spisskompetanse, knytt til </w:t>
      </w:r>
      <w:proofErr w:type="spellStart"/>
      <w:r w:rsidRPr="00B419CE">
        <w:t>arbeidsgjevarspørsmål</w:t>
      </w:r>
      <w:proofErr w:type="spellEnd"/>
      <w:r w:rsidRPr="00B419CE">
        <w:t xml:space="preserve">. Dette er ei viktig prioritering som </w:t>
      </w:r>
      <w:r w:rsidRPr="00B419CE">
        <w:rPr>
          <w:rStyle w:val="kursiv"/>
        </w:rPr>
        <w:t>Arbeidsgiverrådet i staten</w:t>
      </w:r>
      <w:r w:rsidRPr="00B419CE">
        <w:t xml:space="preserve"> òg er </w:t>
      </w:r>
      <w:proofErr w:type="spellStart"/>
      <w:r w:rsidRPr="00B419CE">
        <w:t>oppteke</w:t>
      </w:r>
      <w:proofErr w:type="spellEnd"/>
      <w:r w:rsidRPr="00B419CE">
        <w:t xml:space="preserve"> av.</w:t>
      </w:r>
    </w:p>
    <w:p w14:paraId="64C255C7" w14:textId="77777777" w:rsidR="00B419CE" w:rsidRPr="00B419CE" w:rsidRDefault="00B419CE" w:rsidP="00B419CE">
      <w:pPr>
        <w:pStyle w:val="avsnitt-tittel"/>
      </w:pPr>
      <w:r w:rsidRPr="00B419CE">
        <w:lastRenderedPageBreak/>
        <w:t>Inkluderingsdugnaden</w:t>
      </w:r>
    </w:p>
    <w:p w14:paraId="0E61B2C0" w14:textId="77777777" w:rsidR="00B419CE" w:rsidRPr="00B419CE" w:rsidRDefault="00B419CE" w:rsidP="00B419CE">
      <w:r w:rsidRPr="00B419CE">
        <w:t xml:space="preserve">DFØ skal </w:t>
      </w:r>
      <w:proofErr w:type="spellStart"/>
      <w:r w:rsidRPr="00B419CE">
        <w:t>framleis</w:t>
      </w:r>
      <w:proofErr w:type="spellEnd"/>
      <w:r w:rsidRPr="00B419CE">
        <w:t xml:space="preserve"> støtte </w:t>
      </w:r>
      <w:proofErr w:type="spellStart"/>
      <w:r w:rsidRPr="00B419CE">
        <w:t>dei</w:t>
      </w:r>
      <w:proofErr w:type="spellEnd"/>
      <w:r w:rsidRPr="00B419CE">
        <w:t xml:space="preserve"> </w:t>
      </w:r>
      <w:proofErr w:type="spellStart"/>
      <w:r w:rsidRPr="00B419CE">
        <w:t>statlege</w:t>
      </w:r>
      <w:proofErr w:type="spellEnd"/>
      <w:r w:rsidRPr="00B419CE">
        <w:t xml:space="preserve"> </w:t>
      </w:r>
      <w:proofErr w:type="spellStart"/>
      <w:r w:rsidRPr="00B419CE">
        <w:t>verksemdene</w:t>
      </w:r>
      <w:proofErr w:type="spellEnd"/>
      <w:r w:rsidRPr="00B419CE">
        <w:t xml:space="preserve"> i gjennomføringa av regjeringa sin inkluderingsdugnad. DFØ må òg prioritere arbeidet i eiga </w:t>
      </w:r>
      <w:proofErr w:type="spellStart"/>
      <w:r w:rsidRPr="00B419CE">
        <w:t>verksemd</w:t>
      </w:r>
      <w:proofErr w:type="spellEnd"/>
      <w:r w:rsidRPr="00B419CE">
        <w:t xml:space="preserve"> med å nå målet om at 5 pst. av </w:t>
      </w:r>
      <w:proofErr w:type="spellStart"/>
      <w:r w:rsidRPr="00B419CE">
        <w:t>nytilsette</w:t>
      </w:r>
      <w:proofErr w:type="spellEnd"/>
      <w:r w:rsidRPr="00B419CE">
        <w:t xml:space="preserve"> i direktoratet skal </w:t>
      </w:r>
      <w:proofErr w:type="spellStart"/>
      <w:r w:rsidRPr="00B419CE">
        <w:t>vere</w:t>
      </w:r>
      <w:proofErr w:type="spellEnd"/>
      <w:r w:rsidRPr="00B419CE">
        <w:t xml:space="preserve"> </w:t>
      </w:r>
      <w:proofErr w:type="spellStart"/>
      <w:r w:rsidRPr="00B419CE">
        <w:t>personar</w:t>
      </w:r>
      <w:proofErr w:type="spellEnd"/>
      <w:r w:rsidRPr="00B419CE">
        <w:t xml:space="preserve"> med nedsett funksjonsevne eller «</w:t>
      </w:r>
      <w:proofErr w:type="spellStart"/>
      <w:r w:rsidRPr="00B419CE">
        <w:t>hòl</w:t>
      </w:r>
      <w:proofErr w:type="spellEnd"/>
      <w:r w:rsidRPr="00B419CE">
        <w:t xml:space="preserve"> i CV-en».</w:t>
      </w:r>
    </w:p>
    <w:p w14:paraId="5513221A" w14:textId="77777777" w:rsidR="00B419CE" w:rsidRPr="00B419CE" w:rsidRDefault="00B419CE" w:rsidP="00B419CE">
      <w:pPr>
        <w:pStyle w:val="Undertittel"/>
      </w:pPr>
      <w:r w:rsidRPr="00B419CE">
        <w:t>Budsjett for 2022</w:t>
      </w:r>
    </w:p>
    <w:p w14:paraId="5A101BAE" w14:textId="77777777" w:rsidR="00B419CE" w:rsidRPr="00B419CE" w:rsidRDefault="00B419CE" w:rsidP="00B419CE">
      <w:r w:rsidRPr="00B419CE">
        <w:t xml:space="preserve">Departementet </w:t>
      </w:r>
      <w:proofErr w:type="spellStart"/>
      <w:r w:rsidRPr="00B419CE">
        <w:t>gjer</w:t>
      </w:r>
      <w:proofErr w:type="spellEnd"/>
      <w:r w:rsidRPr="00B419CE">
        <w:t xml:space="preserve"> framlegg om å </w:t>
      </w:r>
      <w:proofErr w:type="spellStart"/>
      <w:r w:rsidRPr="00B419CE">
        <w:t>setje</w:t>
      </w:r>
      <w:proofErr w:type="spellEnd"/>
      <w:r w:rsidRPr="00B419CE">
        <w:t xml:space="preserve"> budsjettramma til DFØ for 2022 til 932,9 mill. kroner. Løyvinga skal brukast i samsvar med </w:t>
      </w:r>
      <w:proofErr w:type="spellStart"/>
      <w:r w:rsidRPr="00B419CE">
        <w:t>dei</w:t>
      </w:r>
      <w:proofErr w:type="spellEnd"/>
      <w:r w:rsidRPr="00B419CE">
        <w:t xml:space="preserve"> mål og </w:t>
      </w:r>
      <w:proofErr w:type="spellStart"/>
      <w:r w:rsidRPr="00B419CE">
        <w:t>prioriteringar</w:t>
      </w:r>
      <w:proofErr w:type="spellEnd"/>
      <w:r w:rsidRPr="00B419CE">
        <w:t xml:space="preserve"> som er omtalte </w:t>
      </w:r>
      <w:proofErr w:type="spellStart"/>
      <w:r w:rsidRPr="00B419CE">
        <w:t>ovanfor</w:t>
      </w:r>
      <w:proofErr w:type="spellEnd"/>
      <w:r w:rsidRPr="00B419CE">
        <w:t xml:space="preserve">, jf. mål og </w:t>
      </w:r>
      <w:proofErr w:type="spellStart"/>
      <w:r w:rsidRPr="00B419CE">
        <w:t>prioriteringar</w:t>
      </w:r>
      <w:proofErr w:type="spellEnd"/>
      <w:r w:rsidRPr="00B419CE">
        <w:t xml:space="preserve"> i 2022.</w:t>
      </w:r>
    </w:p>
    <w:p w14:paraId="3702D30E" w14:textId="77777777" w:rsidR="00B419CE" w:rsidRPr="00B419CE" w:rsidRDefault="00B419CE" w:rsidP="00B419CE">
      <w:pPr>
        <w:pStyle w:val="b-post"/>
      </w:pPr>
      <w:r w:rsidRPr="00B419CE">
        <w:t>Post 01 Driftsutgifter</w:t>
      </w:r>
    </w:p>
    <w:p w14:paraId="026788B2"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lønsutgifter</w:t>
      </w:r>
      <w:proofErr w:type="spellEnd"/>
      <w:r w:rsidRPr="00B419CE">
        <w:t xml:space="preserve">, utgifter til opplæring, utgifter til </w:t>
      </w:r>
      <w:proofErr w:type="spellStart"/>
      <w:r w:rsidRPr="00B419CE">
        <w:t>leige</w:t>
      </w:r>
      <w:proofErr w:type="spellEnd"/>
      <w:r w:rsidRPr="00B419CE">
        <w:t xml:space="preserve"> og drift av kontorlokale, reiser, drift og innkjøp av kontorutstyr og IKT-utstyr med </w:t>
      </w:r>
      <w:proofErr w:type="spellStart"/>
      <w:r w:rsidRPr="00B419CE">
        <w:t>meir</w:t>
      </w:r>
      <w:proofErr w:type="spellEnd"/>
      <w:r w:rsidRPr="00B419CE">
        <w:t xml:space="preserve">. Beløpet </w:t>
      </w:r>
      <w:proofErr w:type="spellStart"/>
      <w:r w:rsidRPr="00B419CE">
        <w:t>omfattar</w:t>
      </w:r>
      <w:proofErr w:type="spellEnd"/>
      <w:r w:rsidRPr="00B419CE">
        <w:t xml:space="preserve"> </w:t>
      </w:r>
      <w:proofErr w:type="spellStart"/>
      <w:r w:rsidRPr="00B419CE">
        <w:t>dessutan</w:t>
      </w:r>
      <w:proofErr w:type="spellEnd"/>
      <w:r w:rsidRPr="00B419CE">
        <w:t xml:space="preserve"> direkte utgifter til lønskøyring for andre </w:t>
      </w:r>
      <w:proofErr w:type="spellStart"/>
      <w:r w:rsidRPr="00B419CE">
        <w:t>statlege</w:t>
      </w:r>
      <w:proofErr w:type="spellEnd"/>
      <w:r w:rsidRPr="00B419CE">
        <w:t xml:space="preserve"> </w:t>
      </w:r>
      <w:proofErr w:type="spellStart"/>
      <w:r w:rsidRPr="00B419CE">
        <w:t>verksemder</w:t>
      </w:r>
      <w:proofErr w:type="spellEnd"/>
      <w:r w:rsidRPr="00B419CE">
        <w:t xml:space="preserve"> hos ekstern leverandør, i tillegg til utgifter til </w:t>
      </w:r>
      <w:proofErr w:type="spellStart"/>
      <w:r w:rsidRPr="00B419CE">
        <w:t>vidareutvikling</w:t>
      </w:r>
      <w:proofErr w:type="spellEnd"/>
      <w:r w:rsidRPr="00B419CE">
        <w:t xml:space="preserve"> av </w:t>
      </w:r>
      <w:proofErr w:type="spellStart"/>
      <w:r w:rsidRPr="00B419CE">
        <w:t>tenestene</w:t>
      </w:r>
      <w:proofErr w:type="spellEnd"/>
      <w:r w:rsidRPr="00B419CE">
        <w:t xml:space="preserve">. Løyvinga inkluderer òg løyving til drift av OK stat som vert </w:t>
      </w:r>
      <w:proofErr w:type="spellStart"/>
      <w:r w:rsidRPr="00B419CE">
        <w:t>auka</w:t>
      </w:r>
      <w:proofErr w:type="spellEnd"/>
      <w:r w:rsidRPr="00B419CE">
        <w:t xml:space="preserve"> med 900 000 kroner.</w:t>
      </w:r>
    </w:p>
    <w:p w14:paraId="58F3C883" w14:textId="77777777" w:rsidR="00B419CE" w:rsidRPr="00B419CE" w:rsidRDefault="00B419CE" w:rsidP="00B419CE">
      <w:r w:rsidRPr="00B419CE">
        <w:t xml:space="preserve">Til </w:t>
      </w:r>
      <w:proofErr w:type="spellStart"/>
      <w:r w:rsidRPr="00B419CE">
        <w:rPr>
          <w:rStyle w:val="kursiv"/>
        </w:rPr>
        <w:t>marknadsplassen</w:t>
      </w:r>
      <w:proofErr w:type="spellEnd"/>
      <w:r w:rsidRPr="00B419CE">
        <w:rPr>
          <w:rStyle w:val="kursiv"/>
        </w:rPr>
        <w:t xml:space="preserve"> for </w:t>
      </w:r>
      <w:proofErr w:type="spellStart"/>
      <w:r w:rsidRPr="00B419CE">
        <w:rPr>
          <w:rStyle w:val="kursiv"/>
        </w:rPr>
        <w:t>skytenester</w:t>
      </w:r>
      <w:proofErr w:type="spellEnd"/>
      <w:r w:rsidRPr="00B419CE">
        <w:t xml:space="preserve"> er det sett av vel 20 mill. kroner.</w:t>
      </w:r>
    </w:p>
    <w:p w14:paraId="1B603E1C" w14:textId="77777777" w:rsidR="00B419CE" w:rsidRPr="00B419CE" w:rsidRDefault="00B419CE" w:rsidP="00B419CE">
      <w:r w:rsidRPr="00B419CE">
        <w:t xml:space="preserve">DFØ har inntekter mellom anna </w:t>
      </w:r>
      <w:proofErr w:type="spellStart"/>
      <w:r w:rsidRPr="00B419CE">
        <w:t>frå</w:t>
      </w:r>
      <w:proofErr w:type="spellEnd"/>
      <w:r w:rsidRPr="00B419CE">
        <w:t xml:space="preserve"> </w:t>
      </w:r>
      <w:proofErr w:type="spellStart"/>
      <w:r w:rsidRPr="00B419CE">
        <w:t>tenester</w:t>
      </w:r>
      <w:proofErr w:type="spellEnd"/>
      <w:r w:rsidRPr="00B419CE">
        <w:t xml:space="preserve"> som direktoratet utfører for andre </w:t>
      </w:r>
      <w:proofErr w:type="spellStart"/>
      <w:r w:rsidRPr="00B419CE">
        <w:t>statlege</w:t>
      </w:r>
      <w:proofErr w:type="spellEnd"/>
      <w:r w:rsidRPr="00B419CE">
        <w:t xml:space="preserve"> </w:t>
      </w:r>
      <w:proofErr w:type="spellStart"/>
      <w:r w:rsidRPr="00B419CE">
        <w:t>verksemder</w:t>
      </w:r>
      <w:proofErr w:type="spellEnd"/>
      <w:r w:rsidRPr="00B419CE">
        <w:t xml:space="preserve">. </w:t>
      </w:r>
      <w:proofErr w:type="spellStart"/>
      <w:r w:rsidRPr="00B419CE">
        <w:t>DFØs</w:t>
      </w:r>
      <w:proofErr w:type="spellEnd"/>
      <w:r w:rsidRPr="00B419CE">
        <w:t xml:space="preserve"> kundemasse og korleis kvar </w:t>
      </w:r>
      <w:proofErr w:type="spellStart"/>
      <w:r w:rsidRPr="00B419CE">
        <w:t>einskild</w:t>
      </w:r>
      <w:proofErr w:type="spellEnd"/>
      <w:r w:rsidRPr="00B419CE">
        <w:t xml:space="preserve"> kunde </w:t>
      </w:r>
      <w:proofErr w:type="spellStart"/>
      <w:r w:rsidRPr="00B419CE">
        <w:t>betalar</w:t>
      </w:r>
      <w:proofErr w:type="spellEnd"/>
      <w:r w:rsidRPr="00B419CE">
        <w:t xml:space="preserve"> for </w:t>
      </w:r>
      <w:proofErr w:type="spellStart"/>
      <w:r w:rsidRPr="00B419CE">
        <w:t>tenestene</w:t>
      </w:r>
      <w:proofErr w:type="spellEnd"/>
      <w:r w:rsidRPr="00B419CE">
        <w:t xml:space="preserve">, kan endre seg gjennom året. </w:t>
      </w:r>
      <w:proofErr w:type="spellStart"/>
      <w:r w:rsidRPr="00B419CE">
        <w:t>Sidan</w:t>
      </w:r>
      <w:proofErr w:type="spellEnd"/>
      <w:r w:rsidRPr="00B419CE">
        <w:t xml:space="preserve"> det er uvisst kor store inntektene vert, ber Finansdepartementet om fullmakt til å overskride løyvinga under kap. 1605, post 01 </w:t>
      </w:r>
      <w:r w:rsidRPr="00B419CE">
        <w:rPr>
          <w:rStyle w:val="kursiv"/>
        </w:rPr>
        <w:t>Driftsutgifter</w:t>
      </w:r>
      <w:r w:rsidRPr="00B419CE">
        <w:t xml:space="preserve">, med </w:t>
      </w:r>
      <w:proofErr w:type="spellStart"/>
      <w:r w:rsidRPr="00B419CE">
        <w:t>eit</w:t>
      </w:r>
      <w:proofErr w:type="spellEnd"/>
      <w:r w:rsidRPr="00B419CE">
        <w:t xml:space="preserve"> beløp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4605, post 01 </w:t>
      </w:r>
      <w:proofErr w:type="spellStart"/>
      <w:r w:rsidRPr="00B419CE">
        <w:rPr>
          <w:rStyle w:val="kursiv"/>
        </w:rPr>
        <w:t>Økonomitenester</w:t>
      </w:r>
      <w:proofErr w:type="spellEnd"/>
      <w:r w:rsidRPr="00B419CE">
        <w:t xml:space="preserve">, jf. framlegg til </w:t>
      </w:r>
      <w:proofErr w:type="spellStart"/>
      <w:r w:rsidRPr="00B419CE">
        <w:t>romartalsvedtak</w:t>
      </w:r>
      <w:proofErr w:type="spellEnd"/>
      <w:r w:rsidRPr="00B419CE">
        <w:t xml:space="preserve"> II.1.</w:t>
      </w:r>
    </w:p>
    <w:p w14:paraId="563B6D98" w14:textId="77777777" w:rsidR="00B419CE" w:rsidRPr="00B419CE" w:rsidRDefault="00B419CE" w:rsidP="00B419CE">
      <w:r w:rsidRPr="00B419CE">
        <w:t>Det vert gjort framlegg om å løyve 906,1 mill. kroner under post 01.</w:t>
      </w:r>
    </w:p>
    <w:p w14:paraId="40E84D9D" w14:textId="77777777" w:rsidR="00B419CE" w:rsidRPr="00B419CE" w:rsidRDefault="00B419CE" w:rsidP="00B419CE">
      <w:pPr>
        <w:pStyle w:val="b-post"/>
      </w:pPr>
      <w:r w:rsidRPr="00B419CE">
        <w:t>Post 22 Opplæringskontoret OK stat</w:t>
      </w:r>
    </w:p>
    <w:p w14:paraId="2AF6615E" w14:textId="77777777" w:rsidR="00B419CE" w:rsidRPr="00B419CE" w:rsidRDefault="00B419CE" w:rsidP="00B419CE">
      <w:r w:rsidRPr="00B419CE">
        <w:t xml:space="preserve">OK stat er </w:t>
      </w:r>
      <w:proofErr w:type="spellStart"/>
      <w:r w:rsidRPr="00B419CE">
        <w:t>eit</w:t>
      </w:r>
      <w:proofErr w:type="spellEnd"/>
      <w:r w:rsidRPr="00B419CE">
        <w:t xml:space="preserve"> opplæringskontor for </w:t>
      </w:r>
      <w:proofErr w:type="spellStart"/>
      <w:r w:rsidRPr="00B419CE">
        <w:t>verksemder</w:t>
      </w:r>
      <w:proofErr w:type="spellEnd"/>
      <w:r w:rsidRPr="00B419CE">
        <w:t xml:space="preserve"> i staten. OK stat er </w:t>
      </w:r>
      <w:proofErr w:type="spellStart"/>
      <w:r w:rsidRPr="00B419CE">
        <w:t>eit</w:t>
      </w:r>
      <w:proofErr w:type="spellEnd"/>
      <w:r w:rsidRPr="00B419CE">
        <w:t xml:space="preserve"> ledd i regjeringa </w:t>
      </w:r>
      <w:proofErr w:type="spellStart"/>
      <w:r w:rsidRPr="00B419CE">
        <w:t>si</w:t>
      </w:r>
      <w:proofErr w:type="spellEnd"/>
      <w:r w:rsidRPr="00B419CE">
        <w:t xml:space="preserve"> satsing for </w:t>
      </w:r>
      <w:proofErr w:type="spellStart"/>
      <w:r w:rsidRPr="00B419CE">
        <w:t>fleire</w:t>
      </w:r>
      <w:proofErr w:type="spellEnd"/>
      <w:r w:rsidRPr="00B419CE">
        <w:t xml:space="preserve"> </w:t>
      </w:r>
      <w:proofErr w:type="spellStart"/>
      <w:r w:rsidRPr="00B419CE">
        <w:t>lærlingar</w:t>
      </w:r>
      <w:proofErr w:type="spellEnd"/>
      <w:r w:rsidRPr="00B419CE">
        <w:t xml:space="preserve"> og </w:t>
      </w:r>
      <w:proofErr w:type="spellStart"/>
      <w:r w:rsidRPr="00B419CE">
        <w:t>eit</w:t>
      </w:r>
      <w:proofErr w:type="spellEnd"/>
      <w:r w:rsidRPr="00B419CE">
        <w:t xml:space="preserve"> bidrag til at </w:t>
      </w:r>
      <w:proofErr w:type="spellStart"/>
      <w:r w:rsidRPr="00B419CE">
        <w:t>fleire</w:t>
      </w:r>
      <w:proofErr w:type="spellEnd"/>
      <w:r w:rsidRPr="00B419CE">
        <w:t xml:space="preserve"> </w:t>
      </w:r>
      <w:proofErr w:type="spellStart"/>
      <w:r w:rsidRPr="00B419CE">
        <w:t>lærlingar</w:t>
      </w:r>
      <w:proofErr w:type="spellEnd"/>
      <w:r w:rsidRPr="00B419CE">
        <w:t xml:space="preserve"> skal fullføre og bestå. </w:t>
      </w:r>
      <w:proofErr w:type="spellStart"/>
      <w:r w:rsidRPr="00B419CE">
        <w:t>Frå</w:t>
      </w:r>
      <w:proofErr w:type="spellEnd"/>
      <w:r w:rsidRPr="00B419CE">
        <w:t xml:space="preserve"> </w:t>
      </w:r>
      <w:proofErr w:type="spellStart"/>
      <w:r w:rsidRPr="00B419CE">
        <w:t>hausten</w:t>
      </w:r>
      <w:proofErr w:type="spellEnd"/>
      <w:r w:rsidRPr="00B419CE">
        <w:t xml:space="preserve"> 2019 har OK stat som ei forsøksordning gjeve </w:t>
      </w:r>
      <w:proofErr w:type="spellStart"/>
      <w:r w:rsidRPr="00B419CE">
        <w:t>eit</w:t>
      </w:r>
      <w:proofErr w:type="spellEnd"/>
      <w:r w:rsidRPr="00B419CE">
        <w:t xml:space="preserve"> </w:t>
      </w:r>
      <w:proofErr w:type="spellStart"/>
      <w:r w:rsidRPr="00B419CE">
        <w:t>tilbod</w:t>
      </w:r>
      <w:proofErr w:type="spellEnd"/>
      <w:r w:rsidRPr="00B419CE">
        <w:t xml:space="preserve"> til </w:t>
      </w:r>
      <w:proofErr w:type="spellStart"/>
      <w:r w:rsidRPr="00B419CE">
        <w:t>verksemder</w:t>
      </w:r>
      <w:proofErr w:type="spellEnd"/>
      <w:r w:rsidRPr="00B419CE">
        <w:t xml:space="preserve"> i Nord-</w:t>
      </w:r>
      <w:proofErr w:type="spellStart"/>
      <w:r w:rsidRPr="00B419CE">
        <w:t>Noreg</w:t>
      </w:r>
      <w:proofErr w:type="spellEnd"/>
      <w:r w:rsidRPr="00B419CE">
        <w:t>. DFØ har gjort ei evaluering av satsinga i Nord-</w:t>
      </w:r>
      <w:proofErr w:type="spellStart"/>
      <w:r w:rsidRPr="00B419CE">
        <w:t>Noreg</w:t>
      </w:r>
      <w:proofErr w:type="spellEnd"/>
      <w:r w:rsidRPr="00B419CE">
        <w:t xml:space="preserve">, og det er vedtatt å </w:t>
      </w:r>
      <w:proofErr w:type="spellStart"/>
      <w:r w:rsidRPr="00B419CE">
        <w:t>gjere</w:t>
      </w:r>
      <w:proofErr w:type="spellEnd"/>
      <w:r w:rsidRPr="00B419CE">
        <w:t xml:space="preserve"> ordninga permanent.</w:t>
      </w:r>
    </w:p>
    <w:p w14:paraId="49022B1D" w14:textId="77777777" w:rsidR="00B419CE" w:rsidRPr="00B419CE" w:rsidRDefault="00B419CE" w:rsidP="00B419CE">
      <w:r w:rsidRPr="00B419CE">
        <w:t xml:space="preserve">Løyvinga på posten </w:t>
      </w:r>
      <w:proofErr w:type="spellStart"/>
      <w:r w:rsidRPr="00B419CE">
        <w:t>omfattar</w:t>
      </w:r>
      <w:proofErr w:type="spellEnd"/>
      <w:r w:rsidRPr="00B419CE">
        <w:t xml:space="preserve"> utbetaling av </w:t>
      </w:r>
      <w:proofErr w:type="spellStart"/>
      <w:r w:rsidRPr="00B419CE">
        <w:t>lærlingstilskot</w:t>
      </w:r>
      <w:proofErr w:type="spellEnd"/>
      <w:r w:rsidRPr="00B419CE">
        <w:t xml:space="preserve"> til </w:t>
      </w:r>
      <w:proofErr w:type="spellStart"/>
      <w:r w:rsidRPr="00B419CE">
        <w:t>statlege</w:t>
      </w:r>
      <w:proofErr w:type="spellEnd"/>
      <w:r w:rsidRPr="00B419CE">
        <w:t xml:space="preserve"> </w:t>
      </w:r>
      <w:proofErr w:type="spellStart"/>
      <w:r w:rsidRPr="00B419CE">
        <w:t>verksemder</w:t>
      </w:r>
      <w:proofErr w:type="spellEnd"/>
      <w:r w:rsidRPr="00B419CE">
        <w:t xml:space="preserve"> som bruker OK stat, og som er knytte til OK stat.</w:t>
      </w:r>
    </w:p>
    <w:p w14:paraId="733CDAD0" w14:textId="77777777" w:rsidR="00B419CE" w:rsidRPr="00B419CE" w:rsidRDefault="00B419CE" w:rsidP="00B419CE">
      <w:r w:rsidRPr="00B419CE">
        <w:t>Det vert gjort framlegg om å løyve 9,2 mill. kroner under post 22.</w:t>
      </w:r>
    </w:p>
    <w:p w14:paraId="00A35142" w14:textId="77777777" w:rsidR="00B419CE" w:rsidRPr="00B419CE" w:rsidRDefault="00B419CE" w:rsidP="00B419CE">
      <w:pPr>
        <w:pStyle w:val="b-post"/>
      </w:pPr>
      <w:r w:rsidRPr="00B419CE">
        <w:t xml:space="preserve">Post 45 Større utstyrskjøp og </w:t>
      </w:r>
      <w:proofErr w:type="spellStart"/>
      <w:r w:rsidRPr="00B419CE">
        <w:t>vedlikehald</w:t>
      </w:r>
      <w:proofErr w:type="spellEnd"/>
      <w:r w:rsidRPr="00B419CE">
        <w:t xml:space="preserve">, kan </w:t>
      </w:r>
      <w:proofErr w:type="spellStart"/>
      <w:r w:rsidRPr="00B419CE">
        <w:t>overførast</w:t>
      </w:r>
      <w:proofErr w:type="spellEnd"/>
    </w:p>
    <w:p w14:paraId="1470EF7A"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særleg</w:t>
      </w:r>
      <w:proofErr w:type="spellEnd"/>
      <w:r w:rsidRPr="00B419CE">
        <w:t xml:space="preserve"> utviklingstiltak for </w:t>
      </w:r>
      <w:proofErr w:type="spellStart"/>
      <w:r w:rsidRPr="00B419CE">
        <w:t>DFØs</w:t>
      </w:r>
      <w:proofErr w:type="spellEnd"/>
      <w:r w:rsidRPr="00B419CE">
        <w:t xml:space="preserve"> system og infrastruktur på IKT-området, </w:t>
      </w:r>
      <w:proofErr w:type="spellStart"/>
      <w:r w:rsidRPr="00B419CE">
        <w:t>medrekna</w:t>
      </w:r>
      <w:proofErr w:type="spellEnd"/>
      <w:r w:rsidRPr="00B419CE">
        <w:t xml:space="preserve"> </w:t>
      </w:r>
      <w:proofErr w:type="spellStart"/>
      <w:r w:rsidRPr="00B419CE">
        <w:t>naudsynte</w:t>
      </w:r>
      <w:proofErr w:type="spellEnd"/>
      <w:r w:rsidRPr="00B419CE">
        <w:t xml:space="preserve"> </w:t>
      </w:r>
      <w:proofErr w:type="spellStart"/>
      <w:r w:rsidRPr="00B419CE">
        <w:t>endringar</w:t>
      </w:r>
      <w:proofErr w:type="spellEnd"/>
      <w:r w:rsidRPr="00B419CE">
        <w:t xml:space="preserve"> og </w:t>
      </w:r>
      <w:proofErr w:type="spellStart"/>
      <w:r w:rsidRPr="00B419CE">
        <w:t>vidareutvikling</w:t>
      </w:r>
      <w:proofErr w:type="spellEnd"/>
      <w:r w:rsidRPr="00B419CE">
        <w:t xml:space="preserve"> av </w:t>
      </w:r>
      <w:proofErr w:type="spellStart"/>
      <w:r w:rsidRPr="00B419CE">
        <w:t>systemløysingar</w:t>
      </w:r>
      <w:proofErr w:type="spellEnd"/>
      <w:r w:rsidRPr="00B419CE">
        <w:t>.</w:t>
      </w:r>
    </w:p>
    <w:p w14:paraId="4B9FCC06" w14:textId="77777777" w:rsidR="00B419CE" w:rsidRPr="00B419CE" w:rsidRDefault="00B419CE" w:rsidP="00B419CE">
      <w:r w:rsidRPr="00B419CE">
        <w:lastRenderedPageBreak/>
        <w:t>Det vert gjort framlegg om å løyve 17,5 mill. kroner under post 45.</w:t>
      </w:r>
    </w:p>
    <w:p w14:paraId="4C62EA11" w14:textId="77777777" w:rsidR="00B419CE" w:rsidRPr="00B419CE" w:rsidRDefault="00B419CE" w:rsidP="00B419CE">
      <w:pPr>
        <w:pStyle w:val="b-budkaptit"/>
      </w:pPr>
      <w:r w:rsidRPr="00B419CE">
        <w:t>Kap. 4605 Direktoratet for forvaltning og økonomistyring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08BD7327" w14:textId="77777777" w:rsidTr="00B419CE">
        <w:trPr>
          <w:trHeight w:val="640"/>
          <w:hidden/>
        </w:trPr>
        <w:tc>
          <w:tcPr>
            <w:tcW w:w="1140" w:type="dxa"/>
            <w:shd w:val="clear" w:color="auto" w:fill="FFFFFF"/>
          </w:tcPr>
          <w:p w14:paraId="09BA7548" w14:textId="77777777" w:rsidR="00B419CE" w:rsidRPr="00B419CE" w:rsidRDefault="00B419CE" w:rsidP="00B419CE">
            <w:pPr>
              <w:pStyle w:val="Tabellnavn"/>
            </w:pPr>
            <w:r w:rsidRPr="00B419CE">
              <w:t>KPAL</w:t>
            </w:r>
          </w:p>
        </w:tc>
        <w:tc>
          <w:tcPr>
            <w:tcW w:w="4560" w:type="dxa"/>
          </w:tcPr>
          <w:p w14:paraId="5131FC3C" w14:textId="77777777" w:rsidR="00B419CE" w:rsidRPr="00B419CE" w:rsidRDefault="00B419CE" w:rsidP="00B419CE"/>
        </w:tc>
        <w:tc>
          <w:tcPr>
            <w:tcW w:w="1140" w:type="dxa"/>
          </w:tcPr>
          <w:p w14:paraId="05A662AA" w14:textId="77777777" w:rsidR="00B419CE" w:rsidRPr="00B419CE" w:rsidRDefault="00B419CE" w:rsidP="00B419CE">
            <w:pPr>
              <w:jc w:val="right"/>
            </w:pPr>
          </w:p>
        </w:tc>
        <w:tc>
          <w:tcPr>
            <w:tcW w:w="1140" w:type="dxa"/>
          </w:tcPr>
          <w:p w14:paraId="5B23D791" w14:textId="77777777" w:rsidR="00B419CE" w:rsidRPr="00B419CE" w:rsidRDefault="00B419CE" w:rsidP="00B419CE">
            <w:pPr>
              <w:jc w:val="right"/>
            </w:pPr>
          </w:p>
        </w:tc>
        <w:tc>
          <w:tcPr>
            <w:tcW w:w="1140" w:type="dxa"/>
          </w:tcPr>
          <w:p w14:paraId="0911BE48" w14:textId="77777777" w:rsidR="00B419CE" w:rsidRPr="00B419CE" w:rsidRDefault="00B419CE" w:rsidP="00B419CE">
            <w:pPr>
              <w:jc w:val="right"/>
            </w:pPr>
            <w:r w:rsidRPr="00B419CE">
              <w:t>(i 1 000 kr)</w:t>
            </w:r>
          </w:p>
        </w:tc>
      </w:tr>
      <w:tr w:rsidR="00B419CE" w:rsidRPr="00B419CE" w14:paraId="369D6116" w14:textId="77777777" w:rsidTr="00B419CE">
        <w:trPr>
          <w:trHeight w:val="600"/>
        </w:trPr>
        <w:tc>
          <w:tcPr>
            <w:tcW w:w="1140" w:type="dxa"/>
          </w:tcPr>
          <w:p w14:paraId="66F74BF9" w14:textId="77777777" w:rsidR="00B419CE" w:rsidRPr="00B419CE" w:rsidRDefault="00B419CE" w:rsidP="00B419CE">
            <w:r w:rsidRPr="00B419CE">
              <w:t>Post</w:t>
            </w:r>
          </w:p>
        </w:tc>
        <w:tc>
          <w:tcPr>
            <w:tcW w:w="4560" w:type="dxa"/>
          </w:tcPr>
          <w:p w14:paraId="382A8120" w14:textId="77777777" w:rsidR="00B419CE" w:rsidRPr="00B419CE" w:rsidRDefault="00B419CE" w:rsidP="00B419CE">
            <w:proofErr w:type="spellStart"/>
            <w:r w:rsidRPr="00B419CE">
              <w:t>Nemning</w:t>
            </w:r>
            <w:proofErr w:type="spellEnd"/>
          </w:p>
        </w:tc>
        <w:tc>
          <w:tcPr>
            <w:tcW w:w="1140" w:type="dxa"/>
          </w:tcPr>
          <w:p w14:paraId="51A87128"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4609DEC7" w14:textId="77777777" w:rsidR="00B419CE" w:rsidRPr="00B419CE" w:rsidRDefault="00B419CE" w:rsidP="00B419CE">
            <w:pPr>
              <w:jc w:val="right"/>
            </w:pPr>
            <w:r w:rsidRPr="00B419CE">
              <w:t>Saldert</w:t>
            </w:r>
            <w:r w:rsidRPr="00B419CE">
              <w:br/>
              <w:t xml:space="preserve"> budsjett 2021</w:t>
            </w:r>
          </w:p>
        </w:tc>
        <w:tc>
          <w:tcPr>
            <w:tcW w:w="1140" w:type="dxa"/>
          </w:tcPr>
          <w:p w14:paraId="03B44A91" w14:textId="77777777" w:rsidR="00B419CE" w:rsidRPr="00B419CE" w:rsidRDefault="00B419CE" w:rsidP="00B419CE">
            <w:pPr>
              <w:jc w:val="right"/>
            </w:pPr>
            <w:r w:rsidRPr="00B419CE">
              <w:t>Forslag</w:t>
            </w:r>
            <w:r w:rsidRPr="00B419CE">
              <w:br/>
              <w:t xml:space="preserve"> 2022</w:t>
            </w:r>
          </w:p>
        </w:tc>
      </w:tr>
      <w:tr w:rsidR="00B419CE" w:rsidRPr="00B419CE" w14:paraId="32E42EF6" w14:textId="77777777" w:rsidTr="00B419CE">
        <w:trPr>
          <w:trHeight w:val="380"/>
        </w:trPr>
        <w:tc>
          <w:tcPr>
            <w:tcW w:w="1140" w:type="dxa"/>
          </w:tcPr>
          <w:p w14:paraId="4EA25C9D" w14:textId="77777777" w:rsidR="00B419CE" w:rsidRPr="00B419CE" w:rsidRDefault="00B419CE" w:rsidP="00B419CE">
            <w:r w:rsidRPr="00B419CE">
              <w:t>01</w:t>
            </w:r>
          </w:p>
        </w:tc>
        <w:tc>
          <w:tcPr>
            <w:tcW w:w="4560" w:type="dxa"/>
          </w:tcPr>
          <w:p w14:paraId="45C7C1C9" w14:textId="77777777" w:rsidR="00B419CE" w:rsidRPr="00B419CE" w:rsidRDefault="00B419CE" w:rsidP="00B419CE">
            <w:proofErr w:type="spellStart"/>
            <w:r w:rsidRPr="00B419CE">
              <w:t>Økonomitenester</w:t>
            </w:r>
            <w:proofErr w:type="spellEnd"/>
          </w:p>
        </w:tc>
        <w:tc>
          <w:tcPr>
            <w:tcW w:w="1140" w:type="dxa"/>
          </w:tcPr>
          <w:p w14:paraId="1B621231" w14:textId="77777777" w:rsidR="00B419CE" w:rsidRPr="00B419CE" w:rsidRDefault="00B419CE" w:rsidP="00B419CE">
            <w:pPr>
              <w:jc w:val="right"/>
            </w:pPr>
            <w:r w:rsidRPr="00B419CE">
              <w:t>170 806</w:t>
            </w:r>
          </w:p>
        </w:tc>
        <w:tc>
          <w:tcPr>
            <w:tcW w:w="1140" w:type="dxa"/>
          </w:tcPr>
          <w:p w14:paraId="1C6090EF" w14:textId="77777777" w:rsidR="00B419CE" w:rsidRPr="00B419CE" w:rsidRDefault="00B419CE" w:rsidP="00B419CE">
            <w:pPr>
              <w:jc w:val="right"/>
            </w:pPr>
            <w:r w:rsidRPr="00B419CE">
              <w:t>144 000</w:t>
            </w:r>
          </w:p>
        </w:tc>
        <w:tc>
          <w:tcPr>
            <w:tcW w:w="1140" w:type="dxa"/>
          </w:tcPr>
          <w:p w14:paraId="3FA4DDF7" w14:textId="77777777" w:rsidR="00B419CE" w:rsidRPr="00B419CE" w:rsidRDefault="00B419CE" w:rsidP="00B419CE">
            <w:pPr>
              <w:jc w:val="right"/>
            </w:pPr>
            <w:r w:rsidRPr="00B419CE">
              <w:t>183 800</w:t>
            </w:r>
          </w:p>
        </w:tc>
      </w:tr>
      <w:tr w:rsidR="00B419CE" w:rsidRPr="00B419CE" w14:paraId="41ABCE01" w14:textId="77777777" w:rsidTr="00B419CE">
        <w:trPr>
          <w:trHeight w:val="380"/>
        </w:trPr>
        <w:tc>
          <w:tcPr>
            <w:tcW w:w="1140" w:type="dxa"/>
          </w:tcPr>
          <w:p w14:paraId="76EA7239" w14:textId="77777777" w:rsidR="00B419CE" w:rsidRPr="00B419CE" w:rsidRDefault="00B419CE" w:rsidP="00B419CE">
            <w:r w:rsidRPr="00B419CE">
              <w:t>02</w:t>
            </w:r>
          </w:p>
        </w:tc>
        <w:tc>
          <w:tcPr>
            <w:tcW w:w="4560" w:type="dxa"/>
          </w:tcPr>
          <w:p w14:paraId="1B2CF343" w14:textId="77777777" w:rsidR="00B419CE" w:rsidRPr="00B419CE" w:rsidRDefault="00B419CE" w:rsidP="00B419CE">
            <w:r w:rsidRPr="00B419CE">
              <w:t>Opplæringskontoret OK stat</w:t>
            </w:r>
          </w:p>
        </w:tc>
        <w:tc>
          <w:tcPr>
            <w:tcW w:w="1140" w:type="dxa"/>
          </w:tcPr>
          <w:p w14:paraId="267D233D" w14:textId="77777777" w:rsidR="00B419CE" w:rsidRPr="00B419CE" w:rsidRDefault="00B419CE" w:rsidP="00B419CE">
            <w:pPr>
              <w:jc w:val="right"/>
            </w:pPr>
            <w:r w:rsidRPr="00B419CE">
              <w:t>13 473</w:t>
            </w:r>
          </w:p>
        </w:tc>
        <w:tc>
          <w:tcPr>
            <w:tcW w:w="1140" w:type="dxa"/>
          </w:tcPr>
          <w:p w14:paraId="29BDA318" w14:textId="77777777" w:rsidR="00B419CE" w:rsidRPr="00B419CE" w:rsidRDefault="00B419CE" w:rsidP="00B419CE">
            <w:pPr>
              <w:jc w:val="right"/>
            </w:pPr>
            <w:r w:rsidRPr="00B419CE">
              <w:t>11 300</w:t>
            </w:r>
          </w:p>
        </w:tc>
        <w:tc>
          <w:tcPr>
            <w:tcW w:w="1140" w:type="dxa"/>
          </w:tcPr>
          <w:p w14:paraId="6B269194" w14:textId="77777777" w:rsidR="00B419CE" w:rsidRPr="00B419CE" w:rsidRDefault="00B419CE" w:rsidP="00B419CE">
            <w:pPr>
              <w:jc w:val="right"/>
            </w:pPr>
            <w:r w:rsidRPr="00B419CE">
              <w:t>14 300</w:t>
            </w:r>
          </w:p>
        </w:tc>
      </w:tr>
      <w:tr w:rsidR="00B419CE" w:rsidRPr="00B419CE" w14:paraId="73029FD9" w14:textId="77777777" w:rsidTr="00B419CE">
        <w:trPr>
          <w:trHeight w:val="380"/>
        </w:trPr>
        <w:tc>
          <w:tcPr>
            <w:tcW w:w="1140" w:type="dxa"/>
          </w:tcPr>
          <w:p w14:paraId="770AE449" w14:textId="77777777" w:rsidR="00B419CE" w:rsidRPr="00B419CE" w:rsidRDefault="00B419CE" w:rsidP="00B419CE"/>
        </w:tc>
        <w:tc>
          <w:tcPr>
            <w:tcW w:w="4560" w:type="dxa"/>
          </w:tcPr>
          <w:p w14:paraId="77E4C23F" w14:textId="77777777" w:rsidR="00B419CE" w:rsidRPr="00B419CE" w:rsidRDefault="00B419CE" w:rsidP="00B419CE">
            <w:r w:rsidRPr="00B419CE">
              <w:t>Sum kap. 4605</w:t>
            </w:r>
          </w:p>
        </w:tc>
        <w:tc>
          <w:tcPr>
            <w:tcW w:w="1140" w:type="dxa"/>
          </w:tcPr>
          <w:p w14:paraId="1DFCE34D" w14:textId="77777777" w:rsidR="00B419CE" w:rsidRPr="00B419CE" w:rsidRDefault="00B419CE" w:rsidP="00B419CE">
            <w:pPr>
              <w:jc w:val="right"/>
            </w:pPr>
            <w:r w:rsidRPr="00B419CE">
              <w:t>184 279</w:t>
            </w:r>
          </w:p>
        </w:tc>
        <w:tc>
          <w:tcPr>
            <w:tcW w:w="1140" w:type="dxa"/>
          </w:tcPr>
          <w:p w14:paraId="09A8B08E" w14:textId="77777777" w:rsidR="00B419CE" w:rsidRPr="00B419CE" w:rsidRDefault="00B419CE" w:rsidP="00B419CE">
            <w:pPr>
              <w:jc w:val="right"/>
            </w:pPr>
            <w:r w:rsidRPr="00B419CE">
              <w:t>155 300</w:t>
            </w:r>
          </w:p>
        </w:tc>
        <w:tc>
          <w:tcPr>
            <w:tcW w:w="1140" w:type="dxa"/>
          </w:tcPr>
          <w:p w14:paraId="2789F82D" w14:textId="77777777" w:rsidR="00B419CE" w:rsidRPr="00B419CE" w:rsidRDefault="00B419CE" w:rsidP="00B419CE">
            <w:pPr>
              <w:jc w:val="right"/>
            </w:pPr>
            <w:r w:rsidRPr="00B419CE">
              <w:t>198 100</w:t>
            </w:r>
          </w:p>
        </w:tc>
      </w:tr>
    </w:tbl>
    <w:p w14:paraId="46BB4F4D" w14:textId="77777777" w:rsidR="00B419CE" w:rsidRPr="00B419CE" w:rsidRDefault="00B419CE" w:rsidP="00B419CE">
      <w:pPr>
        <w:pStyle w:val="b-post"/>
      </w:pPr>
      <w:r w:rsidRPr="00B419CE">
        <w:t xml:space="preserve">Post 01 </w:t>
      </w:r>
      <w:proofErr w:type="spellStart"/>
      <w:r w:rsidRPr="00B419CE">
        <w:t>Økonomitenester</w:t>
      </w:r>
      <w:proofErr w:type="spellEnd"/>
    </w:p>
    <w:p w14:paraId="1ADE2666" w14:textId="77777777" w:rsidR="00B419CE" w:rsidRPr="00B419CE" w:rsidRDefault="00B419CE" w:rsidP="00B419CE">
      <w:r w:rsidRPr="00B419CE">
        <w:t xml:space="preserve">Posten </w:t>
      </w:r>
      <w:proofErr w:type="spellStart"/>
      <w:r w:rsidRPr="00B419CE">
        <w:t>omfattar</w:t>
      </w:r>
      <w:proofErr w:type="spellEnd"/>
      <w:r w:rsidRPr="00B419CE">
        <w:t xml:space="preserve"> i </w:t>
      </w:r>
      <w:proofErr w:type="spellStart"/>
      <w:r w:rsidRPr="00B419CE">
        <w:t>hovudsak</w:t>
      </w:r>
      <w:proofErr w:type="spellEnd"/>
      <w:r w:rsidRPr="00B419CE">
        <w:t xml:space="preserve"> betaling </w:t>
      </w:r>
      <w:proofErr w:type="spellStart"/>
      <w:r w:rsidRPr="00B419CE">
        <w:t>frå</w:t>
      </w:r>
      <w:proofErr w:type="spellEnd"/>
      <w:r w:rsidRPr="00B419CE">
        <w:t xml:space="preserve"> </w:t>
      </w:r>
      <w:proofErr w:type="spellStart"/>
      <w:r w:rsidRPr="00B419CE">
        <w:t>kundar</w:t>
      </w:r>
      <w:proofErr w:type="spellEnd"/>
      <w:r w:rsidRPr="00B419CE">
        <w:t xml:space="preserve"> når DFØ </w:t>
      </w:r>
      <w:proofErr w:type="spellStart"/>
      <w:r w:rsidRPr="00B419CE">
        <w:t>vidarefakturerer</w:t>
      </w:r>
      <w:proofErr w:type="spellEnd"/>
      <w:r w:rsidRPr="00B419CE">
        <w:t xml:space="preserve"> visse utgifter i samband med elektronisk fakturabehandling, </w:t>
      </w:r>
      <w:proofErr w:type="spellStart"/>
      <w:r w:rsidRPr="00B419CE">
        <w:t>lisensar</w:t>
      </w:r>
      <w:proofErr w:type="spellEnd"/>
      <w:r w:rsidRPr="00B419CE">
        <w:t xml:space="preserve">, </w:t>
      </w:r>
      <w:proofErr w:type="spellStart"/>
      <w:r w:rsidRPr="00B419CE">
        <w:t>programvarevedlikehald</w:t>
      </w:r>
      <w:proofErr w:type="spellEnd"/>
      <w:r w:rsidRPr="00B419CE">
        <w:t xml:space="preserve"> og teknisk drift av </w:t>
      </w:r>
      <w:proofErr w:type="spellStart"/>
      <w:r w:rsidRPr="00B419CE">
        <w:t>lønssystemet</w:t>
      </w:r>
      <w:proofErr w:type="spellEnd"/>
      <w:r w:rsidRPr="00B419CE">
        <w:t xml:space="preserve">. Posten </w:t>
      </w:r>
      <w:proofErr w:type="spellStart"/>
      <w:r w:rsidRPr="00B419CE">
        <w:t>inneheld</w:t>
      </w:r>
      <w:proofErr w:type="spellEnd"/>
      <w:r w:rsidRPr="00B419CE">
        <w:t xml:space="preserve"> òg inntekter som gjeld betaling for </w:t>
      </w:r>
      <w:proofErr w:type="spellStart"/>
      <w:r w:rsidRPr="00B419CE">
        <w:t>løns</w:t>
      </w:r>
      <w:proofErr w:type="spellEnd"/>
      <w:r w:rsidRPr="00B419CE">
        <w:t xml:space="preserve">- og </w:t>
      </w:r>
      <w:proofErr w:type="spellStart"/>
      <w:r w:rsidRPr="00B419CE">
        <w:t>rekneskapstenester</w:t>
      </w:r>
      <w:proofErr w:type="spellEnd"/>
      <w:r w:rsidRPr="00B419CE">
        <w:t xml:space="preserve"> </w:t>
      </w:r>
      <w:proofErr w:type="spellStart"/>
      <w:r w:rsidRPr="00B419CE">
        <w:t>frå</w:t>
      </w:r>
      <w:proofErr w:type="spellEnd"/>
      <w:r w:rsidRPr="00B419CE">
        <w:t xml:space="preserve"> </w:t>
      </w:r>
      <w:proofErr w:type="spellStart"/>
      <w:r w:rsidRPr="00B419CE">
        <w:t>kundar</w:t>
      </w:r>
      <w:proofErr w:type="spellEnd"/>
      <w:r w:rsidRPr="00B419CE">
        <w:t xml:space="preserve"> som har fått unntak </w:t>
      </w:r>
      <w:proofErr w:type="spellStart"/>
      <w:r w:rsidRPr="00B419CE">
        <w:t>frå</w:t>
      </w:r>
      <w:proofErr w:type="spellEnd"/>
      <w:r w:rsidRPr="00B419CE">
        <w:t xml:space="preserve"> rammeoverføring som finansieringsform, eller som av andre årsaker </w:t>
      </w:r>
      <w:proofErr w:type="spellStart"/>
      <w:r w:rsidRPr="00B419CE">
        <w:t>ikkje</w:t>
      </w:r>
      <w:proofErr w:type="spellEnd"/>
      <w:r w:rsidRPr="00B419CE">
        <w:t xml:space="preserve"> kan overføre løyving til DFØ. I 2022 vert store nettobudsjetterte </w:t>
      </w:r>
      <w:proofErr w:type="spellStart"/>
      <w:r w:rsidRPr="00B419CE">
        <w:t>statlege</w:t>
      </w:r>
      <w:proofErr w:type="spellEnd"/>
      <w:r w:rsidRPr="00B419CE">
        <w:t xml:space="preserve"> </w:t>
      </w:r>
      <w:proofErr w:type="spellStart"/>
      <w:r w:rsidRPr="00B419CE">
        <w:t>verksemder</w:t>
      </w:r>
      <w:proofErr w:type="spellEnd"/>
      <w:r w:rsidRPr="00B419CE">
        <w:t xml:space="preserve"> </w:t>
      </w:r>
      <w:proofErr w:type="spellStart"/>
      <w:r w:rsidRPr="00B419CE">
        <w:t>kundar</w:t>
      </w:r>
      <w:proofErr w:type="spellEnd"/>
      <w:r w:rsidRPr="00B419CE">
        <w:t xml:space="preserve"> av DFØ. </w:t>
      </w:r>
      <w:proofErr w:type="spellStart"/>
      <w:r w:rsidRPr="00B419CE">
        <w:t>Desse</w:t>
      </w:r>
      <w:proofErr w:type="spellEnd"/>
      <w:r w:rsidRPr="00B419CE">
        <w:t xml:space="preserve"> vert fakturert for utgifter i samband med kundeopptaket og </w:t>
      </w:r>
      <w:proofErr w:type="spellStart"/>
      <w:r w:rsidRPr="00B419CE">
        <w:t>tenesteleveransane</w:t>
      </w:r>
      <w:proofErr w:type="spellEnd"/>
      <w:r w:rsidRPr="00B419CE">
        <w:t xml:space="preserve">, og denne tilveksten </w:t>
      </w:r>
      <w:proofErr w:type="spellStart"/>
      <w:r w:rsidRPr="00B419CE">
        <w:t>åleine</w:t>
      </w:r>
      <w:proofErr w:type="spellEnd"/>
      <w:r w:rsidRPr="00B419CE">
        <w:t xml:space="preserve"> fører til at både utgifts- og inntektsløyvinga </w:t>
      </w:r>
      <w:proofErr w:type="spellStart"/>
      <w:r w:rsidRPr="00B419CE">
        <w:t>aukar</w:t>
      </w:r>
      <w:proofErr w:type="spellEnd"/>
      <w:r w:rsidRPr="00B419CE">
        <w:t xml:space="preserve"> med om lag 38 mill. kroner.</w:t>
      </w:r>
    </w:p>
    <w:p w14:paraId="5773E055" w14:textId="77777777" w:rsidR="00B419CE" w:rsidRPr="00B419CE" w:rsidRDefault="00B419CE" w:rsidP="00B419CE">
      <w:r w:rsidRPr="00B419CE">
        <w:t xml:space="preserve">Det vert vist til forslag til fullmakt til å overskride løyvinga under kap. 1605, post 01 </w:t>
      </w:r>
      <w:r w:rsidRPr="00B419CE">
        <w:rPr>
          <w:rStyle w:val="kursiv"/>
        </w:rPr>
        <w:t>Driftsutgifter</w:t>
      </w:r>
      <w:r w:rsidRPr="00B419CE">
        <w:t xml:space="preserve">, med </w:t>
      </w:r>
      <w:proofErr w:type="spellStart"/>
      <w:r w:rsidRPr="00B419CE">
        <w:t>eit</w:t>
      </w:r>
      <w:proofErr w:type="spellEnd"/>
      <w:r w:rsidRPr="00B419CE">
        <w:t xml:space="preserve"> beløp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4605, post 01 </w:t>
      </w:r>
      <w:proofErr w:type="spellStart"/>
      <w:r w:rsidRPr="00B419CE">
        <w:rPr>
          <w:rStyle w:val="kursiv"/>
        </w:rPr>
        <w:t>Økonomitenester</w:t>
      </w:r>
      <w:proofErr w:type="spellEnd"/>
      <w:r w:rsidRPr="00B419CE">
        <w:t xml:space="preserve">, jf. framlegg til </w:t>
      </w:r>
      <w:proofErr w:type="spellStart"/>
      <w:r w:rsidRPr="00B419CE">
        <w:t>romartalsvedtak</w:t>
      </w:r>
      <w:proofErr w:type="spellEnd"/>
      <w:r w:rsidRPr="00B419CE">
        <w:t xml:space="preserve"> II.1.</w:t>
      </w:r>
    </w:p>
    <w:p w14:paraId="13720F73" w14:textId="77777777" w:rsidR="00B419CE" w:rsidRPr="00B419CE" w:rsidRDefault="00B419CE" w:rsidP="00B419CE">
      <w:r w:rsidRPr="00B419CE">
        <w:t>Det vert gjort framlegg om å løyve 183,8 mill. kroner under post 01.</w:t>
      </w:r>
    </w:p>
    <w:p w14:paraId="19C757D7" w14:textId="77777777" w:rsidR="00B419CE" w:rsidRPr="00B419CE" w:rsidRDefault="00B419CE" w:rsidP="00B419CE">
      <w:pPr>
        <w:pStyle w:val="b-post"/>
      </w:pPr>
      <w:r w:rsidRPr="00B419CE">
        <w:t>Post 02 Opplæringskontoret OK stat</w:t>
      </w:r>
    </w:p>
    <w:p w14:paraId="0F819B44"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innbetalingar</w:t>
      </w:r>
      <w:proofErr w:type="spellEnd"/>
      <w:r w:rsidRPr="00B419CE">
        <w:t xml:space="preserve"> av </w:t>
      </w:r>
      <w:proofErr w:type="spellStart"/>
      <w:r w:rsidRPr="00B419CE">
        <w:t>lærlingstilskot</w:t>
      </w:r>
      <w:proofErr w:type="spellEnd"/>
      <w:r w:rsidRPr="00B419CE">
        <w:t xml:space="preserve"> </w:t>
      </w:r>
      <w:proofErr w:type="spellStart"/>
      <w:r w:rsidRPr="00B419CE">
        <w:t>frå</w:t>
      </w:r>
      <w:proofErr w:type="spellEnd"/>
      <w:r w:rsidRPr="00B419CE">
        <w:t xml:space="preserve"> </w:t>
      </w:r>
      <w:proofErr w:type="spellStart"/>
      <w:r w:rsidRPr="00B419CE">
        <w:t>fylkeskommunane</w:t>
      </w:r>
      <w:proofErr w:type="spellEnd"/>
      <w:r w:rsidRPr="00B419CE">
        <w:t>.</w:t>
      </w:r>
    </w:p>
    <w:p w14:paraId="7A2E301B" w14:textId="77777777" w:rsidR="00B419CE" w:rsidRPr="00B419CE" w:rsidRDefault="00B419CE" w:rsidP="00B419CE">
      <w:r w:rsidRPr="00B419CE">
        <w:t xml:space="preserve">Det vert vist til forslag til fullmakt til å overskride løyvinga under kap. 1605, post 22 </w:t>
      </w:r>
      <w:r w:rsidRPr="00B419CE">
        <w:rPr>
          <w:rStyle w:val="kursiv"/>
        </w:rPr>
        <w:t>Opplæringskontoret OK stat</w:t>
      </w:r>
      <w:r w:rsidRPr="00B419CE">
        <w:t xml:space="preserve">, med </w:t>
      </w:r>
      <w:proofErr w:type="spellStart"/>
      <w:r w:rsidRPr="00B419CE">
        <w:t>eit</w:t>
      </w:r>
      <w:proofErr w:type="spellEnd"/>
      <w:r w:rsidRPr="00B419CE">
        <w:t xml:space="preserve"> beløp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4605, post 02 </w:t>
      </w:r>
      <w:r w:rsidRPr="00B419CE">
        <w:rPr>
          <w:rStyle w:val="kursiv"/>
        </w:rPr>
        <w:t>Opplæringskontoret OK stat</w:t>
      </w:r>
      <w:r w:rsidRPr="00B419CE">
        <w:t xml:space="preserve">, jf. framlegg til </w:t>
      </w:r>
      <w:proofErr w:type="spellStart"/>
      <w:r w:rsidRPr="00B419CE">
        <w:t>romartalsvedtak</w:t>
      </w:r>
      <w:proofErr w:type="spellEnd"/>
      <w:r w:rsidRPr="00B419CE">
        <w:t xml:space="preserve"> II.1.</w:t>
      </w:r>
    </w:p>
    <w:p w14:paraId="58F862AF" w14:textId="77777777" w:rsidR="00B419CE" w:rsidRPr="00B419CE" w:rsidRDefault="00B419CE" w:rsidP="00B419CE">
      <w:r w:rsidRPr="00B419CE">
        <w:t>Det vert gjort framlegg om å løyve 14,3 mill. kroner under post 02.</w:t>
      </w:r>
    </w:p>
    <w:p w14:paraId="4BEEBC8C" w14:textId="77777777" w:rsidR="00B419CE" w:rsidRPr="00B419CE" w:rsidRDefault="00B419CE" w:rsidP="00B419CE">
      <w:pPr>
        <w:pStyle w:val="b-progkat"/>
      </w:pPr>
      <w:r w:rsidRPr="00B419CE">
        <w:t>Programkategori 23.20 Skatte-, avgifts- og tolladministrasjon</w:t>
      </w:r>
    </w:p>
    <w:p w14:paraId="20C4330F" w14:textId="77777777" w:rsidR="00B419CE" w:rsidRPr="00B419CE" w:rsidRDefault="00B419CE" w:rsidP="00B419CE">
      <w:pPr>
        <w:pStyle w:val="avsnitt-tittel"/>
      </w:pPr>
      <w:r w:rsidRPr="00B419CE">
        <w:t>Utgifter under programkategori 23.20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6A9E973F" w14:textId="77777777" w:rsidTr="00B419CE">
        <w:trPr>
          <w:trHeight w:val="640"/>
          <w:hidden/>
        </w:trPr>
        <w:tc>
          <w:tcPr>
            <w:tcW w:w="1020" w:type="dxa"/>
            <w:shd w:val="clear" w:color="auto" w:fill="FFFFFF"/>
          </w:tcPr>
          <w:p w14:paraId="21E78504" w14:textId="77777777" w:rsidR="00B419CE" w:rsidRPr="00B419CE" w:rsidRDefault="00B419CE" w:rsidP="00B419CE">
            <w:pPr>
              <w:pStyle w:val="Tabellnavn"/>
            </w:pPr>
            <w:r w:rsidRPr="00B419CE">
              <w:t>PIKL</w:t>
            </w:r>
          </w:p>
        </w:tc>
        <w:tc>
          <w:tcPr>
            <w:tcW w:w="4080" w:type="dxa"/>
          </w:tcPr>
          <w:p w14:paraId="49E6B7A1" w14:textId="77777777" w:rsidR="00B419CE" w:rsidRPr="00B419CE" w:rsidRDefault="00B419CE" w:rsidP="00B419CE"/>
        </w:tc>
        <w:tc>
          <w:tcPr>
            <w:tcW w:w="1020" w:type="dxa"/>
          </w:tcPr>
          <w:p w14:paraId="331F78C6" w14:textId="77777777" w:rsidR="00B419CE" w:rsidRPr="00B419CE" w:rsidRDefault="00B419CE" w:rsidP="00B419CE">
            <w:pPr>
              <w:jc w:val="right"/>
            </w:pPr>
          </w:p>
        </w:tc>
        <w:tc>
          <w:tcPr>
            <w:tcW w:w="1020" w:type="dxa"/>
          </w:tcPr>
          <w:p w14:paraId="5969233D" w14:textId="77777777" w:rsidR="00B419CE" w:rsidRPr="00B419CE" w:rsidRDefault="00B419CE" w:rsidP="00B419CE">
            <w:pPr>
              <w:jc w:val="right"/>
            </w:pPr>
          </w:p>
        </w:tc>
        <w:tc>
          <w:tcPr>
            <w:tcW w:w="1020" w:type="dxa"/>
          </w:tcPr>
          <w:p w14:paraId="3179B6CC" w14:textId="77777777" w:rsidR="00B419CE" w:rsidRPr="00B419CE" w:rsidRDefault="00B419CE" w:rsidP="00B419CE">
            <w:pPr>
              <w:jc w:val="right"/>
            </w:pPr>
          </w:p>
        </w:tc>
        <w:tc>
          <w:tcPr>
            <w:tcW w:w="1020" w:type="dxa"/>
          </w:tcPr>
          <w:p w14:paraId="25668F92" w14:textId="77777777" w:rsidR="00B419CE" w:rsidRPr="00B419CE" w:rsidRDefault="00B419CE" w:rsidP="00B419CE">
            <w:pPr>
              <w:jc w:val="right"/>
            </w:pPr>
            <w:r w:rsidRPr="00B419CE">
              <w:t>(i 1 000 kr)</w:t>
            </w:r>
          </w:p>
        </w:tc>
      </w:tr>
      <w:tr w:rsidR="00B419CE" w:rsidRPr="00B419CE" w14:paraId="7D9EE115" w14:textId="77777777" w:rsidTr="00B419CE">
        <w:trPr>
          <w:trHeight w:val="600"/>
        </w:trPr>
        <w:tc>
          <w:tcPr>
            <w:tcW w:w="1020" w:type="dxa"/>
          </w:tcPr>
          <w:p w14:paraId="611D4977" w14:textId="77777777" w:rsidR="00B419CE" w:rsidRPr="00B419CE" w:rsidRDefault="00B419CE" w:rsidP="00B419CE">
            <w:r w:rsidRPr="00B419CE">
              <w:lastRenderedPageBreak/>
              <w:t>Kap.</w:t>
            </w:r>
          </w:p>
        </w:tc>
        <w:tc>
          <w:tcPr>
            <w:tcW w:w="4080" w:type="dxa"/>
          </w:tcPr>
          <w:p w14:paraId="3B98448E" w14:textId="77777777" w:rsidR="00B419CE" w:rsidRPr="00B419CE" w:rsidRDefault="00B419CE" w:rsidP="00B419CE">
            <w:proofErr w:type="spellStart"/>
            <w:r w:rsidRPr="00B419CE">
              <w:t>Nemning</w:t>
            </w:r>
            <w:proofErr w:type="spellEnd"/>
          </w:p>
        </w:tc>
        <w:tc>
          <w:tcPr>
            <w:tcW w:w="1020" w:type="dxa"/>
          </w:tcPr>
          <w:p w14:paraId="5B8ACBC2"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76B7B8F3" w14:textId="77777777" w:rsidR="00B419CE" w:rsidRPr="00B419CE" w:rsidRDefault="00B419CE" w:rsidP="00B419CE">
            <w:pPr>
              <w:jc w:val="right"/>
            </w:pPr>
            <w:r w:rsidRPr="00B419CE">
              <w:t>Saldert</w:t>
            </w:r>
            <w:r w:rsidRPr="00B419CE">
              <w:br/>
              <w:t xml:space="preserve"> budsjett 2021</w:t>
            </w:r>
          </w:p>
        </w:tc>
        <w:tc>
          <w:tcPr>
            <w:tcW w:w="1020" w:type="dxa"/>
          </w:tcPr>
          <w:p w14:paraId="013F3C91" w14:textId="77777777" w:rsidR="00B419CE" w:rsidRPr="00B419CE" w:rsidRDefault="00B419CE" w:rsidP="00B419CE">
            <w:pPr>
              <w:jc w:val="right"/>
            </w:pPr>
            <w:r w:rsidRPr="00B419CE">
              <w:t>Forslag</w:t>
            </w:r>
            <w:r w:rsidRPr="00B419CE">
              <w:br/>
              <w:t xml:space="preserve"> 2022</w:t>
            </w:r>
          </w:p>
        </w:tc>
        <w:tc>
          <w:tcPr>
            <w:tcW w:w="1020" w:type="dxa"/>
          </w:tcPr>
          <w:p w14:paraId="72032492" w14:textId="77777777" w:rsidR="00B419CE" w:rsidRPr="00B419CE" w:rsidRDefault="00B419CE" w:rsidP="00B419CE">
            <w:pPr>
              <w:jc w:val="right"/>
            </w:pPr>
            <w:r w:rsidRPr="00B419CE">
              <w:t>Endring</w:t>
            </w:r>
            <w:r w:rsidRPr="00B419CE">
              <w:br/>
              <w:t xml:space="preserve"> i pst.</w:t>
            </w:r>
          </w:p>
        </w:tc>
      </w:tr>
      <w:tr w:rsidR="00B419CE" w:rsidRPr="00B419CE" w14:paraId="361193DF" w14:textId="77777777" w:rsidTr="00B419CE">
        <w:trPr>
          <w:trHeight w:val="380"/>
        </w:trPr>
        <w:tc>
          <w:tcPr>
            <w:tcW w:w="1020" w:type="dxa"/>
          </w:tcPr>
          <w:p w14:paraId="532DEB86" w14:textId="77777777" w:rsidR="00B419CE" w:rsidRPr="00B419CE" w:rsidRDefault="00B419CE" w:rsidP="00B419CE">
            <w:r w:rsidRPr="00B419CE">
              <w:t>1610</w:t>
            </w:r>
          </w:p>
        </w:tc>
        <w:tc>
          <w:tcPr>
            <w:tcW w:w="4080" w:type="dxa"/>
          </w:tcPr>
          <w:p w14:paraId="23B14820" w14:textId="77777777" w:rsidR="00B419CE" w:rsidRPr="00B419CE" w:rsidRDefault="00B419CE" w:rsidP="00B419CE">
            <w:r w:rsidRPr="00B419CE">
              <w:t>Tolletaten</w:t>
            </w:r>
          </w:p>
        </w:tc>
        <w:tc>
          <w:tcPr>
            <w:tcW w:w="1020" w:type="dxa"/>
          </w:tcPr>
          <w:p w14:paraId="6328C24C" w14:textId="77777777" w:rsidR="00B419CE" w:rsidRPr="00B419CE" w:rsidRDefault="00B419CE" w:rsidP="00B419CE">
            <w:pPr>
              <w:jc w:val="right"/>
            </w:pPr>
            <w:r w:rsidRPr="00B419CE">
              <w:t>1 723 892</w:t>
            </w:r>
          </w:p>
        </w:tc>
        <w:tc>
          <w:tcPr>
            <w:tcW w:w="1020" w:type="dxa"/>
          </w:tcPr>
          <w:p w14:paraId="2DB2D32C" w14:textId="77777777" w:rsidR="00B419CE" w:rsidRPr="00B419CE" w:rsidRDefault="00B419CE" w:rsidP="00B419CE">
            <w:pPr>
              <w:jc w:val="right"/>
            </w:pPr>
            <w:r w:rsidRPr="00B419CE">
              <w:t>1 729 475</w:t>
            </w:r>
          </w:p>
        </w:tc>
        <w:tc>
          <w:tcPr>
            <w:tcW w:w="1020" w:type="dxa"/>
          </w:tcPr>
          <w:p w14:paraId="405C1899" w14:textId="77777777" w:rsidR="00B419CE" w:rsidRPr="00B419CE" w:rsidRDefault="00B419CE" w:rsidP="00B419CE">
            <w:pPr>
              <w:jc w:val="right"/>
            </w:pPr>
            <w:r w:rsidRPr="00B419CE">
              <w:t>1 794 107</w:t>
            </w:r>
          </w:p>
        </w:tc>
        <w:tc>
          <w:tcPr>
            <w:tcW w:w="1020" w:type="dxa"/>
          </w:tcPr>
          <w:p w14:paraId="282888B7" w14:textId="77777777" w:rsidR="00B419CE" w:rsidRPr="00B419CE" w:rsidRDefault="00B419CE" w:rsidP="00B419CE">
            <w:pPr>
              <w:jc w:val="right"/>
            </w:pPr>
            <w:r w:rsidRPr="00B419CE">
              <w:t>3,7</w:t>
            </w:r>
          </w:p>
        </w:tc>
      </w:tr>
      <w:tr w:rsidR="00B419CE" w:rsidRPr="00B419CE" w14:paraId="0BDDA67C" w14:textId="77777777" w:rsidTr="00B419CE">
        <w:trPr>
          <w:trHeight w:val="380"/>
        </w:trPr>
        <w:tc>
          <w:tcPr>
            <w:tcW w:w="1020" w:type="dxa"/>
          </w:tcPr>
          <w:p w14:paraId="5B629F1D" w14:textId="77777777" w:rsidR="00B419CE" w:rsidRPr="00B419CE" w:rsidRDefault="00B419CE" w:rsidP="00B419CE">
            <w:r w:rsidRPr="00B419CE">
              <w:t>1618</w:t>
            </w:r>
          </w:p>
        </w:tc>
        <w:tc>
          <w:tcPr>
            <w:tcW w:w="4080" w:type="dxa"/>
          </w:tcPr>
          <w:p w14:paraId="717EF1DA" w14:textId="77777777" w:rsidR="00B419CE" w:rsidRPr="00B419CE" w:rsidRDefault="00B419CE" w:rsidP="00B419CE">
            <w:r w:rsidRPr="00B419CE">
              <w:t>Skatteetaten</w:t>
            </w:r>
          </w:p>
        </w:tc>
        <w:tc>
          <w:tcPr>
            <w:tcW w:w="1020" w:type="dxa"/>
          </w:tcPr>
          <w:p w14:paraId="2E111BA0" w14:textId="77777777" w:rsidR="00B419CE" w:rsidRPr="00B419CE" w:rsidRDefault="00B419CE" w:rsidP="00B419CE">
            <w:pPr>
              <w:jc w:val="right"/>
            </w:pPr>
            <w:r w:rsidRPr="00B419CE">
              <w:t>7 214 827</w:t>
            </w:r>
          </w:p>
        </w:tc>
        <w:tc>
          <w:tcPr>
            <w:tcW w:w="1020" w:type="dxa"/>
          </w:tcPr>
          <w:p w14:paraId="615DA476" w14:textId="77777777" w:rsidR="00B419CE" w:rsidRPr="00B419CE" w:rsidRDefault="00B419CE" w:rsidP="00B419CE">
            <w:pPr>
              <w:jc w:val="right"/>
            </w:pPr>
            <w:r w:rsidRPr="00B419CE">
              <w:t>7 784 328</w:t>
            </w:r>
          </w:p>
        </w:tc>
        <w:tc>
          <w:tcPr>
            <w:tcW w:w="1020" w:type="dxa"/>
          </w:tcPr>
          <w:p w14:paraId="607B2CD0" w14:textId="77777777" w:rsidR="00B419CE" w:rsidRPr="00B419CE" w:rsidRDefault="00B419CE" w:rsidP="00B419CE">
            <w:pPr>
              <w:jc w:val="right"/>
            </w:pPr>
            <w:r w:rsidRPr="00B419CE">
              <w:t>8 231 132</w:t>
            </w:r>
          </w:p>
        </w:tc>
        <w:tc>
          <w:tcPr>
            <w:tcW w:w="1020" w:type="dxa"/>
          </w:tcPr>
          <w:p w14:paraId="7073219E" w14:textId="77777777" w:rsidR="00B419CE" w:rsidRPr="00B419CE" w:rsidRDefault="00B419CE" w:rsidP="00B419CE">
            <w:pPr>
              <w:jc w:val="right"/>
            </w:pPr>
            <w:r w:rsidRPr="00B419CE">
              <w:t>5,7</w:t>
            </w:r>
          </w:p>
        </w:tc>
      </w:tr>
      <w:tr w:rsidR="00B419CE" w:rsidRPr="00B419CE" w14:paraId="11668B45" w14:textId="77777777" w:rsidTr="00B419CE">
        <w:trPr>
          <w:trHeight w:val="380"/>
        </w:trPr>
        <w:tc>
          <w:tcPr>
            <w:tcW w:w="1020" w:type="dxa"/>
          </w:tcPr>
          <w:p w14:paraId="51488EBB" w14:textId="77777777" w:rsidR="00B419CE" w:rsidRPr="00B419CE" w:rsidRDefault="00B419CE" w:rsidP="00B419CE">
            <w:r w:rsidRPr="00B419CE">
              <w:t>1619</w:t>
            </w:r>
          </w:p>
        </w:tc>
        <w:tc>
          <w:tcPr>
            <w:tcW w:w="4080" w:type="dxa"/>
          </w:tcPr>
          <w:p w14:paraId="679871CD" w14:textId="77777777" w:rsidR="00B419CE" w:rsidRPr="00B419CE" w:rsidRDefault="00B419CE" w:rsidP="00B419CE">
            <w:r w:rsidRPr="00B419CE">
              <w:t>Skatteklagenemnda</w:t>
            </w:r>
          </w:p>
        </w:tc>
        <w:tc>
          <w:tcPr>
            <w:tcW w:w="1020" w:type="dxa"/>
          </w:tcPr>
          <w:p w14:paraId="5E52A574" w14:textId="77777777" w:rsidR="00B419CE" w:rsidRPr="00B419CE" w:rsidRDefault="00B419CE" w:rsidP="00B419CE">
            <w:pPr>
              <w:jc w:val="right"/>
            </w:pPr>
            <w:r w:rsidRPr="00B419CE">
              <w:t>66 943</w:t>
            </w:r>
          </w:p>
        </w:tc>
        <w:tc>
          <w:tcPr>
            <w:tcW w:w="1020" w:type="dxa"/>
          </w:tcPr>
          <w:p w14:paraId="23A24722" w14:textId="77777777" w:rsidR="00B419CE" w:rsidRPr="00B419CE" w:rsidRDefault="00B419CE" w:rsidP="00B419CE">
            <w:pPr>
              <w:jc w:val="right"/>
            </w:pPr>
            <w:r w:rsidRPr="00B419CE">
              <w:t>71 213</w:t>
            </w:r>
          </w:p>
        </w:tc>
        <w:tc>
          <w:tcPr>
            <w:tcW w:w="1020" w:type="dxa"/>
          </w:tcPr>
          <w:p w14:paraId="238F9DB9" w14:textId="77777777" w:rsidR="00B419CE" w:rsidRPr="00B419CE" w:rsidRDefault="00B419CE" w:rsidP="00B419CE">
            <w:pPr>
              <w:jc w:val="right"/>
            </w:pPr>
            <w:r w:rsidRPr="00B419CE">
              <w:t>72 090</w:t>
            </w:r>
          </w:p>
        </w:tc>
        <w:tc>
          <w:tcPr>
            <w:tcW w:w="1020" w:type="dxa"/>
          </w:tcPr>
          <w:p w14:paraId="57A288CA" w14:textId="77777777" w:rsidR="00B419CE" w:rsidRPr="00B419CE" w:rsidRDefault="00B419CE" w:rsidP="00B419CE">
            <w:pPr>
              <w:jc w:val="right"/>
            </w:pPr>
            <w:r w:rsidRPr="00B419CE">
              <w:t>1,2</w:t>
            </w:r>
          </w:p>
        </w:tc>
      </w:tr>
      <w:tr w:rsidR="00B419CE" w:rsidRPr="00B419CE" w14:paraId="047AF66A" w14:textId="77777777" w:rsidTr="00B419CE">
        <w:trPr>
          <w:trHeight w:val="380"/>
        </w:trPr>
        <w:tc>
          <w:tcPr>
            <w:tcW w:w="1020" w:type="dxa"/>
          </w:tcPr>
          <w:p w14:paraId="25F9A066" w14:textId="77777777" w:rsidR="00B419CE" w:rsidRPr="00B419CE" w:rsidRDefault="00B419CE" w:rsidP="00B419CE"/>
        </w:tc>
        <w:tc>
          <w:tcPr>
            <w:tcW w:w="4080" w:type="dxa"/>
          </w:tcPr>
          <w:p w14:paraId="748B23B8" w14:textId="77777777" w:rsidR="00B419CE" w:rsidRPr="00B419CE" w:rsidRDefault="00B419CE" w:rsidP="00B419CE">
            <w:r w:rsidRPr="00B419CE">
              <w:t>Sum kategori 23.20</w:t>
            </w:r>
          </w:p>
        </w:tc>
        <w:tc>
          <w:tcPr>
            <w:tcW w:w="1020" w:type="dxa"/>
          </w:tcPr>
          <w:p w14:paraId="18E652AA" w14:textId="77777777" w:rsidR="00B419CE" w:rsidRPr="00B419CE" w:rsidRDefault="00B419CE" w:rsidP="00B419CE">
            <w:pPr>
              <w:jc w:val="right"/>
            </w:pPr>
            <w:r w:rsidRPr="00B419CE">
              <w:t>9 005 662</w:t>
            </w:r>
          </w:p>
        </w:tc>
        <w:tc>
          <w:tcPr>
            <w:tcW w:w="1020" w:type="dxa"/>
          </w:tcPr>
          <w:p w14:paraId="56FE114F" w14:textId="77777777" w:rsidR="00B419CE" w:rsidRPr="00B419CE" w:rsidRDefault="00B419CE" w:rsidP="00B419CE">
            <w:pPr>
              <w:jc w:val="right"/>
            </w:pPr>
            <w:r w:rsidRPr="00B419CE">
              <w:t>9 585 016</w:t>
            </w:r>
          </w:p>
        </w:tc>
        <w:tc>
          <w:tcPr>
            <w:tcW w:w="1020" w:type="dxa"/>
          </w:tcPr>
          <w:p w14:paraId="6BEADD76" w14:textId="77777777" w:rsidR="00B419CE" w:rsidRPr="00B419CE" w:rsidRDefault="00B419CE" w:rsidP="00B419CE">
            <w:pPr>
              <w:jc w:val="right"/>
            </w:pPr>
            <w:r w:rsidRPr="00B419CE">
              <w:t>10 097 329</w:t>
            </w:r>
          </w:p>
        </w:tc>
        <w:tc>
          <w:tcPr>
            <w:tcW w:w="1020" w:type="dxa"/>
          </w:tcPr>
          <w:p w14:paraId="2C3EE8EF" w14:textId="77777777" w:rsidR="00B419CE" w:rsidRPr="00B419CE" w:rsidRDefault="00B419CE" w:rsidP="00B419CE">
            <w:pPr>
              <w:jc w:val="right"/>
            </w:pPr>
            <w:r w:rsidRPr="00B419CE">
              <w:t>5,3</w:t>
            </w:r>
          </w:p>
        </w:tc>
      </w:tr>
    </w:tbl>
    <w:p w14:paraId="7C4BEEF6" w14:textId="77777777" w:rsidR="00B419CE" w:rsidRPr="00B419CE" w:rsidRDefault="00B419CE" w:rsidP="00B419CE">
      <w:pPr>
        <w:pStyle w:val="b-budkaptit"/>
      </w:pPr>
      <w:r w:rsidRPr="00B419CE">
        <w:t>Kap. 1610 Tolletaten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679928E0" w14:textId="77777777" w:rsidTr="00B419CE">
        <w:trPr>
          <w:trHeight w:val="640"/>
          <w:hidden/>
        </w:trPr>
        <w:tc>
          <w:tcPr>
            <w:tcW w:w="1140" w:type="dxa"/>
            <w:shd w:val="clear" w:color="auto" w:fill="FFFFFF"/>
          </w:tcPr>
          <w:p w14:paraId="081B44E3" w14:textId="77777777" w:rsidR="00B419CE" w:rsidRPr="00B419CE" w:rsidRDefault="00B419CE" w:rsidP="00B419CE">
            <w:pPr>
              <w:pStyle w:val="Tabellnavn"/>
            </w:pPr>
            <w:r w:rsidRPr="00B419CE">
              <w:t>KPAL</w:t>
            </w:r>
          </w:p>
        </w:tc>
        <w:tc>
          <w:tcPr>
            <w:tcW w:w="4560" w:type="dxa"/>
          </w:tcPr>
          <w:p w14:paraId="192E7323" w14:textId="77777777" w:rsidR="00B419CE" w:rsidRPr="00B419CE" w:rsidRDefault="00B419CE" w:rsidP="00B419CE"/>
        </w:tc>
        <w:tc>
          <w:tcPr>
            <w:tcW w:w="1140" w:type="dxa"/>
          </w:tcPr>
          <w:p w14:paraId="2603C1CF" w14:textId="77777777" w:rsidR="00B419CE" w:rsidRPr="00B419CE" w:rsidRDefault="00B419CE" w:rsidP="00B419CE">
            <w:pPr>
              <w:jc w:val="right"/>
            </w:pPr>
          </w:p>
        </w:tc>
        <w:tc>
          <w:tcPr>
            <w:tcW w:w="1140" w:type="dxa"/>
          </w:tcPr>
          <w:p w14:paraId="792EEF99" w14:textId="77777777" w:rsidR="00B419CE" w:rsidRPr="00B419CE" w:rsidRDefault="00B419CE" w:rsidP="00B419CE">
            <w:pPr>
              <w:jc w:val="right"/>
            </w:pPr>
          </w:p>
        </w:tc>
        <w:tc>
          <w:tcPr>
            <w:tcW w:w="1140" w:type="dxa"/>
          </w:tcPr>
          <w:p w14:paraId="18AAB2C7" w14:textId="77777777" w:rsidR="00B419CE" w:rsidRPr="00B419CE" w:rsidRDefault="00B419CE" w:rsidP="00B419CE">
            <w:pPr>
              <w:jc w:val="right"/>
            </w:pPr>
            <w:r w:rsidRPr="00B419CE">
              <w:t>(i 1 000 kr)</w:t>
            </w:r>
          </w:p>
        </w:tc>
      </w:tr>
      <w:tr w:rsidR="00B419CE" w:rsidRPr="00B419CE" w14:paraId="55C9047A" w14:textId="77777777" w:rsidTr="00B419CE">
        <w:trPr>
          <w:trHeight w:val="600"/>
        </w:trPr>
        <w:tc>
          <w:tcPr>
            <w:tcW w:w="1140" w:type="dxa"/>
          </w:tcPr>
          <w:p w14:paraId="79C1F622" w14:textId="77777777" w:rsidR="00B419CE" w:rsidRPr="00B419CE" w:rsidRDefault="00B419CE" w:rsidP="00B419CE">
            <w:r w:rsidRPr="00B419CE">
              <w:t>Post</w:t>
            </w:r>
          </w:p>
        </w:tc>
        <w:tc>
          <w:tcPr>
            <w:tcW w:w="4560" w:type="dxa"/>
          </w:tcPr>
          <w:p w14:paraId="210C719C" w14:textId="77777777" w:rsidR="00B419CE" w:rsidRPr="00B419CE" w:rsidRDefault="00B419CE" w:rsidP="00B419CE">
            <w:proofErr w:type="spellStart"/>
            <w:r w:rsidRPr="00B419CE">
              <w:t>Nemning</w:t>
            </w:r>
            <w:proofErr w:type="spellEnd"/>
          </w:p>
        </w:tc>
        <w:tc>
          <w:tcPr>
            <w:tcW w:w="1140" w:type="dxa"/>
          </w:tcPr>
          <w:p w14:paraId="756F3FDE"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47F20B74" w14:textId="77777777" w:rsidR="00B419CE" w:rsidRPr="00B419CE" w:rsidRDefault="00B419CE" w:rsidP="00B419CE">
            <w:pPr>
              <w:jc w:val="right"/>
            </w:pPr>
            <w:r w:rsidRPr="00B419CE">
              <w:t>Saldert</w:t>
            </w:r>
            <w:r w:rsidRPr="00B419CE">
              <w:br/>
              <w:t xml:space="preserve"> budsjett 2021</w:t>
            </w:r>
          </w:p>
        </w:tc>
        <w:tc>
          <w:tcPr>
            <w:tcW w:w="1140" w:type="dxa"/>
          </w:tcPr>
          <w:p w14:paraId="2BAE38E2" w14:textId="77777777" w:rsidR="00B419CE" w:rsidRPr="00B419CE" w:rsidRDefault="00B419CE" w:rsidP="00B419CE">
            <w:pPr>
              <w:jc w:val="right"/>
            </w:pPr>
            <w:r w:rsidRPr="00B419CE">
              <w:t>Forslag</w:t>
            </w:r>
            <w:r w:rsidRPr="00B419CE">
              <w:br/>
              <w:t xml:space="preserve"> 2022</w:t>
            </w:r>
          </w:p>
        </w:tc>
      </w:tr>
      <w:tr w:rsidR="00B419CE" w:rsidRPr="00B419CE" w14:paraId="2E378F26" w14:textId="77777777" w:rsidTr="00B419CE">
        <w:trPr>
          <w:trHeight w:val="380"/>
        </w:trPr>
        <w:tc>
          <w:tcPr>
            <w:tcW w:w="1140" w:type="dxa"/>
          </w:tcPr>
          <w:p w14:paraId="1BBD9603" w14:textId="77777777" w:rsidR="00B419CE" w:rsidRPr="00B419CE" w:rsidRDefault="00B419CE" w:rsidP="00B419CE">
            <w:r w:rsidRPr="00B419CE">
              <w:t>01</w:t>
            </w:r>
          </w:p>
        </w:tc>
        <w:tc>
          <w:tcPr>
            <w:tcW w:w="4560" w:type="dxa"/>
          </w:tcPr>
          <w:p w14:paraId="5330B4D3" w14:textId="77777777" w:rsidR="00B419CE" w:rsidRPr="00B419CE" w:rsidRDefault="00B419CE" w:rsidP="00B419CE">
            <w:r w:rsidRPr="00B419CE">
              <w:t>Driftsutgifter</w:t>
            </w:r>
          </w:p>
        </w:tc>
        <w:tc>
          <w:tcPr>
            <w:tcW w:w="1140" w:type="dxa"/>
          </w:tcPr>
          <w:p w14:paraId="0E95E44A" w14:textId="77777777" w:rsidR="00B419CE" w:rsidRPr="00B419CE" w:rsidRDefault="00B419CE" w:rsidP="00B419CE">
            <w:pPr>
              <w:jc w:val="right"/>
            </w:pPr>
            <w:r w:rsidRPr="00B419CE">
              <w:t>1 555 159</w:t>
            </w:r>
          </w:p>
        </w:tc>
        <w:tc>
          <w:tcPr>
            <w:tcW w:w="1140" w:type="dxa"/>
          </w:tcPr>
          <w:p w14:paraId="276391FF" w14:textId="77777777" w:rsidR="00B419CE" w:rsidRPr="00B419CE" w:rsidRDefault="00B419CE" w:rsidP="00B419CE">
            <w:pPr>
              <w:jc w:val="right"/>
            </w:pPr>
            <w:r w:rsidRPr="00B419CE">
              <w:t>1 593 275</w:t>
            </w:r>
          </w:p>
        </w:tc>
        <w:tc>
          <w:tcPr>
            <w:tcW w:w="1140" w:type="dxa"/>
          </w:tcPr>
          <w:p w14:paraId="31E4B66F" w14:textId="77777777" w:rsidR="00B419CE" w:rsidRPr="00B419CE" w:rsidRDefault="00B419CE" w:rsidP="00B419CE">
            <w:pPr>
              <w:jc w:val="right"/>
            </w:pPr>
            <w:r w:rsidRPr="00B419CE">
              <w:t>1 627 407</w:t>
            </w:r>
          </w:p>
        </w:tc>
      </w:tr>
      <w:tr w:rsidR="00B419CE" w:rsidRPr="00B419CE" w14:paraId="3F6ADFA4" w14:textId="77777777" w:rsidTr="00B419CE">
        <w:trPr>
          <w:trHeight w:val="380"/>
        </w:trPr>
        <w:tc>
          <w:tcPr>
            <w:tcW w:w="1140" w:type="dxa"/>
          </w:tcPr>
          <w:p w14:paraId="247B81F1" w14:textId="77777777" w:rsidR="00B419CE" w:rsidRPr="00B419CE" w:rsidRDefault="00B419CE" w:rsidP="00B419CE">
            <w:r w:rsidRPr="00B419CE">
              <w:t>45</w:t>
            </w:r>
          </w:p>
        </w:tc>
        <w:tc>
          <w:tcPr>
            <w:tcW w:w="4560" w:type="dxa"/>
          </w:tcPr>
          <w:p w14:paraId="3134CBED" w14:textId="77777777" w:rsidR="00B419CE" w:rsidRPr="00B419CE" w:rsidRDefault="00B419CE" w:rsidP="00B419CE">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1140" w:type="dxa"/>
          </w:tcPr>
          <w:p w14:paraId="5180009D" w14:textId="77777777" w:rsidR="00B419CE" w:rsidRPr="00B419CE" w:rsidRDefault="00B419CE" w:rsidP="00B419CE">
            <w:pPr>
              <w:jc w:val="right"/>
            </w:pPr>
            <w:r w:rsidRPr="00B419CE">
              <w:t>168 733</w:t>
            </w:r>
          </w:p>
        </w:tc>
        <w:tc>
          <w:tcPr>
            <w:tcW w:w="1140" w:type="dxa"/>
          </w:tcPr>
          <w:p w14:paraId="36A465BF" w14:textId="77777777" w:rsidR="00B419CE" w:rsidRPr="00B419CE" w:rsidRDefault="00B419CE" w:rsidP="00B419CE">
            <w:pPr>
              <w:jc w:val="right"/>
            </w:pPr>
            <w:r w:rsidRPr="00B419CE">
              <w:t>136 200</w:t>
            </w:r>
          </w:p>
        </w:tc>
        <w:tc>
          <w:tcPr>
            <w:tcW w:w="1140" w:type="dxa"/>
          </w:tcPr>
          <w:p w14:paraId="5BE01AA4" w14:textId="77777777" w:rsidR="00B419CE" w:rsidRPr="00B419CE" w:rsidRDefault="00B419CE" w:rsidP="00B419CE">
            <w:pPr>
              <w:jc w:val="right"/>
            </w:pPr>
            <w:r w:rsidRPr="00B419CE">
              <w:t>166 700</w:t>
            </w:r>
          </w:p>
        </w:tc>
      </w:tr>
      <w:tr w:rsidR="00B419CE" w:rsidRPr="00B419CE" w14:paraId="39100698" w14:textId="77777777" w:rsidTr="00B419CE">
        <w:trPr>
          <w:trHeight w:val="380"/>
        </w:trPr>
        <w:tc>
          <w:tcPr>
            <w:tcW w:w="1140" w:type="dxa"/>
          </w:tcPr>
          <w:p w14:paraId="02127D29" w14:textId="77777777" w:rsidR="00B419CE" w:rsidRPr="00B419CE" w:rsidRDefault="00B419CE" w:rsidP="00B419CE"/>
        </w:tc>
        <w:tc>
          <w:tcPr>
            <w:tcW w:w="4560" w:type="dxa"/>
          </w:tcPr>
          <w:p w14:paraId="1A58348F" w14:textId="77777777" w:rsidR="00B419CE" w:rsidRPr="00B419CE" w:rsidRDefault="00B419CE" w:rsidP="00B419CE">
            <w:r w:rsidRPr="00B419CE">
              <w:t>Sum kap. 1610</w:t>
            </w:r>
          </w:p>
        </w:tc>
        <w:tc>
          <w:tcPr>
            <w:tcW w:w="1140" w:type="dxa"/>
          </w:tcPr>
          <w:p w14:paraId="44E5214D" w14:textId="77777777" w:rsidR="00B419CE" w:rsidRPr="00B419CE" w:rsidRDefault="00B419CE" w:rsidP="00B419CE">
            <w:pPr>
              <w:jc w:val="right"/>
            </w:pPr>
            <w:r w:rsidRPr="00B419CE">
              <w:t>1 723 892</w:t>
            </w:r>
          </w:p>
        </w:tc>
        <w:tc>
          <w:tcPr>
            <w:tcW w:w="1140" w:type="dxa"/>
          </w:tcPr>
          <w:p w14:paraId="253B5F2A" w14:textId="77777777" w:rsidR="00B419CE" w:rsidRPr="00B419CE" w:rsidRDefault="00B419CE" w:rsidP="00B419CE">
            <w:pPr>
              <w:jc w:val="right"/>
            </w:pPr>
            <w:r w:rsidRPr="00B419CE">
              <w:t>1 729 475</w:t>
            </w:r>
          </w:p>
        </w:tc>
        <w:tc>
          <w:tcPr>
            <w:tcW w:w="1140" w:type="dxa"/>
          </w:tcPr>
          <w:p w14:paraId="71BEA014" w14:textId="77777777" w:rsidR="00B419CE" w:rsidRPr="00B419CE" w:rsidRDefault="00B419CE" w:rsidP="00B419CE">
            <w:pPr>
              <w:jc w:val="right"/>
            </w:pPr>
            <w:r w:rsidRPr="00B419CE">
              <w:t>1 794 107</w:t>
            </w:r>
          </w:p>
        </w:tc>
      </w:tr>
    </w:tbl>
    <w:p w14:paraId="36D9BB47" w14:textId="77777777" w:rsidR="00B419CE" w:rsidRPr="00B419CE" w:rsidRDefault="00B419CE" w:rsidP="00B419CE">
      <w:pPr>
        <w:pStyle w:val="Undertittel"/>
      </w:pPr>
      <w:r w:rsidRPr="00B419CE">
        <w:t xml:space="preserve">Samfunnsoppdrag, </w:t>
      </w:r>
      <w:proofErr w:type="spellStart"/>
      <w:r w:rsidRPr="00B419CE">
        <w:t>hovudoppgåver</w:t>
      </w:r>
      <w:proofErr w:type="spellEnd"/>
      <w:r w:rsidRPr="00B419CE">
        <w:t xml:space="preserve"> og organisering</w:t>
      </w:r>
    </w:p>
    <w:p w14:paraId="59F26643" w14:textId="77777777" w:rsidR="00B419CE" w:rsidRPr="00B419CE" w:rsidRDefault="00B419CE" w:rsidP="00B419CE">
      <w:r w:rsidRPr="00B419CE">
        <w:t xml:space="preserve">Tolletatens samfunnsoppdrag er å sikre at lover og </w:t>
      </w:r>
      <w:proofErr w:type="spellStart"/>
      <w:r w:rsidRPr="00B419CE">
        <w:t>reglar</w:t>
      </w:r>
      <w:proofErr w:type="spellEnd"/>
      <w:r w:rsidRPr="00B419CE">
        <w:t xml:space="preserve"> for toll og </w:t>
      </w:r>
      <w:proofErr w:type="spellStart"/>
      <w:r w:rsidRPr="00B419CE">
        <w:t>grensekryssande</w:t>
      </w:r>
      <w:proofErr w:type="spellEnd"/>
      <w:r w:rsidRPr="00B419CE">
        <w:t xml:space="preserve"> vareførsel vert etterlevde. Dette </w:t>
      </w:r>
      <w:proofErr w:type="spellStart"/>
      <w:r w:rsidRPr="00B419CE">
        <w:t>inneber</w:t>
      </w:r>
      <w:proofErr w:type="spellEnd"/>
      <w:r w:rsidRPr="00B419CE">
        <w:t xml:space="preserve"> at Tolletaten skal forvalte regelverket og </w:t>
      </w:r>
      <w:proofErr w:type="spellStart"/>
      <w:r w:rsidRPr="00B419CE">
        <w:t>medverke</w:t>
      </w:r>
      <w:proofErr w:type="spellEnd"/>
      <w:r w:rsidRPr="00B419CE">
        <w:t xml:space="preserve"> til at det vert etterlevd, mellom anna ved å informere og rettleie </w:t>
      </w:r>
      <w:proofErr w:type="spellStart"/>
      <w:r w:rsidRPr="00B419CE">
        <w:t>aktørane</w:t>
      </w:r>
      <w:proofErr w:type="spellEnd"/>
      <w:r w:rsidRPr="00B419CE">
        <w:t xml:space="preserve">. Etaten skal </w:t>
      </w:r>
      <w:proofErr w:type="spellStart"/>
      <w:r w:rsidRPr="00B419CE">
        <w:t>leggje</w:t>
      </w:r>
      <w:proofErr w:type="spellEnd"/>
      <w:r w:rsidRPr="00B419CE">
        <w:t xml:space="preserve"> til rette for at varer som vert førte inn i eller ut av landet, som </w:t>
      </w:r>
      <w:proofErr w:type="spellStart"/>
      <w:r w:rsidRPr="00B419CE">
        <w:t>hovudregel</w:t>
      </w:r>
      <w:proofErr w:type="spellEnd"/>
      <w:r w:rsidRPr="00B419CE">
        <w:t xml:space="preserve"> vert registrerte og klassifiserte etter tolltariffen, </w:t>
      </w:r>
      <w:proofErr w:type="spellStart"/>
      <w:r w:rsidRPr="00B419CE">
        <w:t>oppgjevne</w:t>
      </w:r>
      <w:proofErr w:type="spellEnd"/>
      <w:r w:rsidRPr="00B419CE">
        <w:t xml:space="preserve"> med riktig opphavsland og verdsette med riktig verdi, samt kontrollere at </w:t>
      </w:r>
      <w:proofErr w:type="spellStart"/>
      <w:r w:rsidRPr="00B419CE">
        <w:t>aktørane</w:t>
      </w:r>
      <w:proofErr w:type="spellEnd"/>
      <w:r w:rsidRPr="00B419CE">
        <w:t xml:space="preserve"> etterlever regelverket. Varer som er </w:t>
      </w:r>
      <w:proofErr w:type="spellStart"/>
      <w:r w:rsidRPr="00B419CE">
        <w:t>underlagde</w:t>
      </w:r>
      <w:proofErr w:type="spellEnd"/>
      <w:r w:rsidRPr="00B419CE">
        <w:t xml:space="preserve"> </w:t>
      </w:r>
      <w:proofErr w:type="spellStart"/>
      <w:r w:rsidRPr="00B419CE">
        <w:t>restriksjonar</w:t>
      </w:r>
      <w:proofErr w:type="spellEnd"/>
      <w:r w:rsidRPr="00B419CE">
        <w:t xml:space="preserve">, skal kontrollerast for gyldige løyve ved inn- og utførsel. Smugling av varer som er </w:t>
      </w:r>
      <w:proofErr w:type="spellStart"/>
      <w:r w:rsidRPr="00B419CE">
        <w:t>ulovlege</w:t>
      </w:r>
      <w:proofErr w:type="spellEnd"/>
      <w:r w:rsidRPr="00B419CE">
        <w:t xml:space="preserve">, ubeskatta eller </w:t>
      </w:r>
      <w:proofErr w:type="spellStart"/>
      <w:r w:rsidRPr="00B419CE">
        <w:t>underlagde</w:t>
      </w:r>
      <w:proofErr w:type="spellEnd"/>
      <w:r w:rsidRPr="00B419CE">
        <w:t xml:space="preserve"> </w:t>
      </w:r>
      <w:proofErr w:type="spellStart"/>
      <w:r w:rsidRPr="00B419CE">
        <w:t>restriksjonar</w:t>
      </w:r>
      <w:proofErr w:type="spellEnd"/>
      <w:r w:rsidRPr="00B419CE">
        <w:t xml:space="preserve">, skal </w:t>
      </w:r>
      <w:proofErr w:type="spellStart"/>
      <w:r w:rsidRPr="00B419CE">
        <w:t>motverkast</w:t>
      </w:r>
      <w:proofErr w:type="spellEnd"/>
      <w:r w:rsidRPr="00B419CE">
        <w:t xml:space="preserve">. Samstundes skal Tolletaten </w:t>
      </w:r>
      <w:proofErr w:type="spellStart"/>
      <w:r w:rsidRPr="00B419CE">
        <w:t>leggje</w:t>
      </w:r>
      <w:proofErr w:type="spellEnd"/>
      <w:r w:rsidRPr="00B419CE">
        <w:t xml:space="preserve"> til rette for effektiv handel og vareførsel.</w:t>
      </w:r>
    </w:p>
    <w:p w14:paraId="4349FF84" w14:textId="77777777" w:rsidR="00B419CE" w:rsidRPr="00B419CE" w:rsidRDefault="00B419CE" w:rsidP="00B419CE">
      <w:r w:rsidRPr="00B419CE">
        <w:t xml:space="preserve">Tolletatens </w:t>
      </w:r>
      <w:proofErr w:type="spellStart"/>
      <w:r w:rsidRPr="00B419CE">
        <w:t>verksemd</w:t>
      </w:r>
      <w:proofErr w:type="spellEnd"/>
      <w:r w:rsidRPr="00B419CE">
        <w:t xml:space="preserve"> har </w:t>
      </w:r>
      <w:proofErr w:type="spellStart"/>
      <w:r w:rsidRPr="00B419CE">
        <w:t>fleire</w:t>
      </w:r>
      <w:proofErr w:type="spellEnd"/>
      <w:r w:rsidRPr="00B419CE">
        <w:t xml:space="preserve"> positive </w:t>
      </w:r>
      <w:proofErr w:type="spellStart"/>
      <w:r w:rsidRPr="00B419CE">
        <w:t>effektar</w:t>
      </w:r>
      <w:proofErr w:type="spellEnd"/>
      <w:r w:rsidRPr="00B419CE">
        <w:t xml:space="preserve"> på samfunnsnivå.</w:t>
      </w:r>
    </w:p>
    <w:p w14:paraId="08DC495E" w14:textId="77777777" w:rsidR="00B419CE" w:rsidRPr="00B419CE" w:rsidRDefault="00B419CE" w:rsidP="00B419CE">
      <w:pPr>
        <w:pStyle w:val="Liste"/>
      </w:pPr>
      <w:r w:rsidRPr="00B419CE">
        <w:lastRenderedPageBreak/>
        <w:t xml:space="preserve">Ved å </w:t>
      </w:r>
      <w:proofErr w:type="spellStart"/>
      <w:r w:rsidRPr="00B419CE">
        <w:t>motverke</w:t>
      </w:r>
      <w:proofErr w:type="spellEnd"/>
      <w:r w:rsidRPr="00B419CE">
        <w:t xml:space="preserve"> </w:t>
      </w:r>
      <w:proofErr w:type="spellStart"/>
      <w:r w:rsidRPr="00B419CE">
        <w:t>ulovleg</w:t>
      </w:r>
      <w:proofErr w:type="spellEnd"/>
      <w:r w:rsidRPr="00B419CE">
        <w:t xml:space="preserve"> inn- og utførsel av varer i strid med </w:t>
      </w:r>
      <w:proofErr w:type="spellStart"/>
      <w:r w:rsidRPr="00B419CE">
        <w:t>forbod</w:t>
      </w:r>
      <w:proofErr w:type="spellEnd"/>
      <w:r w:rsidRPr="00B419CE">
        <w:t xml:space="preserve"> eller </w:t>
      </w:r>
      <w:proofErr w:type="spellStart"/>
      <w:r w:rsidRPr="00B419CE">
        <w:t>restriksjonar</w:t>
      </w:r>
      <w:proofErr w:type="spellEnd"/>
      <w:r w:rsidRPr="00B419CE">
        <w:t xml:space="preserve">, </w:t>
      </w:r>
      <w:proofErr w:type="spellStart"/>
      <w:r w:rsidRPr="00B419CE">
        <w:t>bidreg</w:t>
      </w:r>
      <w:proofErr w:type="spellEnd"/>
      <w:r w:rsidRPr="00B419CE">
        <w:t xml:space="preserve"> Tolletaten til </w:t>
      </w:r>
      <w:proofErr w:type="spellStart"/>
      <w:r w:rsidRPr="00B419CE">
        <w:t>eit</w:t>
      </w:r>
      <w:proofErr w:type="spellEnd"/>
      <w:r w:rsidRPr="00B419CE">
        <w:t xml:space="preserve"> trygt og </w:t>
      </w:r>
      <w:proofErr w:type="spellStart"/>
      <w:r w:rsidRPr="00B419CE">
        <w:t>berekraftig</w:t>
      </w:r>
      <w:proofErr w:type="spellEnd"/>
      <w:r w:rsidRPr="00B419CE">
        <w:t xml:space="preserve"> samfunn.</w:t>
      </w:r>
    </w:p>
    <w:p w14:paraId="05F74988" w14:textId="77777777" w:rsidR="00B419CE" w:rsidRPr="00B419CE" w:rsidRDefault="00B419CE" w:rsidP="00B419CE">
      <w:pPr>
        <w:pStyle w:val="Liste"/>
      </w:pPr>
      <w:r w:rsidRPr="00B419CE">
        <w:t xml:space="preserve">Ved å sikre riktige og fullstendige </w:t>
      </w:r>
      <w:proofErr w:type="spellStart"/>
      <w:r w:rsidRPr="00B419CE">
        <w:t>opplysningar</w:t>
      </w:r>
      <w:proofErr w:type="spellEnd"/>
      <w:r w:rsidRPr="00B419CE">
        <w:t xml:space="preserve"> om </w:t>
      </w:r>
      <w:proofErr w:type="spellStart"/>
      <w:r w:rsidRPr="00B419CE">
        <w:t>grensekryssande</w:t>
      </w:r>
      <w:proofErr w:type="spellEnd"/>
      <w:r w:rsidRPr="00B419CE">
        <w:t xml:space="preserve"> varer som grunnlag for å </w:t>
      </w:r>
      <w:proofErr w:type="spellStart"/>
      <w:r w:rsidRPr="00B419CE">
        <w:t>fastsetje</w:t>
      </w:r>
      <w:proofErr w:type="spellEnd"/>
      <w:r w:rsidRPr="00B419CE">
        <w:t xml:space="preserve"> </w:t>
      </w:r>
      <w:proofErr w:type="spellStart"/>
      <w:r w:rsidRPr="00B419CE">
        <w:t>skattar</w:t>
      </w:r>
      <w:proofErr w:type="spellEnd"/>
      <w:r w:rsidRPr="00B419CE">
        <w:t xml:space="preserve"> og avgifter, og ved å </w:t>
      </w:r>
      <w:proofErr w:type="spellStart"/>
      <w:r w:rsidRPr="00B419CE">
        <w:t>fastsetje</w:t>
      </w:r>
      <w:proofErr w:type="spellEnd"/>
      <w:r w:rsidRPr="00B419CE">
        <w:t xml:space="preserve"> riktig toll, </w:t>
      </w:r>
      <w:proofErr w:type="spellStart"/>
      <w:r w:rsidRPr="00B419CE">
        <w:t>bidreg</w:t>
      </w:r>
      <w:proofErr w:type="spellEnd"/>
      <w:r w:rsidRPr="00B419CE">
        <w:t xml:space="preserve"> Tolletaten til finansiering av </w:t>
      </w:r>
      <w:proofErr w:type="spellStart"/>
      <w:r w:rsidRPr="00B419CE">
        <w:t>offentlege</w:t>
      </w:r>
      <w:proofErr w:type="spellEnd"/>
      <w:r w:rsidRPr="00B419CE">
        <w:t xml:space="preserve"> </w:t>
      </w:r>
      <w:proofErr w:type="spellStart"/>
      <w:r w:rsidRPr="00B419CE">
        <w:t>tenester</w:t>
      </w:r>
      <w:proofErr w:type="spellEnd"/>
      <w:r w:rsidRPr="00B419CE">
        <w:t>.</w:t>
      </w:r>
    </w:p>
    <w:p w14:paraId="7ACCAA96" w14:textId="77777777" w:rsidR="00B419CE" w:rsidRPr="00B419CE" w:rsidRDefault="00B419CE" w:rsidP="00B419CE">
      <w:pPr>
        <w:pStyle w:val="Liste"/>
      </w:pPr>
      <w:r w:rsidRPr="00B419CE">
        <w:t xml:space="preserve">Ved å </w:t>
      </w:r>
      <w:proofErr w:type="spellStart"/>
      <w:r w:rsidRPr="00B419CE">
        <w:t>motverke</w:t>
      </w:r>
      <w:proofErr w:type="spellEnd"/>
      <w:r w:rsidRPr="00B419CE">
        <w:t xml:space="preserve"> </w:t>
      </w:r>
      <w:proofErr w:type="spellStart"/>
      <w:r w:rsidRPr="00B419CE">
        <w:t>ulovleg</w:t>
      </w:r>
      <w:proofErr w:type="spellEnd"/>
      <w:r w:rsidRPr="00B419CE">
        <w:t xml:space="preserve"> vareførsel </w:t>
      </w:r>
      <w:proofErr w:type="spellStart"/>
      <w:r w:rsidRPr="00B419CE">
        <w:t>bidreg</w:t>
      </w:r>
      <w:proofErr w:type="spellEnd"/>
      <w:r w:rsidRPr="00B419CE">
        <w:t xml:space="preserve"> Tolletaten til rettferdige konkurransevilkår for lovlydige </w:t>
      </w:r>
      <w:proofErr w:type="spellStart"/>
      <w:r w:rsidRPr="00B419CE">
        <w:t>aktørar</w:t>
      </w:r>
      <w:proofErr w:type="spellEnd"/>
      <w:r w:rsidRPr="00B419CE">
        <w:t>.</w:t>
      </w:r>
    </w:p>
    <w:p w14:paraId="18B947F0" w14:textId="77777777" w:rsidR="00B419CE" w:rsidRPr="00B419CE" w:rsidRDefault="00B419CE" w:rsidP="00B419CE">
      <w:pPr>
        <w:pStyle w:val="Liste"/>
      </w:pPr>
      <w:r w:rsidRPr="00B419CE">
        <w:t xml:space="preserve">Ved å samarbeide med internasjonale </w:t>
      </w:r>
      <w:proofErr w:type="spellStart"/>
      <w:r w:rsidRPr="00B419CE">
        <w:t>partnarar</w:t>
      </w:r>
      <w:proofErr w:type="spellEnd"/>
      <w:r w:rsidRPr="00B419CE">
        <w:t xml:space="preserve"> og </w:t>
      </w:r>
      <w:proofErr w:type="spellStart"/>
      <w:r w:rsidRPr="00B419CE">
        <w:t>handelsorganisasjonar</w:t>
      </w:r>
      <w:proofErr w:type="spellEnd"/>
      <w:r w:rsidRPr="00B419CE">
        <w:t xml:space="preserve"> </w:t>
      </w:r>
      <w:proofErr w:type="spellStart"/>
      <w:r w:rsidRPr="00B419CE">
        <w:t>bidreg</w:t>
      </w:r>
      <w:proofErr w:type="spellEnd"/>
      <w:r w:rsidRPr="00B419CE">
        <w:t xml:space="preserve"> Tolletaten til at </w:t>
      </w:r>
      <w:proofErr w:type="spellStart"/>
      <w:r w:rsidRPr="00B419CE">
        <w:t>Noreg</w:t>
      </w:r>
      <w:proofErr w:type="spellEnd"/>
      <w:r w:rsidRPr="00B419CE">
        <w:t xml:space="preserve"> oppfyller internasjonale </w:t>
      </w:r>
      <w:proofErr w:type="spellStart"/>
      <w:r w:rsidRPr="00B419CE">
        <w:t>forpliktingar</w:t>
      </w:r>
      <w:proofErr w:type="spellEnd"/>
      <w:r w:rsidRPr="00B419CE">
        <w:t xml:space="preserve"> og til utvikling av internasjonalt regelverk og praksis ved vareførsel.</w:t>
      </w:r>
    </w:p>
    <w:p w14:paraId="17097704" w14:textId="77777777" w:rsidR="00B419CE" w:rsidRPr="00B419CE" w:rsidRDefault="00B419CE" w:rsidP="00B419CE">
      <w:pPr>
        <w:pStyle w:val="Liste"/>
      </w:pPr>
      <w:r w:rsidRPr="00B419CE">
        <w:t xml:space="preserve">Ved å registrere vareførselen inn og ut av </w:t>
      </w:r>
      <w:proofErr w:type="spellStart"/>
      <w:r w:rsidRPr="00B419CE">
        <w:t>Noreg</w:t>
      </w:r>
      <w:proofErr w:type="spellEnd"/>
      <w:r w:rsidRPr="00B419CE">
        <w:t xml:space="preserve"> </w:t>
      </w:r>
      <w:proofErr w:type="spellStart"/>
      <w:r w:rsidRPr="00B419CE">
        <w:t>medverkar</w:t>
      </w:r>
      <w:proofErr w:type="spellEnd"/>
      <w:r w:rsidRPr="00B419CE">
        <w:t xml:space="preserve"> Tolletaten til korrekt handelsstatistikk.</w:t>
      </w:r>
    </w:p>
    <w:p w14:paraId="61278A1A" w14:textId="77777777" w:rsidR="00B419CE" w:rsidRPr="00B419CE" w:rsidRDefault="00B419CE" w:rsidP="00B419CE">
      <w:r w:rsidRPr="00B419CE">
        <w:t xml:space="preserve">Etaten består av </w:t>
      </w:r>
      <w:proofErr w:type="spellStart"/>
      <w:r w:rsidRPr="00B419CE">
        <w:t>eit</w:t>
      </w:r>
      <w:proofErr w:type="spellEnd"/>
      <w:r w:rsidRPr="00B419CE">
        <w:t xml:space="preserve"> direktorat med fire </w:t>
      </w:r>
      <w:proofErr w:type="spellStart"/>
      <w:r w:rsidRPr="00B419CE">
        <w:t>fagdivisjonar</w:t>
      </w:r>
      <w:proofErr w:type="spellEnd"/>
      <w:r w:rsidRPr="00B419CE">
        <w:t xml:space="preserve"> (</w:t>
      </w:r>
      <w:proofErr w:type="spellStart"/>
      <w:r w:rsidRPr="00B419CE">
        <w:t>divisjonar</w:t>
      </w:r>
      <w:proofErr w:type="spellEnd"/>
      <w:r w:rsidRPr="00B419CE">
        <w:t xml:space="preserve"> for administrering, etterretning, IT og juss) og to </w:t>
      </w:r>
      <w:proofErr w:type="spellStart"/>
      <w:r w:rsidRPr="00B419CE">
        <w:t>fagdivisjonar</w:t>
      </w:r>
      <w:proofErr w:type="spellEnd"/>
      <w:r w:rsidRPr="00B419CE">
        <w:t xml:space="preserve"> (grensedivisjonen og vareførselsdivisjonen). Alle </w:t>
      </w:r>
      <w:proofErr w:type="spellStart"/>
      <w:r w:rsidRPr="00B419CE">
        <w:t>fagdivisjonane</w:t>
      </w:r>
      <w:proofErr w:type="spellEnd"/>
      <w:r w:rsidRPr="00B419CE">
        <w:t xml:space="preserve"> har ansvar og </w:t>
      </w:r>
      <w:proofErr w:type="spellStart"/>
      <w:r w:rsidRPr="00B419CE">
        <w:t>oppgåver</w:t>
      </w:r>
      <w:proofErr w:type="spellEnd"/>
      <w:r w:rsidRPr="00B419CE">
        <w:t xml:space="preserve"> for heile landet. Per 31. desember 2020 var etaten lokalisert 34 </w:t>
      </w:r>
      <w:proofErr w:type="spellStart"/>
      <w:r w:rsidRPr="00B419CE">
        <w:t>stader</w:t>
      </w:r>
      <w:proofErr w:type="spellEnd"/>
      <w:r w:rsidRPr="00B419CE">
        <w:t xml:space="preserve"> i landet og hadde ei bemanning som </w:t>
      </w:r>
      <w:proofErr w:type="spellStart"/>
      <w:r w:rsidRPr="00B419CE">
        <w:t>svarar</w:t>
      </w:r>
      <w:proofErr w:type="spellEnd"/>
      <w:r w:rsidRPr="00B419CE">
        <w:t xml:space="preserve"> til 1 360 utførte årsverk. I tillegg utfører svenske og finske </w:t>
      </w:r>
      <w:proofErr w:type="spellStart"/>
      <w:r w:rsidRPr="00B419CE">
        <w:t>tollstader</w:t>
      </w:r>
      <w:proofErr w:type="spellEnd"/>
      <w:r w:rsidRPr="00B419CE">
        <w:t xml:space="preserve"> </w:t>
      </w:r>
      <w:proofErr w:type="spellStart"/>
      <w:r w:rsidRPr="00B419CE">
        <w:t>oppgåver</w:t>
      </w:r>
      <w:proofErr w:type="spellEnd"/>
      <w:r w:rsidRPr="00B419CE">
        <w:t xml:space="preserve"> for norske </w:t>
      </w:r>
      <w:proofErr w:type="spellStart"/>
      <w:r w:rsidRPr="00B419CE">
        <w:t>tollmyndigheiter</w:t>
      </w:r>
      <w:proofErr w:type="spellEnd"/>
      <w:r w:rsidRPr="00B419CE">
        <w:t>.</w:t>
      </w:r>
    </w:p>
    <w:p w14:paraId="44E9E362" w14:textId="77777777" w:rsidR="00B419CE" w:rsidRPr="00B419CE" w:rsidRDefault="00B419CE" w:rsidP="00B419CE">
      <w:pPr>
        <w:pStyle w:val="Undertittel"/>
      </w:pPr>
      <w:r w:rsidRPr="00B419CE">
        <w:t>Resultat i 2020</w:t>
      </w:r>
    </w:p>
    <w:p w14:paraId="5BC4FB92" w14:textId="77777777" w:rsidR="00B419CE" w:rsidRPr="00B419CE" w:rsidRDefault="00B419CE" w:rsidP="00B419CE">
      <w:r w:rsidRPr="00B419CE">
        <w:t xml:space="preserve">Tolletatens resultat vert vurderte ut </w:t>
      </w:r>
      <w:proofErr w:type="spellStart"/>
      <w:r w:rsidRPr="00B419CE">
        <w:t>ifrå</w:t>
      </w:r>
      <w:proofErr w:type="spellEnd"/>
      <w:r w:rsidRPr="00B419CE">
        <w:t xml:space="preserve"> tre </w:t>
      </w:r>
      <w:proofErr w:type="spellStart"/>
      <w:r w:rsidRPr="00B419CE">
        <w:t>hovudmål</w:t>
      </w:r>
      <w:proofErr w:type="spellEnd"/>
      <w:r w:rsidRPr="00B419CE">
        <w:t xml:space="preserve">, jf. </w:t>
      </w:r>
      <w:proofErr w:type="spellStart"/>
      <w:r w:rsidRPr="00B419CE">
        <w:t>nedanfor</w:t>
      </w:r>
      <w:proofErr w:type="spellEnd"/>
      <w:r w:rsidRPr="00B419CE">
        <w:t xml:space="preserve">. Etaten innførte i 2019 ny overordna målstruktur med nye </w:t>
      </w:r>
      <w:proofErr w:type="spellStart"/>
      <w:r w:rsidRPr="00B419CE">
        <w:t>hovudmål</w:t>
      </w:r>
      <w:proofErr w:type="spellEnd"/>
      <w:r w:rsidRPr="00B419CE">
        <w:t xml:space="preserve">, </w:t>
      </w:r>
      <w:proofErr w:type="spellStart"/>
      <w:r w:rsidRPr="00B419CE">
        <w:t>styringsparametrar</w:t>
      </w:r>
      <w:proofErr w:type="spellEnd"/>
      <w:r w:rsidRPr="00B419CE">
        <w:t xml:space="preserve"> og </w:t>
      </w:r>
      <w:proofErr w:type="spellStart"/>
      <w:r w:rsidRPr="00B419CE">
        <w:t>resultatindikatorar</w:t>
      </w:r>
      <w:proofErr w:type="spellEnd"/>
      <w:r w:rsidRPr="00B419CE">
        <w:t xml:space="preserve">. </w:t>
      </w:r>
      <w:proofErr w:type="spellStart"/>
      <w:r w:rsidRPr="00B419CE">
        <w:t>Delar</w:t>
      </w:r>
      <w:proofErr w:type="spellEnd"/>
      <w:r w:rsidRPr="00B419CE">
        <w:t xml:space="preserve"> av resultat </w:t>
      </w:r>
      <w:proofErr w:type="spellStart"/>
      <w:r w:rsidRPr="00B419CE">
        <w:t>frå</w:t>
      </w:r>
      <w:proofErr w:type="spellEnd"/>
      <w:r w:rsidRPr="00B419CE">
        <w:t xml:space="preserve"> </w:t>
      </w:r>
      <w:proofErr w:type="spellStart"/>
      <w:r w:rsidRPr="00B419CE">
        <w:t>tidlegare</w:t>
      </w:r>
      <w:proofErr w:type="spellEnd"/>
      <w:r w:rsidRPr="00B419CE">
        <w:t xml:space="preserve"> år kan </w:t>
      </w:r>
      <w:proofErr w:type="spellStart"/>
      <w:r w:rsidRPr="00B419CE">
        <w:t>difor</w:t>
      </w:r>
      <w:proofErr w:type="spellEnd"/>
      <w:r w:rsidRPr="00B419CE">
        <w:t xml:space="preserve"> </w:t>
      </w:r>
      <w:proofErr w:type="spellStart"/>
      <w:r w:rsidRPr="00B419CE">
        <w:t>ikkje</w:t>
      </w:r>
      <w:proofErr w:type="spellEnd"/>
      <w:r w:rsidRPr="00B419CE">
        <w:t xml:space="preserve"> direkte </w:t>
      </w:r>
      <w:proofErr w:type="spellStart"/>
      <w:r w:rsidRPr="00B419CE">
        <w:t>samanliknast</w:t>
      </w:r>
      <w:proofErr w:type="spellEnd"/>
      <w:r w:rsidRPr="00B419CE">
        <w:t xml:space="preserve"> med resultata for 2019 og 2020. </w:t>
      </w:r>
      <w:proofErr w:type="spellStart"/>
      <w:r w:rsidRPr="00B419CE">
        <w:t>Hovudmåla</w:t>
      </w:r>
      <w:proofErr w:type="spellEnd"/>
      <w:r w:rsidRPr="00B419CE">
        <w:t xml:space="preserve"> skal </w:t>
      </w:r>
      <w:proofErr w:type="spellStart"/>
      <w:r w:rsidRPr="00B419CE">
        <w:t>leggje</w:t>
      </w:r>
      <w:proofErr w:type="spellEnd"/>
      <w:r w:rsidRPr="00B419CE">
        <w:t xml:space="preserve"> til rette for ei styring av Tolletaten som i større grad legg vekt på </w:t>
      </w:r>
      <w:proofErr w:type="spellStart"/>
      <w:r w:rsidRPr="00B419CE">
        <w:t>dei</w:t>
      </w:r>
      <w:proofErr w:type="spellEnd"/>
      <w:r w:rsidRPr="00B419CE">
        <w:t xml:space="preserve"> samla </w:t>
      </w:r>
      <w:proofErr w:type="spellStart"/>
      <w:r w:rsidRPr="00B419CE">
        <w:t>effektane</w:t>
      </w:r>
      <w:proofErr w:type="spellEnd"/>
      <w:r w:rsidRPr="00B419CE">
        <w:t xml:space="preserve"> av </w:t>
      </w:r>
      <w:proofErr w:type="spellStart"/>
      <w:r w:rsidRPr="00B419CE">
        <w:t>verkemidla</w:t>
      </w:r>
      <w:proofErr w:type="spellEnd"/>
      <w:r w:rsidRPr="00B419CE">
        <w:t xml:space="preserve"> etaten brukar, og i mindre grad på </w:t>
      </w:r>
      <w:proofErr w:type="spellStart"/>
      <w:r w:rsidRPr="00B419CE">
        <w:t>aktivitetar</w:t>
      </w:r>
      <w:proofErr w:type="spellEnd"/>
      <w:r w:rsidRPr="00B419CE">
        <w:t>.</w:t>
      </w:r>
    </w:p>
    <w:p w14:paraId="2EF3E921" w14:textId="77777777" w:rsidR="00B419CE" w:rsidRPr="00B419CE" w:rsidRDefault="00B419CE" w:rsidP="00B419CE">
      <w:pPr>
        <w:pStyle w:val="avsnitt-tittel"/>
      </w:pPr>
      <w:proofErr w:type="spellStart"/>
      <w:r w:rsidRPr="00B419CE">
        <w:t>Hovudmål</w:t>
      </w:r>
      <w:proofErr w:type="spellEnd"/>
      <w:r w:rsidRPr="00B419CE">
        <w:t xml:space="preserve"> 1: Det er enkelt og effektivt å etterleve lover og </w:t>
      </w:r>
      <w:proofErr w:type="spellStart"/>
      <w:r w:rsidRPr="00B419CE">
        <w:t>reglar</w:t>
      </w:r>
      <w:proofErr w:type="spellEnd"/>
      <w:r w:rsidRPr="00B419CE">
        <w:t xml:space="preserve"> for </w:t>
      </w:r>
      <w:proofErr w:type="spellStart"/>
      <w:r w:rsidRPr="00B419CE">
        <w:t>grensekryssande</w:t>
      </w:r>
      <w:proofErr w:type="spellEnd"/>
      <w:r w:rsidRPr="00B419CE">
        <w:t xml:space="preserve"> vareførsel</w:t>
      </w:r>
    </w:p>
    <w:p w14:paraId="5E436FB4" w14:textId="77777777" w:rsidR="00B419CE" w:rsidRPr="00B419CE" w:rsidRDefault="00B419CE" w:rsidP="00B419CE">
      <w:r w:rsidRPr="00B419CE">
        <w:t xml:space="preserve">Tolletaten skal </w:t>
      </w:r>
      <w:proofErr w:type="spellStart"/>
      <w:r w:rsidRPr="00B419CE">
        <w:t>leggje</w:t>
      </w:r>
      <w:proofErr w:type="spellEnd"/>
      <w:r w:rsidRPr="00B419CE">
        <w:t xml:space="preserve"> til rette for korrekt og effektiv inn- og utførsel av varer, både for næringslivet og </w:t>
      </w:r>
      <w:proofErr w:type="spellStart"/>
      <w:r w:rsidRPr="00B419CE">
        <w:t>privatpersonar</w:t>
      </w:r>
      <w:proofErr w:type="spellEnd"/>
      <w:r w:rsidRPr="00B419CE">
        <w:t xml:space="preserve">. </w:t>
      </w:r>
      <w:proofErr w:type="spellStart"/>
      <w:r w:rsidRPr="00B419CE">
        <w:t>Aktørane</w:t>
      </w:r>
      <w:proofErr w:type="spellEnd"/>
      <w:r w:rsidRPr="00B419CE">
        <w:t xml:space="preserve"> i vareførselen skal få </w:t>
      </w:r>
      <w:proofErr w:type="spellStart"/>
      <w:r w:rsidRPr="00B419CE">
        <w:t>tilbod</w:t>
      </w:r>
      <w:proofErr w:type="spellEnd"/>
      <w:r w:rsidRPr="00B419CE">
        <w:t xml:space="preserve"> om enkle </w:t>
      </w:r>
      <w:proofErr w:type="spellStart"/>
      <w:r w:rsidRPr="00B419CE">
        <w:t>løysingar</w:t>
      </w:r>
      <w:proofErr w:type="spellEnd"/>
      <w:r w:rsidRPr="00B419CE">
        <w:t xml:space="preserve"> for tollbehandling, slik at varer kan krysse grensa raskt og </w:t>
      </w:r>
      <w:proofErr w:type="spellStart"/>
      <w:r w:rsidRPr="00B419CE">
        <w:t>føreseielegt</w:t>
      </w:r>
      <w:proofErr w:type="spellEnd"/>
      <w:r w:rsidRPr="00B419CE">
        <w:t xml:space="preserve"> – samstundes som lover og </w:t>
      </w:r>
      <w:proofErr w:type="spellStart"/>
      <w:r w:rsidRPr="00B419CE">
        <w:t>reglar</w:t>
      </w:r>
      <w:proofErr w:type="spellEnd"/>
      <w:r w:rsidRPr="00B419CE">
        <w:t xml:space="preserve"> vert etterlevde.</w:t>
      </w:r>
    </w:p>
    <w:p w14:paraId="5C2128A0" w14:textId="77777777" w:rsidR="00B419CE" w:rsidRPr="00B419CE" w:rsidRDefault="00B419CE" w:rsidP="00B419CE">
      <w:r w:rsidRPr="00B419CE">
        <w:t xml:space="preserve">Etaten har i 2020 gjort </w:t>
      </w:r>
      <w:proofErr w:type="spellStart"/>
      <w:r w:rsidRPr="00B419CE">
        <w:t>brukarundersøkingar</w:t>
      </w:r>
      <w:proofErr w:type="spellEnd"/>
      <w:r w:rsidRPr="00B419CE">
        <w:t xml:space="preserve">, retta mot </w:t>
      </w:r>
      <w:proofErr w:type="spellStart"/>
      <w:r w:rsidRPr="00B419CE">
        <w:t>næringsdrivande</w:t>
      </w:r>
      <w:proofErr w:type="spellEnd"/>
      <w:r w:rsidRPr="00B419CE">
        <w:t xml:space="preserve"> og </w:t>
      </w:r>
      <w:proofErr w:type="spellStart"/>
      <w:r w:rsidRPr="00B419CE">
        <w:t>reisande</w:t>
      </w:r>
      <w:proofErr w:type="spellEnd"/>
      <w:r w:rsidRPr="00B419CE">
        <w:t xml:space="preserve">. </w:t>
      </w:r>
      <w:proofErr w:type="spellStart"/>
      <w:r w:rsidRPr="00B419CE">
        <w:t>Ein</w:t>
      </w:r>
      <w:proofErr w:type="spellEnd"/>
      <w:r w:rsidRPr="00B419CE">
        <w:t xml:space="preserve"> av to </w:t>
      </w:r>
      <w:proofErr w:type="spellStart"/>
      <w:r w:rsidRPr="00B419CE">
        <w:t>spurde</w:t>
      </w:r>
      <w:proofErr w:type="spellEnd"/>
      <w:r w:rsidRPr="00B419CE">
        <w:t xml:space="preserve"> </w:t>
      </w:r>
      <w:proofErr w:type="spellStart"/>
      <w:r w:rsidRPr="00B419CE">
        <w:t>næringsdrivande</w:t>
      </w:r>
      <w:proofErr w:type="spellEnd"/>
      <w:r w:rsidRPr="00B419CE">
        <w:t xml:space="preserve"> opplevde regelverket som </w:t>
      </w:r>
      <w:proofErr w:type="spellStart"/>
      <w:r w:rsidRPr="00B419CE">
        <w:t>føremålstenleg</w:t>
      </w:r>
      <w:proofErr w:type="spellEnd"/>
      <w:r w:rsidRPr="00B419CE">
        <w:t xml:space="preserve"> og </w:t>
      </w:r>
      <w:proofErr w:type="spellStart"/>
      <w:r w:rsidRPr="00B419CE">
        <w:t>forståeleg</w:t>
      </w:r>
      <w:proofErr w:type="spellEnd"/>
      <w:r w:rsidRPr="00B419CE">
        <w:t xml:space="preserve">. Det var marginalt </w:t>
      </w:r>
      <w:proofErr w:type="spellStart"/>
      <w:r w:rsidRPr="00B419CE">
        <w:t>høgare</w:t>
      </w:r>
      <w:proofErr w:type="spellEnd"/>
      <w:r w:rsidRPr="00B419CE">
        <w:t xml:space="preserve"> enn i 2019. Òg for </w:t>
      </w:r>
      <w:proofErr w:type="spellStart"/>
      <w:r w:rsidRPr="00B419CE">
        <w:t>reisande</w:t>
      </w:r>
      <w:proofErr w:type="spellEnd"/>
      <w:r w:rsidRPr="00B419CE">
        <w:t xml:space="preserve"> var det om lag halvparten av </w:t>
      </w:r>
      <w:proofErr w:type="spellStart"/>
      <w:r w:rsidRPr="00B419CE">
        <w:t>dei</w:t>
      </w:r>
      <w:proofErr w:type="spellEnd"/>
      <w:r w:rsidRPr="00B419CE">
        <w:t xml:space="preserve"> </w:t>
      </w:r>
      <w:proofErr w:type="spellStart"/>
      <w:r w:rsidRPr="00B419CE">
        <w:t>spurde</w:t>
      </w:r>
      <w:proofErr w:type="spellEnd"/>
      <w:r w:rsidRPr="00B419CE">
        <w:t xml:space="preserve"> som opplevde regelverket som </w:t>
      </w:r>
      <w:proofErr w:type="spellStart"/>
      <w:r w:rsidRPr="00B419CE">
        <w:t>forståeleg</w:t>
      </w:r>
      <w:proofErr w:type="spellEnd"/>
      <w:r w:rsidRPr="00B419CE">
        <w:t xml:space="preserve"> i 2020, </w:t>
      </w:r>
      <w:proofErr w:type="spellStart"/>
      <w:r w:rsidRPr="00B419CE">
        <w:t>noko</w:t>
      </w:r>
      <w:proofErr w:type="spellEnd"/>
      <w:r w:rsidRPr="00B419CE">
        <w:t xml:space="preserve"> som var </w:t>
      </w:r>
      <w:proofErr w:type="spellStart"/>
      <w:r w:rsidRPr="00B419CE">
        <w:t>ein</w:t>
      </w:r>
      <w:proofErr w:type="spellEnd"/>
      <w:r w:rsidRPr="00B419CE">
        <w:t xml:space="preserve"> oppgang </w:t>
      </w:r>
      <w:proofErr w:type="spellStart"/>
      <w:r w:rsidRPr="00B419CE">
        <w:t>frå</w:t>
      </w:r>
      <w:proofErr w:type="spellEnd"/>
      <w:r w:rsidRPr="00B419CE">
        <w:t xml:space="preserve"> 2019. </w:t>
      </w:r>
      <w:proofErr w:type="spellStart"/>
      <w:r w:rsidRPr="00B419CE">
        <w:t>Sjølv</w:t>
      </w:r>
      <w:proofErr w:type="spellEnd"/>
      <w:r w:rsidRPr="00B419CE">
        <w:t xml:space="preserve"> om etaten ser ei </w:t>
      </w:r>
      <w:proofErr w:type="spellStart"/>
      <w:r w:rsidRPr="00B419CE">
        <w:t>betring</w:t>
      </w:r>
      <w:proofErr w:type="spellEnd"/>
      <w:r w:rsidRPr="00B419CE">
        <w:t xml:space="preserve">, tyder resultata på at regelverka og </w:t>
      </w:r>
      <w:proofErr w:type="spellStart"/>
      <w:r w:rsidRPr="00B419CE">
        <w:t>prosedyrane</w:t>
      </w:r>
      <w:proofErr w:type="spellEnd"/>
      <w:r w:rsidRPr="00B419CE">
        <w:t xml:space="preserve"> til etaten </w:t>
      </w:r>
      <w:proofErr w:type="spellStart"/>
      <w:r w:rsidRPr="00B419CE">
        <w:t>ikkje</w:t>
      </w:r>
      <w:proofErr w:type="spellEnd"/>
      <w:r w:rsidRPr="00B419CE">
        <w:t xml:space="preserve"> er godt nok tilpassa ulike brukergrupper. Systematisk arbeid med forenkling og brukardialog er satsningsområde i etaten og er forventa å </w:t>
      </w:r>
      <w:proofErr w:type="spellStart"/>
      <w:r w:rsidRPr="00B419CE">
        <w:t>gje</w:t>
      </w:r>
      <w:proofErr w:type="spellEnd"/>
      <w:r w:rsidRPr="00B419CE">
        <w:t xml:space="preserve"> verknad over tid.</w:t>
      </w:r>
    </w:p>
    <w:p w14:paraId="7F2072F7" w14:textId="77777777" w:rsidR="00B419CE" w:rsidRPr="00B419CE" w:rsidRDefault="00B419CE" w:rsidP="00B419CE">
      <w:r w:rsidRPr="00B419CE">
        <w:t xml:space="preserve">Etaten </w:t>
      </w:r>
      <w:proofErr w:type="spellStart"/>
      <w:r w:rsidRPr="00B419CE">
        <w:t>handsamar</w:t>
      </w:r>
      <w:proofErr w:type="spellEnd"/>
      <w:r w:rsidRPr="00B419CE">
        <w:t xml:space="preserve"> og kontrollerer </w:t>
      </w:r>
      <w:proofErr w:type="spellStart"/>
      <w:r w:rsidRPr="00B419CE">
        <w:t>straumen</w:t>
      </w:r>
      <w:proofErr w:type="spellEnd"/>
      <w:r w:rsidRPr="00B419CE">
        <w:t xml:space="preserve"> av varer over grensa, med </w:t>
      </w:r>
      <w:proofErr w:type="spellStart"/>
      <w:r w:rsidRPr="00B419CE">
        <w:t>tilhøyrande</w:t>
      </w:r>
      <w:proofErr w:type="spellEnd"/>
      <w:r w:rsidRPr="00B419CE">
        <w:t xml:space="preserve"> vareinformasjon og inn- og </w:t>
      </w:r>
      <w:proofErr w:type="spellStart"/>
      <w:r w:rsidRPr="00B419CE">
        <w:t>utførselsdeklarasjonar</w:t>
      </w:r>
      <w:proofErr w:type="spellEnd"/>
      <w:r w:rsidRPr="00B419CE">
        <w:t xml:space="preserve">. </w:t>
      </w:r>
      <w:proofErr w:type="spellStart"/>
      <w:r w:rsidRPr="00B419CE">
        <w:t>Talet</w:t>
      </w:r>
      <w:proofErr w:type="spellEnd"/>
      <w:r w:rsidRPr="00B419CE">
        <w:t xml:space="preserve"> for </w:t>
      </w:r>
      <w:proofErr w:type="spellStart"/>
      <w:r w:rsidRPr="00B419CE">
        <w:t>deklarasjonar</w:t>
      </w:r>
      <w:proofErr w:type="spellEnd"/>
      <w:r w:rsidRPr="00B419CE">
        <w:t xml:space="preserve"> </w:t>
      </w:r>
      <w:proofErr w:type="spellStart"/>
      <w:r w:rsidRPr="00B419CE">
        <w:t>aukar</w:t>
      </w:r>
      <w:proofErr w:type="spellEnd"/>
      <w:r w:rsidRPr="00B419CE">
        <w:t xml:space="preserve"> år for år. I 2020 tok Tolletaten imot om lag 8 mill. inn- og </w:t>
      </w:r>
      <w:proofErr w:type="spellStart"/>
      <w:r w:rsidRPr="00B419CE">
        <w:t>utførselsdeklarasjonar</w:t>
      </w:r>
      <w:proofErr w:type="spellEnd"/>
      <w:r w:rsidRPr="00B419CE">
        <w:t xml:space="preserve">, mot 7,7 mill. i </w:t>
      </w:r>
      <w:r w:rsidRPr="00B419CE">
        <w:lastRenderedPageBreak/>
        <w:t xml:space="preserve">2019. </w:t>
      </w:r>
      <w:proofErr w:type="spellStart"/>
      <w:r w:rsidRPr="00B419CE">
        <w:t>Deklarasjonane</w:t>
      </w:r>
      <w:proofErr w:type="spellEnd"/>
      <w:r w:rsidRPr="00B419CE">
        <w:t xml:space="preserve"> er grunnlaget for det meste av statsinntektene som kjem </w:t>
      </w:r>
      <w:proofErr w:type="spellStart"/>
      <w:r w:rsidRPr="00B419CE">
        <w:t>frå</w:t>
      </w:r>
      <w:proofErr w:type="spellEnd"/>
      <w:r w:rsidRPr="00B419CE">
        <w:t xml:space="preserve"> innførsel av varer til </w:t>
      </w:r>
      <w:proofErr w:type="spellStart"/>
      <w:r w:rsidRPr="00B419CE">
        <w:t>Noreg</w:t>
      </w:r>
      <w:proofErr w:type="spellEnd"/>
      <w:r w:rsidRPr="00B419CE">
        <w:t xml:space="preserve">. </w:t>
      </w:r>
      <w:proofErr w:type="spellStart"/>
      <w:r w:rsidRPr="00B419CE">
        <w:t>Deklarasjonane</w:t>
      </w:r>
      <w:proofErr w:type="spellEnd"/>
      <w:r w:rsidRPr="00B419CE">
        <w:t xml:space="preserve"> vert òg brukte av Statistisk sentralbyrå i statistikken for norsk </w:t>
      </w:r>
      <w:proofErr w:type="spellStart"/>
      <w:r w:rsidRPr="00B419CE">
        <w:t>utanrikshandel</w:t>
      </w:r>
      <w:proofErr w:type="spellEnd"/>
      <w:r w:rsidRPr="00B419CE">
        <w:t xml:space="preserve">, og </w:t>
      </w:r>
      <w:proofErr w:type="spellStart"/>
      <w:r w:rsidRPr="00B419CE">
        <w:t>dei</w:t>
      </w:r>
      <w:proofErr w:type="spellEnd"/>
      <w:r w:rsidRPr="00B419CE">
        <w:t xml:space="preserve"> </w:t>
      </w:r>
      <w:proofErr w:type="spellStart"/>
      <w:r w:rsidRPr="00B419CE">
        <w:t>utgjer</w:t>
      </w:r>
      <w:proofErr w:type="spellEnd"/>
      <w:r w:rsidRPr="00B419CE">
        <w:t xml:space="preserve"> handsamings- og avgjerdsgrunnlag for andre </w:t>
      </w:r>
      <w:proofErr w:type="spellStart"/>
      <w:r w:rsidRPr="00B419CE">
        <w:t>etatar</w:t>
      </w:r>
      <w:proofErr w:type="spellEnd"/>
      <w:r w:rsidRPr="00B419CE">
        <w:t xml:space="preserve"> som Mattilsynet, Landbruksdirektoratet, og Miljødirektoratet.</w:t>
      </w:r>
    </w:p>
    <w:p w14:paraId="1AE75CB4" w14:textId="77777777" w:rsidR="00B419CE" w:rsidRPr="00B419CE" w:rsidRDefault="00B419CE" w:rsidP="00B419CE">
      <w:r w:rsidRPr="00B419CE">
        <w:t xml:space="preserve">Direktefortolling er fortolling av varen ved passering av grensa inn til </w:t>
      </w:r>
      <w:proofErr w:type="spellStart"/>
      <w:r w:rsidRPr="00B419CE">
        <w:t>Noreg</w:t>
      </w:r>
      <w:proofErr w:type="spellEnd"/>
      <w:r w:rsidRPr="00B419CE">
        <w:t xml:space="preserve">, framfor at varene fyrst vert fortolla etter at </w:t>
      </w:r>
      <w:proofErr w:type="spellStart"/>
      <w:r w:rsidRPr="00B419CE">
        <w:t>dei</w:t>
      </w:r>
      <w:proofErr w:type="spellEnd"/>
      <w:r w:rsidRPr="00B419CE">
        <w:t xml:space="preserve"> har </w:t>
      </w:r>
      <w:proofErr w:type="spellStart"/>
      <w:r w:rsidRPr="00B419CE">
        <w:t>vore</w:t>
      </w:r>
      <w:proofErr w:type="spellEnd"/>
      <w:r w:rsidRPr="00B419CE">
        <w:t xml:space="preserve"> i landet </w:t>
      </w:r>
      <w:proofErr w:type="spellStart"/>
      <w:r w:rsidRPr="00B419CE">
        <w:t>ein</w:t>
      </w:r>
      <w:proofErr w:type="spellEnd"/>
      <w:r w:rsidRPr="00B419CE">
        <w:t xml:space="preserve"> periode. Direktefortolling </w:t>
      </w:r>
      <w:proofErr w:type="spellStart"/>
      <w:r w:rsidRPr="00B419CE">
        <w:t>legg</w:t>
      </w:r>
      <w:proofErr w:type="spellEnd"/>
      <w:r w:rsidRPr="00B419CE">
        <w:t xml:space="preserve"> til rette for </w:t>
      </w:r>
      <w:proofErr w:type="spellStart"/>
      <w:r w:rsidRPr="00B419CE">
        <w:t>ein</w:t>
      </w:r>
      <w:proofErr w:type="spellEnd"/>
      <w:r w:rsidRPr="00B419CE">
        <w:t xml:space="preserve"> betre kontroll av varene som kjem inn i landet, men det krev at Tolletaten er til </w:t>
      </w:r>
      <w:proofErr w:type="spellStart"/>
      <w:r w:rsidRPr="00B419CE">
        <w:t>stades</w:t>
      </w:r>
      <w:proofErr w:type="spellEnd"/>
      <w:r w:rsidRPr="00B419CE">
        <w:t xml:space="preserve"> på grensa når transporten passerer denne. Det vart i 2020 </w:t>
      </w:r>
      <w:proofErr w:type="spellStart"/>
      <w:r w:rsidRPr="00B419CE">
        <w:t>arbeidd</w:t>
      </w:r>
      <w:proofErr w:type="spellEnd"/>
      <w:r w:rsidRPr="00B419CE">
        <w:t xml:space="preserve"> med å </w:t>
      </w:r>
      <w:proofErr w:type="spellStart"/>
      <w:r w:rsidRPr="00B419CE">
        <w:t>gjere</w:t>
      </w:r>
      <w:proofErr w:type="spellEnd"/>
      <w:r w:rsidRPr="00B419CE">
        <w:t xml:space="preserve"> direktefortolling </w:t>
      </w:r>
      <w:proofErr w:type="spellStart"/>
      <w:r w:rsidRPr="00B419CE">
        <w:t>meir</w:t>
      </w:r>
      <w:proofErr w:type="spellEnd"/>
      <w:r w:rsidRPr="00B419CE">
        <w:t xml:space="preserve"> automatisert og effektiv enn i dag, sjå </w:t>
      </w:r>
      <w:proofErr w:type="spellStart"/>
      <w:r w:rsidRPr="00B419CE">
        <w:t>nærare</w:t>
      </w:r>
      <w:proofErr w:type="spellEnd"/>
      <w:r w:rsidRPr="00B419CE">
        <w:t xml:space="preserve"> omtale av Treff-satsinga. I 2020 utgjorde </w:t>
      </w:r>
      <w:proofErr w:type="spellStart"/>
      <w:r w:rsidRPr="00B419CE">
        <w:t>direktefortollingar</w:t>
      </w:r>
      <w:proofErr w:type="spellEnd"/>
      <w:r w:rsidRPr="00B419CE">
        <w:t xml:space="preserve"> 14 pst. av alle </w:t>
      </w:r>
      <w:proofErr w:type="spellStart"/>
      <w:r w:rsidRPr="00B419CE">
        <w:t>fortollingar</w:t>
      </w:r>
      <w:proofErr w:type="spellEnd"/>
      <w:r w:rsidRPr="00B419CE">
        <w:t>, det same som i 2019.</w:t>
      </w:r>
    </w:p>
    <w:p w14:paraId="38DC1951" w14:textId="77777777" w:rsidR="00B419CE" w:rsidRPr="00B419CE" w:rsidRDefault="00B419CE" w:rsidP="00B419CE">
      <w:pPr>
        <w:pStyle w:val="avsnitt-tittel"/>
      </w:pPr>
      <w:proofErr w:type="spellStart"/>
      <w:r w:rsidRPr="00B419CE">
        <w:t>Hovudmål</w:t>
      </w:r>
      <w:proofErr w:type="spellEnd"/>
      <w:r w:rsidRPr="00B419CE">
        <w:t xml:space="preserve"> 2: </w:t>
      </w:r>
      <w:proofErr w:type="spellStart"/>
      <w:r w:rsidRPr="00B419CE">
        <w:t>Aktørane</w:t>
      </w:r>
      <w:proofErr w:type="spellEnd"/>
      <w:r w:rsidRPr="00B419CE">
        <w:t xml:space="preserve"> i vareførselen </w:t>
      </w:r>
      <w:proofErr w:type="spellStart"/>
      <w:r w:rsidRPr="00B419CE">
        <w:t>oppfattar</w:t>
      </w:r>
      <w:proofErr w:type="spellEnd"/>
      <w:r w:rsidRPr="00B419CE">
        <w:t xml:space="preserve"> risikoen ved </w:t>
      </w:r>
      <w:proofErr w:type="spellStart"/>
      <w:r w:rsidRPr="00B419CE">
        <w:t>ikkje</w:t>
      </w:r>
      <w:proofErr w:type="spellEnd"/>
      <w:r w:rsidRPr="00B419CE">
        <w:t xml:space="preserve"> å etterleve lover og </w:t>
      </w:r>
      <w:proofErr w:type="spellStart"/>
      <w:r w:rsidRPr="00B419CE">
        <w:t>reglar</w:t>
      </w:r>
      <w:proofErr w:type="spellEnd"/>
      <w:r w:rsidRPr="00B419CE">
        <w:t xml:space="preserve"> som høg</w:t>
      </w:r>
    </w:p>
    <w:p w14:paraId="6EC40D8B" w14:textId="77777777" w:rsidR="00B419CE" w:rsidRPr="00B419CE" w:rsidRDefault="00B419CE" w:rsidP="00B419CE">
      <w:r w:rsidRPr="00B419CE">
        <w:t xml:space="preserve">Kontroll av vareførselen over grensa har òg som </w:t>
      </w:r>
      <w:proofErr w:type="spellStart"/>
      <w:r w:rsidRPr="00B419CE">
        <w:t>føremål</w:t>
      </w:r>
      <w:proofErr w:type="spellEnd"/>
      <w:r w:rsidRPr="00B419CE">
        <w:t xml:space="preserve"> å </w:t>
      </w:r>
      <w:proofErr w:type="spellStart"/>
      <w:r w:rsidRPr="00B419CE">
        <w:t>motverke</w:t>
      </w:r>
      <w:proofErr w:type="spellEnd"/>
      <w:r w:rsidRPr="00B419CE">
        <w:t xml:space="preserve"> </w:t>
      </w:r>
      <w:proofErr w:type="spellStart"/>
      <w:r w:rsidRPr="00B419CE">
        <w:t>ulovleg</w:t>
      </w:r>
      <w:proofErr w:type="spellEnd"/>
      <w:r w:rsidRPr="00B419CE">
        <w:t xml:space="preserve"> inn- og utførsel av varer, mellom anna varer som er </w:t>
      </w:r>
      <w:proofErr w:type="spellStart"/>
      <w:r w:rsidRPr="00B419CE">
        <w:t>farlege</w:t>
      </w:r>
      <w:proofErr w:type="spellEnd"/>
      <w:r w:rsidRPr="00B419CE">
        <w:t xml:space="preserve"> og restriksjonslagde. Dette </w:t>
      </w:r>
      <w:proofErr w:type="spellStart"/>
      <w:r w:rsidRPr="00B419CE">
        <w:t>gjer</w:t>
      </w:r>
      <w:proofErr w:type="spellEnd"/>
      <w:r w:rsidRPr="00B419CE">
        <w:t xml:space="preserve"> Tolletaten gjennom </w:t>
      </w:r>
      <w:proofErr w:type="spellStart"/>
      <w:r w:rsidRPr="00B419CE">
        <w:t>synleg</w:t>
      </w:r>
      <w:proofErr w:type="spellEnd"/>
      <w:r w:rsidRPr="00B419CE">
        <w:t xml:space="preserve"> nærvær som </w:t>
      </w:r>
      <w:proofErr w:type="spellStart"/>
      <w:r w:rsidRPr="00B419CE">
        <w:t>førebyggjer</w:t>
      </w:r>
      <w:proofErr w:type="spellEnd"/>
      <w:r w:rsidRPr="00B419CE">
        <w:t xml:space="preserve"> </w:t>
      </w:r>
      <w:proofErr w:type="spellStart"/>
      <w:r w:rsidRPr="00B419CE">
        <w:t>manglande</w:t>
      </w:r>
      <w:proofErr w:type="spellEnd"/>
      <w:r w:rsidRPr="00B419CE">
        <w:t xml:space="preserve"> etterleving, og ved å så langt som </w:t>
      </w:r>
      <w:proofErr w:type="spellStart"/>
      <w:r w:rsidRPr="00B419CE">
        <w:t>mogleg</w:t>
      </w:r>
      <w:proofErr w:type="spellEnd"/>
      <w:r w:rsidRPr="00B419CE">
        <w:t xml:space="preserve"> identifisere og stoppe </w:t>
      </w:r>
      <w:proofErr w:type="spellStart"/>
      <w:r w:rsidRPr="00B419CE">
        <w:t>dei</w:t>
      </w:r>
      <w:proofErr w:type="spellEnd"/>
      <w:r w:rsidRPr="00B419CE">
        <w:t xml:space="preserve"> som </w:t>
      </w:r>
      <w:proofErr w:type="spellStart"/>
      <w:r w:rsidRPr="00B419CE">
        <w:t>ikkje</w:t>
      </w:r>
      <w:proofErr w:type="spellEnd"/>
      <w:r w:rsidRPr="00B419CE">
        <w:t xml:space="preserve"> etterlever lover og regelverk for toll og vareførsel.</w:t>
      </w:r>
    </w:p>
    <w:p w14:paraId="72487485" w14:textId="77777777" w:rsidR="00B419CE" w:rsidRPr="00B419CE" w:rsidRDefault="00B419CE" w:rsidP="00B419CE">
      <w:r w:rsidRPr="00B419CE">
        <w:t xml:space="preserve">Tolletaten </w:t>
      </w:r>
      <w:proofErr w:type="spellStart"/>
      <w:r w:rsidRPr="00B419CE">
        <w:t>medverkar</w:t>
      </w:r>
      <w:proofErr w:type="spellEnd"/>
      <w:r w:rsidRPr="00B419CE">
        <w:t xml:space="preserve"> til at </w:t>
      </w:r>
      <w:proofErr w:type="spellStart"/>
      <w:r w:rsidRPr="00B419CE">
        <w:t>aktørane</w:t>
      </w:r>
      <w:proofErr w:type="spellEnd"/>
      <w:r w:rsidRPr="00B419CE">
        <w:t xml:space="preserve"> i vareførselen </w:t>
      </w:r>
      <w:proofErr w:type="spellStart"/>
      <w:r w:rsidRPr="00B419CE">
        <w:t>oppfattar</w:t>
      </w:r>
      <w:proofErr w:type="spellEnd"/>
      <w:r w:rsidRPr="00B419CE">
        <w:t xml:space="preserve"> risikoen ved </w:t>
      </w:r>
      <w:proofErr w:type="spellStart"/>
      <w:r w:rsidRPr="00B419CE">
        <w:t>ikkje</w:t>
      </w:r>
      <w:proofErr w:type="spellEnd"/>
      <w:r w:rsidRPr="00B419CE">
        <w:t xml:space="preserve"> å etterleve som høg. Dette skjer mellom anna gjennom etatens bruk av etterretningsinformasjon for målretta kontrollinnsats, </w:t>
      </w:r>
      <w:proofErr w:type="spellStart"/>
      <w:r w:rsidRPr="00B419CE">
        <w:t>synleg</w:t>
      </w:r>
      <w:proofErr w:type="spellEnd"/>
      <w:r w:rsidRPr="00B419CE">
        <w:t xml:space="preserve"> og fysisk nærvær på grensa, elektronisk nærvær gjennom utstyr med kamera og skiltattkjenning (ANPR), å </w:t>
      </w:r>
      <w:proofErr w:type="spellStart"/>
      <w:r w:rsidRPr="00B419CE">
        <w:t>vere</w:t>
      </w:r>
      <w:proofErr w:type="spellEnd"/>
      <w:r w:rsidRPr="00B419CE">
        <w:t xml:space="preserve"> </w:t>
      </w:r>
      <w:proofErr w:type="spellStart"/>
      <w:r w:rsidRPr="00B419CE">
        <w:t>synleg</w:t>
      </w:r>
      <w:proofErr w:type="spellEnd"/>
      <w:r w:rsidRPr="00B419CE">
        <w:t xml:space="preserve"> i media og kontroll av dokumentasjon før og etter grensepassering.</w:t>
      </w:r>
    </w:p>
    <w:p w14:paraId="60AB093A" w14:textId="77777777" w:rsidR="00B419CE" w:rsidRPr="00B419CE" w:rsidRDefault="00B419CE" w:rsidP="00B419CE">
      <w:r w:rsidRPr="00B419CE">
        <w:t xml:space="preserve">Tolletaten </w:t>
      </w:r>
      <w:proofErr w:type="spellStart"/>
      <w:r w:rsidRPr="00B419CE">
        <w:t>byggjer</w:t>
      </w:r>
      <w:proofErr w:type="spellEnd"/>
      <w:r w:rsidRPr="00B419CE">
        <w:t xml:space="preserve"> i stor grad kontrollen på </w:t>
      </w:r>
      <w:proofErr w:type="spellStart"/>
      <w:r w:rsidRPr="00B419CE">
        <w:t>risikoanalysar</w:t>
      </w:r>
      <w:proofErr w:type="spellEnd"/>
      <w:r w:rsidRPr="00B419CE">
        <w:t xml:space="preserve"> og etterretning for å </w:t>
      </w:r>
      <w:proofErr w:type="spellStart"/>
      <w:r w:rsidRPr="00B419CE">
        <w:t>avdekkje</w:t>
      </w:r>
      <w:proofErr w:type="spellEnd"/>
      <w:r w:rsidRPr="00B419CE">
        <w:t xml:space="preserve"> </w:t>
      </w:r>
      <w:proofErr w:type="spellStart"/>
      <w:r w:rsidRPr="00B419CE">
        <w:t>alvorlege</w:t>
      </w:r>
      <w:proofErr w:type="spellEnd"/>
      <w:r w:rsidRPr="00B419CE">
        <w:t xml:space="preserve"> </w:t>
      </w:r>
      <w:proofErr w:type="spellStart"/>
      <w:r w:rsidRPr="00B419CE">
        <w:t>lovbrot</w:t>
      </w:r>
      <w:proofErr w:type="spellEnd"/>
      <w:r w:rsidRPr="00B419CE">
        <w:t xml:space="preserve"> og fortenestemotivert, </w:t>
      </w:r>
      <w:proofErr w:type="spellStart"/>
      <w:r w:rsidRPr="00B419CE">
        <w:t>ulovleg</w:t>
      </w:r>
      <w:proofErr w:type="spellEnd"/>
      <w:r w:rsidRPr="00B419CE">
        <w:t xml:space="preserve"> inn- og utførsel. Kampen mot den organiserte kriminaliteten </w:t>
      </w:r>
      <w:proofErr w:type="spellStart"/>
      <w:r w:rsidRPr="00B419CE">
        <w:t>innan</w:t>
      </w:r>
      <w:proofErr w:type="spellEnd"/>
      <w:r w:rsidRPr="00B419CE">
        <w:t xml:space="preserve"> </w:t>
      </w:r>
      <w:proofErr w:type="spellStart"/>
      <w:r w:rsidRPr="00B419CE">
        <w:t>grensekryssande</w:t>
      </w:r>
      <w:proofErr w:type="spellEnd"/>
      <w:r w:rsidRPr="00B419CE">
        <w:t xml:space="preserve"> vareførsel har </w:t>
      </w:r>
      <w:proofErr w:type="spellStart"/>
      <w:r w:rsidRPr="00B419CE">
        <w:t>høg</w:t>
      </w:r>
      <w:proofErr w:type="spellEnd"/>
      <w:r w:rsidRPr="00B419CE">
        <w:t xml:space="preserve"> prioritet. Beslaga varierer </w:t>
      </w:r>
      <w:proofErr w:type="spellStart"/>
      <w:r w:rsidRPr="00B419CE">
        <w:t>frå</w:t>
      </w:r>
      <w:proofErr w:type="spellEnd"/>
      <w:r w:rsidRPr="00B419CE">
        <w:t xml:space="preserve"> år til år, og </w:t>
      </w:r>
      <w:proofErr w:type="spellStart"/>
      <w:r w:rsidRPr="00B419CE">
        <w:t>einskilde</w:t>
      </w:r>
      <w:proofErr w:type="spellEnd"/>
      <w:r w:rsidRPr="00B419CE">
        <w:t xml:space="preserve"> beslag kan </w:t>
      </w:r>
      <w:proofErr w:type="spellStart"/>
      <w:r w:rsidRPr="00B419CE">
        <w:t>gjere</w:t>
      </w:r>
      <w:proofErr w:type="spellEnd"/>
      <w:r w:rsidRPr="00B419CE">
        <w:t xml:space="preserve"> store utslag på årsresultatet. I 2020 førte koronapandemien til sterk reduksjon i den </w:t>
      </w:r>
      <w:proofErr w:type="spellStart"/>
      <w:r w:rsidRPr="00B419CE">
        <w:t>grensekryssande</w:t>
      </w:r>
      <w:proofErr w:type="spellEnd"/>
      <w:r w:rsidRPr="00B419CE">
        <w:t xml:space="preserve"> persontrafikken, </w:t>
      </w:r>
      <w:proofErr w:type="spellStart"/>
      <w:r w:rsidRPr="00B419CE">
        <w:t>noko</w:t>
      </w:r>
      <w:proofErr w:type="spellEnd"/>
      <w:r w:rsidRPr="00B419CE">
        <w:t xml:space="preserve"> som resulterte i </w:t>
      </w:r>
      <w:proofErr w:type="spellStart"/>
      <w:r w:rsidRPr="00B419CE">
        <w:t>ein</w:t>
      </w:r>
      <w:proofErr w:type="spellEnd"/>
      <w:r w:rsidRPr="00B419CE">
        <w:t xml:space="preserve"> </w:t>
      </w:r>
      <w:proofErr w:type="spellStart"/>
      <w:r w:rsidRPr="00B419CE">
        <w:t>betydeleg</w:t>
      </w:r>
      <w:proofErr w:type="spellEnd"/>
      <w:r w:rsidRPr="00B419CE">
        <w:t xml:space="preserve"> nedgang i </w:t>
      </w:r>
      <w:proofErr w:type="spellStart"/>
      <w:r w:rsidRPr="00B419CE">
        <w:t>beslagstala</w:t>
      </w:r>
      <w:proofErr w:type="spellEnd"/>
      <w:r w:rsidRPr="00B419CE">
        <w:t xml:space="preserve">. Kontroll av post-, gods- og </w:t>
      </w:r>
      <w:proofErr w:type="spellStart"/>
      <w:r w:rsidRPr="00B419CE">
        <w:t>kurersendingar</w:t>
      </w:r>
      <w:proofErr w:type="spellEnd"/>
      <w:r w:rsidRPr="00B419CE">
        <w:t xml:space="preserve"> </w:t>
      </w:r>
      <w:proofErr w:type="spellStart"/>
      <w:r w:rsidRPr="00B419CE">
        <w:t>vart</w:t>
      </w:r>
      <w:proofErr w:type="spellEnd"/>
      <w:r w:rsidRPr="00B419CE">
        <w:t xml:space="preserve"> prioritert i 2020, og i godskontrollen har </w:t>
      </w:r>
      <w:proofErr w:type="spellStart"/>
      <w:r w:rsidRPr="00B419CE">
        <w:t>eit</w:t>
      </w:r>
      <w:proofErr w:type="spellEnd"/>
      <w:r w:rsidRPr="00B419CE">
        <w:t xml:space="preserve"> prioritert område </w:t>
      </w:r>
      <w:proofErr w:type="spellStart"/>
      <w:r w:rsidRPr="00B419CE">
        <w:t>vore</w:t>
      </w:r>
      <w:proofErr w:type="spellEnd"/>
      <w:r w:rsidRPr="00B419CE">
        <w:t xml:space="preserve"> å </w:t>
      </w:r>
      <w:proofErr w:type="spellStart"/>
      <w:r w:rsidRPr="00B419CE">
        <w:t>avdekkje</w:t>
      </w:r>
      <w:proofErr w:type="spellEnd"/>
      <w:r w:rsidRPr="00B419CE">
        <w:t xml:space="preserve"> smittevernutstyr som </w:t>
      </w:r>
      <w:proofErr w:type="spellStart"/>
      <w:r w:rsidRPr="00B419CE">
        <w:t>ikkje</w:t>
      </w:r>
      <w:proofErr w:type="spellEnd"/>
      <w:r w:rsidRPr="00B419CE">
        <w:t xml:space="preserve"> held nasjonale </w:t>
      </w:r>
      <w:proofErr w:type="spellStart"/>
      <w:r w:rsidRPr="00B419CE">
        <w:t>standardar</w:t>
      </w:r>
      <w:proofErr w:type="spellEnd"/>
      <w:r w:rsidRPr="00B419CE">
        <w:t xml:space="preserve">, samt falske </w:t>
      </w:r>
      <w:proofErr w:type="spellStart"/>
      <w:r w:rsidRPr="00B419CE">
        <w:t>medisinar</w:t>
      </w:r>
      <w:proofErr w:type="spellEnd"/>
      <w:r w:rsidRPr="00B419CE">
        <w:t>.</w:t>
      </w:r>
    </w:p>
    <w:p w14:paraId="1C8DDA1A" w14:textId="77777777" w:rsidR="00B419CE" w:rsidRPr="00B419CE" w:rsidRDefault="00B419CE" w:rsidP="00B419CE">
      <w:r w:rsidRPr="00B419CE">
        <w:t xml:space="preserve">Tolletaten har </w:t>
      </w:r>
      <w:proofErr w:type="spellStart"/>
      <w:r w:rsidRPr="00B419CE">
        <w:t>sidan</w:t>
      </w:r>
      <w:proofErr w:type="spellEnd"/>
      <w:r w:rsidRPr="00B419CE">
        <w:t xml:space="preserve"> 2012 nytta elektronisk utstyr med kamera og skiltattkjenning (ANPR). Systemet syner og registrerer </w:t>
      </w:r>
      <w:proofErr w:type="spellStart"/>
      <w:r w:rsidRPr="00B419CE">
        <w:t>køyretøy</w:t>
      </w:r>
      <w:proofErr w:type="spellEnd"/>
      <w:r w:rsidRPr="00B419CE">
        <w:t xml:space="preserve"> som passerer grensa, og det </w:t>
      </w:r>
      <w:proofErr w:type="spellStart"/>
      <w:r w:rsidRPr="00B419CE">
        <w:t>varslar</w:t>
      </w:r>
      <w:proofErr w:type="spellEnd"/>
      <w:r w:rsidRPr="00B419CE">
        <w:t xml:space="preserve"> mellom anna når </w:t>
      </w:r>
      <w:proofErr w:type="spellStart"/>
      <w:r w:rsidRPr="00B419CE">
        <w:t>køyretøy</w:t>
      </w:r>
      <w:proofErr w:type="spellEnd"/>
      <w:r w:rsidRPr="00B419CE">
        <w:t xml:space="preserve"> mistenkt brukt til smugling, passerer </w:t>
      </w:r>
      <w:proofErr w:type="spellStart"/>
      <w:r w:rsidRPr="00B419CE">
        <w:t>ein</w:t>
      </w:r>
      <w:proofErr w:type="spellEnd"/>
      <w:r w:rsidRPr="00B419CE">
        <w:t xml:space="preserve"> grenseovergang. Etaten har </w:t>
      </w:r>
      <w:proofErr w:type="spellStart"/>
      <w:r w:rsidRPr="00B419CE">
        <w:t>fortlaupande</w:t>
      </w:r>
      <w:proofErr w:type="spellEnd"/>
      <w:r w:rsidRPr="00B419CE">
        <w:t xml:space="preserve"> bygd ut ordninga og sluttførte i 2020 arbeidet med å etablere ANPR-løysinga ved alle landevegs </w:t>
      </w:r>
      <w:proofErr w:type="spellStart"/>
      <w:r w:rsidRPr="00B419CE">
        <w:t>grenseovergangar</w:t>
      </w:r>
      <w:proofErr w:type="spellEnd"/>
      <w:r w:rsidRPr="00B419CE">
        <w:t xml:space="preserve"> og </w:t>
      </w:r>
      <w:proofErr w:type="spellStart"/>
      <w:r w:rsidRPr="00B419CE">
        <w:t>ferjeterminalar</w:t>
      </w:r>
      <w:proofErr w:type="spellEnd"/>
      <w:r w:rsidRPr="00B419CE">
        <w:t xml:space="preserve"> med </w:t>
      </w:r>
      <w:proofErr w:type="spellStart"/>
      <w:r w:rsidRPr="00B419CE">
        <w:t>utanlandstrafikk</w:t>
      </w:r>
      <w:proofErr w:type="spellEnd"/>
      <w:r w:rsidRPr="00B419CE">
        <w:t xml:space="preserve">. </w:t>
      </w:r>
      <w:proofErr w:type="spellStart"/>
      <w:r w:rsidRPr="00B419CE">
        <w:t>Røynsla</w:t>
      </w:r>
      <w:proofErr w:type="spellEnd"/>
      <w:r w:rsidRPr="00B419CE">
        <w:t xml:space="preserve"> med ANPR er god, og bruk av data </w:t>
      </w:r>
      <w:proofErr w:type="spellStart"/>
      <w:r w:rsidRPr="00B419CE">
        <w:t>frå</w:t>
      </w:r>
      <w:proofErr w:type="spellEnd"/>
      <w:r w:rsidRPr="00B419CE">
        <w:t xml:space="preserve"> systemet </w:t>
      </w:r>
      <w:proofErr w:type="spellStart"/>
      <w:r w:rsidRPr="00B419CE">
        <w:t>legg</w:t>
      </w:r>
      <w:proofErr w:type="spellEnd"/>
      <w:r w:rsidRPr="00B419CE">
        <w:t xml:space="preserve"> til rette for at etaten i større grad kan </w:t>
      </w:r>
      <w:proofErr w:type="spellStart"/>
      <w:r w:rsidRPr="00B419CE">
        <w:t>målrette</w:t>
      </w:r>
      <w:proofErr w:type="spellEnd"/>
      <w:r w:rsidRPr="00B419CE">
        <w:t xml:space="preserve"> kontrollen av vareførselen. Det </w:t>
      </w:r>
      <w:proofErr w:type="spellStart"/>
      <w:r w:rsidRPr="00B419CE">
        <w:t>vart</w:t>
      </w:r>
      <w:proofErr w:type="spellEnd"/>
      <w:r w:rsidRPr="00B419CE">
        <w:t xml:space="preserve"> gjort ei undervegsevaluering </w:t>
      </w:r>
      <w:proofErr w:type="spellStart"/>
      <w:r w:rsidRPr="00B419CE">
        <w:t>hausten</w:t>
      </w:r>
      <w:proofErr w:type="spellEnd"/>
      <w:r w:rsidRPr="00B419CE">
        <w:t xml:space="preserve"> 2020 som syner at ANPR har vorte </w:t>
      </w:r>
      <w:proofErr w:type="spellStart"/>
      <w:r w:rsidRPr="00B419CE">
        <w:t>eit</w:t>
      </w:r>
      <w:proofErr w:type="spellEnd"/>
      <w:r w:rsidRPr="00B419CE">
        <w:t xml:space="preserve"> sentralt verktøy i kontrollarbeidet. I evalueringa, som følgjer opp omtale i </w:t>
      </w:r>
      <w:proofErr w:type="spellStart"/>
      <w:r w:rsidRPr="00B419CE">
        <w:t>Prop</w:t>
      </w:r>
      <w:proofErr w:type="spellEnd"/>
      <w:r w:rsidRPr="00B419CE">
        <w:t xml:space="preserve">. 1 LS (2016–2017), punkt 13.5.5, om ei evaluering av ordninga, er det mellom anna vurdert kva for </w:t>
      </w:r>
      <w:proofErr w:type="spellStart"/>
      <w:r w:rsidRPr="00B419CE">
        <w:t>ein</w:t>
      </w:r>
      <w:proofErr w:type="spellEnd"/>
      <w:r w:rsidRPr="00B419CE">
        <w:t xml:space="preserve"> effekt det har </w:t>
      </w:r>
      <w:r w:rsidRPr="00B419CE">
        <w:lastRenderedPageBreak/>
        <w:t xml:space="preserve">å </w:t>
      </w:r>
      <w:proofErr w:type="spellStart"/>
      <w:r w:rsidRPr="00B419CE">
        <w:t>auke</w:t>
      </w:r>
      <w:proofErr w:type="spellEnd"/>
      <w:r w:rsidRPr="00B419CE">
        <w:t xml:space="preserve"> eller redusere lagringstida </w:t>
      </w:r>
      <w:proofErr w:type="spellStart"/>
      <w:r w:rsidRPr="00B419CE">
        <w:t>frå</w:t>
      </w:r>
      <w:proofErr w:type="spellEnd"/>
      <w:r w:rsidRPr="00B419CE">
        <w:t xml:space="preserve"> seks </w:t>
      </w:r>
      <w:proofErr w:type="spellStart"/>
      <w:r w:rsidRPr="00B419CE">
        <w:t>månader</w:t>
      </w:r>
      <w:proofErr w:type="spellEnd"/>
      <w:r w:rsidRPr="00B419CE">
        <w:t xml:space="preserve">. I </w:t>
      </w:r>
      <w:proofErr w:type="spellStart"/>
      <w:r w:rsidRPr="00B419CE">
        <w:t>følgje</w:t>
      </w:r>
      <w:proofErr w:type="spellEnd"/>
      <w:r w:rsidRPr="00B419CE">
        <w:t xml:space="preserve"> rapporten vil </w:t>
      </w:r>
      <w:proofErr w:type="spellStart"/>
      <w:r w:rsidRPr="00B419CE">
        <w:t>kortare</w:t>
      </w:r>
      <w:proofErr w:type="spellEnd"/>
      <w:r w:rsidRPr="00B419CE">
        <w:t xml:space="preserve"> lagringstid redusere </w:t>
      </w:r>
      <w:proofErr w:type="spellStart"/>
      <w:r w:rsidRPr="00B419CE">
        <w:t>samfunnsnytta</w:t>
      </w:r>
      <w:proofErr w:type="spellEnd"/>
      <w:r w:rsidRPr="00B419CE">
        <w:t xml:space="preserve"> av ANPR-ordninga. </w:t>
      </w:r>
      <w:proofErr w:type="spellStart"/>
      <w:r w:rsidRPr="00B419CE">
        <w:t>Ein</w:t>
      </w:r>
      <w:proofErr w:type="spellEnd"/>
      <w:r w:rsidRPr="00B419CE">
        <w:t xml:space="preserve"> </w:t>
      </w:r>
      <w:proofErr w:type="spellStart"/>
      <w:r w:rsidRPr="00B419CE">
        <w:t>auke</w:t>
      </w:r>
      <w:proofErr w:type="spellEnd"/>
      <w:r w:rsidRPr="00B419CE">
        <w:t xml:space="preserve"> i lagringstida vil kunne </w:t>
      </w:r>
      <w:proofErr w:type="spellStart"/>
      <w:r w:rsidRPr="00B419CE">
        <w:t>gje</w:t>
      </w:r>
      <w:proofErr w:type="spellEnd"/>
      <w:r w:rsidRPr="00B419CE">
        <w:t xml:space="preserve"> </w:t>
      </w:r>
      <w:proofErr w:type="spellStart"/>
      <w:r w:rsidRPr="00B419CE">
        <w:t>auka</w:t>
      </w:r>
      <w:proofErr w:type="spellEnd"/>
      <w:r w:rsidRPr="00B419CE">
        <w:t xml:space="preserve"> </w:t>
      </w:r>
      <w:proofErr w:type="spellStart"/>
      <w:r w:rsidRPr="00B419CE">
        <w:t>samfunnsnytte</w:t>
      </w:r>
      <w:proofErr w:type="spellEnd"/>
      <w:r w:rsidRPr="00B419CE">
        <w:t xml:space="preserve">, men då i kombinasjon med </w:t>
      </w:r>
      <w:proofErr w:type="spellStart"/>
      <w:r w:rsidRPr="00B419CE">
        <w:t>ein</w:t>
      </w:r>
      <w:proofErr w:type="spellEnd"/>
      <w:r w:rsidRPr="00B419CE">
        <w:t xml:space="preserve"> </w:t>
      </w:r>
      <w:proofErr w:type="spellStart"/>
      <w:r w:rsidRPr="00B419CE">
        <w:t>tilsvarande</w:t>
      </w:r>
      <w:proofErr w:type="spellEnd"/>
      <w:r w:rsidRPr="00B419CE">
        <w:t xml:space="preserve"> </w:t>
      </w:r>
      <w:proofErr w:type="spellStart"/>
      <w:r w:rsidRPr="00B419CE">
        <w:t>auke</w:t>
      </w:r>
      <w:proofErr w:type="spellEnd"/>
      <w:r w:rsidRPr="00B419CE">
        <w:t xml:space="preserve"> i Tolletatens evne til å </w:t>
      </w:r>
      <w:proofErr w:type="spellStart"/>
      <w:r w:rsidRPr="00B419CE">
        <w:t>gjere</w:t>
      </w:r>
      <w:proofErr w:type="spellEnd"/>
      <w:r w:rsidRPr="00B419CE">
        <w:t xml:space="preserve"> seg nytte av ANPR-dataene. Etaten skal </w:t>
      </w:r>
      <w:proofErr w:type="spellStart"/>
      <w:r w:rsidRPr="00B419CE">
        <w:t>innan</w:t>
      </w:r>
      <w:proofErr w:type="spellEnd"/>
      <w:r w:rsidRPr="00B419CE">
        <w:t xml:space="preserve"> utgangen av 2022 levere ei fullstendig evaluering av ordninga.</w:t>
      </w:r>
    </w:p>
    <w:p w14:paraId="08F4DDBB" w14:textId="70FAAB98" w:rsidR="00B419CE" w:rsidRDefault="00B419CE" w:rsidP="00B419CE">
      <w:r w:rsidRPr="00B419CE">
        <w:t xml:space="preserve">Tolletaten gjorde i 2020 </w:t>
      </w:r>
      <w:proofErr w:type="spellStart"/>
      <w:r w:rsidRPr="00B419CE">
        <w:t>brukarundersøkingar</w:t>
      </w:r>
      <w:proofErr w:type="spellEnd"/>
      <w:r w:rsidRPr="00B419CE">
        <w:t xml:space="preserve"> mellom </w:t>
      </w:r>
      <w:proofErr w:type="spellStart"/>
      <w:r w:rsidRPr="00B419CE">
        <w:t>næringsdrivande</w:t>
      </w:r>
      <w:proofErr w:type="spellEnd"/>
      <w:r w:rsidRPr="00B419CE">
        <w:t xml:space="preserve"> og </w:t>
      </w:r>
      <w:proofErr w:type="spellStart"/>
      <w:r w:rsidRPr="00B419CE">
        <w:t>reisande</w:t>
      </w:r>
      <w:proofErr w:type="spellEnd"/>
      <w:r w:rsidRPr="00B419CE">
        <w:t xml:space="preserve"> for å måle oppfatta risiko for oppdaging. Oppfatta risiko for oppdaging ved feildeklarering er relativt stabil mellom </w:t>
      </w:r>
      <w:proofErr w:type="spellStart"/>
      <w:r w:rsidRPr="00B419CE">
        <w:t>dei</w:t>
      </w:r>
      <w:proofErr w:type="spellEnd"/>
      <w:r w:rsidRPr="00B419CE">
        <w:t xml:space="preserve"> </w:t>
      </w:r>
      <w:proofErr w:type="spellStart"/>
      <w:r w:rsidRPr="00B419CE">
        <w:t>næringsdrivande</w:t>
      </w:r>
      <w:proofErr w:type="spellEnd"/>
      <w:r w:rsidRPr="00B419CE">
        <w:t xml:space="preserve">, og brukarundersøkinga </w:t>
      </w:r>
      <w:proofErr w:type="spellStart"/>
      <w:r w:rsidRPr="00B419CE">
        <w:t>frå</w:t>
      </w:r>
      <w:proofErr w:type="spellEnd"/>
      <w:r w:rsidRPr="00B419CE">
        <w:t xml:space="preserve"> 2020 syner at 38 pst. opplevde risikoen for oppdaging ved feildeklarering som høg. Brukarundersøkinga mellom </w:t>
      </w:r>
      <w:proofErr w:type="spellStart"/>
      <w:r w:rsidRPr="00B419CE">
        <w:t>reisande</w:t>
      </w:r>
      <w:proofErr w:type="spellEnd"/>
      <w:r w:rsidRPr="00B419CE">
        <w:t xml:space="preserve"> syner mellom anna at 63 pst. opplevde at Tolletaten er </w:t>
      </w:r>
      <w:proofErr w:type="spellStart"/>
      <w:r w:rsidRPr="00B419CE">
        <w:t>synleg</w:t>
      </w:r>
      <w:proofErr w:type="spellEnd"/>
      <w:r w:rsidRPr="00B419CE">
        <w:t xml:space="preserve"> til </w:t>
      </w:r>
      <w:proofErr w:type="spellStart"/>
      <w:r w:rsidRPr="00B419CE">
        <w:t>stades</w:t>
      </w:r>
      <w:proofErr w:type="spellEnd"/>
      <w:r w:rsidRPr="00B419CE">
        <w:t xml:space="preserve">, mot 57 pst. i 2019. Samstundes oppfatta nesten 50 pst. av </w:t>
      </w:r>
      <w:proofErr w:type="spellStart"/>
      <w:r w:rsidRPr="00B419CE">
        <w:t>dei</w:t>
      </w:r>
      <w:proofErr w:type="spellEnd"/>
      <w:r w:rsidRPr="00B419CE">
        <w:t xml:space="preserve"> </w:t>
      </w:r>
      <w:proofErr w:type="spellStart"/>
      <w:r w:rsidRPr="00B419CE">
        <w:t>spurde</w:t>
      </w:r>
      <w:proofErr w:type="spellEnd"/>
      <w:r w:rsidRPr="00B419CE">
        <w:t xml:space="preserve"> risikoen for oppdaging ved </w:t>
      </w:r>
      <w:proofErr w:type="spellStart"/>
      <w:r w:rsidRPr="00B419CE">
        <w:t>ulovleg</w:t>
      </w:r>
      <w:proofErr w:type="spellEnd"/>
      <w:r w:rsidRPr="00B419CE">
        <w:t xml:space="preserve"> innførsel som høg. Dette er ei </w:t>
      </w:r>
      <w:proofErr w:type="spellStart"/>
      <w:r w:rsidRPr="00B419CE">
        <w:t>betydeleg</w:t>
      </w:r>
      <w:proofErr w:type="spellEnd"/>
      <w:r w:rsidRPr="00B419CE">
        <w:t xml:space="preserve"> </w:t>
      </w:r>
      <w:proofErr w:type="spellStart"/>
      <w:r w:rsidRPr="00B419CE">
        <w:t>auke</w:t>
      </w:r>
      <w:proofErr w:type="spellEnd"/>
      <w:r w:rsidRPr="00B419CE">
        <w:t xml:space="preserve"> </w:t>
      </w:r>
      <w:proofErr w:type="spellStart"/>
      <w:r w:rsidRPr="00B419CE">
        <w:t>frå</w:t>
      </w:r>
      <w:proofErr w:type="spellEnd"/>
      <w:r w:rsidRPr="00B419CE">
        <w:t xml:space="preserve"> 35 pst. i 2019. Det er grunn til å tru at </w:t>
      </w:r>
      <w:proofErr w:type="spellStart"/>
      <w:r w:rsidRPr="00B419CE">
        <w:t>desse</w:t>
      </w:r>
      <w:proofErr w:type="spellEnd"/>
      <w:r w:rsidRPr="00B419CE">
        <w:t xml:space="preserve"> </w:t>
      </w:r>
      <w:proofErr w:type="spellStart"/>
      <w:r w:rsidRPr="00B419CE">
        <w:t>endringane</w:t>
      </w:r>
      <w:proofErr w:type="spellEnd"/>
      <w:r w:rsidRPr="00B419CE">
        <w:t xml:space="preserve"> kan henge </w:t>
      </w:r>
      <w:proofErr w:type="spellStart"/>
      <w:r w:rsidRPr="00B419CE">
        <w:t>saman</w:t>
      </w:r>
      <w:proofErr w:type="spellEnd"/>
      <w:r w:rsidRPr="00B419CE">
        <w:t xml:space="preserve"> med at Tolletaten og andre </w:t>
      </w:r>
      <w:proofErr w:type="spellStart"/>
      <w:r w:rsidRPr="00B419CE">
        <w:t>etatar</w:t>
      </w:r>
      <w:proofErr w:type="spellEnd"/>
      <w:r w:rsidRPr="00B419CE">
        <w:t xml:space="preserve"> har hatt </w:t>
      </w:r>
      <w:proofErr w:type="spellStart"/>
      <w:r w:rsidRPr="00B419CE">
        <w:t>meir</w:t>
      </w:r>
      <w:proofErr w:type="spellEnd"/>
      <w:r w:rsidRPr="00B419CE">
        <w:t xml:space="preserve"> </w:t>
      </w:r>
      <w:proofErr w:type="spellStart"/>
      <w:r w:rsidRPr="00B419CE">
        <w:t>synleg</w:t>
      </w:r>
      <w:proofErr w:type="spellEnd"/>
      <w:r w:rsidRPr="00B419CE">
        <w:t xml:space="preserve"> og uniformert nærvær på grensa under koronapandemien, og at mediedekninga av nærværet har styrkt effekten </w:t>
      </w:r>
      <w:proofErr w:type="spellStart"/>
      <w:r w:rsidRPr="00B419CE">
        <w:t>ytterlegare</w:t>
      </w:r>
      <w:proofErr w:type="spellEnd"/>
      <w:r w:rsidRPr="00B419CE">
        <w:t xml:space="preserve">. </w:t>
      </w:r>
      <w:proofErr w:type="spellStart"/>
      <w:r w:rsidRPr="00B419CE">
        <w:t>Truleg</w:t>
      </w:r>
      <w:proofErr w:type="spellEnd"/>
      <w:r w:rsidRPr="00B419CE">
        <w:t xml:space="preserve"> har òg TV-serien «</w:t>
      </w:r>
      <w:r w:rsidRPr="00B419CE">
        <w:rPr>
          <w:rStyle w:val="kursiv"/>
        </w:rPr>
        <w:t>Toll</w:t>
      </w:r>
      <w:r w:rsidRPr="00B419CE">
        <w:t xml:space="preserve">» som </w:t>
      </w:r>
      <w:proofErr w:type="spellStart"/>
      <w:r w:rsidRPr="00B419CE">
        <w:t>inneheld</w:t>
      </w:r>
      <w:proofErr w:type="spellEnd"/>
      <w:r w:rsidRPr="00B419CE">
        <w:t xml:space="preserve"> informasjon om korleis etaten arbeider, verka positivt inn på resultatet.</w:t>
      </w:r>
    </w:p>
    <w:p w14:paraId="5B95DAF5" w14:textId="1EFDC2D8" w:rsidR="00A2297F" w:rsidRPr="00B419CE" w:rsidRDefault="00A2297F" w:rsidP="00A2297F">
      <w:pPr>
        <w:pStyle w:val="tabell-tittel"/>
      </w:pPr>
      <w:r w:rsidRPr="00B419CE">
        <w:t xml:space="preserve">Tolletaten – nøkkeltal </w:t>
      </w:r>
      <w:proofErr w:type="spellStart"/>
      <w:r w:rsidRPr="00B419CE">
        <w:t>frå</w:t>
      </w:r>
      <w:proofErr w:type="spellEnd"/>
      <w:r w:rsidRPr="00B419CE">
        <w:t xml:space="preserve"> grensekontrollen</w:t>
      </w:r>
    </w:p>
    <w:p w14:paraId="34EB10F2" w14:textId="77777777" w:rsidR="00B419CE" w:rsidRPr="00B419CE" w:rsidRDefault="00B419CE" w:rsidP="00B419CE">
      <w:pPr>
        <w:pStyle w:val="Tabellnavn"/>
      </w:pPr>
      <w:r w:rsidRPr="00B419CE">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419CE" w:rsidRPr="00B419CE" w14:paraId="1E56D21B" w14:textId="77777777" w:rsidTr="00A2297F">
        <w:trPr>
          <w:trHeight w:val="360"/>
        </w:trPr>
        <w:tc>
          <w:tcPr>
            <w:tcW w:w="5200" w:type="dxa"/>
            <w:shd w:val="clear" w:color="auto" w:fill="FFFFFF"/>
          </w:tcPr>
          <w:p w14:paraId="610616FC" w14:textId="77777777" w:rsidR="00B419CE" w:rsidRPr="00B419CE" w:rsidRDefault="00B419CE" w:rsidP="00A2297F">
            <w:r w:rsidRPr="00B419CE">
              <w:t>År</w:t>
            </w:r>
          </w:p>
        </w:tc>
        <w:tc>
          <w:tcPr>
            <w:tcW w:w="1300" w:type="dxa"/>
          </w:tcPr>
          <w:p w14:paraId="41ACBB01" w14:textId="77777777" w:rsidR="00B419CE" w:rsidRPr="00B419CE" w:rsidRDefault="00B419CE" w:rsidP="00A2297F">
            <w:pPr>
              <w:jc w:val="right"/>
            </w:pPr>
            <w:r w:rsidRPr="00B419CE">
              <w:t>2018</w:t>
            </w:r>
          </w:p>
        </w:tc>
        <w:tc>
          <w:tcPr>
            <w:tcW w:w="1300" w:type="dxa"/>
          </w:tcPr>
          <w:p w14:paraId="1A8F0010" w14:textId="77777777" w:rsidR="00B419CE" w:rsidRPr="00B419CE" w:rsidRDefault="00B419CE" w:rsidP="00A2297F">
            <w:pPr>
              <w:jc w:val="right"/>
            </w:pPr>
            <w:r w:rsidRPr="00B419CE">
              <w:t>2019</w:t>
            </w:r>
          </w:p>
        </w:tc>
        <w:tc>
          <w:tcPr>
            <w:tcW w:w="1300" w:type="dxa"/>
          </w:tcPr>
          <w:p w14:paraId="7B023276" w14:textId="77777777" w:rsidR="00B419CE" w:rsidRPr="00B419CE" w:rsidRDefault="00B419CE" w:rsidP="00A2297F">
            <w:pPr>
              <w:jc w:val="right"/>
            </w:pPr>
            <w:r w:rsidRPr="00B419CE">
              <w:t>2020</w:t>
            </w:r>
          </w:p>
        </w:tc>
      </w:tr>
      <w:tr w:rsidR="00B419CE" w:rsidRPr="00B419CE" w14:paraId="1783831C" w14:textId="77777777" w:rsidTr="00A2297F">
        <w:trPr>
          <w:trHeight w:val="380"/>
        </w:trPr>
        <w:tc>
          <w:tcPr>
            <w:tcW w:w="5200" w:type="dxa"/>
          </w:tcPr>
          <w:p w14:paraId="03C70564" w14:textId="77777777" w:rsidR="00B419CE" w:rsidRPr="00B419CE" w:rsidRDefault="00B419CE" w:rsidP="00A2297F">
            <w:r w:rsidRPr="00B419CE">
              <w:t>Kontrollerte objekt</w:t>
            </w:r>
          </w:p>
        </w:tc>
        <w:tc>
          <w:tcPr>
            <w:tcW w:w="1300" w:type="dxa"/>
          </w:tcPr>
          <w:p w14:paraId="05268DEC" w14:textId="77777777" w:rsidR="00B419CE" w:rsidRPr="00B419CE" w:rsidRDefault="00B419CE" w:rsidP="00A2297F">
            <w:pPr>
              <w:jc w:val="right"/>
            </w:pPr>
            <w:r w:rsidRPr="00B419CE">
              <w:t>240 670</w:t>
            </w:r>
          </w:p>
        </w:tc>
        <w:tc>
          <w:tcPr>
            <w:tcW w:w="1300" w:type="dxa"/>
          </w:tcPr>
          <w:p w14:paraId="331F39E0" w14:textId="77777777" w:rsidR="00B419CE" w:rsidRPr="00B419CE" w:rsidRDefault="00B419CE" w:rsidP="00A2297F">
            <w:pPr>
              <w:jc w:val="right"/>
            </w:pPr>
            <w:r w:rsidRPr="00B419CE">
              <w:t>224 531</w:t>
            </w:r>
          </w:p>
        </w:tc>
        <w:tc>
          <w:tcPr>
            <w:tcW w:w="1300" w:type="dxa"/>
          </w:tcPr>
          <w:p w14:paraId="4FFC277B" w14:textId="77777777" w:rsidR="00B419CE" w:rsidRPr="00B419CE" w:rsidRDefault="00B419CE" w:rsidP="00A2297F">
            <w:pPr>
              <w:jc w:val="right"/>
            </w:pPr>
            <w:r w:rsidRPr="00B419CE">
              <w:t>137 384</w:t>
            </w:r>
          </w:p>
        </w:tc>
      </w:tr>
      <w:tr w:rsidR="00B419CE" w:rsidRPr="00B419CE" w14:paraId="090EAC9A" w14:textId="77777777" w:rsidTr="00A2297F">
        <w:trPr>
          <w:trHeight w:val="380"/>
        </w:trPr>
        <w:tc>
          <w:tcPr>
            <w:tcW w:w="5200" w:type="dxa"/>
          </w:tcPr>
          <w:p w14:paraId="2B499274" w14:textId="77777777" w:rsidR="00B419CE" w:rsidRPr="00B419CE" w:rsidRDefault="00B419CE" w:rsidP="00A2297F">
            <w:r w:rsidRPr="00B419CE">
              <w:t>Tal på beslag</w:t>
            </w:r>
          </w:p>
        </w:tc>
        <w:tc>
          <w:tcPr>
            <w:tcW w:w="1300" w:type="dxa"/>
          </w:tcPr>
          <w:p w14:paraId="40843858" w14:textId="77777777" w:rsidR="00B419CE" w:rsidRPr="00B419CE" w:rsidRDefault="00B419CE" w:rsidP="00A2297F">
            <w:pPr>
              <w:jc w:val="right"/>
            </w:pPr>
            <w:r w:rsidRPr="00B419CE">
              <w:t>37 811</w:t>
            </w:r>
          </w:p>
        </w:tc>
        <w:tc>
          <w:tcPr>
            <w:tcW w:w="1300" w:type="dxa"/>
          </w:tcPr>
          <w:p w14:paraId="2B725765" w14:textId="77777777" w:rsidR="00B419CE" w:rsidRPr="00B419CE" w:rsidRDefault="00B419CE" w:rsidP="00A2297F">
            <w:pPr>
              <w:jc w:val="right"/>
            </w:pPr>
            <w:r w:rsidRPr="00B419CE">
              <w:t>36 669</w:t>
            </w:r>
          </w:p>
        </w:tc>
        <w:tc>
          <w:tcPr>
            <w:tcW w:w="1300" w:type="dxa"/>
          </w:tcPr>
          <w:p w14:paraId="5C8F85D9" w14:textId="77777777" w:rsidR="00B419CE" w:rsidRPr="00B419CE" w:rsidRDefault="00B419CE" w:rsidP="00A2297F">
            <w:pPr>
              <w:jc w:val="right"/>
            </w:pPr>
            <w:r w:rsidRPr="00B419CE">
              <w:t>19 316</w:t>
            </w:r>
          </w:p>
        </w:tc>
      </w:tr>
      <w:tr w:rsidR="00B419CE" w:rsidRPr="00B419CE" w14:paraId="037E3014" w14:textId="77777777" w:rsidTr="00A2297F">
        <w:trPr>
          <w:trHeight w:val="380"/>
        </w:trPr>
        <w:tc>
          <w:tcPr>
            <w:tcW w:w="5200" w:type="dxa"/>
          </w:tcPr>
          <w:p w14:paraId="13005076" w14:textId="77777777" w:rsidR="00B419CE" w:rsidRPr="00B419CE" w:rsidRDefault="00B419CE" w:rsidP="00A2297F">
            <w:r w:rsidRPr="00B419CE">
              <w:t xml:space="preserve">Tal på treff i kontroll av </w:t>
            </w:r>
            <w:proofErr w:type="spellStart"/>
            <w:r w:rsidRPr="00B419CE">
              <w:t>reisande</w:t>
            </w:r>
            <w:proofErr w:type="spellEnd"/>
          </w:p>
        </w:tc>
        <w:tc>
          <w:tcPr>
            <w:tcW w:w="1300" w:type="dxa"/>
          </w:tcPr>
          <w:p w14:paraId="0E1B8168" w14:textId="77777777" w:rsidR="00B419CE" w:rsidRPr="00B419CE" w:rsidRDefault="00B419CE" w:rsidP="00A2297F">
            <w:pPr>
              <w:jc w:val="right"/>
            </w:pPr>
            <w:r w:rsidRPr="00B419CE">
              <w:t>16 114</w:t>
            </w:r>
          </w:p>
        </w:tc>
        <w:tc>
          <w:tcPr>
            <w:tcW w:w="1300" w:type="dxa"/>
          </w:tcPr>
          <w:p w14:paraId="504031A5" w14:textId="77777777" w:rsidR="00B419CE" w:rsidRPr="00B419CE" w:rsidRDefault="00B419CE" w:rsidP="00A2297F">
            <w:pPr>
              <w:jc w:val="right"/>
            </w:pPr>
            <w:r w:rsidRPr="00B419CE">
              <w:t>16 006</w:t>
            </w:r>
          </w:p>
        </w:tc>
        <w:tc>
          <w:tcPr>
            <w:tcW w:w="1300" w:type="dxa"/>
          </w:tcPr>
          <w:p w14:paraId="49BD6FFE" w14:textId="77777777" w:rsidR="00B419CE" w:rsidRPr="00B419CE" w:rsidRDefault="00B419CE" w:rsidP="00A2297F">
            <w:pPr>
              <w:jc w:val="right"/>
            </w:pPr>
            <w:r w:rsidRPr="00B419CE">
              <w:t>6 382</w:t>
            </w:r>
          </w:p>
        </w:tc>
      </w:tr>
      <w:tr w:rsidR="00B419CE" w:rsidRPr="00B419CE" w14:paraId="7F561ADF" w14:textId="77777777" w:rsidTr="00A2297F">
        <w:trPr>
          <w:trHeight w:val="380"/>
        </w:trPr>
        <w:tc>
          <w:tcPr>
            <w:tcW w:w="5200" w:type="dxa"/>
          </w:tcPr>
          <w:p w14:paraId="1B0729B6" w14:textId="77777777" w:rsidR="00B419CE" w:rsidRPr="00B419CE" w:rsidRDefault="00B419CE" w:rsidP="00A2297F">
            <w:r w:rsidRPr="00B419CE">
              <w:t xml:space="preserve">Tal på treff i kontroll av gods og </w:t>
            </w:r>
            <w:proofErr w:type="spellStart"/>
            <w:r w:rsidRPr="00B419CE">
              <w:t>kurér</w:t>
            </w:r>
            <w:proofErr w:type="spellEnd"/>
          </w:p>
        </w:tc>
        <w:tc>
          <w:tcPr>
            <w:tcW w:w="1300" w:type="dxa"/>
          </w:tcPr>
          <w:p w14:paraId="7CD7F8AA" w14:textId="77777777" w:rsidR="00B419CE" w:rsidRPr="00B419CE" w:rsidRDefault="00B419CE" w:rsidP="00A2297F">
            <w:pPr>
              <w:jc w:val="right"/>
            </w:pPr>
            <w:r w:rsidRPr="00B419CE">
              <w:t>594</w:t>
            </w:r>
          </w:p>
        </w:tc>
        <w:tc>
          <w:tcPr>
            <w:tcW w:w="1300" w:type="dxa"/>
          </w:tcPr>
          <w:p w14:paraId="046B91E4" w14:textId="77777777" w:rsidR="00B419CE" w:rsidRPr="00B419CE" w:rsidRDefault="00B419CE" w:rsidP="00A2297F">
            <w:pPr>
              <w:jc w:val="right"/>
            </w:pPr>
            <w:r w:rsidRPr="00B419CE">
              <w:t>631</w:t>
            </w:r>
          </w:p>
        </w:tc>
        <w:tc>
          <w:tcPr>
            <w:tcW w:w="1300" w:type="dxa"/>
          </w:tcPr>
          <w:p w14:paraId="2DC87C52" w14:textId="77777777" w:rsidR="00B419CE" w:rsidRPr="00B419CE" w:rsidRDefault="00B419CE" w:rsidP="00A2297F">
            <w:pPr>
              <w:jc w:val="right"/>
            </w:pPr>
            <w:r w:rsidRPr="00B419CE">
              <w:t>622</w:t>
            </w:r>
          </w:p>
        </w:tc>
      </w:tr>
      <w:tr w:rsidR="00B419CE" w:rsidRPr="00B419CE" w14:paraId="7834342C" w14:textId="77777777" w:rsidTr="00A2297F">
        <w:trPr>
          <w:trHeight w:val="380"/>
        </w:trPr>
        <w:tc>
          <w:tcPr>
            <w:tcW w:w="5200" w:type="dxa"/>
          </w:tcPr>
          <w:p w14:paraId="2551C8FC" w14:textId="77777777" w:rsidR="00B419CE" w:rsidRPr="00B419CE" w:rsidRDefault="00B419CE" w:rsidP="00A2297F">
            <w:r w:rsidRPr="00B419CE">
              <w:t>Tal på treff i kontroll av transportmiddel</w:t>
            </w:r>
          </w:p>
        </w:tc>
        <w:tc>
          <w:tcPr>
            <w:tcW w:w="1300" w:type="dxa"/>
          </w:tcPr>
          <w:p w14:paraId="4D983BA5" w14:textId="77777777" w:rsidR="00B419CE" w:rsidRPr="00B419CE" w:rsidRDefault="00B419CE" w:rsidP="00A2297F">
            <w:pPr>
              <w:jc w:val="right"/>
            </w:pPr>
            <w:r w:rsidRPr="00B419CE">
              <w:t>7 100</w:t>
            </w:r>
          </w:p>
        </w:tc>
        <w:tc>
          <w:tcPr>
            <w:tcW w:w="1300" w:type="dxa"/>
          </w:tcPr>
          <w:p w14:paraId="64350972" w14:textId="77777777" w:rsidR="00B419CE" w:rsidRPr="00B419CE" w:rsidRDefault="00B419CE" w:rsidP="00A2297F">
            <w:pPr>
              <w:jc w:val="right"/>
            </w:pPr>
            <w:r w:rsidRPr="00B419CE">
              <w:t>7 541</w:t>
            </w:r>
          </w:p>
        </w:tc>
        <w:tc>
          <w:tcPr>
            <w:tcW w:w="1300" w:type="dxa"/>
          </w:tcPr>
          <w:p w14:paraId="61B858D1" w14:textId="77777777" w:rsidR="00B419CE" w:rsidRPr="00B419CE" w:rsidRDefault="00B419CE" w:rsidP="00A2297F">
            <w:pPr>
              <w:jc w:val="right"/>
            </w:pPr>
            <w:r w:rsidRPr="00B419CE">
              <w:t>3 951</w:t>
            </w:r>
          </w:p>
        </w:tc>
      </w:tr>
      <w:tr w:rsidR="00B419CE" w:rsidRPr="00B419CE" w14:paraId="75E48E2B" w14:textId="77777777" w:rsidTr="00A2297F">
        <w:trPr>
          <w:trHeight w:val="380"/>
        </w:trPr>
        <w:tc>
          <w:tcPr>
            <w:tcW w:w="5200" w:type="dxa"/>
          </w:tcPr>
          <w:p w14:paraId="05C26B8E" w14:textId="77777777" w:rsidR="00B419CE" w:rsidRPr="00B419CE" w:rsidRDefault="00B419CE" w:rsidP="00A2297F">
            <w:r w:rsidRPr="00B419CE">
              <w:t>Tal på treff i kontroll av post</w:t>
            </w:r>
          </w:p>
        </w:tc>
        <w:tc>
          <w:tcPr>
            <w:tcW w:w="1300" w:type="dxa"/>
          </w:tcPr>
          <w:p w14:paraId="0EA4EBE6" w14:textId="77777777" w:rsidR="00B419CE" w:rsidRPr="00B419CE" w:rsidRDefault="00B419CE" w:rsidP="00A2297F">
            <w:pPr>
              <w:jc w:val="right"/>
            </w:pPr>
            <w:r w:rsidRPr="00B419CE">
              <w:t>12 086</w:t>
            </w:r>
          </w:p>
        </w:tc>
        <w:tc>
          <w:tcPr>
            <w:tcW w:w="1300" w:type="dxa"/>
          </w:tcPr>
          <w:p w14:paraId="67FA8AB4" w14:textId="77777777" w:rsidR="00B419CE" w:rsidRPr="00B419CE" w:rsidRDefault="00B419CE" w:rsidP="00A2297F">
            <w:pPr>
              <w:jc w:val="right"/>
            </w:pPr>
            <w:r w:rsidRPr="00B419CE">
              <w:t>9 193</w:t>
            </w:r>
          </w:p>
        </w:tc>
        <w:tc>
          <w:tcPr>
            <w:tcW w:w="1300" w:type="dxa"/>
          </w:tcPr>
          <w:p w14:paraId="11A8056B" w14:textId="77777777" w:rsidR="00B419CE" w:rsidRPr="00B419CE" w:rsidRDefault="00B419CE" w:rsidP="00A2297F">
            <w:pPr>
              <w:jc w:val="right"/>
            </w:pPr>
            <w:r w:rsidRPr="00B419CE">
              <w:t>12 158</w:t>
            </w:r>
          </w:p>
        </w:tc>
      </w:tr>
      <w:tr w:rsidR="00B419CE" w:rsidRPr="00B419CE" w14:paraId="24EF5C94" w14:textId="77777777" w:rsidTr="00A2297F">
        <w:trPr>
          <w:trHeight w:val="380"/>
        </w:trPr>
        <w:tc>
          <w:tcPr>
            <w:tcW w:w="5200" w:type="dxa"/>
          </w:tcPr>
          <w:p w14:paraId="5C2EFF94" w14:textId="77777777" w:rsidR="00B419CE" w:rsidRPr="00B419CE" w:rsidRDefault="00B419CE" w:rsidP="00A2297F">
            <w:r w:rsidRPr="00B419CE">
              <w:t xml:space="preserve">Tal på </w:t>
            </w:r>
            <w:proofErr w:type="spellStart"/>
            <w:r w:rsidRPr="00B419CE">
              <w:t>lovbrot</w:t>
            </w:r>
            <w:proofErr w:type="spellEnd"/>
            <w:r w:rsidRPr="00B419CE">
              <w:t xml:space="preserve"> melde til politiet</w:t>
            </w:r>
            <w:r w:rsidRPr="00B419CE">
              <w:rPr>
                <w:rStyle w:val="skrift-hevet"/>
              </w:rPr>
              <w:t>1</w:t>
            </w:r>
          </w:p>
        </w:tc>
        <w:tc>
          <w:tcPr>
            <w:tcW w:w="1300" w:type="dxa"/>
          </w:tcPr>
          <w:p w14:paraId="120FC9A1" w14:textId="77777777" w:rsidR="00B419CE" w:rsidRPr="00B419CE" w:rsidRDefault="00B419CE" w:rsidP="00A2297F">
            <w:pPr>
              <w:jc w:val="right"/>
            </w:pPr>
            <w:r w:rsidRPr="00B419CE">
              <w:t>7 051</w:t>
            </w:r>
          </w:p>
        </w:tc>
        <w:tc>
          <w:tcPr>
            <w:tcW w:w="1300" w:type="dxa"/>
          </w:tcPr>
          <w:p w14:paraId="02B6D872" w14:textId="77777777" w:rsidR="00B419CE" w:rsidRPr="00B419CE" w:rsidRDefault="00B419CE" w:rsidP="00A2297F">
            <w:pPr>
              <w:jc w:val="right"/>
            </w:pPr>
            <w:r w:rsidRPr="00B419CE">
              <w:t>6 214</w:t>
            </w:r>
          </w:p>
        </w:tc>
        <w:tc>
          <w:tcPr>
            <w:tcW w:w="1300" w:type="dxa"/>
          </w:tcPr>
          <w:p w14:paraId="3B9A2E4F" w14:textId="77777777" w:rsidR="00B419CE" w:rsidRPr="00B419CE" w:rsidRDefault="00B419CE" w:rsidP="00A2297F">
            <w:pPr>
              <w:jc w:val="right"/>
            </w:pPr>
            <w:r w:rsidRPr="00B419CE">
              <w:t>4 754</w:t>
            </w:r>
          </w:p>
        </w:tc>
      </w:tr>
      <w:tr w:rsidR="00B419CE" w:rsidRPr="00B419CE" w14:paraId="6FD8CCDA" w14:textId="77777777" w:rsidTr="00A2297F">
        <w:trPr>
          <w:trHeight w:val="380"/>
        </w:trPr>
        <w:tc>
          <w:tcPr>
            <w:tcW w:w="5200" w:type="dxa"/>
          </w:tcPr>
          <w:p w14:paraId="0DBF5603" w14:textId="77777777" w:rsidR="00B419CE" w:rsidRPr="00B419CE" w:rsidRDefault="00B419CE" w:rsidP="00A2297F">
            <w:r w:rsidRPr="00B419CE">
              <w:t xml:space="preserve">Tal på avdekte, </w:t>
            </w:r>
            <w:proofErr w:type="spellStart"/>
            <w:r w:rsidRPr="00B419CE">
              <w:t>alvorlege</w:t>
            </w:r>
            <w:proofErr w:type="spellEnd"/>
            <w:r w:rsidRPr="00B419CE">
              <w:t xml:space="preserve"> </w:t>
            </w:r>
            <w:proofErr w:type="spellStart"/>
            <w:r w:rsidRPr="00B419CE">
              <w:t>lovbrot</w:t>
            </w:r>
            <w:proofErr w:type="spellEnd"/>
            <w:r w:rsidRPr="00B419CE">
              <w:t xml:space="preserve"> </w:t>
            </w:r>
          </w:p>
        </w:tc>
        <w:tc>
          <w:tcPr>
            <w:tcW w:w="1300" w:type="dxa"/>
          </w:tcPr>
          <w:p w14:paraId="00536612" w14:textId="77777777" w:rsidR="00B419CE" w:rsidRPr="00B419CE" w:rsidRDefault="00B419CE" w:rsidP="00A2297F">
            <w:pPr>
              <w:jc w:val="right"/>
            </w:pPr>
            <w:r w:rsidRPr="00B419CE">
              <w:t>609</w:t>
            </w:r>
          </w:p>
        </w:tc>
        <w:tc>
          <w:tcPr>
            <w:tcW w:w="1300" w:type="dxa"/>
          </w:tcPr>
          <w:p w14:paraId="1A7F5DC4" w14:textId="77777777" w:rsidR="00B419CE" w:rsidRPr="00B419CE" w:rsidRDefault="00B419CE" w:rsidP="00A2297F">
            <w:pPr>
              <w:jc w:val="right"/>
            </w:pPr>
            <w:r w:rsidRPr="00B419CE">
              <w:t>637</w:t>
            </w:r>
          </w:p>
        </w:tc>
        <w:tc>
          <w:tcPr>
            <w:tcW w:w="1300" w:type="dxa"/>
          </w:tcPr>
          <w:p w14:paraId="233CD58A" w14:textId="77777777" w:rsidR="00B419CE" w:rsidRPr="00B419CE" w:rsidRDefault="00B419CE" w:rsidP="00A2297F">
            <w:pPr>
              <w:jc w:val="right"/>
            </w:pPr>
            <w:r w:rsidRPr="00B419CE">
              <w:t>406</w:t>
            </w:r>
          </w:p>
        </w:tc>
      </w:tr>
    </w:tbl>
    <w:p w14:paraId="6B37C2AD" w14:textId="77777777" w:rsidR="00B419CE" w:rsidRPr="00B419CE" w:rsidRDefault="00B419CE" w:rsidP="00B419CE">
      <w:pPr>
        <w:pStyle w:val="tabell-noter"/>
      </w:pPr>
      <w:r w:rsidRPr="00B419CE">
        <w:rPr>
          <w:rStyle w:val="skrift-hevet"/>
        </w:rPr>
        <w:t>1</w:t>
      </w:r>
      <w:r w:rsidRPr="00B419CE">
        <w:t xml:space="preserve"> </w:t>
      </w:r>
      <w:r w:rsidRPr="00B419CE">
        <w:tab/>
      </w:r>
      <w:proofErr w:type="spellStart"/>
      <w:r w:rsidRPr="00B419CE">
        <w:t>Lovbrot</w:t>
      </w:r>
      <w:proofErr w:type="spellEnd"/>
      <w:r w:rsidRPr="00B419CE">
        <w:t xml:space="preserve"> melde til politiet, vert vurdert som </w:t>
      </w:r>
      <w:proofErr w:type="spellStart"/>
      <w:r w:rsidRPr="00B419CE">
        <w:t>alvorleg</w:t>
      </w:r>
      <w:proofErr w:type="spellEnd"/>
      <w:r w:rsidRPr="00B419CE">
        <w:t xml:space="preserve"> dersom det overstig </w:t>
      </w:r>
      <w:proofErr w:type="spellStart"/>
      <w:r w:rsidRPr="00B419CE">
        <w:t>ein</w:t>
      </w:r>
      <w:proofErr w:type="spellEnd"/>
      <w:r w:rsidRPr="00B419CE">
        <w:t xml:space="preserve"> fast definert terskelverdi for mengde varer.</w:t>
      </w:r>
    </w:p>
    <w:p w14:paraId="55344DE0" w14:textId="4596F55E" w:rsidR="00B419CE" w:rsidRDefault="00B419CE" w:rsidP="00B419CE">
      <w:r w:rsidRPr="00B419CE">
        <w:t xml:space="preserve">Det samla </w:t>
      </w:r>
      <w:proofErr w:type="spellStart"/>
      <w:r w:rsidRPr="00B419CE">
        <w:t>talet</w:t>
      </w:r>
      <w:proofErr w:type="spellEnd"/>
      <w:r w:rsidRPr="00B419CE">
        <w:t xml:space="preserve"> på </w:t>
      </w:r>
      <w:proofErr w:type="spellStart"/>
      <w:r w:rsidRPr="00B419CE">
        <w:t>kontrollar</w:t>
      </w:r>
      <w:proofErr w:type="spellEnd"/>
      <w:r w:rsidRPr="00B419CE">
        <w:t xml:space="preserve"> og </w:t>
      </w:r>
      <w:proofErr w:type="spellStart"/>
      <w:r w:rsidRPr="00B419CE">
        <w:t>talet</w:t>
      </w:r>
      <w:proofErr w:type="spellEnd"/>
      <w:r w:rsidRPr="00B419CE">
        <w:t xml:space="preserve"> på beslag var </w:t>
      </w:r>
      <w:proofErr w:type="spellStart"/>
      <w:r w:rsidRPr="00B419CE">
        <w:t>vesentleg</w:t>
      </w:r>
      <w:proofErr w:type="spellEnd"/>
      <w:r w:rsidRPr="00B419CE">
        <w:t xml:space="preserve"> </w:t>
      </w:r>
      <w:proofErr w:type="spellStart"/>
      <w:r w:rsidRPr="00B419CE">
        <w:t>lågare</w:t>
      </w:r>
      <w:proofErr w:type="spellEnd"/>
      <w:r w:rsidRPr="00B419CE">
        <w:t xml:space="preserve"> i 2020 enn i 2019 og 2018, </w:t>
      </w:r>
      <w:proofErr w:type="spellStart"/>
      <w:r w:rsidRPr="00B419CE">
        <w:t>noko</w:t>
      </w:r>
      <w:proofErr w:type="spellEnd"/>
      <w:r w:rsidRPr="00B419CE">
        <w:t xml:space="preserve"> som må </w:t>
      </w:r>
      <w:proofErr w:type="spellStart"/>
      <w:r w:rsidRPr="00B419CE">
        <w:t>sjåast</w:t>
      </w:r>
      <w:proofErr w:type="spellEnd"/>
      <w:r w:rsidRPr="00B419CE">
        <w:t xml:space="preserve"> i </w:t>
      </w:r>
      <w:proofErr w:type="spellStart"/>
      <w:r w:rsidRPr="00B419CE">
        <w:t>samanheng</w:t>
      </w:r>
      <w:proofErr w:type="spellEnd"/>
      <w:r w:rsidRPr="00B419CE">
        <w:t xml:space="preserve"> med reduksjonen i </w:t>
      </w:r>
      <w:proofErr w:type="spellStart"/>
      <w:r w:rsidRPr="00B419CE">
        <w:t>grensekryssande</w:t>
      </w:r>
      <w:proofErr w:type="spellEnd"/>
      <w:r w:rsidRPr="00B419CE">
        <w:t xml:space="preserve"> trafikk under koronapandemien. </w:t>
      </w:r>
      <w:proofErr w:type="spellStart"/>
      <w:r w:rsidRPr="00B419CE">
        <w:t>Talet</w:t>
      </w:r>
      <w:proofErr w:type="spellEnd"/>
      <w:r w:rsidRPr="00B419CE">
        <w:t xml:space="preserve"> på treff er òg </w:t>
      </w:r>
      <w:proofErr w:type="spellStart"/>
      <w:r w:rsidRPr="00B419CE">
        <w:t>lågare</w:t>
      </w:r>
      <w:proofErr w:type="spellEnd"/>
      <w:r w:rsidRPr="00B419CE">
        <w:t xml:space="preserve"> enn i 2019, </w:t>
      </w:r>
      <w:proofErr w:type="spellStart"/>
      <w:r w:rsidRPr="00B419CE">
        <w:t>utanom</w:t>
      </w:r>
      <w:proofErr w:type="spellEnd"/>
      <w:r w:rsidRPr="00B419CE">
        <w:t xml:space="preserve"> tal på treff i kontroll av post som hadde </w:t>
      </w:r>
      <w:proofErr w:type="spellStart"/>
      <w:r w:rsidRPr="00B419CE">
        <w:t>ein</w:t>
      </w:r>
      <w:proofErr w:type="spellEnd"/>
      <w:r w:rsidRPr="00B419CE">
        <w:t xml:space="preserve"> </w:t>
      </w:r>
      <w:proofErr w:type="spellStart"/>
      <w:r w:rsidRPr="00B419CE">
        <w:t>auke</w:t>
      </w:r>
      <w:proofErr w:type="spellEnd"/>
      <w:r w:rsidRPr="00B419CE">
        <w:t xml:space="preserve"> i 2020. Oppgangen har </w:t>
      </w:r>
      <w:proofErr w:type="spellStart"/>
      <w:r w:rsidRPr="00B419CE">
        <w:t>samanheng</w:t>
      </w:r>
      <w:proofErr w:type="spellEnd"/>
      <w:r w:rsidRPr="00B419CE">
        <w:t xml:space="preserve"> med </w:t>
      </w:r>
      <w:proofErr w:type="spellStart"/>
      <w:r w:rsidRPr="00B419CE">
        <w:t>auka</w:t>
      </w:r>
      <w:proofErr w:type="spellEnd"/>
      <w:r w:rsidRPr="00B419CE">
        <w:t xml:space="preserve"> netthandel under pandemien.</w:t>
      </w:r>
    </w:p>
    <w:p w14:paraId="4B4FFB54" w14:textId="566999BC" w:rsidR="00A2297F" w:rsidRPr="00B419CE" w:rsidRDefault="00A2297F" w:rsidP="00A2297F">
      <w:pPr>
        <w:pStyle w:val="tabell-tittel"/>
      </w:pPr>
      <w:r w:rsidRPr="00B419CE">
        <w:t>Tolletaten – grensekontroll – beslagsstatistikk</w:t>
      </w:r>
    </w:p>
    <w:p w14:paraId="529C5AEC" w14:textId="77777777" w:rsidR="00B419CE" w:rsidRPr="00B419CE" w:rsidRDefault="00B419CE" w:rsidP="00B419CE">
      <w:pPr>
        <w:pStyle w:val="Tabellnavn"/>
      </w:pPr>
      <w:r w:rsidRPr="00B419CE">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419CE" w:rsidRPr="00B419CE" w14:paraId="72999C73" w14:textId="77777777" w:rsidTr="00A2297F">
        <w:trPr>
          <w:trHeight w:val="360"/>
        </w:trPr>
        <w:tc>
          <w:tcPr>
            <w:tcW w:w="5200" w:type="dxa"/>
            <w:shd w:val="clear" w:color="auto" w:fill="FFFFFF"/>
          </w:tcPr>
          <w:p w14:paraId="35E44F88" w14:textId="77777777" w:rsidR="00B419CE" w:rsidRPr="00B419CE" w:rsidRDefault="00B419CE" w:rsidP="00A2297F">
            <w:r w:rsidRPr="00B419CE">
              <w:lastRenderedPageBreak/>
              <w:t>År</w:t>
            </w:r>
          </w:p>
        </w:tc>
        <w:tc>
          <w:tcPr>
            <w:tcW w:w="1300" w:type="dxa"/>
          </w:tcPr>
          <w:p w14:paraId="12CBEED9" w14:textId="77777777" w:rsidR="00B419CE" w:rsidRPr="00B419CE" w:rsidRDefault="00B419CE" w:rsidP="00A2297F">
            <w:pPr>
              <w:jc w:val="right"/>
            </w:pPr>
            <w:r w:rsidRPr="00B419CE">
              <w:t>2018</w:t>
            </w:r>
          </w:p>
        </w:tc>
        <w:tc>
          <w:tcPr>
            <w:tcW w:w="1300" w:type="dxa"/>
          </w:tcPr>
          <w:p w14:paraId="3496B786" w14:textId="77777777" w:rsidR="00B419CE" w:rsidRPr="00B419CE" w:rsidRDefault="00B419CE" w:rsidP="00A2297F">
            <w:pPr>
              <w:jc w:val="right"/>
            </w:pPr>
            <w:r w:rsidRPr="00B419CE">
              <w:t>2019</w:t>
            </w:r>
          </w:p>
        </w:tc>
        <w:tc>
          <w:tcPr>
            <w:tcW w:w="1300" w:type="dxa"/>
          </w:tcPr>
          <w:p w14:paraId="150B6E78" w14:textId="77777777" w:rsidR="00B419CE" w:rsidRPr="00B419CE" w:rsidRDefault="00B419CE" w:rsidP="00A2297F">
            <w:pPr>
              <w:jc w:val="right"/>
            </w:pPr>
            <w:r w:rsidRPr="00B419CE">
              <w:t>2020</w:t>
            </w:r>
          </w:p>
        </w:tc>
      </w:tr>
      <w:tr w:rsidR="00B419CE" w:rsidRPr="00B419CE" w14:paraId="0C6B40A2" w14:textId="77777777" w:rsidTr="00A2297F">
        <w:trPr>
          <w:trHeight w:val="380"/>
        </w:trPr>
        <w:tc>
          <w:tcPr>
            <w:tcW w:w="5200" w:type="dxa"/>
          </w:tcPr>
          <w:p w14:paraId="0A13E416" w14:textId="77777777" w:rsidR="00B419CE" w:rsidRPr="00B419CE" w:rsidRDefault="00B419CE" w:rsidP="00A2297F">
            <w:r w:rsidRPr="00B419CE">
              <w:t>Tal på narkotikabeslag</w:t>
            </w:r>
          </w:p>
        </w:tc>
        <w:tc>
          <w:tcPr>
            <w:tcW w:w="1300" w:type="dxa"/>
          </w:tcPr>
          <w:p w14:paraId="3821E0A8" w14:textId="77777777" w:rsidR="00B419CE" w:rsidRPr="00B419CE" w:rsidRDefault="00B419CE" w:rsidP="00A2297F">
            <w:pPr>
              <w:jc w:val="right"/>
            </w:pPr>
            <w:r w:rsidRPr="00B419CE">
              <w:t>4 222</w:t>
            </w:r>
          </w:p>
        </w:tc>
        <w:tc>
          <w:tcPr>
            <w:tcW w:w="1300" w:type="dxa"/>
          </w:tcPr>
          <w:p w14:paraId="06B45D82" w14:textId="77777777" w:rsidR="00B419CE" w:rsidRPr="00B419CE" w:rsidRDefault="00B419CE" w:rsidP="00A2297F">
            <w:pPr>
              <w:jc w:val="right"/>
            </w:pPr>
            <w:r w:rsidRPr="00B419CE">
              <w:t>3 736</w:t>
            </w:r>
          </w:p>
        </w:tc>
        <w:tc>
          <w:tcPr>
            <w:tcW w:w="1300" w:type="dxa"/>
          </w:tcPr>
          <w:p w14:paraId="5073FAD9" w14:textId="77777777" w:rsidR="00B419CE" w:rsidRPr="00B419CE" w:rsidRDefault="00B419CE" w:rsidP="00A2297F">
            <w:pPr>
              <w:jc w:val="right"/>
            </w:pPr>
            <w:r w:rsidRPr="00B419CE">
              <w:t>2 897</w:t>
            </w:r>
          </w:p>
        </w:tc>
      </w:tr>
      <w:tr w:rsidR="00B419CE" w:rsidRPr="00B419CE" w14:paraId="1253FF50" w14:textId="77777777" w:rsidTr="00A2297F">
        <w:trPr>
          <w:trHeight w:val="380"/>
        </w:trPr>
        <w:tc>
          <w:tcPr>
            <w:tcW w:w="5200" w:type="dxa"/>
          </w:tcPr>
          <w:p w14:paraId="099B4C9D" w14:textId="77777777" w:rsidR="00B419CE" w:rsidRPr="00B419CE" w:rsidRDefault="00B419CE" w:rsidP="00A2297F">
            <w:r w:rsidRPr="00B419CE">
              <w:t>Dopingmiddel (</w:t>
            </w:r>
            <w:proofErr w:type="spellStart"/>
            <w:r w:rsidRPr="00B419CE">
              <w:t>einingar</w:t>
            </w:r>
            <w:proofErr w:type="spellEnd"/>
            <w:r w:rsidRPr="00B419CE">
              <w:t xml:space="preserve">) </w:t>
            </w:r>
          </w:p>
        </w:tc>
        <w:tc>
          <w:tcPr>
            <w:tcW w:w="1300" w:type="dxa"/>
          </w:tcPr>
          <w:p w14:paraId="25D6DAA2" w14:textId="77777777" w:rsidR="00B419CE" w:rsidRPr="00B419CE" w:rsidRDefault="00B419CE" w:rsidP="00A2297F">
            <w:pPr>
              <w:jc w:val="right"/>
            </w:pPr>
            <w:r w:rsidRPr="00B419CE">
              <w:t>155 000</w:t>
            </w:r>
          </w:p>
        </w:tc>
        <w:tc>
          <w:tcPr>
            <w:tcW w:w="1300" w:type="dxa"/>
          </w:tcPr>
          <w:p w14:paraId="3E8E4A26" w14:textId="77777777" w:rsidR="00B419CE" w:rsidRPr="00B419CE" w:rsidRDefault="00B419CE" w:rsidP="00A2297F">
            <w:pPr>
              <w:jc w:val="right"/>
            </w:pPr>
            <w:r w:rsidRPr="00B419CE">
              <w:t>106 943</w:t>
            </w:r>
          </w:p>
        </w:tc>
        <w:tc>
          <w:tcPr>
            <w:tcW w:w="1300" w:type="dxa"/>
          </w:tcPr>
          <w:p w14:paraId="73BF70B7" w14:textId="77777777" w:rsidR="00B419CE" w:rsidRPr="00B419CE" w:rsidRDefault="00B419CE" w:rsidP="00A2297F">
            <w:pPr>
              <w:jc w:val="right"/>
            </w:pPr>
            <w:r w:rsidRPr="00B419CE">
              <w:t>80 762</w:t>
            </w:r>
          </w:p>
        </w:tc>
      </w:tr>
      <w:tr w:rsidR="00B419CE" w:rsidRPr="00B419CE" w14:paraId="32476B10" w14:textId="77777777" w:rsidTr="00A2297F">
        <w:trPr>
          <w:trHeight w:val="380"/>
        </w:trPr>
        <w:tc>
          <w:tcPr>
            <w:tcW w:w="5200" w:type="dxa"/>
          </w:tcPr>
          <w:p w14:paraId="3B766A04" w14:textId="77777777" w:rsidR="00B419CE" w:rsidRPr="00B419CE" w:rsidRDefault="00B419CE" w:rsidP="00A2297F">
            <w:r w:rsidRPr="00B419CE">
              <w:t>Farmasøytiske preparat (</w:t>
            </w:r>
            <w:proofErr w:type="spellStart"/>
            <w:r w:rsidRPr="00B419CE">
              <w:t>einingar</w:t>
            </w:r>
            <w:proofErr w:type="spellEnd"/>
            <w:r w:rsidRPr="00B419CE">
              <w:t>)</w:t>
            </w:r>
          </w:p>
        </w:tc>
        <w:tc>
          <w:tcPr>
            <w:tcW w:w="1300" w:type="dxa"/>
          </w:tcPr>
          <w:p w14:paraId="48CE0002" w14:textId="77777777" w:rsidR="00B419CE" w:rsidRPr="00B419CE" w:rsidRDefault="00B419CE" w:rsidP="00A2297F">
            <w:pPr>
              <w:jc w:val="right"/>
            </w:pPr>
            <w:r w:rsidRPr="00B419CE">
              <w:t>183 396</w:t>
            </w:r>
          </w:p>
        </w:tc>
        <w:tc>
          <w:tcPr>
            <w:tcW w:w="1300" w:type="dxa"/>
          </w:tcPr>
          <w:p w14:paraId="21E31D6D" w14:textId="77777777" w:rsidR="00B419CE" w:rsidRPr="00B419CE" w:rsidRDefault="00B419CE" w:rsidP="00A2297F">
            <w:pPr>
              <w:jc w:val="right"/>
            </w:pPr>
            <w:r w:rsidRPr="00B419CE">
              <w:t>972 720</w:t>
            </w:r>
          </w:p>
        </w:tc>
        <w:tc>
          <w:tcPr>
            <w:tcW w:w="1300" w:type="dxa"/>
          </w:tcPr>
          <w:p w14:paraId="20ECAA21" w14:textId="77777777" w:rsidR="00B419CE" w:rsidRPr="00B419CE" w:rsidRDefault="00B419CE" w:rsidP="00A2297F">
            <w:pPr>
              <w:jc w:val="right"/>
            </w:pPr>
            <w:r w:rsidRPr="00B419CE">
              <w:t>49 242</w:t>
            </w:r>
          </w:p>
        </w:tc>
      </w:tr>
      <w:tr w:rsidR="00B419CE" w:rsidRPr="00B419CE" w14:paraId="64C71792" w14:textId="77777777" w:rsidTr="00A2297F">
        <w:trPr>
          <w:trHeight w:val="380"/>
        </w:trPr>
        <w:tc>
          <w:tcPr>
            <w:tcW w:w="5200" w:type="dxa"/>
          </w:tcPr>
          <w:p w14:paraId="78E30BB1" w14:textId="77777777" w:rsidR="00B419CE" w:rsidRPr="00B419CE" w:rsidRDefault="00B419CE" w:rsidP="00A2297F">
            <w:r w:rsidRPr="00B419CE">
              <w:t>Brennevin</w:t>
            </w:r>
            <w:r w:rsidRPr="00B419CE">
              <w:rPr>
                <w:rStyle w:val="skrift-hevet"/>
              </w:rPr>
              <w:t>1</w:t>
            </w:r>
            <w:r w:rsidRPr="00B419CE">
              <w:t xml:space="preserve"> (i liter)</w:t>
            </w:r>
          </w:p>
        </w:tc>
        <w:tc>
          <w:tcPr>
            <w:tcW w:w="1300" w:type="dxa"/>
          </w:tcPr>
          <w:p w14:paraId="39447F0F" w14:textId="77777777" w:rsidR="00B419CE" w:rsidRPr="00B419CE" w:rsidRDefault="00B419CE" w:rsidP="00A2297F">
            <w:pPr>
              <w:jc w:val="right"/>
            </w:pPr>
            <w:r w:rsidRPr="00B419CE">
              <w:t>50 899</w:t>
            </w:r>
          </w:p>
        </w:tc>
        <w:tc>
          <w:tcPr>
            <w:tcW w:w="1300" w:type="dxa"/>
          </w:tcPr>
          <w:p w14:paraId="13CB42BC" w14:textId="77777777" w:rsidR="00B419CE" w:rsidRPr="00B419CE" w:rsidRDefault="00B419CE" w:rsidP="00A2297F">
            <w:pPr>
              <w:jc w:val="right"/>
            </w:pPr>
            <w:r w:rsidRPr="00B419CE">
              <w:t>35 927</w:t>
            </w:r>
          </w:p>
        </w:tc>
        <w:tc>
          <w:tcPr>
            <w:tcW w:w="1300" w:type="dxa"/>
          </w:tcPr>
          <w:p w14:paraId="77CBE96E" w14:textId="77777777" w:rsidR="00B419CE" w:rsidRPr="00B419CE" w:rsidRDefault="00B419CE" w:rsidP="00A2297F">
            <w:pPr>
              <w:jc w:val="right"/>
            </w:pPr>
            <w:r w:rsidRPr="00B419CE">
              <w:t>31 365</w:t>
            </w:r>
          </w:p>
        </w:tc>
      </w:tr>
      <w:tr w:rsidR="00B419CE" w:rsidRPr="00B419CE" w14:paraId="6E1BE43B" w14:textId="77777777" w:rsidTr="00A2297F">
        <w:trPr>
          <w:trHeight w:val="380"/>
        </w:trPr>
        <w:tc>
          <w:tcPr>
            <w:tcW w:w="5200" w:type="dxa"/>
          </w:tcPr>
          <w:p w14:paraId="44E02A8F" w14:textId="77777777" w:rsidR="00B419CE" w:rsidRPr="00B419CE" w:rsidRDefault="00B419CE" w:rsidP="00A2297F">
            <w:r w:rsidRPr="00B419CE">
              <w:t>Sprit</w:t>
            </w:r>
            <w:r w:rsidRPr="00B419CE">
              <w:rPr>
                <w:rStyle w:val="skrift-hevet"/>
              </w:rPr>
              <w:t>2</w:t>
            </w:r>
            <w:r w:rsidRPr="00B419CE">
              <w:t xml:space="preserve"> (i liter)</w:t>
            </w:r>
          </w:p>
        </w:tc>
        <w:tc>
          <w:tcPr>
            <w:tcW w:w="1300" w:type="dxa"/>
          </w:tcPr>
          <w:p w14:paraId="66CD86B7" w14:textId="77777777" w:rsidR="00B419CE" w:rsidRPr="00B419CE" w:rsidRDefault="00B419CE" w:rsidP="00A2297F">
            <w:pPr>
              <w:jc w:val="right"/>
            </w:pPr>
            <w:r w:rsidRPr="00B419CE">
              <w:t>106</w:t>
            </w:r>
          </w:p>
        </w:tc>
        <w:tc>
          <w:tcPr>
            <w:tcW w:w="1300" w:type="dxa"/>
          </w:tcPr>
          <w:p w14:paraId="75B6015B" w14:textId="77777777" w:rsidR="00B419CE" w:rsidRPr="00B419CE" w:rsidRDefault="00B419CE" w:rsidP="00A2297F">
            <w:pPr>
              <w:jc w:val="right"/>
            </w:pPr>
            <w:r w:rsidRPr="00B419CE">
              <w:t>562</w:t>
            </w:r>
          </w:p>
        </w:tc>
        <w:tc>
          <w:tcPr>
            <w:tcW w:w="1300" w:type="dxa"/>
          </w:tcPr>
          <w:p w14:paraId="625EE8F5" w14:textId="77777777" w:rsidR="00B419CE" w:rsidRPr="00B419CE" w:rsidRDefault="00B419CE" w:rsidP="00A2297F">
            <w:pPr>
              <w:jc w:val="right"/>
            </w:pPr>
            <w:r w:rsidRPr="00B419CE">
              <w:t>1 625</w:t>
            </w:r>
          </w:p>
        </w:tc>
      </w:tr>
      <w:tr w:rsidR="00B419CE" w:rsidRPr="00B419CE" w14:paraId="7E82AF28" w14:textId="77777777" w:rsidTr="00A2297F">
        <w:trPr>
          <w:trHeight w:val="380"/>
        </w:trPr>
        <w:tc>
          <w:tcPr>
            <w:tcW w:w="5200" w:type="dxa"/>
          </w:tcPr>
          <w:p w14:paraId="3F0F947C" w14:textId="77777777" w:rsidR="00B419CE" w:rsidRPr="00B419CE" w:rsidRDefault="00B419CE" w:rsidP="00A2297F">
            <w:r w:rsidRPr="00B419CE">
              <w:t>Vin (i liter)</w:t>
            </w:r>
          </w:p>
        </w:tc>
        <w:tc>
          <w:tcPr>
            <w:tcW w:w="1300" w:type="dxa"/>
          </w:tcPr>
          <w:p w14:paraId="53C025FF" w14:textId="77777777" w:rsidR="00B419CE" w:rsidRPr="00B419CE" w:rsidRDefault="00B419CE" w:rsidP="00A2297F">
            <w:pPr>
              <w:jc w:val="right"/>
            </w:pPr>
            <w:r w:rsidRPr="00B419CE">
              <w:t>33 156</w:t>
            </w:r>
          </w:p>
        </w:tc>
        <w:tc>
          <w:tcPr>
            <w:tcW w:w="1300" w:type="dxa"/>
          </w:tcPr>
          <w:p w14:paraId="0D7E9662" w14:textId="77777777" w:rsidR="00B419CE" w:rsidRPr="00B419CE" w:rsidRDefault="00B419CE" w:rsidP="00A2297F">
            <w:pPr>
              <w:jc w:val="right"/>
            </w:pPr>
            <w:r w:rsidRPr="00B419CE">
              <w:t>29 183</w:t>
            </w:r>
          </w:p>
        </w:tc>
        <w:tc>
          <w:tcPr>
            <w:tcW w:w="1300" w:type="dxa"/>
          </w:tcPr>
          <w:p w14:paraId="4C5BF2E9" w14:textId="77777777" w:rsidR="00B419CE" w:rsidRPr="00B419CE" w:rsidRDefault="00B419CE" w:rsidP="00A2297F">
            <w:pPr>
              <w:jc w:val="right"/>
            </w:pPr>
            <w:r w:rsidRPr="00B419CE">
              <w:t>15 024</w:t>
            </w:r>
          </w:p>
        </w:tc>
      </w:tr>
      <w:tr w:rsidR="00B419CE" w:rsidRPr="00B419CE" w14:paraId="05EDA20F" w14:textId="77777777" w:rsidTr="00A2297F">
        <w:trPr>
          <w:trHeight w:val="380"/>
        </w:trPr>
        <w:tc>
          <w:tcPr>
            <w:tcW w:w="5200" w:type="dxa"/>
          </w:tcPr>
          <w:p w14:paraId="76867B8D" w14:textId="77777777" w:rsidR="00B419CE" w:rsidRPr="00B419CE" w:rsidRDefault="00B419CE" w:rsidP="00A2297F">
            <w:r w:rsidRPr="00B419CE">
              <w:t>Øl (i liter)</w:t>
            </w:r>
          </w:p>
        </w:tc>
        <w:tc>
          <w:tcPr>
            <w:tcW w:w="1300" w:type="dxa"/>
          </w:tcPr>
          <w:p w14:paraId="203ED154" w14:textId="77777777" w:rsidR="00B419CE" w:rsidRPr="00B419CE" w:rsidRDefault="00B419CE" w:rsidP="00A2297F">
            <w:pPr>
              <w:jc w:val="right"/>
            </w:pPr>
            <w:r w:rsidRPr="00B419CE">
              <w:t>315 864</w:t>
            </w:r>
          </w:p>
        </w:tc>
        <w:tc>
          <w:tcPr>
            <w:tcW w:w="1300" w:type="dxa"/>
          </w:tcPr>
          <w:p w14:paraId="24F135CB" w14:textId="77777777" w:rsidR="00B419CE" w:rsidRPr="00B419CE" w:rsidRDefault="00B419CE" w:rsidP="00A2297F">
            <w:pPr>
              <w:jc w:val="right"/>
            </w:pPr>
            <w:r w:rsidRPr="00B419CE">
              <w:t>229 440</w:t>
            </w:r>
          </w:p>
        </w:tc>
        <w:tc>
          <w:tcPr>
            <w:tcW w:w="1300" w:type="dxa"/>
          </w:tcPr>
          <w:p w14:paraId="54A98203" w14:textId="77777777" w:rsidR="00B419CE" w:rsidRPr="00B419CE" w:rsidRDefault="00B419CE" w:rsidP="00A2297F">
            <w:pPr>
              <w:jc w:val="right"/>
            </w:pPr>
            <w:r w:rsidRPr="00B419CE">
              <w:t>161 839</w:t>
            </w:r>
          </w:p>
        </w:tc>
      </w:tr>
      <w:tr w:rsidR="00B419CE" w:rsidRPr="00B419CE" w14:paraId="4DB74379" w14:textId="77777777" w:rsidTr="00A2297F">
        <w:trPr>
          <w:trHeight w:val="380"/>
        </w:trPr>
        <w:tc>
          <w:tcPr>
            <w:tcW w:w="5200" w:type="dxa"/>
          </w:tcPr>
          <w:p w14:paraId="086EBB52" w14:textId="77777777" w:rsidR="00B419CE" w:rsidRPr="00B419CE" w:rsidRDefault="00B419CE" w:rsidP="00A2297F">
            <w:proofErr w:type="spellStart"/>
            <w:r w:rsidRPr="00B419CE">
              <w:t>Sigarettar</w:t>
            </w:r>
            <w:proofErr w:type="spellEnd"/>
            <w:r w:rsidRPr="00B419CE">
              <w:t xml:space="preserve"> (stk.)</w:t>
            </w:r>
          </w:p>
        </w:tc>
        <w:tc>
          <w:tcPr>
            <w:tcW w:w="1300" w:type="dxa"/>
          </w:tcPr>
          <w:p w14:paraId="1B14F02A" w14:textId="77777777" w:rsidR="00B419CE" w:rsidRPr="00B419CE" w:rsidRDefault="00B419CE" w:rsidP="00A2297F">
            <w:pPr>
              <w:jc w:val="right"/>
            </w:pPr>
            <w:r w:rsidRPr="00B419CE">
              <w:t>12,9 mill.</w:t>
            </w:r>
          </w:p>
        </w:tc>
        <w:tc>
          <w:tcPr>
            <w:tcW w:w="1300" w:type="dxa"/>
          </w:tcPr>
          <w:p w14:paraId="0D4E37A7" w14:textId="77777777" w:rsidR="00B419CE" w:rsidRPr="00B419CE" w:rsidRDefault="00B419CE" w:rsidP="00A2297F">
            <w:pPr>
              <w:jc w:val="right"/>
            </w:pPr>
            <w:r w:rsidRPr="00B419CE">
              <w:t>8,9 mill.</w:t>
            </w:r>
          </w:p>
        </w:tc>
        <w:tc>
          <w:tcPr>
            <w:tcW w:w="1300" w:type="dxa"/>
          </w:tcPr>
          <w:p w14:paraId="0CB9C495" w14:textId="77777777" w:rsidR="00B419CE" w:rsidRPr="00B419CE" w:rsidRDefault="00B419CE" w:rsidP="00A2297F">
            <w:pPr>
              <w:jc w:val="right"/>
            </w:pPr>
            <w:r w:rsidRPr="00B419CE">
              <w:t>10,5 mill.</w:t>
            </w:r>
          </w:p>
        </w:tc>
      </w:tr>
      <w:tr w:rsidR="00B419CE" w:rsidRPr="00B419CE" w14:paraId="700F68AD" w14:textId="77777777" w:rsidTr="00A2297F">
        <w:trPr>
          <w:trHeight w:val="380"/>
        </w:trPr>
        <w:tc>
          <w:tcPr>
            <w:tcW w:w="5200" w:type="dxa"/>
          </w:tcPr>
          <w:p w14:paraId="0AA44D68" w14:textId="77777777" w:rsidR="00B419CE" w:rsidRPr="00B419CE" w:rsidRDefault="00B419CE" w:rsidP="00A2297F">
            <w:r w:rsidRPr="00B419CE">
              <w:t>Valuta NOK</w:t>
            </w:r>
            <w:r w:rsidRPr="00B419CE">
              <w:rPr>
                <w:rStyle w:val="skrift-hevet"/>
              </w:rPr>
              <w:t>3</w:t>
            </w:r>
          </w:p>
        </w:tc>
        <w:tc>
          <w:tcPr>
            <w:tcW w:w="1300" w:type="dxa"/>
          </w:tcPr>
          <w:p w14:paraId="5C3A3717" w14:textId="77777777" w:rsidR="00B419CE" w:rsidRPr="00B419CE" w:rsidRDefault="00B419CE" w:rsidP="00A2297F">
            <w:pPr>
              <w:jc w:val="right"/>
            </w:pPr>
            <w:r w:rsidRPr="00B419CE">
              <w:t>10,3 mill.</w:t>
            </w:r>
          </w:p>
        </w:tc>
        <w:tc>
          <w:tcPr>
            <w:tcW w:w="1300" w:type="dxa"/>
          </w:tcPr>
          <w:p w14:paraId="406062EB" w14:textId="77777777" w:rsidR="00B419CE" w:rsidRPr="00B419CE" w:rsidRDefault="00B419CE" w:rsidP="00A2297F">
            <w:pPr>
              <w:jc w:val="right"/>
            </w:pPr>
            <w:r w:rsidRPr="00B419CE">
              <w:t>6,0 mill.</w:t>
            </w:r>
          </w:p>
        </w:tc>
        <w:tc>
          <w:tcPr>
            <w:tcW w:w="1300" w:type="dxa"/>
          </w:tcPr>
          <w:p w14:paraId="4CBFAAFC" w14:textId="77777777" w:rsidR="00B419CE" w:rsidRPr="00B419CE" w:rsidRDefault="00B419CE" w:rsidP="00A2297F">
            <w:pPr>
              <w:jc w:val="right"/>
            </w:pPr>
            <w:r w:rsidRPr="00B419CE">
              <w:t>6,3 mill.</w:t>
            </w:r>
          </w:p>
        </w:tc>
      </w:tr>
    </w:tbl>
    <w:p w14:paraId="1A2F9A9A" w14:textId="77777777" w:rsidR="00B419CE" w:rsidRPr="00B419CE" w:rsidRDefault="00B419CE" w:rsidP="00B419CE">
      <w:pPr>
        <w:pStyle w:val="tabell-noter"/>
        <w:rPr>
          <w:rStyle w:val="skrift-hevet"/>
        </w:rPr>
      </w:pPr>
      <w:r w:rsidRPr="00B419CE">
        <w:rPr>
          <w:rStyle w:val="skrift-hevet"/>
        </w:rPr>
        <w:t>1</w:t>
      </w:r>
      <w:r w:rsidRPr="00B419CE">
        <w:tab/>
        <w:t>Alkoholvarer med alkoholprosent over 22 pst. t.o.m. 60 pst.</w:t>
      </w:r>
    </w:p>
    <w:p w14:paraId="2F4AD333" w14:textId="77777777" w:rsidR="00B419CE" w:rsidRPr="00B419CE" w:rsidRDefault="00B419CE" w:rsidP="00B419CE">
      <w:pPr>
        <w:pStyle w:val="tabell-noter"/>
        <w:rPr>
          <w:rStyle w:val="skrift-hevet"/>
        </w:rPr>
      </w:pPr>
      <w:r w:rsidRPr="00B419CE">
        <w:rPr>
          <w:rStyle w:val="skrift-hevet"/>
        </w:rPr>
        <w:t>2</w:t>
      </w:r>
      <w:r w:rsidRPr="00B419CE">
        <w:tab/>
        <w:t xml:space="preserve">Brennevin med </w:t>
      </w:r>
      <w:proofErr w:type="spellStart"/>
      <w:r w:rsidRPr="00B419CE">
        <w:t>meir</w:t>
      </w:r>
      <w:proofErr w:type="spellEnd"/>
      <w:r w:rsidRPr="00B419CE">
        <w:t xml:space="preserve"> enn 60 pst. alkohol</w:t>
      </w:r>
    </w:p>
    <w:p w14:paraId="6495096B" w14:textId="77777777" w:rsidR="00B419CE" w:rsidRPr="00B419CE" w:rsidRDefault="00B419CE" w:rsidP="00B419CE">
      <w:pPr>
        <w:pStyle w:val="tabell-noter"/>
      </w:pPr>
      <w:r w:rsidRPr="00B419CE">
        <w:rPr>
          <w:rStyle w:val="skrift-hevet"/>
        </w:rPr>
        <w:t>3</w:t>
      </w:r>
      <w:r w:rsidRPr="00B419CE">
        <w:tab/>
        <w:t xml:space="preserve">Valuta som er </w:t>
      </w:r>
      <w:proofErr w:type="spellStart"/>
      <w:r w:rsidRPr="00B419CE">
        <w:t>beslaglagd</w:t>
      </w:r>
      <w:proofErr w:type="spellEnd"/>
      <w:r w:rsidRPr="00B419CE">
        <w:t xml:space="preserve"> pga. mistanke om straffbare tilhøve</w:t>
      </w:r>
    </w:p>
    <w:p w14:paraId="4497290F" w14:textId="77777777" w:rsidR="00B419CE" w:rsidRPr="00B419CE" w:rsidRDefault="00B419CE" w:rsidP="00B419CE">
      <w:r w:rsidRPr="00B419CE">
        <w:t xml:space="preserve">I 2020 gjorde Tolletaten om lag 19 300 beslag. Av </w:t>
      </w:r>
      <w:proofErr w:type="spellStart"/>
      <w:r w:rsidRPr="00B419CE">
        <w:t>desse</w:t>
      </w:r>
      <w:proofErr w:type="spellEnd"/>
      <w:r w:rsidRPr="00B419CE">
        <w:t xml:space="preserve"> </w:t>
      </w:r>
      <w:proofErr w:type="spellStart"/>
      <w:r w:rsidRPr="00B419CE">
        <w:t>galdt</w:t>
      </w:r>
      <w:proofErr w:type="spellEnd"/>
      <w:r w:rsidRPr="00B419CE">
        <w:t xml:space="preserve"> om lag 2 900 narkotika. </w:t>
      </w:r>
      <w:proofErr w:type="spellStart"/>
      <w:r w:rsidRPr="00B419CE">
        <w:t>Talet</w:t>
      </w:r>
      <w:proofErr w:type="spellEnd"/>
      <w:r w:rsidRPr="00B419CE">
        <w:t xml:space="preserve"> på narkotikabeslag var </w:t>
      </w:r>
      <w:proofErr w:type="spellStart"/>
      <w:r w:rsidRPr="00B419CE">
        <w:t>lågare</w:t>
      </w:r>
      <w:proofErr w:type="spellEnd"/>
      <w:r w:rsidRPr="00B419CE">
        <w:t xml:space="preserve"> enn i 2019, men nedgangen er forholdsmessig mindre enn nedgangen i det totale </w:t>
      </w:r>
      <w:proofErr w:type="spellStart"/>
      <w:r w:rsidRPr="00B419CE">
        <w:t>talet</w:t>
      </w:r>
      <w:proofErr w:type="spellEnd"/>
      <w:r w:rsidRPr="00B419CE">
        <w:t xml:space="preserve"> på beslag. I 2020 gjekk </w:t>
      </w:r>
      <w:proofErr w:type="spellStart"/>
      <w:r w:rsidRPr="00B419CE">
        <w:t>talet</w:t>
      </w:r>
      <w:proofErr w:type="spellEnd"/>
      <w:r w:rsidRPr="00B419CE">
        <w:t xml:space="preserve"> på beslag av brennevin, vin og øl markant ned, </w:t>
      </w:r>
      <w:proofErr w:type="spellStart"/>
      <w:r w:rsidRPr="00B419CE">
        <w:t>samanlikna</w:t>
      </w:r>
      <w:proofErr w:type="spellEnd"/>
      <w:r w:rsidRPr="00B419CE">
        <w:t xml:space="preserve"> med 2018 og 2019. </w:t>
      </w:r>
      <w:proofErr w:type="spellStart"/>
      <w:r w:rsidRPr="00B419CE">
        <w:t>Desse</w:t>
      </w:r>
      <w:proofErr w:type="spellEnd"/>
      <w:r w:rsidRPr="00B419CE">
        <w:t xml:space="preserve"> beslaga </w:t>
      </w:r>
      <w:proofErr w:type="spellStart"/>
      <w:r w:rsidRPr="00B419CE">
        <w:t>utgjer</w:t>
      </w:r>
      <w:proofErr w:type="spellEnd"/>
      <w:r w:rsidRPr="00B419CE">
        <w:t xml:space="preserve"> i stor grad beslag av mindre mengder alkohol </w:t>
      </w:r>
      <w:proofErr w:type="spellStart"/>
      <w:r w:rsidRPr="00B419CE">
        <w:t>frå</w:t>
      </w:r>
      <w:proofErr w:type="spellEnd"/>
      <w:r w:rsidRPr="00B419CE">
        <w:t xml:space="preserve"> </w:t>
      </w:r>
      <w:proofErr w:type="spellStart"/>
      <w:r w:rsidRPr="00B419CE">
        <w:t>reisande</w:t>
      </w:r>
      <w:proofErr w:type="spellEnd"/>
      <w:r w:rsidRPr="00B419CE">
        <w:t xml:space="preserve"> med fly, personbil eller ferje. Reduksjonen i </w:t>
      </w:r>
      <w:proofErr w:type="spellStart"/>
      <w:r w:rsidRPr="00B419CE">
        <w:t>talet</w:t>
      </w:r>
      <w:proofErr w:type="spellEnd"/>
      <w:r w:rsidRPr="00B419CE">
        <w:t xml:space="preserve"> på beslag er ei </w:t>
      </w:r>
      <w:proofErr w:type="spellStart"/>
      <w:r w:rsidRPr="00B419CE">
        <w:t>naturleg</w:t>
      </w:r>
      <w:proofErr w:type="spellEnd"/>
      <w:r w:rsidRPr="00B419CE">
        <w:t xml:space="preserve"> følgje av at den </w:t>
      </w:r>
      <w:proofErr w:type="spellStart"/>
      <w:r w:rsidRPr="00B419CE">
        <w:t>grensekryssande</w:t>
      </w:r>
      <w:proofErr w:type="spellEnd"/>
      <w:r w:rsidRPr="00B419CE">
        <w:t xml:space="preserve"> persontrafikken til </w:t>
      </w:r>
      <w:proofErr w:type="spellStart"/>
      <w:r w:rsidRPr="00B419CE">
        <w:t>Noreg</w:t>
      </w:r>
      <w:proofErr w:type="spellEnd"/>
      <w:r w:rsidRPr="00B419CE">
        <w:t xml:space="preserve"> var svært </w:t>
      </w:r>
      <w:proofErr w:type="spellStart"/>
      <w:r w:rsidRPr="00B419CE">
        <w:t>låg</w:t>
      </w:r>
      <w:proofErr w:type="spellEnd"/>
      <w:r w:rsidRPr="00B419CE">
        <w:t xml:space="preserve"> i store </w:t>
      </w:r>
      <w:proofErr w:type="spellStart"/>
      <w:r w:rsidRPr="00B419CE">
        <w:t>delar</w:t>
      </w:r>
      <w:proofErr w:type="spellEnd"/>
      <w:r w:rsidRPr="00B419CE">
        <w:t xml:space="preserve"> av 2020.</w:t>
      </w:r>
    </w:p>
    <w:p w14:paraId="760F0075" w14:textId="77777777" w:rsidR="00B419CE" w:rsidRPr="00B419CE" w:rsidRDefault="00B419CE" w:rsidP="00B419CE">
      <w:r w:rsidRPr="00B419CE">
        <w:t xml:space="preserve">Det er over </w:t>
      </w:r>
      <w:proofErr w:type="spellStart"/>
      <w:r w:rsidRPr="00B419CE">
        <w:t>fleire</w:t>
      </w:r>
      <w:proofErr w:type="spellEnd"/>
      <w:r w:rsidRPr="00B419CE">
        <w:t xml:space="preserve"> år registrert </w:t>
      </w:r>
      <w:proofErr w:type="spellStart"/>
      <w:r w:rsidRPr="00B419CE">
        <w:t>ein</w:t>
      </w:r>
      <w:proofErr w:type="spellEnd"/>
      <w:r w:rsidRPr="00B419CE">
        <w:t xml:space="preserve"> </w:t>
      </w:r>
      <w:proofErr w:type="spellStart"/>
      <w:r w:rsidRPr="00B419CE">
        <w:t>voksande</w:t>
      </w:r>
      <w:proofErr w:type="spellEnd"/>
      <w:r w:rsidRPr="00B419CE">
        <w:t xml:space="preserve"> trend at </w:t>
      </w:r>
      <w:proofErr w:type="spellStart"/>
      <w:r w:rsidRPr="00B419CE">
        <w:t>reisande</w:t>
      </w:r>
      <w:proofErr w:type="spellEnd"/>
      <w:r w:rsidRPr="00B419CE">
        <w:t xml:space="preserve"> </w:t>
      </w:r>
      <w:proofErr w:type="spellStart"/>
      <w:r w:rsidRPr="00B419CE">
        <w:t>tek</w:t>
      </w:r>
      <w:proofErr w:type="spellEnd"/>
      <w:r w:rsidRPr="00B419CE">
        <w:t xml:space="preserve"> med seg medisinsk cannabis til </w:t>
      </w:r>
      <w:proofErr w:type="spellStart"/>
      <w:r w:rsidRPr="00B419CE">
        <w:t>Noreg</w:t>
      </w:r>
      <w:proofErr w:type="spellEnd"/>
      <w:r w:rsidRPr="00B419CE">
        <w:t xml:space="preserve"> </w:t>
      </w:r>
      <w:proofErr w:type="spellStart"/>
      <w:r w:rsidRPr="00B419CE">
        <w:t>frå</w:t>
      </w:r>
      <w:proofErr w:type="spellEnd"/>
      <w:r w:rsidRPr="00B419CE">
        <w:t xml:space="preserve"> Nederland. </w:t>
      </w:r>
      <w:proofErr w:type="spellStart"/>
      <w:r w:rsidRPr="00B419CE">
        <w:t>Tidleg</w:t>
      </w:r>
      <w:proofErr w:type="spellEnd"/>
      <w:r w:rsidRPr="00B419CE">
        <w:t xml:space="preserve"> i 2020 </w:t>
      </w:r>
      <w:proofErr w:type="spellStart"/>
      <w:r w:rsidRPr="00B419CE">
        <w:t>vart</w:t>
      </w:r>
      <w:proofErr w:type="spellEnd"/>
      <w:r w:rsidRPr="00B419CE">
        <w:t xml:space="preserve"> det registrert </w:t>
      </w:r>
      <w:proofErr w:type="spellStart"/>
      <w:r w:rsidRPr="00B419CE">
        <w:t>ein</w:t>
      </w:r>
      <w:proofErr w:type="spellEnd"/>
      <w:r w:rsidRPr="00B419CE">
        <w:t xml:space="preserve"> sterk </w:t>
      </w:r>
      <w:proofErr w:type="spellStart"/>
      <w:r w:rsidRPr="00B419CE">
        <w:t>auke</w:t>
      </w:r>
      <w:proofErr w:type="spellEnd"/>
      <w:r w:rsidRPr="00B419CE">
        <w:t xml:space="preserve">, </w:t>
      </w:r>
      <w:proofErr w:type="spellStart"/>
      <w:r w:rsidRPr="00B419CE">
        <w:t>noko</w:t>
      </w:r>
      <w:proofErr w:type="spellEnd"/>
      <w:r w:rsidRPr="00B419CE">
        <w:t xml:space="preserve"> som kunne indikere at </w:t>
      </w:r>
      <w:proofErr w:type="spellStart"/>
      <w:r w:rsidRPr="00B419CE">
        <w:t>ein</w:t>
      </w:r>
      <w:proofErr w:type="spellEnd"/>
      <w:r w:rsidRPr="00B419CE">
        <w:t xml:space="preserve"> del var meint for </w:t>
      </w:r>
      <w:proofErr w:type="spellStart"/>
      <w:r w:rsidRPr="00B419CE">
        <w:t>vidaresal</w:t>
      </w:r>
      <w:proofErr w:type="spellEnd"/>
      <w:r w:rsidRPr="00B419CE">
        <w:t xml:space="preserve">. </w:t>
      </w:r>
      <w:proofErr w:type="spellStart"/>
      <w:r w:rsidRPr="00B419CE">
        <w:t>Eit</w:t>
      </w:r>
      <w:proofErr w:type="spellEnd"/>
      <w:r w:rsidRPr="00B419CE">
        <w:t xml:space="preserve"> tett samarbeid med Statens legemiddelverk og nederlandske helsestyresmakter har </w:t>
      </w:r>
      <w:proofErr w:type="spellStart"/>
      <w:r w:rsidRPr="00B419CE">
        <w:t>medverka</w:t>
      </w:r>
      <w:proofErr w:type="spellEnd"/>
      <w:r w:rsidRPr="00B419CE">
        <w:t xml:space="preserve"> til at </w:t>
      </w:r>
      <w:proofErr w:type="spellStart"/>
      <w:r w:rsidRPr="00B419CE">
        <w:t>mengda</w:t>
      </w:r>
      <w:proofErr w:type="spellEnd"/>
      <w:r w:rsidRPr="00B419CE">
        <w:t xml:space="preserve"> av </w:t>
      </w:r>
      <w:proofErr w:type="spellStart"/>
      <w:r w:rsidRPr="00B419CE">
        <w:t>lovleg</w:t>
      </w:r>
      <w:proofErr w:type="spellEnd"/>
      <w:r w:rsidRPr="00B419CE">
        <w:t xml:space="preserve"> importert medisinsk cannabis er vorte redusert </w:t>
      </w:r>
      <w:proofErr w:type="spellStart"/>
      <w:r w:rsidRPr="00B419CE">
        <w:t>monaleg</w:t>
      </w:r>
      <w:proofErr w:type="spellEnd"/>
      <w:r w:rsidRPr="00B419CE">
        <w:t>.</w:t>
      </w:r>
    </w:p>
    <w:p w14:paraId="38918ACE" w14:textId="77777777" w:rsidR="00B419CE" w:rsidRPr="00B419CE" w:rsidRDefault="00B419CE" w:rsidP="00B419CE">
      <w:pPr>
        <w:pStyle w:val="avsnitt-tittel"/>
      </w:pPr>
      <w:proofErr w:type="spellStart"/>
      <w:r w:rsidRPr="00B419CE">
        <w:t>Hovudmål</w:t>
      </w:r>
      <w:proofErr w:type="spellEnd"/>
      <w:r w:rsidRPr="00B419CE">
        <w:t xml:space="preserve"> 3: Tolletaten </w:t>
      </w:r>
      <w:proofErr w:type="spellStart"/>
      <w:r w:rsidRPr="00B419CE">
        <w:t>støttar</w:t>
      </w:r>
      <w:proofErr w:type="spellEnd"/>
      <w:r w:rsidRPr="00B419CE">
        <w:t xml:space="preserve"> opp under </w:t>
      </w:r>
      <w:proofErr w:type="spellStart"/>
      <w:r w:rsidRPr="00B419CE">
        <w:t>verksemda</w:t>
      </w:r>
      <w:proofErr w:type="spellEnd"/>
      <w:r w:rsidRPr="00B419CE">
        <w:t xml:space="preserve"> til andre </w:t>
      </w:r>
      <w:proofErr w:type="spellStart"/>
      <w:r w:rsidRPr="00B419CE">
        <w:t>myndigheiter</w:t>
      </w:r>
      <w:proofErr w:type="spellEnd"/>
    </w:p>
    <w:p w14:paraId="4286D5E1" w14:textId="77777777" w:rsidR="00B419CE" w:rsidRPr="00B419CE" w:rsidRDefault="00B419CE" w:rsidP="00B419CE">
      <w:r w:rsidRPr="00B419CE">
        <w:t xml:space="preserve">Tolletatens nærvær på grensa </w:t>
      </w:r>
      <w:proofErr w:type="spellStart"/>
      <w:r w:rsidRPr="00B419CE">
        <w:t>inneber</w:t>
      </w:r>
      <w:proofErr w:type="spellEnd"/>
      <w:r w:rsidRPr="00B419CE">
        <w:t xml:space="preserve"> samarbeid med andre </w:t>
      </w:r>
      <w:proofErr w:type="spellStart"/>
      <w:r w:rsidRPr="00B419CE">
        <w:t>myndigheiter</w:t>
      </w:r>
      <w:proofErr w:type="spellEnd"/>
      <w:r w:rsidRPr="00B419CE">
        <w:t xml:space="preserve"> og </w:t>
      </w:r>
      <w:proofErr w:type="spellStart"/>
      <w:r w:rsidRPr="00B419CE">
        <w:t>aktørar</w:t>
      </w:r>
      <w:proofErr w:type="spellEnd"/>
      <w:r w:rsidRPr="00B419CE">
        <w:t xml:space="preserve">, og etaten </w:t>
      </w:r>
      <w:proofErr w:type="spellStart"/>
      <w:r w:rsidRPr="00B419CE">
        <w:t>varetek</w:t>
      </w:r>
      <w:proofErr w:type="spellEnd"/>
      <w:r w:rsidRPr="00B419CE">
        <w:t xml:space="preserve"> interessene </w:t>
      </w:r>
      <w:proofErr w:type="spellStart"/>
      <w:r w:rsidRPr="00B419CE">
        <w:t>deira</w:t>
      </w:r>
      <w:proofErr w:type="spellEnd"/>
      <w:r w:rsidRPr="00B419CE">
        <w:t xml:space="preserve"> i den </w:t>
      </w:r>
      <w:proofErr w:type="spellStart"/>
      <w:r w:rsidRPr="00B419CE">
        <w:t>grensekryssande</w:t>
      </w:r>
      <w:proofErr w:type="spellEnd"/>
      <w:r w:rsidRPr="00B419CE">
        <w:t xml:space="preserve"> vareførselen. I tillegg til eige regelverk, </w:t>
      </w:r>
      <w:proofErr w:type="spellStart"/>
      <w:r w:rsidRPr="00B419CE">
        <w:t>handhevar</w:t>
      </w:r>
      <w:proofErr w:type="spellEnd"/>
      <w:r w:rsidRPr="00B419CE">
        <w:t xml:space="preserve"> Tolletaten regelverket til 20 </w:t>
      </w:r>
      <w:proofErr w:type="spellStart"/>
      <w:r w:rsidRPr="00B419CE">
        <w:t>statlege</w:t>
      </w:r>
      <w:proofErr w:type="spellEnd"/>
      <w:r w:rsidRPr="00B419CE">
        <w:t xml:space="preserve"> </w:t>
      </w:r>
      <w:proofErr w:type="spellStart"/>
      <w:r w:rsidRPr="00B419CE">
        <w:t>myndigheiter</w:t>
      </w:r>
      <w:proofErr w:type="spellEnd"/>
      <w:r w:rsidRPr="00B419CE">
        <w:t xml:space="preserve"> i samband med den </w:t>
      </w:r>
      <w:proofErr w:type="spellStart"/>
      <w:r w:rsidRPr="00B419CE">
        <w:t>grensekryssande</w:t>
      </w:r>
      <w:proofErr w:type="spellEnd"/>
      <w:r w:rsidRPr="00B419CE">
        <w:t xml:space="preserve"> vareførselen. Etaten har òg </w:t>
      </w:r>
      <w:proofErr w:type="spellStart"/>
      <w:r w:rsidRPr="00B419CE">
        <w:t>eit</w:t>
      </w:r>
      <w:proofErr w:type="spellEnd"/>
      <w:r w:rsidRPr="00B419CE">
        <w:t xml:space="preserve"> formalisert og tett samarbeid med </w:t>
      </w:r>
      <w:proofErr w:type="spellStart"/>
      <w:r w:rsidRPr="00B419CE">
        <w:t>tollmyndigheitene</w:t>
      </w:r>
      <w:proofErr w:type="spellEnd"/>
      <w:r w:rsidRPr="00B419CE">
        <w:t xml:space="preserve"> i andre land.</w:t>
      </w:r>
    </w:p>
    <w:p w14:paraId="49C7F8CC" w14:textId="77777777" w:rsidR="00B419CE" w:rsidRPr="00B419CE" w:rsidRDefault="00B419CE" w:rsidP="00B419CE">
      <w:r w:rsidRPr="00B419CE">
        <w:t xml:space="preserve">Tolletaten gjekk i 2019 gjennom samarbeidet med andre norske </w:t>
      </w:r>
      <w:proofErr w:type="spellStart"/>
      <w:r w:rsidRPr="00B419CE">
        <w:t>myndigheiter</w:t>
      </w:r>
      <w:proofErr w:type="spellEnd"/>
      <w:r w:rsidRPr="00B419CE">
        <w:t xml:space="preserve"> og starta </w:t>
      </w:r>
      <w:proofErr w:type="spellStart"/>
      <w:r w:rsidRPr="00B419CE">
        <w:t>eit</w:t>
      </w:r>
      <w:proofErr w:type="spellEnd"/>
      <w:r w:rsidRPr="00B419CE">
        <w:t xml:space="preserve"> systematisk arbeid med å </w:t>
      </w:r>
      <w:proofErr w:type="spellStart"/>
      <w:r w:rsidRPr="00B419CE">
        <w:t>vidareutvikle</w:t>
      </w:r>
      <w:proofErr w:type="spellEnd"/>
      <w:r w:rsidRPr="00B419CE">
        <w:t xml:space="preserve"> og </w:t>
      </w:r>
      <w:proofErr w:type="spellStart"/>
      <w:r w:rsidRPr="00B419CE">
        <w:t>styrkje</w:t>
      </w:r>
      <w:proofErr w:type="spellEnd"/>
      <w:r w:rsidRPr="00B419CE">
        <w:t xml:space="preserve"> </w:t>
      </w:r>
      <w:proofErr w:type="spellStart"/>
      <w:r w:rsidRPr="00B419CE">
        <w:t>desse</w:t>
      </w:r>
      <w:proofErr w:type="spellEnd"/>
      <w:r w:rsidRPr="00B419CE">
        <w:t xml:space="preserve"> </w:t>
      </w:r>
      <w:proofErr w:type="spellStart"/>
      <w:r w:rsidRPr="00B419CE">
        <w:t>samarbeidsrelasjonane</w:t>
      </w:r>
      <w:proofErr w:type="spellEnd"/>
      <w:r w:rsidRPr="00B419CE">
        <w:t xml:space="preserve">. Etaten vurderer </w:t>
      </w:r>
      <w:proofErr w:type="spellStart"/>
      <w:r w:rsidRPr="00B419CE">
        <w:t>metodar</w:t>
      </w:r>
      <w:proofErr w:type="spellEnd"/>
      <w:r w:rsidRPr="00B419CE">
        <w:t xml:space="preserve"> for å måle korleis </w:t>
      </w:r>
      <w:proofErr w:type="spellStart"/>
      <w:r w:rsidRPr="00B419CE">
        <w:t>samarbeidande</w:t>
      </w:r>
      <w:proofErr w:type="spellEnd"/>
      <w:r w:rsidRPr="00B419CE">
        <w:t xml:space="preserve"> </w:t>
      </w:r>
      <w:proofErr w:type="spellStart"/>
      <w:r w:rsidRPr="00B419CE">
        <w:t>myndigheiter</w:t>
      </w:r>
      <w:proofErr w:type="spellEnd"/>
      <w:r w:rsidRPr="00B419CE">
        <w:t xml:space="preserve"> opplever </w:t>
      </w:r>
      <w:proofErr w:type="spellStart"/>
      <w:r w:rsidRPr="00B419CE">
        <w:t>tenesteleveransane</w:t>
      </w:r>
      <w:proofErr w:type="spellEnd"/>
      <w:r w:rsidRPr="00B419CE">
        <w:t xml:space="preserve"> </w:t>
      </w:r>
      <w:proofErr w:type="spellStart"/>
      <w:r w:rsidRPr="00B419CE">
        <w:t>frå</w:t>
      </w:r>
      <w:proofErr w:type="spellEnd"/>
      <w:r w:rsidRPr="00B419CE">
        <w:t xml:space="preserve"> etaten. </w:t>
      </w:r>
      <w:proofErr w:type="spellStart"/>
      <w:r w:rsidRPr="00B419CE">
        <w:t>Evalueringar</w:t>
      </w:r>
      <w:proofErr w:type="spellEnd"/>
      <w:r w:rsidRPr="00B419CE">
        <w:t xml:space="preserve"> i 2020 tyder på at samarbeidet vert </w:t>
      </w:r>
      <w:proofErr w:type="spellStart"/>
      <w:r w:rsidRPr="00B419CE">
        <w:t>opplevt</w:t>
      </w:r>
      <w:proofErr w:type="spellEnd"/>
      <w:r w:rsidRPr="00B419CE">
        <w:t xml:space="preserve"> som godt.</w:t>
      </w:r>
    </w:p>
    <w:p w14:paraId="17A07EB5" w14:textId="77777777" w:rsidR="00B419CE" w:rsidRPr="00B419CE" w:rsidRDefault="00B419CE" w:rsidP="00B419CE">
      <w:r w:rsidRPr="00B419CE">
        <w:lastRenderedPageBreak/>
        <w:t xml:space="preserve">Tolletatens rolle som samfunnskritisk </w:t>
      </w:r>
      <w:proofErr w:type="spellStart"/>
      <w:r w:rsidRPr="00B419CE">
        <w:t>verksemd</w:t>
      </w:r>
      <w:proofErr w:type="spellEnd"/>
      <w:r w:rsidRPr="00B419CE">
        <w:t xml:space="preserve"> vart </w:t>
      </w:r>
      <w:proofErr w:type="spellStart"/>
      <w:r w:rsidRPr="00B419CE">
        <w:t>meir</w:t>
      </w:r>
      <w:proofErr w:type="spellEnd"/>
      <w:r w:rsidRPr="00B419CE">
        <w:t xml:space="preserve"> </w:t>
      </w:r>
      <w:proofErr w:type="spellStart"/>
      <w:r w:rsidRPr="00B419CE">
        <w:t>tydeleg</w:t>
      </w:r>
      <w:proofErr w:type="spellEnd"/>
      <w:r w:rsidRPr="00B419CE">
        <w:t xml:space="preserve"> då grensa </w:t>
      </w:r>
      <w:proofErr w:type="spellStart"/>
      <w:r w:rsidRPr="00B419CE">
        <w:t>vart</w:t>
      </w:r>
      <w:proofErr w:type="spellEnd"/>
      <w:r w:rsidRPr="00B419CE">
        <w:t xml:space="preserve"> stengt som </w:t>
      </w:r>
      <w:proofErr w:type="spellStart"/>
      <w:r w:rsidRPr="00B419CE">
        <w:t>følgje</w:t>
      </w:r>
      <w:proofErr w:type="spellEnd"/>
      <w:r w:rsidRPr="00B419CE">
        <w:t xml:space="preserve"> av koronapandemien, </w:t>
      </w:r>
      <w:proofErr w:type="spellStart"/>
      <w:r w:rsidRPr="00B419CE">
        <w:t>særleg</w:t>
      </w:r>
      <w:proofErr w:type="spellEnd"/>
      <w:r w:rsidRPr="00B419CE">
        <w:t xml:space="preserve"> på området forsyningstryggleik. Etaten har òg hatt ei sentral rolle i samband med import av smittevernutstyr, samt levert data om trafikk- og </w:t>
      </w:r>
      <w:proofErr w:type="spellStart"/>
      <w:r w:rsidRPr="00B419CE">
        <w:t>varestraumar</w:t>
      </w:r>
      <w:proofErr w:type="spellEnd"/>
      <w:r w:rsidRPr="00B419CE">
        <w:t xml:space="preserve"> på oppdrag </w:t>
      </w:r>
      <w:proofErr w:type="spellStart"/>
      <w:r w:rsidRPr="00B419CE">
        <w:t>frå</w:t>
      </w:r>
      <w:proofErr w:type="spellEnd"/>
      <w:r w:rsidRPr="00B419CE">
        <w:t xml:space="preserve"> Nærings- og fiskeridepartementet. Under pandemien har Tolletaten samarbeidd med politiet i samband med innføringa av indre grensekontroll.</w:t>
      </w:r>
    </w:p>
    <w:p w14:paraId="03299C02" w14:textId="77777777" w:rsidR="00B419CE" w:rsidRPr="00B419CE" w:rsidRDefault="00B419CE" w:rsidP="00B419CE">
      <w:pPr>
        <w:pStyle w:val="Undertittel"/>
      </w:pPr>
      <w:r w:rsidRPr="00B419CE">
        <w:t>Samla resultatvurdering</w:t>
      </w:r>
    </w:p>
    <w:p w14:paraId="6E529951" w14:textId="77777777" w:rsidR="00B419CE" w:rsidRPr="00B419CE" w:rsidRDefault="00B419CE" w:rsidP="00B419CE">
      <w:r w:rsidRPr="00B419CE">
        <w:t xml:space="preserve">Finansdepartementet vurderer resultata i 2020 samla sett som gode. Tolletatens resultat for 2020 må </w:t>
      </w:r>
      <w:proofErr w:type="spellStart"/>
      <w:r w:rsidRPr="00B419CE">
        <w:t>sjåast</w:t>
      </w:r>
      <w:proofErr w:type="spellEnd"/>
      <w:r w:rsidRPr="00B419CE">
        <w:t xml:space="preserve"> i </w:t>
      </w:r>
      <w:proofErr w:type="spellStart"/>
      <w:r w:rsidRPr="00B419CE">
        <w:t>samanheng</w:t>
      </w:r>
      <w:proofErr w:type="spellEnd"/>
      <w:r w:rsidRPr="00B419CE">
        <w:t xml:space="preserve"> med koronapandemien og den store nedgangen i </w:t>
      </w:r>
      <w:proofErr w:type="spellStart"/>
      <w:r w:rsidRPr="00B419CE">
        <w:t>grensekryssande</w:t>
      </w:r>
      <w:proofErr w:type="spellEnd"/>
      <w:r w:rsidRPr="00B419CE">
        <w:t xml:space="preserve"> trafikk, som endra </w:t>
      </w:r>
      <w:proofErr w:type="spellStart"/>
      <w:r w:rsidRPr="00B419CE">
        <w:t>føresetnadene</w:t>
      </w:r>
      <w:proofErr w:type="spellEnd"/>
      <w:r w:rsidRPr="00B419CE">
        <w:t xml:space="preserve"> for deler av </w:t>
      </w:r>
      <w:proofErr w:type="spellStart"/>
      <w:r w:rsidRPr="00B419CE">
        <w:t>verksemda</w:t>
      </w:r>
      <w:proofErr w:type="spellEnd"/>
      <w:r w:rsidRPr="00B419CE">
        <w:t xml:space="preserve">. Etter </w:t>
      </w:r>
      <w:proofErr w:type="spellStart"/>
      <w:r w:rsidRPr="00B419CE">
        <w:t>virusutbrotet</w:t>
      </w:r>
      <w:proofErr w:type="spellEnd"/>
      <w:r w:rsidRPr="00B419CE">
        <w:t xml:space="preserve"> vart </w:t>
      </w:r>
      <w:proofErr w:type="spellStart"/>
      <w:r w:rsidRPr="00B419CE">
        <w:t>hovudoppgåva</w:t>
      </w:r>
      <w:proofErr w:type="spellEnd"/>
      <w:r w:rsidRPr="00B419CE">
        <w:t xml:space="preserve"> til Tolletaten å </w:t>
      </w:r>
      <w:proofErr w:type="spellStart"/>
      <w:r w:rsidRPr="00B419CE">
        <w:t>halde</w:t>
      </w:r>
      <w:proofErr w:type="spellEnd"/>
      <w:r w:rsidRPr="00B419CE">
        <w:t xml:space="preserve"> oppe og trygge vareførselen inn og ut av landet. Pandemien </w:t>
      </w:r>
      <w:proofErr w:type="spellStart"/>
      <w:r w:rsidRPr="00B419CE">
        <w:t>medverka</w:t>
      </w:r>
      <w:proofErr w:type="spellEnd"/>
      <w:r w:rsidRPr="00B419CE">
        <w:t xml:space="preserve"> òg til at samhandlinga mellom Tolletaten og </w:t>
      </w:r>
      <w:proofErr w:type="spellStart"/>
      <w:r w:rsidRPr="00B419CE">
        <w:t>fleire</w:t>
      </w:r>
      <w:proofErr w:type="spellEnd"/>
      <w:r w:rsidRPr="00B419CE">
        <w:t xml:space="preserve"> </w:t>
      </w:r>
      <w:proofErr w:type="spellStart"/>
      <w:r w:rsidRPr="00B419CE">
        <w:t>samarbeidande</w:t>
      </w:r>
      <w:proofErr w:type="spellEnd"/>
      <w:r w:rsidRPr="00B419CE">
        <w:t xml:space="preserve"> </w:t>
      </w:r>
      <w:proofErr w:type="spellStart"/>
      <w:r w:rsidRPr="00B419CE">
        <w:t>etatar</w:t>
      </w:r>
      <w:proofErr w:type="spellEnd"/>
      <w:r w:rsidRPr="00B419CE">
        <w:t xml:space="preserve"> vart </w:t>
      </w:r>
      <w:proofErr w:type="spellStart"/>
      <w:r w:rsidRPr="00B419CE">
        <w:t>betra</w:t>
      </w:r>
      <w:proofErr w:type="spellEnd"/>
      <w:r w:rsidRPr="00B419CE">
        <w:t xml:space="preserve"> og til at Tolletaten </w:t>
      </w:r>
      <w:proofErr w:type="spellStart"/>
      <w:r w:rsidRPr="00B419CE">
        <w:t>si</w:t>
      </w:r>
      <w:proofErr w:type="spellEnd"/>
      <w:r w:rsidRPr="00B419CE">
        <w:t xml:space="preserve"> beredskapsrolle </w:t>
      </w:r>
      <w:proofErr w:type="spellStart"/>
      <w:r w:rsidRPr="00B419CE">
        <w:t>vart</w:t>
      </w:r>
      <w:proofErr w:type="spellEnd"/>
      <w:r w:rsidRPr="00B419CE">
        <w:t xml:space="preserve"> gjort </w:t>
      </w:r>
      <w:proofErr w:type="spellStart"/>
      <w:r w:rsidRPr="00B419CE">
        <w:t>synleg</w:t>
      </w:r>
      <w:proofErr w:type="spellEnd"/>
      <w:r w:rsidRPr="00B419CE">
        <w:t xml:space="preserve">. Finansdepartementet er nøgd med Tolletatens </w:t>
      </w:r>
      <w:proofErr w:type="spellStart"/>
      <w:r w:rsidRPr="00B419CE">
        <w:t>medverkande</w:t>
      </w:r>
      <w:proofErr w:type="spellEnd"/>
      <w:r w:rsidRPr="00B419CE">
        <w:t xml:space="preserve"> innsats til forsyningstryggleiken, der etaten har </w:t>
      </w:r>
      <w:proofErr w:type="spellStart"/>
      <w:r w:rsidRPr="00B419CE">
        <w:t>vore</w:t>
      </w:r>
      <w:proofErr w:type="spellEnd"/>
      <w:r w:rsidRPr="00B419CE">
        <w:t xml:space="preserve"> i front med informasjon og bruk av data. Departementet er òg nøgd med etatens samarbeid og hjelp til politiet i samband med kontrollen på indre Schengen-grense og </w:t>
      </w:r>
      <w:proofErr w:type="spellStart"/>
      <w:r w:rsidRPr="00B419CE">
        <w:t>trekkjer</w:t>
      </w:r>
      <w:proofErr w:type="spellEnd"/>
      <w:r w:rsidRPr="00B419CE">
        <w:t xml:space="preserve"> </w:t>
      </w:r>
      <w:proofErr w:type="spellStart"/>
      <w:r w:rsidRPr="00B419CE">
        <w:t>særleg</w:t>
      </w:r>
      <w:proofErr w:type="spellEnd"/>
      <w:r w:rsidRPr="00B419CE">
        <w:t xml:space="preserve"> fram initiativ og </w:t>
      </w:r>
      <w:proofErr w:type="spellStart"/>
      <w:r w:rsidRPr="00B419CE">
        <w:t>medverkande</w:t>
      </w:r>
      <w:proofErr w:type="spellEnd"/>
      <w:r w:rsidRPr="00B419CE">
        <w:t xml:space="preserve"> innsats til planen for stenging av </w:t>
      </w:r>
      <w:proofErr w:type="spellStart"/>
      <w:r w:rsidRPr="00B419CE">
        <w:t>grensestasjonar</w:t>
      </w:r>
      <w:proofErr w:type="spellEnd"/>
      <w:r w:rsidRPr="00B419CE">
        <w:t>.</w:t>
      </w:r>
    </w:p>
    <w:p w14:paraId="71D0B927" w14:textId="77777777" w:rsidR="00B419CE" w:rsidRPr="00B419CE" w:rsidRDefault="00B419CE" w:rsidP="00B419CE">
      <w:r w:rsidRPr="00B419CE">
        <w:t xml:space="preserve">Departementet er nøgd med at etaten i 2020 har </w:t>
      </w:r>
      <w:proofErr w:type="spellStart"/>
      <w:r w:rsidRPr="00B419CE">
        <w:t>arbeidd</w:t>
      </w:r>
      <w:proofErr w:type="spellEnd"/>
      <w:r w:rsidRPr="00B419CE">
        <w:t xml:space="preserve"> med ei </w:t>
      </w:r>
      <w:proofErr w:type="spellStart"/>
      <w:r w:rsidRPr="00B419CE">
        <w:t>rekkje</w:t>
      </w:r>
      <w:proofErr w:type="spellEnd"/>
      <w:r w:rsidRPr="00B419CE">
        <w:t xml:space="preserve"> tiltak for å </w:t>
      </w:r>
      <w:proofErr w:type="spellStart"/>
      <w:r w:rsidRPr="00B419CE">
        <w:t>gjere</w:t>
      </w:r>
      <w:proofErr w:type="spellEnd"/>
      <w:r w:rsidRPr="00B419CE">
        <w:t xml:space="preserve"> Tolletaten </w:t>
      </w:r>
      <w:proofErr w:type="spellStart"/>
      <w:r w:rsidRPr="00B419CE">
        <w:t>meir</w:t>
      </w:r>
      <w:proofErr w:type="spellEnd"/>
      <w:r w:rsidRPr="00B419CE">
        <w:t xml:space="preserve"> effektiv og utviklingsorientert. Mellom anna gjennomførte Tolletaten i 2020 ei omorganisering av etaten </w:t>
      </w:r>
      <w:proofErr w:type="spellStart"/>
      <w:r w:rsidRPr="00B419CE">
        <w:t>frå</w:t>
      </w:r>
      <w:proofErr w:type="spellEnd"/>
      <w:r w:rsidRPr="00B419CE">
        <w:t xml:space="preserve"> seks </w:t>
      </w:r>
      <w:proofErr w:type="spellStart"/>
      <w:r w:rsidRPr="00B419CE">
        <w:t>regionar</w:t>
      </w:r>
      <w:proofErr w:type="spellEnd"/>
      <w:r w:rsidRPr="00B419CE">
        <w:t xml:space="preserve"> og direktorat til to operative, </w:t>
      </w:r>
      <w:proofErr w:type="spellStart"/>
      <w:r w:rsidRPr="00B419CE">
        <w:t>landsdekkjande</w:t>
      </w:r>
      <w:proofErr w:type="spellEnd"/>
      <w:r w:rsidRPr="00B419CE">
        <w:t xml:space="preserve"> </w:t>
      </w:r>
      <w:proofErr w:type="spellStart"/>
      <w:r w:rsidRPr="00B419CE">
        <w:t>fagdivisjonar</w:t>
      </w:r>
      <w:proofErr w:type="spellEnd"/>
      <w:r w:rsidRPr="00B419CE">
        <w:t xml:space="preserve"> (grensedivisjonen og vareførselsdivisjonen) og </w:t>
      </w:r>
      <w:proofErr w:type="spellStart"/>
      <w:r w:rsidRPr="00B419CE">
        <w:t>eit</w:t>
      </w:r>
      <w:proofErr w:type="spellEnd"/>
      <w:r w:rsidRPr="00B419CE">
        <w:t xml:space="preserve"> direktorat med fire </w:t>
      </w:r>
      <w:proofErr w:type="spellStart"/>
      <w:r w:rsidRPr="00B419CE">
        <w:t>fagdivisjonar</w:t>
      </w:r>
      <w:proofErr w:type="spellEnd"/>
      <w:r w:rsidRPr="00B419CE">
        <w:t xml:space="preserve"> (</w:t>
      </w:r>
      <w:proofErr w:type="spellStart"/>
      <w:r w:rsidRPr="00B419CE">
        <w:t>divisjonar</w:t>
      </w:r>
      <w:proofErr w:type="spellEnd"/>
      <w:r w:rsidRPr="00B419CE">
        <w:t xml:space="preserve"> for administrering, etterretning, IT og juss). Etaten har òg innført ny etatsutdanning og fullførte utbygginga av </w:t>
      </w:r>
      <w:proofErr w:type="spellStart"/>
      <w:r w:rsidRPr="00B419CE">
        <w:t>skiltgjenkjennande</w:t>
      </w:r>
      <w:proofErr w:type="spellEnd"/>
      <w:r w:rsidRPr="00B419CE">
        <w:t xml:space="preserve"> kamera (ANPR) i 2020. Treff-satsinga vart </w:t>
      </w:r>
      <w:proofErr w:type="spellStart"/>
      <w:r w:rsidRPr="00B419CE">
        <w:t>replanlagt</w:t>
      </w:r>
      <w:proofErr w:type="spellEnd"/>
      <w:r w:rsidRPr="00B419CE">
        <w:t xml:space="preserve"> på </w:t>
      </w:r>
      <w:proofErr w:type="spellStart"/>
      <w:r w:rsidRPr="00B419CE">
        <w:t>ein</w:t>
      </w:r>
      <w:proofErr w:type="spellEnd"/>
      <w:r w:rsidRPr="00B419CE">
        <w:t xml:space="preserve"> god måte, inkludert oppfølginga av ICS2 (EUs importkontrollsystem). Kva gjeld ICS2, leverte Tolletaten fyrste leveranse </w:t>
      </w:r>
      <w:proofErr w:type="spellStart"/>
      <w:r w:rsidRPr="00B419CE">
        <w:t>innan</w:t>
      </w:r>
      <w:proofErr w:type="spellEnd"/>
      <w:r w:rsidRPr="00B419CE">
        <w:t xml:space="preserve"> fristen i mars 2021. Treff-satsinga er </w:t>
      </w:r>
      <w:proofErr w:type="spellStart"/>
      <w:r w:rsidRPr="00B419CE">
        <w:t>eit</w:t>
      </w:r>
      <w:proofErr w:type="spellEnd"/>
      <w:r w:rsidRPr="00B419CE">
        <w:t xml:space="preserve"> </w:t>
      </w:r>
      <w:proofErr w:type="spellStart"/>
      <w:r w:rsidRPr="00B419CE">
        <w:t>krevjande</w:t>
      </w:r>
      <w:proofErr w:type="spellEnd"/>
      <w:r w:rsidRPr="00B419CE">
        <w:t xml:space="preserve"> utviklingsprosjekt, og det er </w:t>
      </w:r>
      <w:proofErr w:type="spellStart"/>
      <w:r w:rsidRPr="00B419CE">
        <w:t>avgjerande</w:t>
      </w:r>
      <w:proofErr w:type="spellEnd"/>
      <w:r w:rsidRPr="00B419CE">
        <w:t xml:space="preserve"> at etaten held fram med å ha stor </w:t>
      </w:r>
      <w:proofErr w:type="spellStart"/>
      <w:r w:rsidRPr="00B419CE">
        <w:t>merksemd</w:t>
      </w:r>
      <w:proofErr w:type="spellEnd"/>
      <w:r w:rsidRPr="00B419CE">
        <w:t xml:space="preserve"> på gjennomføringa av ho.</w:t>
      </w:r>
    </w:p>
    <w:p w14:paraId="6F5C0055" w14:textId="77777777" w:rsidR="00B419CE" w:rsidRPr="00B419CE" w:rsidRDefault="00B419CE" w:rsidP="00B419CE">
      <w:pPr>
        <w:pStyle w:val="Undertittel"/>
      </w:pPr>
      <w:r w:rsidRPr="00B419CE">
        <w:t xml:space="preserve">Viktige </w:t>
      </w:r>
      <w:proofErr w:type="spellStart"/>
      <w:r w:rsidRPr="00B419CE">
        <w:t>utfordringar</w:t>
      </w:r>
      <w:proofErr w:type="spellEnd"/>
    </w:p>
    <w:p w14:paraId="37859DC3" w14:textId="77777777" w:rsidR="00B419CE" w:rsidRPr="00B419CE" w:rsidRDefault="00B419CE" w:rsidP="00B419CE">
      <w:r w:rsidRPr="00B419CE">
        <w:t xml:space="preserve">Tolletatens evne til å løyse samfunnsoppdraget vert utfordra av stadig større volum og </w:t>
      </w:r>
      <w:proofErr w:type="spellStart"/>
      <w:r w:rsidRPr="00B419CE">
        <w:t>meir</w:t>
      </w:r>
      <w:proofErr w:type="spellEnd"/>
      <w:r w:rsidRPr="00B419CE">
        <w:t xml:space="preserve"> samansette </w:t>
      </w:r>
      <w:proofErr w:type="spellStart"/>
      <w:r w:rsidRPr="00B419CE">
        <w:t>varestraumar</w:t>
      </w:r>
      <w:proofErr w:type="spellEnd"/>
      <w:r w:rsidRPr="00B419CE">
        <w:t xml:space="preserve"> som skal kontrollerast. Dette </w:t>
      </w:r>
      <w:proofErr w:type="spellStart"/>
      <w:r w:rsidRPr="00B419CE">
        <w:t>inneber</w:t>
      </w:r>
      <w:proofErr w:type="spellEnd"/>
      <w:r w:rsidRPr="00B419CE">
        <w:t xml:space="preserve"> </w:t>
      </w:r>
      <w:proofErr w:type="spellStart"/>
      <w:r w:rsidRPr="00B419CE">
        <w:t>krevjande</w:t>
      </w:r>
      <w:proofErr w:type="spellEnd"/>
      <w:r w:rsidRPr="00B419CE">
        <w:t xml:space="preserve"> </w:t>
      </w:r>
      <w:proofErr w:type="spellStart"/>
      <w:r w:rsidRPr="00B419CE">
        <w:t>prioriteringar</w:t>
      </w:r>
      <w:proofErr w:type="spellEnd"/>
      <w:r w:rsidRPr="00B419CE">
        <w:t xml:space="preserve"> i Tolletaten. Etaten må arbeide systematisk for å nytte tildelte </w:t>
      </w:r>
      <w:proofErr w:type="spellStart"/>
      <w:r w:rsidRPr="00B419CE">
        <w:t>ressursar</w:t>
      </w:r>
      <w:proofErr w:type="spellEnd"/>
      <w:r w:rsidRPr="00B419CE">
        <w:t xml:space="preserve"> og </w:t>
      </w:r>
      <w:proofErr w:type="spellStart"/>
      <w:r w:rsidRPr="00B419CE">
        <w:t>tilgjengelege</w:t>
      </w:r>
      <w:proofErr w:type="spellEnd"/>
      <w:r w:rsidRPr="00B419CE">
        <w:t xml:space="preserve"> </w:t>
      </w:r>
      <w:proofErr w:type="spellStart"/>
      <w:r w:rsidRPr="00B419CE">
        <w:t>verkemiddel</w:t>
      </w:r>
      <w:proofErr w:type="spellEnd"/>
      <w:r w:rsidRPr="00B419CE">
        <w:t xml:space="preserve"> på </w:t>
      </w:r>
      <w:proofErr w:type="spellStart"/>
      <w:r w:rsidRPr="00B419CE">
        <w:t>ein</w:t>
      </w:r>
      <w:proofErr w:type="spellEnd"/>
      <w:r w:rsidRPr="00B419CE">
        <w:t xml:space="preserve"> effektiv måte.</w:t>
      </w:r>
    </w:p>
    <w:p w14:paraId="1C021670" w14:textId="77777777" w:rsidR="00B419CE" w:rsidRPr="00B419CE" w:rsidRDefault="00B419CE" w:rsidP="00B419CE">
      <w:r w:rsidRPr="00B419CE">
        <w:t xml:space="preserve">Tolletaten vil prioritere å digitalisere </w:t>
      </w:r>
      <w:proofErr w:type="spellStart"/>
      <w:r w:rsidRPr="00B419CE">
        <w:t>verksemda</w:t>
      </w:r>
      <w:proofErr w:type="spellEnd"/>
      <w:r w:rsidRPr="00B419CE">
        <w:t xml:space="preserve"> og utvikle </w:t>
      </w:r>
      <w:proofErr w:type="spellStart"/>
      <w:r w:rsidRPr="00B419CE">
        <w:t>eit</w:t>
      </w:r>
      <w:proofErr w:type="spellEnd"/>
      <w:r w:rsidRPr="00B419CE">
        <w:t xml:space="preserve"> nytt </w:t>
      </w:r>
      <w:proofErr w:type="spellStart"/>
      <w:r w:rsidRPr="00B419CE">
        <w:t>hovudlaup</w:t>
      </w:r>
      <w:proofErr w:type="spellEnd"/>
      <w:r w:rsidRPr="00B419CE">
        <w:t xml:space="preserve"> for næringslivet for innførsel av varer. Mellom anna er ANPR-ordninga og Treff-satsinga viktige for å </w:t>
      </w:r>
      <w:proofErr w:type="spellStart"/>
      <w:r w:rsidRPr="00B419CE">
        <w:t>lukkast</w:t>
      </w:r>
      <w:proofErr w:type="spellEnd"/>
      <w:r w:rsidRPr="00B419CE">
        <w:t xml:space="preserve"> med dette. Etaten må i større grad nytte IKT som </w:t>
      </w:r>
      <w:proofErr w:type="spellStart"/>
      <w:r w:rsidRPr="00B419CE">
        <w:t>verkemiddel</w:t>
      </w:r>
      <w:proofErr w:type="spellEnd"/>
      <w:r w:rsidRPr="00B419CE">
        <w:t xml:space="preserve"> for å </w:t>
      </w:r>
      <w:proofErr w:type="spellStart"/>
      <w:r w:rsidRPr="00B419CE">
        <w:t>gjere</w:t>
      </w:r>
      <w:proofErr w:type="spellEnd"/>
      <w:r w:rsidRPr="00B419CE">
        <w:t xml:space="preserve"> det </w:t>
      </w:r>
      <w:proofErr w:type="spellStart"/>
      <w:r w:rsidRPr="00B419CE">
        <w:t>enklare</w:t>
      </w:r>
      <w:proofErr w:type="spellEnd"/>
      <w:r w:rsidRPr="00B419CE">
        <w:t xml:space="preserve"> for </w:t>
      </w:r>
      <w:proofErr w:type="spellStart"/>
      <w:r w:rsidRPr="00B419CE">
        <w:t>reisande</w:t>
      </w:r>
      <w:proofErr w:type="spellEnd"/>
      <w:r w:rsidRPr="00B419CE">
        <w:t xml:space="preserve"> og næringslivet, samt å effektivisere interne </w:t>
      </w:r>
      <w:proofErr w:type="spellStart"/>
      <w:r w:rsidRPr="00B419CE">
        <w:t>prosessar</w:t>
      </w:r>
      <w:proofErr w:type="spellEnd"/>
      <w:r w:rsidRPr="00B419CE">
        <w:t>.</w:t>
      </w:r>
    </w:p>
    <w:p w14:paraId="17237CF0" w14:textId="77777777" w:rsidR="00B419CE" w:rsidRPr="00B419CE" w:rsidRDefault="00B419CE" w:rsidP="00B419CE">
      <w:r w:rsidRPr="00B419CE">
        <w:t xml:space="preserve">Tolletaten har over tid hatt </w:t>
      </w:r>
      <w:proofErr w:type="spellStart"/>
      <w:r w:rsidRPr="00B419CE">
        <w:t>eit</w:t>
      </w:r>
      <w:proofErr w:type="spellEnd"/>
      <w:r w:rsidRPr="00B419CE">
        <w:t xml:space="preserve"> stort behov for endring og utvikling og har </w:t>
      </w:r>
      <w:proofErr w:type="spellStart"/>
      <w:r w:rsidRPr="00B419CE">
        <w:t>dei</w:t>
      </w:r>
      <w:proofErr w:type="spellEnd"/>
      <w:r w:rsidRPr="00B419CE">
        <w:t xml:space="preserve"> siste åra hatt </w:t>
      </w:r>
      <w:proofErr w:type="spellStart"/>
      <w:r w:rsidRPr="00B419CE">
        <w:t>eit</w:t>
      </w:r>
      <w:proofErr w:type="spellEnd"/>
      <w:r w:rsidRPr="00B419CE">
        <w:t xml:space="preserve"> høgt aktivitetsnivå knytt til mellom anna omorganisering og digitaliseringsprogram. I </w:t>
      </w:r>
      <w:r w:rsidRPr="00B419CE">
        <w:lastRenderedPageBreak/>
        <w:t xml:space="preserve">tida framover er det i fyrste rekke behov for konsolidering og å få </w:t>
      </w:r>
      <w:proofErr w:type="spellStart"/>
      <w:r w:rsidRPr="00B419CE">
        <w:t>dei</w:t>
      </w:r>
      <w:proofErr w:type="spellEnd"/>
      <w:r w:rsidRPr="00B419CE">
        <w:t xml:space="preserve"> gjennomførte </w:t>
      </w:r>
      <w:proofErr w:type="spellStart"/>
      <w:r w:rsidRPr="00B419CE">
        <w:t>endringane</w:t>
      </w:r>
      <w:proofErr w:type="spellEnd"/>
      <w:r w:rsidRPr="00B419CE">
        <w:t xml:space="preserve"> til å fungere godt.</w:t>
      </w:r>
    </w:p>
    <w:p w14:paraId="477CCA25" w14:textId="77777777" w:rsidR="00B419CE" w:rsidRPr="00B419CE" w:rsidRDefault="00B419CE" w:rsidP="00B419CE">
      <w:r w:rsidRPr="00B419CE">
        <w:t xml:space="preserve">I oktober 2020 vart siste del av omorganiseringa av Tolletaten sett i verk. Departementet meiner det er </w:t>
      </w:r>
      <w:proofErr w:type="spellStart"/>
      <w:r w:rsidRPr="00B419CE">
        <w:t>vesentleg</w:t>
      </w:r>
      <w:proofErr w:type="spellEnd"/>
      <w:r w:rsidRPr="00B419CE">
        <w:t xml:space="preserve"> at etaten framover </w:t>
      </w:r>
      <w:proofErr w:type="spellStart"/>
      <w:r w:rsidRPr="00B419CE">
        <w:t>utnyttar</w:t>
      </w:r>
      <w:proofErr w:type="spellEnd"/>
      <w:r w:rsidRPr="00B419CE">
        <w:t xml:space="preserve"> </w:t>
      </w:r>
      <w:proofErr w:type="spellStart"/>
      <w:r w:rsidRPr="00B419CE">
        <w:t>moglegheitene</w:t>
      </w:r>
      <w:proofErr w:type="spellEnd"/>
      <w:r w:rsidRPr="00B419CE">
        <w:t xml:space="preserve"> som følgjer av ny organisering, mellom anna ved å </w:t>
      </w:r>
      <w:proofErr w:type="spellStart"/>
      <w:r w:rsidRPr="00B419CE">
        <w:t>tryggje</w:t>
      </w:r>
      <w:proofErr w:type="spellEnd"/>
      <w:r w:rsidRPr="00B419CE">
        <w:t xml:space="preserve"> god samhandling i organisasjonen. Den nye organiseringa er viktig for at etaten skal kunne tilpasse seg </w:t>
      </w:r>
      <w:proofErr w:type="spellStart"/>
      <w:r w:rsidRPr="00B419CE">
        <w:t>endringar</w:t>
      </w:r>
      <w:proofErr w:type="spellEnd"/>
      <w:r w:rsidRPr="00B419CE">
        <w:t xml:space="preserve"> i </w:t>
      </w:r>
      <w:proofErr w:type="spellStart"/>
      <w:r w:rsidRPr="00B419CE">
        <w:t>varestraumane</w:t>
      </w:r>
      <w:proofErr w:type="spellEnd"/>
      <w:r w:rsidRPr="00B419CE">
        <w:t xml:space="preserve">, samt utvikle seg </w:t>
      </w:r>
      <w:proofErr w:type="spellStart"/>
      <w:r w:rsidRPr="00B419CE">
        <w:t>vidare</w:t>
      </w:r>
      <w:proofErr w:type="spellEnd"/>
      <w:r w:rsidRPr="00B419CE">
        <w:t xml:space="preserve"> </w:t>
      </w:r>
      <w:proofErr w:type="spellStart"/>
      <w:r w:rsidRPr="00B419CE">
        <w:t>innan</w:t>
      </w:r>
      <w:proofErr w:type="spellEnd"/>
      <w:r w:rsidRPr="00B419CE">
        <w:t xml:space="preserve"> automatisering og digitalisering. I tillegg er ny organisering viktig for innretning av kontrollarbeidet og effektivisering av </w:t>
      </w:r>
      <w:proofErr w:type="spellStart"/>
      <w:r w:rsidRPr="00B419CE">
        <w:t>prosessar</w:t>
      </w:r>
      <w:proofErr w:type="spellEnd"/>
      <w:r w:rsidRPr="00B419CE">
        <w:t xml:space="preserve"> i tråd med </w:t>
      </w:r>
      <w:proofErr w:type="spellStart"/>
      <w:r w:rsidRPr="00B419CE">
        <w:t>dei</w:t>
      </w:r>
      <w:proofErr w:type="spellEnd"/>
      <w:r w:rsidRPr="00B419CE">
        <w:t xml:space="preserve"> måla og </w:t>
      </w:r>
      <w:proofErr w:type="spellStart"/>
      <w:r w:rsidRPr="00B419CE">
        <w:t>samfunnseffektane</w:t>
      </w:r>
      <w:proofErr w:type="spellEnd"/>
      <w:r w:rsidRPr="00B419CE">
        <w:t xml:space="preserve"> etaten skal oppnå.</w:t>
      </w:r>
    </w:p>
    <w:p w14:paraId="1963C7CF" w14:textId="77777777" w:rsidR="00B419CE" w:rsidRPr="00B419CE" w:rsidRDefault="00B419CE" w:rsidP="00B419CE">
      <w:r w:rsidRPr="00B419CE">
        <w:t xml:space="preserve">Kompetanse er òg viktig for utvikling av etaten. Etatsutdanninga er evaluert og endra til </w:t>
      </w:r>
      <w:proofErr w:type="spellStart"/>
      <w:r w:rsidRPr="00B419CE">
        <w:t>eit</w:t>
      </w:r>
      <w:proofErr w:type="spellEnd"/>
      <w:r w:rsidRPr="00B419CE">
        <w:t xml:space="preserve"> bachelorstudium. </w:t>
      </w:r>
      <w:proofErr w:type="spellStart"/>
      <w:r w:rsidRPr="00B419CE">
        <w:t>Hausten</w:t>
      </w:r>
      <w:proofErr w:type="spellEnd"/>
      <w:r w:rsidRPr="00B419CE">
        <w:t xml:space="preserve"> 2021 starta det fyrste kullet på det treårige bachelorstudiet i toll, vareførsel og grensekontroll ved Universitetet i Stavanger. Saman med etter- og </w:t>
      </w:r>
      <w:proofErr w:type="spellStart"/>
      <w:r w:rsidRPr="00B419CE">
        <w:t>vidareutdanning</w:t>
      </w:r>
      <w:proofErr w:type="spellEnd"/>
      <w:r w:rsidRPr="00B419CE">
        <w:t xml:space="preserve"> skal studiet </w:t>
      </w:r>
      <w:proofErr w:type="spellStart"/>
      <w:r w:rsidRPr="00B419CE">
        <w:t>dekkje</w:t>
      </w:r>
      <w:proofErr w:type="spellEnd"/>
      <w:r w:rsidRPr="00B419CE">
        <w:t xml:space="preserve"> etatens kompetansebehov for å løyse </w:t>
      </w:r>
      <w:proofErr w:type="spellStart"/>
      <w:r w:rsidRPr="00B419CE">
        <w:t>eit</w:t>
      </w:r>
      <w:proofErr w:type="spellEnd"/>
      <w:r w:rsidRPr="00B419CE">
        <w:t xml:space="preserve"> stadig </w:t>
      </w:r>
      <w:proofErr w:type="spellStart"/>
      <w:r w:rsidRPr="00B419CE">
        <w:t>meir</w:t>
      </w:r>
      <w:proofErr w:type="spellEnd"/>
      <w:r w:rsidRPr="00B419CE">
        <w:t xml:space="preserve"> komplekst samfunnsoppdrag, samt </w:t>
      </w:r>
      <w:proofErr w:type="spellStart"/>
      <w:r w:rsidRPr="00B419CE">
        <w:t>gje</w:t>
      </w:r>
      <w:proofErr w:type="spellEnd"/>
      <w:r w:rsidRPr="00B419CE">
        <w:t xml:space="preserve"> Tolletatens </w:t>
      </w:r>
      <w:proofErr w:type="spellStart"/>
      <w:r w:rsidRPr="00B419CE">
        <w:t>medarbeidarar</w:t>
      </w:r>
      <w:proofErr w:type="spellEnd"/>
      <w:r w:rsidRPr="00B419CE">
        <w:t xml:space="preserve"> betre </w:t>
      </w:r>
      <w:proofErr w:type="spellStart"/>
      <w:r w:rsidRPr="00B419CE">
        <w:t>moglegheiter</w:t>
      </w:r>
      <w:proofErr w:type="spellEnd"/>
      <w:r w:rsidRPr="00B419CE">
        <w:t xml:space="preserve"> for kompetanse- og karriereutvikling.</w:t>
      </w:r>
    </w:p>
    <w:p w14:paraId="23F505ED" w14:textId="77777777" w:rsidR="00B419CE" w:rsidRPr="00B419CE" w:rsidRDefault="00B419CE" w:rsidP="00B419CE">
      <w:r w:rsidRPr="00B419CE">
        <w:t xml:space="preserve">Tolletaten har identifisert område der etaten må </w:t>
      </w:r>
      <w:proofErr w:type="spellStart"/>
      <w:r w:rsidRPr="00B419CE">
        <w:t>forbetre</w:t>
      </w:r>
      <w:proofErr w:type="spellEnd"/>
      <w:r w:rsidRPr="00B419CE">
        <w:t xml:space="preserve"> den interne styringa og kontrollen. I 2020 gjennomførte Tolletaten </w:t>
      </w:r>
      <w:proofErr w:type="spellStart"/>
      <w:r w:rsidRPr="00B419CE">
        <w:t>fleire</w:t>
      </w:r>
      <w:proofErr w:type="spellEnd"/>
      <w:r w:rsidRPr="00B419CE">
        <w:t xml:space="preserve"> tiltak for å </w:t>
      </w:r>
      <w:proofErr w:type="spellStart"/>
      <w:r w:rsidRPr="00B419CE">
        <w:t>styrkje</w:t>
      </w:r>
      <w:proofErr w:type="spellEnd"/>
      <w:r w:rsidRPr="00B419CE">
        <w:t xml:space="preserve"> styring og kontroll av etaten. Ved ny organisering vart roller, ansvar, fullmakter og </w:t>
      </w:r>
      <w:proofErr w:type="spellStart"/>
      <w:r w:rsidRPr="00B419CE">
        <w:t>oppgåver</w:t>
      </w:r>
      <w:proofErr w:type="spellEnd"/>
      <w:r w:rsidRPr="00B419CE">
        <w:t xml:space="preserve"> definert, og kritiske grensesnitt mellom </w:t>
      </w:r>
      <w:proofErr w:type="spellStart"/>
      <w:r w:rsidRPr="00B419CE">
        <w:t>divisjonane</w:t>
      </w:r>
      <w:proofErr w:type="spellEnd"/>
      <w:r w:rsidRPr="00B419CE">
        <w:t xml:space="preserve"> klargjorde. Arbeidet med å dokumentere interne </w:t>
      </w:r>
      <w:proofErr w:type="spellStart"/>
      <w:r w:rsidRPr="00B419CE">
        <w:t>føringar</w:t>
      </w:r>
      <w:proofErr w:type="spellEnd"/>
      <w:r w:rsidRPr="00B419CE">
        <w:t xml:space="preserve"> i form av </w:t>
      </w:r>
      <w:proofErr w:type="spellStart"/>
      <w:r w:rsidRPr="00B419CE">
        <w:t>styrande</w:t>
      </w:r>
      <w:proofErr w:type="spellEnd"/>
      <w:r w:rsidRPr="00B419CE">
        <w:t xml:space="preserve"> dokument held fram i 2022.</w:t>
      </w:r>
    </w:p>
    <w:p w14:paraId="09F111A5" w14:textId="77777777" w:rsidR="00B419CE" w:rsidRPr="00B419CE" w:rsidRDefault="00B419CE" w:rsidP="00B419CE">
      <w:r w:rsidRPr="00B419CE">
        <w:t xml:space="preserve">Koronapandemien har </w:t>
      </w:r>
      <w:proofErr w:type="spellStart"/>
      <w:r w:rsidRPr="00B419CE">
        <w:t>påverka</w:t>
      </w:r>
      <w:proofErr w:type="spellEnd"/>
      <w:r w:rsidRPr="00B419CE">
        <w:t xml:space="preserve"> Tolletatens </w:t>
      </w:r>
      <w:proofErr w:type="spellStart"/>
      <w:r w:rsidRPr="00B419CE">
        <w:t>oppgåveløysing</w:t>
      </w:r>
      <w:proofErr w:type="spellEnd"/>
      <w:r w:rsidRPr="00B419CE">
        <w:t xml:space="preserve"> i 2020 og 2021. For 2022 er det venta </w:t>
      </w:r>
      <w:proofErr w:type="spellStart"/>
      <w:r w:rsidRPr="00B419CE">
        <w:t>ein</w:t>
      </w:r>
      <w:proofErr w:type="spellEnd"/>
      <w:r w:rsidRPr="00B419CE">
        <w:t xml:space="preserve"> </w:t>
      </w:r>
      <w:proofErr w:type="spellStart"/>
      <w:r w:rsidRPr="00B419CE">
        <w:t>meir</w:t>
      </w:r>
      <w:proofErr w:type="spellEnd"/>
      <w:r w:rsidRPr="00B419CE">
        <w:t xml:space="preserve"> normalisert samfunnssituasjon, men </w:t>
      </w:r>
      <w:proofErr w:type="spellStart"/>
      <w:r w:rsidRPr="00B419CE">
        <w:t>effektar</w:t>
      </w:r>
      <w:proofErr w:type="spellEnd"/>
      <w:r w:rsidRPr="00B419CE">
        <w:t xml:space="preserve"> av pandemien vil fortsatt kunne </w:t>
      </w:r>
      <w:proofErr w:type="spellStart"/>
      <w:r w:rsidRPr="00B419CE">
        <w:t>påverke</w:t>
      </w:r>
      <w:proofErr w:type="spellEnd"/>
      <w:r w:rsidRPr="00B419CE">
        <w:t xml:space="preserve"> </w:t>
      </w:r>
      <w:proofErr w:type="spellStart"/>
      <w:r w:rsidRPr="00B419CE">
        <w:t>oppgåveløysinga</w:t>
      </w:r>
      <w:proofErr w:type="spellEnd"/>
      <w:r w:rsidRPr="00B419CE">
        <w:t xml:space="preserve"> og kontroll- og beredskapsnivået.</w:t>
      </w:r>
    </w:p>
    <w:p w14:paraId="003E916E"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i 2022</w:t>
      </w:r>
    </w:p>
    <w:p w14:paraId="7B5DDC0F" w14:textId="77777777" w:rsidR="00B419CE" w:rsidRPr="00B419CE" w:rsidRDefault="00B419CE" w:rsidP="00B419CE">
      <w:r w:rsidRPr="00B419CE">
        <w:t xml:space="preserve">Finansdepartementet fastsett </w:t>
      </w:r>
      <w:proofErr w:type="spellStart"/>
      <w:r w:rsidRPr="00B419CE">
        <w:t>desse</w:t>
      </w:r>
      <w:proofErr w:type="spellEnd"/>
      <w:r w:rsidRPr="00B419CE">
        <w:t xml:space="preserve"> </w:t>
      </w:r>
      <w:proofErr w:type="spellStart"/>
      <w:r w:rsidRPr="00B419CE">
        <w:t>hovudmåla</w:t>
      </w:r>
      <w:proofErr w:type="spellEnd"/>
      <w:r w:rsidRPr="00B419CE">
        <w:t xml:space="preserve"> for Tolletaten for 2022:</w:t>
      </w:r>
    </w:p>
    <w:p w14:paraId="5AD02702" w14:textId="77777777" w:rsidR="00B419CE" w:rsidRPr="00B419CE" w:rsidRDefault="00B419CE" w:rsidP="00B419CE">
      <w:pPr>
        <w:pStyle w:val="Liste"/>
      </w:pPr>
      <w:r w:rsidRPr="00B419CE">
        <w:t xml:space="preserve">Det er enkelt og effektivt å etterleve lover og </w:t>
      </w:r>
      <w:proofErr w:type="spellStart"/>
      <w:r w:rsidRPr="00B419CE">
        <w:t>reglar</w:t>
      </w:r>
      <w:proofErr w:type="spellEnd"/>
      <w:r w:rsidRPr="00B419CE">
        <w:t xml:space="preserve"> for </w:t>
      </w:r>
      <w:proofErr w:type="spellStart"/>
      <w:r w:rsidRPr="00B419CE">
        <w:t>grensekryssande</w:t>
      </w:r>
      <w:proofErr w:type="spellEnd"/>
      <w:r w:rsidRPr="00B419CE">
        <w:t xml:space="preserve"> vareførsel.</w:t>
      </w:r>
    </w:p>
    <w:p w14:paraId="7E754DD1" w14:textId="77777777" w:rsidR="00B419CE" w:rsidRPr="00B419CE" w:rsidRDefault="00B419CE" w:rsidP="00B419CE">
      <w:pPr>
        <w:pStyle w:val="Liste"/>
      </w:pPr>
      <w:proofErr w:type="spellStart"/>
      <w:r w:rsidRPr="00B419CE">
        <w:t>Aktørane</w:t>
      </w:r>
      <w:proofErr w:type="spellEnd"/>
      <w:r w:rsidRPr="00B419CE">
        <w:t xml:space="preserve"> i vareførselen </w:t>
      </w:r>
      <w:proofErr w:type="spellStart"/>
      <w:r w:rsidRPr="00B419CE">
        <w:t>oppfattar</w:t>
      </w:r>
      <w:proofErr w:type="spellEnd"/>
      <w:r w:rsidRPr="00B419CE">
        <w:t xml:space="preserve"> risikoen ved </w:t>
      </w:r>
      <w:proofErr w:type="spellStart"/>
      <w:r w:rsidRPr="00B419CE">
        <w:t>ikkje</w:t>
      </w:r>
      <w:proofErr w:type="spellEnd"/>
      <w:r w:rsidRPr="00B419CE">
        <w:t xml:space="preserve"> å etterleve som høg.</w:t>
      </w:r>
    </w:p>
    <w:p w14:paraId="75373FD0" w14:textId="77777777" w:rsidR="00B419CE" w:rsidRPr="00B419CE" w:rsidRDefault="00B419CE" w:rsidP="00B419CE">
      <w:pPr>
        <w:pStyle w:val="Liste"/>
      </w:pPr>
      <w:r w:rsidRPr="00B419CE">
        <w:t xml:space="preserve">Tolletaten </w:t>
      </w:r>
      <w:proofErr w:type="spellStart"/>
      <w:r w:rsidRPr="00B419CE">
        <w:t>støttar</w:t>
      </w:r>
      <w:proofErr w:type="spellEnd"/>
      <w:r w:rsidRPr="00B419CE">
        <w:t xml:space="preserve"> opp under </w:t>
      </w:r>
      <w:proofErr w:type="spellStart"/>
      <w:r w:rsidRPr="00B419CE">
        <w:t>verksemda</w:t>
      </w:r>
      <w:proofErr w:type="spellEnd"/>
      <w:r w:rsidRPr="00B419CE">
        <w:t xml:space="preserve"> til andre </w:t>
      </w:r>
      <w:proofErr w:type="spellStart"/>
      <w:r w:rsidRPr="00B419CE">
        <w:t>myndigheiter</w:t>
      </w:r>
      <w:proofErr w:type="spellEnd"/>
      <w:r w:rsidRPr="00B419CE">
        <w:t>.</w:t>
      </w:r>
    </w:p>
    <w:p w14:paraId="6397F630" w14:textId="77777777" w:rsidR="00B419CE" w:rsidRPr="00B419CE" w:rsidRDefault="00B419CE" w:rsidP="00B419CE">
      <w:proofErr w:type="spellStart"/>
      <w:r w:rsidRPr="00B419CE">
        <w:t>Hovudmåla</w:t>
      </w:r>
      <w:proofErr w:type="spellEnd"/>
      <w:r w:rsidRPr="00B419CE">
        <w:t xml:space="preserve"> skal </w:t>
      </w:r>
      <w:proofErr w:type="spellStart"/>
      <w:r w:rsidRPr="00B419CE">
        <w:t>leggje</w:t>
      </w:r>
      <w:proofErr w:type="spellEnd"/>
      <w:r w:rsidRPr="00B419CE">
        <w:t xml:space="preserve"> til rette for ei styring av Tolletaten som </w:t>
      </w:r>
      <w:proofErr w:type="spellStart"/>
      <w:r w:rsidRPr="00B419CE">
        <w:t>legg</w:t>
      </w:r>
      <w:proofErr w:type="spellEnd"/>
      <w:r w:rsidRPr="00B419CE">
        <w:t xml:space="preserve"> vekt på </w:t>
      </w:r>
      <w:proofErr w:type="spellStart"/>
      <w:r w:rsidRPr="00B419CE">
        <w:t>dei</w:t>
      </w:r>
      <w:proofErr w:type="spellEnd"/>
      <w:r w:rsidRPr="00B419CE">
        <w:t xml:space="preserve"> samla </w:t>
      </w:r>
      <w:proofErr w:type="spellStart"/>
      <w:r w:rsidRPr="00B419CE">
        <w:t>effektane</w:t>
      </w:r>
      <w:proofErr w:type="spellEnd"/>
      <w:r w:rsidRPr="00B419CE">
        <w:t xml:space="preserve"> av </w:t>
      </w:r>
      <w:proofErr w:type="spellStart"/>
      <w:r w:rsidRPr="00B419CE">
        <w:t>verkemedla</w:t>
      </w:r>
      <w:proofErr w:type="spellEnd"/>
      <w:r w:rsidRPr="00B419CE">
        <w:t xml:space="preserve"> etaten bruker. Den </w:t>
      </w:r>
      <w:proofErr w:type="spellStart"/>
      <w:r w:rsidRPr="00B419CE">
        <w:t>underliggjande</w:t>
      </w:r>
      <w:proofErr w:type="spellEnd"/>
      <w:r w:rsidRPr="00B419CE">
        <w:t xml:space="preserve"> målstrukturen vert fastsett i styringsdialogen mellom Finansdepartementet og Tolletaten i samband med utforminga av tildelingsbrevet </w:t>
      </w:r>
      <w:proofErr w:type="spellStart"/>
      <w:r w:rsidRPr="00B419CE">
        <w:t>frå</w:t>
      </w:r>
      <w:proofErr w:type="spellEnd"/>
      <w:r w:rsidRPr="00B419CE">
        <w:t xml:space="preserve"> departementet til etaten for 2022. Departementet venter at resultata i 2022 samla sett skal </w:t>
      </w:r>
      <w:proofErr w:type="spellStart"/>
      <w:r w:rsidRPr="00B419CE">
        <w:t>vere</w:t>
      </w:r>
      <w:proofErr w:type="spellEnd"/>
      <w:r w:rsidRPr="00B419CE">
        <w:t xml:space="preserve"> minst like gode som i 2020. I resultatvurderinga vil departementet </w:t>
      </w:r>
      <w:proofErr w:type="spellStart"/>
      <w:r w:rsidRPr="00B419CE">
        <w:t>leggje</w:t>
      </w:r>
      <w:proofErr w:type="spellEnd"/>
      <w:r w:rsidRPr="00B419CE">
        <w:t xml:space="preserve"> vekt på heilskapen i </w:t>
      </w:r>
      <w:proofErr w:type="spellStart"/>
      <w:r w:rsidRPr="00B419CE">
        <w:t>verksemda</w:t>
      </w:r>
      <w:proofErr w:type="spellEnd"/>
      <w:r w:rsidRPr="00B419CE">
        <w:t>.</w:t>
      </w:r>
    </w:p>
    <w:p w14:paraId="57CC715E" w14:textId="77777777" w:rsidR="00B419CE" w:rsidRPr="00B419CE" w:rsidRDefault="00B419CE" w:rsidP="00B419CE">
      <w:r w:rsidRPr="00B419CE">
        <w:t xml:space="preserve">Tolletaten arbeider jamt med å løyse </w:t>
      </w:r>
      <w:proofErr w:type="spellStart"/>
      <w:r w:rsidRPr="00B419CE">
        <w:t>oppgåvene</w:t>
      </w:r>
      <w:proofErr w:type="spellEnd"/>
      <w:r w:rsidRPr="00B419CE">
        <w:t xml:space="preserve"> sine betre. I det </w:t>
      </w:r>
      <w:proofErr w:type="spellStart"/>
      <w:r w:rsidRPr="00B419CE">
        <w:t>daglege</w:t>
      </w:r>
      <w:proofErr w:type="spellEnd"/>
      <w:r w:rsidRPr="00B419CE">
        <w:t xml:space="preserve"> arbeidet er det </w:t>
      </w:r>
      <w:proofErr w:type="spellStart"/>
      <w:r w:rsidRPr="00B419CE">
        <w:t>naudsynt</w:t>
      </w:r>
      <w:proofErr w:type="spellEnd"/>
      <w:r w:rsidRPr="00B419CE">
        <w:t xml:space="preserve"> at etaten veg kvalitet opp mot effektivitet. Etaten må nytte </w:t>
      </w:r>
      <w:proofErr w:type="spellStart"/>
      <w:r w:rsidRPr="00B419CE">
        <w:t>kontrollressursane</w:t>
      </w:r>
      <w:proofErr w:type="spellEnd"/>
      <w:r w:rsidRPr="00B419CE">
        <w:t xml:space="preserve"> på best </w:t>
      </w:r>
      <w:proofErr w:type="spellStart"/>
      <w:r w:rsidRPr="00B419CE">
        <w:t>mogleg</w:t>
      </w:r>
      <w:proofErr w:type="spellEnd"/>
      <w:r w:rsidRPr="00B419CE">
        <w:t xml:space="preserve"> måte og prioritere på grunnlag av </w:t>
      </w:r>
      <w:proofErr w:type="spellStart"/>
      <w:r w:rsidRPr="00B419CE">
        <w:t>risikovurderingar</w:t>
      </w:r>
      <w:proofErr w:type="spellEnd"/>
      <w:r w:rsidRPr="00B419CE">
        <w:t xml:space="preserve">. Departementet </w:t>
      </w:r>
      <w:proofErr w:type="spellStart"/>
      <w:r w:rsidRPr="00B419CE">
        <w:t>forventar</w:t>
      </w:r>
      <w:proofErr w:type="spellEnd"/>
      <w:r w:rsidRPr="00B419CE">
        <w:t xml:space="preserve"> at etaten prioriterer betre utnytting av teknologi og </w:t>
      </w:r>
      <w:proofErr w:type="spellStart"/>
      <w:r w:rsidRPr="00B419CE">
        <w:t>sørgjer</w:t>
      </w:r>
      <w:proofErr w:type="spellEnd"/>
      <w:r w:rsidRPr="00B419CE">
        <w:t xml:space="preserve"> for rett kompetanse til </w:t>
      </w:r>
      <w:proofErr w:type="spellStart"/>
      <w:r w:rsidRPr="00B419CE">
        <w:t>dei</w:t>
      </w:r>
      <w:proofErr w:type="spellEnd"/>
      <w:r w:rsidRPr="00B419CE">
        <w:t xml:space="preserve"> ulike </w:t>
      </w:r>
      <w:proofErr w:type="spellStart"/>
      <w:r w:rsidRPr="00B419CE">
        <w:t>oppgåvene</w:t>
      </w:r>
      <w:proofErr w:type="spellEnd"/>
      <w:r w:rsidRPr="00B419CE">
        <w:t xml:space="preserve"> han skal løyse.</w:t>
      </w:r>
    </w:p>
    <w:p w14:paraId="59260C7F" w14:textId="77777777" w:rsidR="00B419CE" w:rsidRPr="00B419CE" w:rsidRDefault="00B419CE" w:rsidP="00B419CE">
      <w:pPr>
        <w:pStyle w:val="Undertittel"/>
      </w:pPr>
      <w:r w:rsidRPr="00B419CE">
        <w:lastRenderedPageBreak/>
        <w:t xml:space="preserve">Viktige </w:t>
      </w:r>
      <w:proofErr w:type="spellStart"/>
      <w:r w:rsidRPr="00B419CE">
        <w:t>prioriteringar</w:t>
      </w:r>
      <w:proofErr w:type="spellEnd"/>
      <w:r w:rsidRPr="00B419CE">
        <w:t xml:space="preserve"> i 2022 vert:</w:t>
      </w:r>
    </w:p>
    <w:p w14:paraId="23BA4CD0" w14:textId="77777777" w:rsidR="00B419CE" w:rsidRPr="00B419CE" w:rsidRDefault="00B419CE" w:rsidP="00B419CE">
      <w:pPr>
        <w:pStyle w:val="avsnitt-tittel"/>
      </w:pPr>
      <w:r w:rsidRPr="00B419CE">
        <w:t xml:space="preserve">Digitalisert </w:t>
      </w:r>
      <w:proofErr w:type="spellStart"/>
      <w:r w:rsidRPr="00B419CE">
        <w:t>systemstøtte</w:t>
      </w:r>
      <w:proofErr w:type="spellEnd"/>
      <w:r w:rsidRPr="00B419CE">
        <w:t xml:space="preserve"> på kontrollområdet og ekspressfortolling</w:t>
      </w:r>
    </w:p>
    <w:p w14:paraId="3D2197E3" w14:textId="77777777" w:rsidR="00B419CE" w:rsidRPr="00B419CE" w:rsidRDefault="00B419CE" w:rsidP="00B419CE">
      <w:r w:rsidRPr="00B419CE">
        <w:t xml:space="preserve">I 2019 samla Tolletaten prosjektet for å digitalisere </w:t>
      </w:r>
      <w:proofErr w:type="spellStart"/>
      <w:r w:rsidRPr="00B419CE">
        <w:t>systemstøtta</w:t>
      </w:r>
      <w:proofErr w:type="spellEnd"/>
      <w:r w:rsidRPr="00B419CE">
        <w:t xml:space="preserve"> på kontrollområdet og prosjektet for ekspressfortolling i ei satsing – </w:t>
      </w:r>
      <w:r w:rsidRPr="00B419CE">
        <w:rPr>
          <w:rStyle w:val="kursiv"/>
        </w:rPr>
        <w:t>Treff-satsinga</w:t>
      </w:r>
      <w:r w:rsidRPr="00B419CE">
        <w:t xml:space="preserve">. Sjå omtale i </w:t>
      </w:r>
      <w:proofErr w:type="spellStart"/>
      <w:r w:rsidRPr="00B419CE">
        <w:t>Prop</w:t>
      </w:r>
      <w:proofErr w:type="spellEnd"/>
      <w:r w:rsidRPr="00B419CE">
        <w:t xml:space="preserve">. 1 S (2018–2019). Satsinga </w:t>
      </w:r>
      <w:proofErr w:type="spellStart"/>
      <w:r w:rsidRPr="00B419CE">
        <w:t>inneber</w:t>
      </w:r>
      <w:proofErr w:type="spellEnd"/>
      <w:r w:rsidRPr="00B419CE">
        <w:t xml:space="preserve"> å etablere både ny og </w:t>
      </w:r>
      <w:proofErr w:type="spellStart"/>
      <w:r w:rsidRPr="00B419CE">
        <w:t>forbetra</w:t>
      </w:r>
      <w:proofErr w:type="spellEnd"/>
      <w:r w:rsidRPr="00B419CE">
        <w:t xml:space="preserve"> systemstønad for </w:t>
      </w:r>
      <w:proofErr w:type="spellStart"/>
      <w:r w:rsidRPr="00B419CE">
        <w:t>oppgåver</w:t>
      </w:r>
      <w:proofErr w:type="spellEnd"/>
      <w:r w:rsidRPr="00B419CE">
        <w:t xml:space="preserve"> i alle ledd av Tolletatens </w:t>
      </w:r>
      <w:proofErr w:type="spellStart"/>
      <w:r w:rsidRPr="00B419CE">
        <w:t>kontrollprosessar</w:t>
      </w:r>
      <w:proofErr w:type="spellEnd"/>
      <w:r w:rsidRPr="00B419CE">
        <w:t xml:space="preserve"> og ei ny løysing for deklarering og automatisk fortolling av varer på grensa (ekspressfortolling). I </w:t>
      </w:r>
      <w:proofErr w:type="spellStart"/>
      <w:r w:rsidRPr="00B419CE">
        <w:t>Prop</w:t>
      </w:r>
      <w:proofErr w:type="spellEnd"/>
      <w:r w:rsidRPr="00B419CE">
        <w:t xml:space="preserve">. 1 S (2019–2020) for Finansdepartementet vart det varsla om at Treff-satsinga var </w:t>
      </w:r>
      <w:proofErr w:type="spellStart"/>
      <w:r w:rsidRPr="00B419CE">
        <w:t>forseinka</w:t>
      </w:r>
      <w:proofErr w:type="spellEnd"/>
      <w:r w:rsidRPr="00B419CE">
        <w:t xml:space="preserve">. Det </w:t>
      </w:r>
      <w:proofErr w:type="spellStart"/>
      <w:r w:rsidRPr="00B419CE">
        <w:t>vart</w:t>
      </w:r>
      <w:proofErr w:type="spellEnd"/>
      <w:r w:rsidRPr="00B419CE">
        <w:t xml:space="preserve"> gjennomført </w:t>
      </w:r>
      <w:proofErr w:type="spellStart"/>
      <w:r w:rsidRPr="00B419CE">
        <w:t>ein</w:t>
      </w:r>
      <w:proofErr w:type="spellEnd"/>
      <w:r w:rsidRPr="00B419CE">
        <w:t xml:space="preserve"> full gjennomgang av satsinga fyrste halvår av 2020, sjå omtale i </w:t>
      </w:r>
      <w:proofErr w:type="spellStart"/>
      <w:r w:rsidRPr="00B419CE">
        <w:t>Prop</w:t>
      </w:r>
      <w:proofErr w:type="spellEnd"/>
      <w:r w:rsidRPr="00B419CE">
        <w:t xml:space="preserve">. 1 S (2020–2021). Teknisk og organisatorisk tilrettelegging for ICS2 (EUs importkontrollsystem) er </w:t>
      </w:r>
      <w:proofErr w:type="spellStart"/>
      <w:r w:rsidRPr="00B419CE">
        <w:t>no</w:t>
      </w:r>
      <w:proofErr w:type="spellEnd"/>
      <w:r w:rsidRPr="00B419CE">
        <w:t xml:space="preserve"> lagt inn i Treff-satsinga.</w:t>
      </w:r>
    </w:p>
    <w:p w14:paraId="4CCCAE84" w14:textId="77777777" w:rsidR="00B419CE" w:rsidRPr="00B419CE" w:rsidRDefault="00B419CE" w:rsidP="00B419CE">
      <w:r w:rsidRPr="00B419CE">
        <w:t xml:space="preserve">Etter at Treff-satsinga gjennom fyrste halvår av 2020 har vorte </w:t>
      </w:r>
      <w:proofErr w:type="spellStart"/>
      <w:r w:rsidRPr="00B419CE">
        <w:t>replanlagt</w:t>
      </w:r>
      <w:proofErr w:type="spellEnd"/>
      <w:r w:rsidRPr="00B419CE">
        <w:t xml:space="preserve">, starta programmet opp igjen </w:t>
      </w:r>
      <w:proofErr w:type="spellStart"/>
      <w:r w:rsidRPr="00B419CE">
        <w:t>hausten</w:t>
      </w:r>
      <w:proofErr w:type="spellEnd"/>
      <w:r w:rsidRPr="00B419CE">
        <w:t xml:space="preserve"> 2020 med </w:t>
      </w:r>
      <w:proofErr w:type="spellStart"/>
      <w:r w:rsidRPr="00B419CE">
        <w:t>særleg</w:t>
      </w:r>
      <w:proofErr w:type="spellEnd"/>
      <w:r w:rsidRPr="00B419CE">
        <w:t xml:space="preserve"> </w:t>
      </w:r>
      <w:proofErr w:type="spellStart"/>
      <w:r w:rsidRPr="00B419CE">
        <w:t>merksemd</w:t>
      </w:r>
      <w:proofErr w:type="spellEnd"/>
      <w:r w:rsidRPr="00B419CE">
        <w:t xml:space="preserve"> på etablering av </w:t>
      </w:r>
      <w:proofErr w:type="spellStart"/>
      <w:r w:rsidRPr="00B419CE">
        <w:t>systemstøtte</w:t>
      </w:r>
      <w:proofErr w:type="spellEnd"/>
      <w:r w:rsidRPr="00B419CE">
        <w:t xml:space="preserve"> for ICS2 fase 1 og </w:t>
      </w:r>
      <w:proofErr w:type="spellStart"/>
      <w:r w:rsidRPr="00B419CE">
        <w:t>oppgåver</w:t>
      </w:r>
      <w:proofErr w:type="spellEnd"/>
      <w:r w:rsidRPr="00B419CE">
        <w:t xml:space="preserve"> knytt til utfasing av Tolletatens </w:t>
      </w:r>
      <w:proofErr w:type="spellStart"/>
      <w:r w:rsidRPr="00B419CE">
        <w:t>eksisterande</w:t>
      </w:r>
      <w:proofErr w:type="spellEnd"/>
      <w:r w:rsidRPr="00B419CE">
        <w:t xml:space="preserve"> kontrollstøtteverktøy. Samstundes vart det </w:t>
      </w:r>
      <w:proofErr w:type="spellStart"/>
      <w:r w:rsidRPr="00B419CE">
        <w:t>arbeidd</w:t>
      </w:r>
      <w:proofErr w:type="spellEnd"/>
      <w:r w:rsidRPr="00B419CE">
        <w:t xml:space="preserve"> med å revidere </w:t>
      </w:r>
      <w:proofErr w:type="spellStart"/>
      <w:r w:rsidRPr="00B419CE">
        <w:t>tryggleiksavtalen</w:t>
      </w:r>
      <w:proofErr w:type="spellEnd"/>
      <w:r w:rsidRPr="00B419CE">
        <w:t xml:space="preserve"> mellom </w:t>
      </w:r>
      <w:proofErr w:type="spellStart"/>
      <w:r w:rsidRPr="00B419CE">
        <w:t>Noreg</w:t>
      </w:r>
      <w:proofErr w:type="spellEnd"/>
      <w:r w:rsidRPr="00B419CE">
        <w:t xml:space="preserve"> og EU (EØS-avtalen, protokoll 10, kapittel </w:t>
      </w:r>
      <w:proofErr w:type="spellStart"/>
      <w:r w:rsidRPr="00B419CE">
        <w:t>IIa</w:t>
      </w:r>
      <w:proofErr w:type="spellEnd"/>
      <w:r w:rsidRPr="00B419CE">
        <w:t xml:space="preserve">) </w:t>
      </w:r>
      <w:proofErr w:type="spellStart"/>
      <w:r w:rsidRPr="00B419CE">
        <w:t>frå</w:t>
      </w:r>
      <w:proofErr w:type="spellEnd"/>
      <w:r w:rsidRPr="00B419CE">
        <w:t xml:space="preserve"> 2009. </w:t>
      </w:r>
      <w:proofErr w:type="spellStart"/>
      <w:r w:rsidRPr="00B419CE">
        <w:t>Tryggleiksavtalen</w:t>
      </w:r>
      <w:proofErr w:type="spellEnd"/>
      <w:r w:rsidRPr="00B419CE">
        <w:t xml:space="preserve"> knyter </w:t>
      </w:r>
      <w:proofErr w:type="spellStart"/>
      <w:r w:rsidRPr="00B419CE">
        <w:t>Noreg</w:t>
      </w:r>
      <w:proofErr w:type="spellEnd"/>
      <w:r w:rsidRPr="00B419CE">
        <w:t xml:space="preserve"> til EU sitt </w:t>
      </w:r>
      <w:proofErr w:type="spellStart"/>
      <w:r w:rsidRPr="00B419CE">
        <w:t>tryggleikssområde</w:t>
      </w:r>
      <w:proofErr w:type="spellEnd"/>
      <w:r w:rsidRPr="00B419CE">
        <w:t xml:space="preserve">. Avtalen </w:t>
      </w:r>
      <w:proofErr w:type="spellStart"/>
      <w:r w:rsidRPr="00B419CE">
        <w:t>inneber</w:t>
      </w:r>
      <w:proofErr w:type="spellEnd"/>
      <w:r w:rsidRPr="00B419CE">
        <w:t xml:space="preserve"> at </w:t>
      </w:r>
      <w:proofErr w:type="spellStart"/>
      <w:r w:rsidRPr="00B419CE">
        <w:t>Noreg</w:t>
      </w:r>
      <w:proofErr w:type="spellEnd"/>
      <w:r w:rsidRPr="00B419CE">
        <w:t xml:space="preserve"> må innføre tiltak på lik line med </w:t>
      </w:r>
      <w:proofErr w:type="spellStart"/>
      <w:r w:rsidRPr="00B419CE">
        <w:t>dei</w:t>
      </w:r>
      <w:proofErr w:type="spellEnd"/>
      <w:r w:rsidRPr="00B419CE">
        <w:t xml:space="preserve"> tiltaka EU vil innføre for medlemslanda sine, sjå omtale i </w:t>
      </w:r>
      <w:proofErr w:type="spellStart"/>
      <w:r w:rsidRPr="00B419CE">
        <w:t>Prop</w:t>
      </w:r>
      <w:proofErr w:type="spellEnd"/>
      <w:r w:rsidRPr="00B419CE">
        <w:t>. 1 S (2020–2021).</w:t>
      </w:r>
    </w:p>
    <w:p w14:paraId="634FC9A1" w14:textId="77777777" w:rsidR="00B419CE" w:rsidRPr="00B419CE" w:rsidRDefault="00B419CE" w:rsidP="00B419CE">
      <w:r w:rsidRPr="00B419CE">
        <w:t xml:space="preserve">Den reviderte </w:t>
      </w:r>
      <w:proofErr w:type="spellStart"/>
      <w:r w:rsidRPr="00B419CE">
        <w:t>tryggleiksavtalen</w:t>
      </w:r>
      <w:proofErr w:type="spellEnd"/>
      <w:r w:rsidRPr="00B419CE">
        <w:t xml:space="preserve"> mellom </w:t>
      </w:r>
      <w:proofErr w:type="spellStart"/>
      <w:r w:rsidRPr="00B419CE">
        <w:t>Noreg</w:t>
      </w:r>
      <w:proofErr w:type="spellEnd"/>
      <w:r w:rsidRPr="00B419CE">
        <w:t xml:space="preserve"> og EU </w:t>
      </w:r>
      <w:proofErr w:type="spellStart"/>
      <w:r w:rsidRPr="00B419CE">
        <w:t>vart</w:t>
      </w:r>
      <w:proofErr w:type="spellEnd"/>
      <w:r w:rsidRPr="00B419CE">
        <w:t xml:space="preserve"> implementert i februar 2021, og fyrste fase av ICS2 som </w:t>
      </w:r>
      <w:proofErr w:type="spellStart"/>
      <w:r w:rsidRPr="00B419CE">
        <w:t>omhandlar</w:t>
      </w:r>
      <w:proofErr w:type="spellEnd"/>
      <w:r w:rsidRPr="00B419CE">
        <w:t xml:space="preserve"> ekspressfrakt og post, </w:t>
      </w:r>
      <w:proofErr w:type="spellStart"/>
      <w:r w:rsidRPr="00B419CE">
        <w:t>vart</w:t>
      </w:r>
      <w:proofErr w:type="spellEnd"/>
      <w:r w:rsidRPr="00B419CE">
        <w:t xml:space="preserve"> sett i verk 15. mars 2021. Gjenstående leveranse av fyrste fase er planlagt gjort i 2021, og andre fase vil </w:t>
      </w:r>
      <w:proofErr w:type="spellStart"/>
      <w:r w:rsidRPr="00B419CE">
        <w:t>verte</w:t>
      </w:r>
      <w:proofErr w:type="spellEnd"/>
      <w:r w:rsidRPr="00B419CE">
        <w:t xml:space="preserve"> sett i verk i mars 2023.</w:t>
      </w:r>
    </w:p>
    <w:p w14:paraId="06F710DD" w14:textId="77777777" w:rsidR="00B419CE" w:rsidRPr="00B419CE" w:rsidRDefault="00B419CE" w:rsidP="00B419CE">
      <w:r w:rsidRPr="00B419CE">
        <w:t xml:space="preserve">Gjennom Treff-satsinga vert det òg utvikla nye analyse- og etterretningsverktøy for støtte til alle </w:t>
      </w:r>
      <w:proofErr w:type="spellStart"/>
      <w:r w:rsidRPr="00B419CE">
        <w:t>kontrollprosessar</w:t>
      </w:r>
      <w:proofErr w:type="spellEnd"/>
      <w:r w:rsidRPr="00B419CE">
        <w:t xml:space="preserve"> i Tolletaten. I </w:t>
      </w:r>
      <w:proofErr w:type="spellStart"/>
      <w:r w:rsidRPr="00B419CE">
        <w:t>laupet</w:t>
      </w:r>
      <w:proofErr w:type="spellEnd"/>
      <w:r w:rsidRPr="00B419CE">
        <w:t xml:space="preserve"> av 2019 og 2020 </w:t>
      </w:r>
      <w:proofErr w:type="spellStart"/>
      <w:r w:rsidRPr="00B419CE">
        <w:t>vart</w:t>
      </w:r>
      <w:proofErr w:type="spellEnd"/>
      <w:r w:rsidRPr="00B419CE">
        <w:t xml:space="preserve"> det levert plattform og </w:t>
      </w:r>
      <w:proofErr w:type="spellStart"/>
      <w:r w:rsidRPr="00B419CE">
        <w:t>løysingar</w:t>
      </w:r>
      <w:proofErr w:type="spellEnd"/>
      <w:r w:rsidRPr="00B419CE">
        <w:t xml:space="preserve"> for søk og analyse, samt støtte for digitalisering av handsaminga av </w:t>
      </w:r>
      <w:proofErr w:type="spellStart"/>
      <w:r w:rsidRPr="00B419CE">
        <w:t>kurérmanifest</w:t>
      </w:r>
      <w:proofErr w:type="spellEnd"/>
      <w:r w:rsidRPr="00B419CE">
        <w:t xml:space="preserve">. </w:t>
      </w:r>
      <w:proofErr w:type="spellStart"/>
      <w:r w:rsidRPr="00B419CE">
        <w:t>Desse</w:t>
      </w:r>
      <w:proofErr w:type="spellEnd"/>
      <w:r w:rsidRPr="00B419CE">
        <w:t xml:space="preserve"> er </w:t>
      </w:r>
      <w:proofErr w:type="spellStart"/>
      <w:r w:rsidRPr="00B419CE">
        <w:t>tekne</w:t>
      </w:r>
      <w:proofErr w:type="spellEnd"/>
      <w:r w:rsidRPr="00B419CE">
        <w:t xml:space="preserve"> i bruk i etaten og vart i 2020 utvida gjennom leveranse av ei elektronisk mottaksløysing for informasjon </w:t>
      </w:r>
      <w:proofErr w:type="spellStart"/>
      <w:r w:rsidRPr="00B419CE">
        <w:t>frå</w:t>
      </w:r>
      <w:proofErr w:type="spellEnd"/>
      <w:r w:rsidRPr="00B419CE">
        <w:t xml:space="preserve"> næringslivet. Det vart òg </w:t>
      </w:r>
      <w:proofErr w:type="spellStart"/>
      <w:r w:rsidRPr="00B419CE">
        <w:t>arbeidd</w:t>
      </w:r>
      <w:proofErr w:type="spellEnd"/>
      <w:r w:rsidRPr="00B419CE">
        <w:t xml:space="preserve"> med å lage ny løysing for kontroll og intern etterretningsrapportering, slik at </w:t>
      </w:r>
      <w:proofErr w:type="spellStart"/>
      <w:r w:rsidRPr="00B419CE">
        <w:t>ein</w:t>
      </w:r>
      <w:proofErr w:type="spellEnd"/>
      <w:r w:rsidRPr="00B419CE">
        <w:t xml:space="preserve"> kan starte med utfasing av </w:t>
      </w:r>
      <w:proofErr w:type="spellStart"/>
      <w:r w:rsidRPr="00B419CE">
        <w:t>dei</w:t>
      </w:r>
      <w:proofErr w:type="spellEnd"/>
      <w:r w:rsidRPr="00B419CE">
        <w:t xml:space="preserve"> gamle systema </w:t>
      </w:r>
      <w:proofErr w:type="spellStart"/>
      <w:r w:rsidRPr="00B419CE">
        <w:t>frå</w:t>
      </w:r>
      <w:proofErr w:type="spellEnd"/>
      <w:r w:rsidRPr="00B419CE">
        <w:t xml:space="preserve"> 2022. Gjennom 2021 skal det òg </w:t>
      </w:r>
      <w:proofErr w:type="spellStart"/>
      <w:r w:rsidRPr="00B419CE">
        <w:t>etablerast</w:t>
      </w:r>
      <w:proofErr w:type="spellEnd"/>
      <w:r w:rsidRPr="00B419CE">
        <w:t xml:space="preserve"> </w:t>
      </w:r>
      <w:proofErr w:type="spellStart"/>
      <w:r w:rsidRPr="00B419CE">
        <w:t>ein</w:t>
      </w:r>
      <w:proofErr w:type="spellEnd"/>
      <w:r w:rsidRPr="00B419CE">
        <w:t xml:space="preserve"> nettverksanalyseløysing for etterretningsområdet. I 2022 er det planlagt etablering av løysing for sentral risikovurdering og første versjon av ei løysing for melding og framlegging for innførsel av varer.</w:t>
      </w:r>
    </w:p>
    <w:p w14:paraId="4F4EACED" w14:textId="77777777" w:rsidR="00B419CE" w:rsidRPr="00B419CE" w:rsidRDefault="00B419CE" w:rsidP="00B419CE">
      <w:proofErr w:type="spellStart"/>
      <w:r w:rsidRPr="00B419CE">
        <w:t>Innanfor</w:t>
      </w:r>
      <w:proofErr w:type="spellEnd"/>
      <w:r w:rsidRPr="00B419CE">
        <w:t xml:space="preserve"> Treff-satsinga er det </w:t>
      </w:r>
      <w:proofErr w:type="spellStart"/>
      <w:r w:rsidRPr="00B419CE">
        <w:t>vidare</w:t>
      </w:r>
      <w:proofErr w:type="spellEnd"/>
      <w:r w:rsidRPr="00B419CE">
        <w:t xml:space="preserve"> gjennomført </w:t>
      </w:r>
      <w:proofErr w:type="spellStart"/>
      <w:r w:rsidRPr="00B419CE">
        <w:t>eit</w:t>
      </w:r>
      <w:proofErr w:type="spellEnd"/>
      <w:r w:rsidRPr="00B419CE">
        <w:t xml:space="preserve"> prøveprosjekt med digital informasjonsinnhenting og automatisert grensepassering ved Ørje </w:t>
      </w:r>
      <w:proofErr w:type="spellStart"/>
      <w:r w:rsidRPr="00B419CE">
        <w:t>tollstad</w:t>
      </w:r>
      <w:proofErr w:type="spellEnd"/>
      <w:r w:rsidRPr="00B419CE">
        <w:t xml:space="preserve"> (ekspressfortolling). Løysinga er </w:t>
      </w:r>
      <w:proofErr w:type="spellStart"/>
      <w:r w:rsidRPr="00B419CE">
        <w:t>vidareutvikla</w:t>
      </w:r>
      <w:proofErr w:type="spellEnd"/>
      <w:r w:rsidRPr="00B419CE">
        <w:t xml:space="preserve"> med </w:t>
      </w:r>
      <w:proofErr w:type="spellStart"/>
      <w:r w:rsidRPr="00B419CE">
        <w:t>fleire</w:t>
      </w:r>
      <w:proofErr w:type="spellEnd"/>
      <w:r w:rsidRPr="00B419CE">
        <w:t xml:space="preserve"> </w:t>
      </w:r>
      <w:proofErr w:type="spellStart"/>
      <w:r w:rsidRPr="00B419CE">
        <w:t>prosedyrar</w:t>
      </w:r>
      <w:proofErr w:type="spellEnd"/>
      <w:r w:rsidRPr="00B419CE">
        <w:t xml:space="preserve">, og prøvinga vart utvida til Svinesund </w:t>
      </w:r>
      <w:proofErr w:type="spellStart"/>
      <w:r w:rsidRPr="00B419CE">
        <w:t>tollstad</w:t>
      </w:r>
      <w:proofErr w:type="spellEnd"/>
      <w:r w:rsidRPr="00B419CE">
        <w:t xml:space="preserve"> </w:t>
      </w:r>
      <w:proofErr w:type="spellStart"/>
      <w:r w:rsidRPr="00B419CE">
        <w:t>hausten</w:t>
      </w:r>
      <w:proofErr w:type="spellEnd"/>
      <w:r w:rsidRPr="00B419CE">
        <w:t xml:space="preserve"> 2020. Prøveprosjektet er evaluert fyrste halvår av 2021. Evalueringa syner at konseptet er godt, men det er </w:t>
      </w:r>
      <w:proofErr w:type="spellStart"/>
      <w:r w:rsidRPr="00B419CE">
        <w:t>eigenskapar</w:t>
      </w:r>
      <w:proofErr w:type="spellEnd"/>
      <w:r w:rsidRPr="00B419CE">
        <w:t xml:space="preserve"> med løysinga som kan </w:t>
      </w:r>
      <w:proofErr w:type="spellStart"/>
      <w:r w:rsidRPr="00B419CE">
        <w:t>forbetrast</w:t>
      </w:r>
      <w:proofErr w:type="spellEnd"/>
      <w:r w:rsidRPr="00B419CE">
        <w:t xml:space="preserve"> slik at </w:t>
      </w:r>
      <w:proofErr w:type="spellStart"/>
      <w:r w:rsidRPr="00B419CE">
        <w:t>dei</w:t>
      </w:r>
      <w:proofErr w:type="spellEnd"/>
      <w:r w:rsidRPr="00B419CE">
        <w:t xml:space="preserve"> </w:t>
      </w:r>
      <w:proofErr w:type="spellStart"/>
      <w:r w:rsidRPr="00B419CE">
        <w:t>næringsdrivande</w:t>
      </w:r>
      <w:proofErr w:type="spellEnd"/>
      <w:r w:rsidRPr="00B419CE">
        <w:t xml:space="preserve"> i større grad </w:t>
      </w:r>
      <w:proofErr w:type="spellStart"/>
      <w:r w:rsidRPr="00B419CE">
        <w:t>tek</w:t>
      </w:r>
      <w:proofErr w:type="spellEnd"/>
      <w:r w:rsidRPr="00B419CE">
        <w:t xml:space="preserve"> ho i bruk. </w:t>
      </w:r>
      <w:proofErr w:type="spellStart"/>
      <w:r w:rsidRPr="00B419CE">
        <w:t>Ein</w:t>
      </w:r>
      <w:proofErr w:type="spellEnd"/>
      <w:r w:rsidRPr="00B419CE">
        <w:t xml:space="preserve"> </w:t>
      </w:r>
      <w:proofErr w:type="spellStart"/>
      <w:r w:rsidRPr="00B419CE">
        <w:t>vidare</w:t>
      </w:r>
      <w:proofErr w:type="spellEnd"/>
      <w:r w:rsidRPr="00B419CE">
        <w:t xml:space="preserve"> strategi for å handtere dette er under arbeid og vil </w:t>
      </w:r>
      <w:proofErr w:type="spellStart"/>
      <w:r w:rsidRPr="00B419CE">
        <w:t>verte</w:t>
      </w:r>
      <w:proofErr w:type="spellEnd"/>
      <w:r w:rsidRPr="00B419CE">
        <w:t xml:space="preserve"> sett i verk gjennom Treff-satsinga.</w:t>
      </w:r>
    </w:p>
    <w:p w14:paraId="184CD43F" w14:textId="77777777" w:rsidR="00B419CE" w:rsidRPr="00B419CE" w:rsidRDefault="00B419CE" w:rsidP="00B419CE">
      <w:r w:rsidRPr="00B419CE">
        <w:lastRenderedPageBreak/>
        <w:t xml:space="preserve">Kostnadsramma for Treff-satsinga er etter </w:t>
      </w:r>
      <w:proofErr w:type="spellStart"/>
      <w:r w:rsidRPr="00B419CE">
        <w:t>replanlegginga</w:t>
      </w:r>
      <w:proofErr w:type="spellEnd"/>
      <w:r w:rsidRPr="00B419CE">
        <w:t xml:space="preserve"> 838,3 mill. kroner (2022-kroner), der 183,2 mill. kroner er Tolletatens eigenfinansiering Gjennomføringsperioden er </w:t>
      </w:r>
      <w:proofErr w:type="spellStart"/>
      <w:r w:rsidRPr="00B419CE">
        <w:t>frå</w:t>
      </w:r>
      <w:proofErr w:type="spellEnd"/>
      <w:r w:rsidRPr="00B419CE">
        <w:t xml:space="preserve"> 2019 til 2024. For 2022 er det sett av 123,2 mill. kroner til Treff-satsinga. I tillegg er det sett av 39,8 mill. kroner til </w:t>
      </w:r>
      <w:proofErr w:type="spellStart"/>
      <w:r w:rsidRPr="00B419CE">
        <w:t>driftskostnadar</w:t>
      </w:r>
      <w:proofErr w:type="spellEnd"/>
      <w:r w:rsidRPr="00B419CE">
        <w:t xml:space="preserve"> for </w:t>
      </w:r>
      <w:proofErr w:type="spellStart"/>
      <w:r w:rsidRPr="00B419CE">
        <w:t>dei</w:t>
      </w:r>
      <w:proofErr w:type="spellEnd"/>
      <w:r w:rsidRPr="00B419CE">
        <w:t xml:space="preserve"> </w:t>
      </w:r>
      <w:proofErr w:type="spellStart"/>
      <w:r w:rsidRPr="00B419CE">
        <w:t>delane</w:t>
      </w:r>
      <w:proofErr w:type="spellEnd"/>
      <w:r w:rsidRPr="00B419CE">
        <w:t xml:space="preserve"> av systema som er sette i drift.</w:t>
      </w:r>
    </w:p>
    <w:p w14:paraId="567727B0" w14:textId="77777777" w:rsidR="00B419CE" w:rsidRPr="00B419CE" w:rsidRDefault="00B419CE" w:rsidP="00B419CE">
      <w:r w:rsidRPr="00B419CE">
        <w:t xml:space="preserve">For Treff-prosjektet kan det </w:t>
      </w:r>
      <w:proofErr w:type="spellStart"/>
      <w:r w:rsidRPr="00B419CE">
        <w:t>verte</w:t>
      </w:r>
      <w:proofErr w:type="spellEnd"/>
      <w:r w:rsidRPr="00B419CE">
        <w:t xml:space="preserve"> bruk for </w:t>
      </w:r>
      <w:proofErr w:type="spellStart"/>
      <w:r w:rsidRPr="00B419CE">
        <w:t>avtalar</w:t>
      </w:r>
      <w:proofErr w:type="spellEnd"/>
      <w:r w:rsidRPr="00B419CE">
        <w:t xml:space="preserve"> som går utover budsjettåret, mot dekning av </w:t>
      </w:r>
      <w:proofErr w:type="spellStart"/>
      <w:r w:rsidRPr="00B419CE">
        <w:t>seinare</w:t>
      </w:r>
      <w:proofErr w:type="spellEnd"/>
      <w:r w:rsidRPr="00B419CE">
        <w:t xml:space="preserve"> </w:t>
      </w:r>
      <w:proofErr w:type="spellStart"/>
      <w:r w:rsidRPr="00B419CE">
        <w:t>løyvingar</w:t>
      </w:r>
      <w:proofErr w:type="spellEnd"/>
      <w:r w:rsidRPr="00B419CE">
        <w:t xml:space="preserve">. Departementet ber </w:t>
      </w:r>
      <w:proofErr w:type="spellStart"/>
      <w:r w:rsidRPr="00B419CE">
        <w:t>difor</w:t>
      </w:r>
      <w:proofErr w:type="spellEnd"/>
      <w:r w:rsidRPr="00B419CE">
        <w:t xml:space="preserve"> om at Tolletaten får fullmakt til å inngå slike </w:t>
      </w:r>
      <w:proofErr w:type="spellStart"/>
      <w:r w:rsidRPr="00B419CE">
        <w:t>avtalar</w:t>
      </w:r>
      <w:proofErr w:type="spellEnd"/>
      <w:r w:rsidRPr="00B419CE">
        <w:t xml:space="preserve"> </w:t>
      </w:r>
      <w:proofErr w:type="spellStart"/>
      <w:r w:rsidRPr="00B419CE">
        <w:t>innanfor</w:t>
      </w:r>
      <w:proofErr w:type="spellEnd"/>
      <w:r w:rsidRPr="00B419CE">
        <w:t xml:space="preserve"> kostnadsramma som er gjeve </w:t>
      </w:r>
      <w:proofErr w:type="spellStart"/>
      <w:r w:rsidRPr="00B419CE">
        <w:t>ovanfor</w:t>
      </w:r>
      <w:proofErr w:type="spellEnd"/>
      <w:r w:rsidRPr="00B419CE">
        <w:t xml:space="preserve">, jf. framlegg til </w:t>
      </w:r>
      <w:proofErr w:type="spellStart"/>
      <w:r w:rsidRPr="00B419CE">
        <w:t>romartalsvedtak</w:t>
      </w:r>
      <w:proofErr w:type="spellEnd"/>
      <w:r w:rsidRPr="00B419CE">
        <w:t xml:space="preserve"> V.</w:t>
      </w:r>
    </w:p>
    <w:p w14:paraId="343A6A9F" w14:textId="77777777" w:rsidR="00B419CE" w:rsidRPr="00B419CE" w:rsidRDefault="00B419CE" w:rsidP="00B419CE">
      <w:pPr>
        <w:pStyle w:val="avsnitt-tittel"/>
      </w:pPr>
      <w:r w:rsidRPr="00B419CE">
        <w:t xml:space="preserve">Etablering og oppfølging av ny eining for </w:t>
      </w:r>
      <w:proofErr w:type="spellStart"/>
      <w:r w:rsidRPr="00B419CE">
        <w:t>passasjeropplysningar</w:t>
      </w:r>
      <w:proofErr w:type="spellEnd"/>
      <w:r w:rsidRPr="00B419CE">
        <w:t xml:space="preserve"> (PNR-direktivet)</w:t>
      </w:r>
    </w:p>
    <w:p w14:paraId="40192DE1" w14:textId="77777777" w:rsidR="00B419CE" w:rsidRPr="00B419CE" w:rsidRDefault="00B419CE" w:rsidP="00B419CE">
      <w:r w:rsidRPr="00B419CE">
        <w:t xml:space="preserve">EU har </w:t>
      </w:r>
      <w:proofErr w:type="spellStart"/>
      <w:r w:rsidRPr="00B419CE">
        <w:t>vedteke</w:t>
      </w:r>
      <w:proofErr w:type="spellEnd"/>
      <w:r w:rsidRPr="00B419CE">
        <w:t xml:space="preserve"> PNR-direktivet om innhenting av </w:t>
      </w:r>
      <w:proofErr w:type="spellStart"/>
      <w:r w:rsidRPr="00B419CE">
        <w:t>opplysningar</w:t>
      </w:r>
      <w:proofErr w:type="spellEnd"/>
      <w:r w:rsidRPr="00B419CE">
        <w:t xml:space="preserve"> om </w:t>
      </w:r>
      <w:proofErr w:type="spellStart"/>
      <w:r w:rsidRPr="00B419CE">
        <w:t>flypassasjerar</w:t>
      </w:r>
      <w:proofErr w:type="spellEnd"/>
      <w:r w:rsidRPr="00B419CE">
        <w:t xml:space="preserve"> (Passenger </w:t>
      </w:r>
      <w:proofErr w:type="spellStart"/>
      <w:r w:rsidRPr="00B419CE">
        <w:t>Name</w:t>
      </w:r>
      <w:proofErr w:type="spellEnd"/>
      <w:r w:rsidRPr="00B419CE">
        <w:t xml:space="preserve"> Record – PNR-</w:t>
      </w:r>
      <w:proofErr w:type="spellStart"/>
      <w:r w:rsidRPr="00B419CE">
        <w:t>opplysningar</w:t>
      </w:r>
      <w:proofErr w:type="spellEnd"/>
      <w:r w:rsidRPr="00B419CE">
        <w:t xml:space="preserve">) for å </w:t>
      </w:r>
      <w:proofErr w:type="spellStart"/>
      <w:r w:rsidRPr="00B419CE">
        <w:t>førebyggje</w:t>
      </w:r>
      <w:proofErr w:type="spellEnd"/>
      <w:r w:rsidRPr="00B419CE">
        <w:t xml:space="preserve">, oppdage, etterforske og straffeforfølgje </w:t>
      </w:r>
      <w:proofErr w:type="spellStart"/>
      <w:r w:rsidRPr="00B419CE">
        <w:t>terrorhandlingar</w:t>
      </w:r>
      <w:proofErr w:type="spellEnd"/>
      <w:r w:rsidRPr="00B419CE">
        <w:t xml:space="preserve"> og </w:t>
      </w:r>
      <w:proofErr w:type="spellStart"/>
      <w:r w:rsidRPr="00B419CE">
        <w:t>alvorleg</w:t>
      </w:r>
      <w:proofErr w:type="spellEnd"/>
      <w:r w:rsidRPr="00B419CE">
        <w:t xml:space="preserve"> kriminalitet.</w:t>
      </w:r>
    </w:p>
    <w:p w14:paraId="2101DB98" w14:textId="77777777" w:rsidR="00B419CE" w:rsidRPr="00B419CE" w:rsidRDefault="00B419CE" w:rsidP="00B419CE">
      <w:r w:rsidRPr="00B419CE">
        <w:t xml:space="preserve">Det pågår </w:t>
      </w:r>
      <w:proofErr w:type="spellStart"/>
      <w:r w:rsidRPr="00B419CE">
        <w:t>eit</w:t>
      </w:r>
      <w:proofErr w:type="spellEnd"/>
      <w:r w:rsidRPr="00B419CE">
        <w:t xml:space="preserve"> arbeid med å etablere ei nasjonal løysing for innhenting og bruk av PNR-</w:t>
      </w:r>
      <w:proofErr w:type="spellStart"/>
      <w:r w:rsidRPr="00B419CE">
        <w:t>opplysningar</w:t>
      </w:r>
      <w:proofErr w:type="spellEnd"/>
      <w:r w:rsidRPr="00B419CE">
        <w:t xml:space="preserve">. I den nasjonale løysinga skal det, i samsvar med PNR-direktivet, </w:t>
      </w:r>
      <w:proofErr w:type="spellStart"/>
      <w:r w:rsidRPr="00B419CE">
        <w:t>verte</w:t>
      </w:r>
      <w:proofErr w:type="spellEnd"/>
      <w:r w:rsidRPr="00B419CE">
        <w:t xml:space="preserve"> etablert ei eining som skal motta, lagre og analysere PNR-</w:t>
      </w:r>
      <w:proofErr w:type="spellStart"/>
      <w:r w:rsidRPr="00B419CE">
        <w:t>opplysningar</w:t>
      </w:r>
      <w:proofErr w:type="spellEnd"/>
      <w:r w:rsidRPr="00B419CE">
        <w:t xml:space="preserve"> (PIU). I eininga skal politiet, PST og Tolletaten delta.</w:t>
      </w:r>
    </w:p>
    <w:p w14:paraId="5F521B4D" w14:textId="77777777" w:rsidR="00B419CE" w:rsidRPr="00B419CE" w:rsidRDefault="00B419CE" w:rsidP="00B419CE">
      <w:r w:rsidRPr="00B419CE">
        <w:t xml:space="preserve">PST gjennomfører i 2021 </w:t>
      </w:r>
      <w:proofErr w:type="spellStart"/>
      <w:r w:rsidRPr="00B419CE">
        <w:t>eit</w:t>
      </w:r>
      <w:proofErr w:type="spellEnd"/>
      <w:r w:rsidRPr="00B419CE">
        <w:t xml:space="preserve"> </w:t>
      </w:r>
      <w:proofErr w:type="spellStart"/>
      <w:r w:rsidRPr="00B419CE">
        <w:t>hovudprosjekt</w:t>
      </w:r>
      <w:proofErr w:type="spellEnd"/>
      <w:r w:rsidRPr="00B419CE">
        <w:t xml:space="preserve"> for etablering av eininga, der Tolletaten </w:t>
      </w:r>
      <w:proofErr w:type="spellStart"/>
      <w:r w:rsidRPr="00B419CE">
        <w:t>deltek</w:t>
      </w:r>
      <w:proofErr w:type="spellEnd"/>
      <w:r w:rsidRPr="00B419CE">
        <w:t xml:space="preserve">. Eininga er planlagt å </w:t>
      </w:r>
      <w:proofErr w:type="spellStart"/>
      <w:r w:rsidRPr="00B419CE">
        <w:t>vere</w:t>
      </w:r>
      <w:proofErr w:type="spellEnd"/>
      <w:r w:rsidRPr="00B419CE">
        <w:t xml:space="preserve"> operativ </w:t>
      </w:r>
      <w:proofErr w:type="spellStart"/>
      <w:r w:rsidRPr="00B419CE">
        <w:t>frå</w:t>
      </w:r>
      <w:proofErr w:type="spellEnd"/>
      <w:r w:rsidRPr="00B419CE">
        <w:t xml:space="preserve"> 1. januar 2022 og med full drift </w:t>
      </w:r>
      <w:proofErr w:type="spellStart"/>
      <w:r w:rsidRPr="00B419CE">
        <w:t>frå</w:t>
      </w:r>
      <w:proofErr w:type="spellEnd"/>
      <w:r w:rsidRPr="00B419CE">
        <w:t xml:space="preserve"> 1. juli 2022.</w:t>
      </w:r>
    </w:p>
    <w:p w14:paraId="6BEE44F1" w14:textId="77777777" w:rsidR="00B419CE" w:rsidRPr="00B419CE" w:rsidRDefault="00B419CE" w:rsidP="00B419CE">
      <w:pPr>
        <w:pStyle w:val="avsnitt-tittel"/>
      </w:pPr>
      <w:r w:rsidRPr="00B419CE">
        <w:t>Ny lov om inn- og utførsel av varer og ny lov om tollavgift</w:t>
      </w:r>
    </w:p>
    <w:p w14:paraId="2ED7C7F0" w14:textId="77777777" w:rsidR="00B419CE" w:rsidRPr="00B419CE" w:rsidRDefault="00B419CE" w:rsidP="00B419CE">
      <w:r w:rsidRPr="00B419CE">
        <w:t xml:space="preserve">Finansdepartementet sende i 2019 framlegg til ny lov om inn- og utførsel av varer og ny lov om tollavgift på </w:t>
      </w:r>
      <w:proofErr w:type="spellStart"/>
      <w:r w:rsidRPr="00B419CE">
        <w:t>høyring</w:t>
      </w:r>
      <w:proofErr w:type="spellEnd"/>
      <w:r w:rsidRPr="00B419CE">
        <w:t xml:space="preserve">. Dei nye lovene skal erstatte tollova. Tolletaten har </w:t>
      </w:r>
      <w:proofErr w:type="spellStart"/>
      <w:r w:rsidRPr="00B419CE">
        <w:t>vore</w:t>
      </w:r>
      <w:proofErr w:type="spellEnd"/>
      <w:r w:rsidRPr="00B419CE">
        <w:t xml:space="preserve"> involvert i arbeidet med framlegg til nye lover og oppfølging av </w:t>
      </w:r>
      <w:proofErr w:type="spellStart"/>
      <w:r w:rsidRPr="00B419CE">
        <w:t>høyringa</w:t>
      </w:r>
      <w:proofErr w:type="spellEnd"/>
      <w:r w:rsidRPr="00B419CE">
        <w:t xml:space="preserve">. Proposisjon med lovforslag </w:t>
      </w:r>
      <w:proofErr w:type="spellStart"/>
      <w:r w:rsidRPr="00B419CE">
        <w:t>vart</w:t>
      </w:r>
      <w:proofErr w:type="spellEnd"/>
      <w:r w:rsidRPr="00B419CE">
        <w:t xml:space="preserve"> lagt fram for Stortinget 17. september 2021. Etaten er i gang med å utarbeide forskrifter til </w:t>
      </w:r>
      <w:proofErr w:type="spellStart"/>
      <w:r w:rsidRPr="00B419CE">
        <w:t>dei</w:t>
      </w:r>
      <w:proofErr w:type="spellEnd"/>
      <w:r w:rsidRPr="00B419CE">
        <w:t xml:space="preserve"> to nye lovene, og </w:t>
      </w:r>
      <w:proofErr w:type="spellStart"/>
      <w:r w:rsidRPr="00B419CE">
        <w:t>desse</w:t>
      </w:r>
      <w:proofErr w:type="spellEnd"/>
      <w:r w:rsidRPr="00B419CE">
        <w:t xml:space="preserve"> skal </w:t>
      </w:r>
      <w:proofErr w:type="spellStart"/>
      <w:r w:rsidRPr="00B419CE">
        <w:t>sendast</w:t>
      </w:r>
      <w:proofErr w:type="spellEnd"/>
      <w:r w:rsidRPr="00B419CE">
        <w:t xml:space="preserve"> på </w:t>
      </w:r>
      <w:proofErr w:type="spellStart"/>
      <w:r w:rsidRPr="00B419CE">
        <w:t>høyring</w:t>
      </w:r>
      <w:proofErr w:type="spellEnd"/>
      <w:r w:rsidRPr="00B419CE">
        <w:t xml:space="preserve">. </w:t>
      </w:r>
      <w:proofErr w:type="spellStart"/>
      <w:r w:rsidRPr="00B419CE">
        <w:t>Fastsetjing</w:t>
      </w:r>
      <w:proofErr w:type="spellEnd"/>
      <w:r w:rsidRPr="00B419CE">
        <w:t xml:space="preserve"> av forskrifter og utarbeiding av </w:t>
      </w:r>
      <w:proofErr w:type="spellStart"/>
      <w:r w:rsidRPr="00B419CE">
        <w:t>rettleiingar</w:t>
      </w:r>
      <w:proofErr w:type="spellEnd"/>
      <w:r w:rsidRPr="00B419CE">
        <w:t xml:space="preserve"> og informasjonsmateriale, samt </w:t>
      </w:r>
      <w:proofErr w:type="spellStart"/>
      <w:r w:rsidRPr="00B419CE">
        <w:t>naudsynte</w:t>
      </w:r>
      <w:proofErr w:type="spellEnd"/>
      <w:r w:rsidRPr="00B419CE">
        <w:t xml:space="preserve"> </w:t>
      </w:r>
      <w:proofErr w:type="spellStart"/>
      <w:r w:rsidRPr="00B419CE">
        <w:t>systemtilpasningar</w:t>
      </w:r>
      <w:proofErr w:type="spellEnd"/>
      <w:r w:rsidRPr="00B419CE">
        <w:t>, vert viktig arbeid i 2022.</w:t>
      </w:r>
    </w:p>
    <w:p w14:paraId="271E1BBB" w14:textId="77777777" w:rsidR="00B419CE" w:rsidRPr="00B419CE" w:rsidRDefault="00B419CE" w:rsidP="00B419CE">
      <w:pPr>
        <w:pStyle w:val="Undertittel"/>
      </w:pPr>
      <w:r w:rsidRPr="00B419CE">
        <w:t>Budsjett for 2022</w:t>
      </w:r>
    </w:p>
    <w:p w14:paraId="491A8ABB" w14:textId="77777777" w:rsidR="00B419CE" w:rsidRPr="00B419CE" w:rsidRDefault="00B419CE" w:rsidP="00B419CE">
      <w:r w:rsidRPr="00B419CE">
        <w:t xml:space="preserve">Departementet foreslår å </w:t>
      </w:r>
      <w:proofErr w:type="spellStart"/>
      <w:r w:rsidRPr="00B419CE">
        <w:t>setje</w:t>
      </w:r>
      <w:proofErr w:type="spellEnd"/>
      <w:r w:rsidRPr="00B419CE">
        <w:t xml:space="preserve"> utgiftsramma for Tolletaten til 1 794 mill. kroner. Dette er 3,7 pst. </w:t>
      </w:r>
      <w:proofErr w:type="spellStart"/>
      <w:r w:rsidRPr="00B419CE">
        <w:t>høgare</w:t>
      </w:r>
      <w:proofErr w:type="spellEnd"/>
      <w:r w:rsidRPr="00B419CE">
        <w:t xml:space="preserve"> enn saldert budsjett 2021. Løyvinga skal brukast i samsvar med </w:t>
      </w:r>
      <w:proofErr w:type="spellStart"/>
      <w:r w:rsidRPr="00B419CE">
        <w:t>dei</w:t>
      </w:r>
      <w:proofErr w:type="spellEnd"/>
      <w:r w:rsidRPr="00B419CE">
        <w:t xml:space="preserve"> mål og </w:t>
      </w:r>
      <w:proofErr w:type="spellStart"/>
      <w:r w:rsidRPr="00B419CE">
        <w:t>prioriteringar</w:t>
      </w:r>
      <w:proofErr w:type="spellEnd"/>
      <w:r w:rsidRPr="00B419CE">
        <w:t xml:space="preserve"> som er omtalte </w:t>
      </w:r>
      <w:proofErr w:type="spellStart"/>
      <w:r w:rsidRPr="00B419CE">
        <w:t>ovanfor</w:t>
      </w:r>
      <w:proofErr w:type="spellEnd"/>
      <w:r w:rsidRPr="00B419CE">
        <w:t>.</w:t>
      </w:r>
    </w:p>
    <w:p w14:paraId="1A4911CF" w14:textId="77777777" w:rsidR="00B419CE" w:rsidRPr="00B419CE" w:rsidRDefault="00B419CE" w:rsidP="00B419CE">
      <w:pPr>
        <w:pStyle w:val="b-post"/>
      </w:pPr>
      <w:r w:rsidRPr="00B419CE">
        <w:t>Post 01 Driftsutgifter</w:t>
      </w:r>
    </w:p>
    <w:p w14:paraId="003CFEEE"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lønsutgifter</w:t>
      </w:r>
      <w:proofErr w:type="spellEnd"/>
      <w:r w:rsidRPr="00B419CE">
        <w:t xml:space="preserve"> og andre driftsutgifter og er budsjettert til 1 627,4 mill. kroner. Det er </w:t>
      </w:r>
      <w:proofErr w:type="spellStart"/>
      <w:r w:rsidRPr="00B419CE">
        <w:t>ein</w:t>
      </w:r>
      <w:proofErr w:type="spellEnd"/>
      <w:r w:rsidRPr="00B419CE">
        <w:t xml:space="preserve"> </w:t>
      </w:r>
      <w:proofErr w:type="spellStart"/>
      <w:r w:rsidRPr="00B419CE">
        <w:t>auke</w:t>
      </w:r>
      <w:proofErr w:type="spellEnd"/>
      <w:r w:rsidRPr="00B419CE">
        <w:t xml:space="preserve"> på 2,1 pst. </w:t>
      </w:r>
      <w:proofErr w:type="spellStart"/>
      <w:r w:rsidRPr="00B419CE">
        <w:t>frå</w:t>
      </w:r>
      <w:proofErr w:type="spellEnd"/>
      <w:r w:rsidRPr="00B419CE">
        <w:t xml:space="preserve"> saldert budsjett 2021.</w:t>
      </w:r>
    </w:p>
    <w:p w14:paraId="3F0CA3F0" w14:textId="77777777" w:rsidR="00B419CE" w:rsidRPr="00B419CE" w:rsidRDefault="00B419CE" w:rsidP="00B419CE">
      <w:r w:rsidRPr="00B419CE">
        <w:lastRenderedPageBreak/>
        <w:t xml:space="preserve">Finansdepartementet ber om fullmakt til å overskride løyvinga under kap. 1610, post 01 </w:t>
      </w:r>
      <w:r w:rsidRPr="00B419CE">
        <w:rPr>
          <w:rStyle w:val="kursiv"/>
        </w:rPr>
        <w:t>Driftsutgifter</w:t>
      </w:r>
      <w:r w:rsidRPr="00B419CE">
        <w:t xml:space="preserve">, mot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4610, </w:t>
      </w:r>
      <w:proofErr w:type="spellStart"/>
      <w:r w:rsidRPr="00B419CE">
        <w:t>postane</w:t>
      </w:r>
      <w:proofErr w:type="spellEnd"/>
      <w:r w:rsidRPr="00B419CE">
        <w:t xml:space="preserve"> 01 </w:t>
      </w:r>
      <w:r w:rsidRPr="00B419CE">
        <w:rPr>
          <w:rStyle w:val="kursiv"/>
        </w:rPr>
        <w:t xml:space="preserve">Særskilt vederlag for </w:t>
      </w:r>
      <w:proofErr w:type="spellStart"/>
      <w:r w:rsidRPr="00B419CE">
        <w:rPr>
          <w:rStyle w:val="kursiv"/>
        </w:rPr>
        <w:t>tolltenester</w:t>
      </w:r>
      <w:proofErr w:type="spellEnd"/>
      <w:r w:rsidRPr="00B419CE">
        <w:t xml:space="preserve">, 04 </w:t>
      </w:r>
      <w:r w:rsidRPr="00B419CE">
        <w:rPr>
          <w:rStyle w:val="kursiv"/>
        </w:rPr>
        <w:t xml:space="preserve">Ymse </w:t>
      </w:r>
      <w:proofErr w:type="spellStart"/>
      <w:r w:rsidRPr="00B419CE">
        <w:rPr>
          <w:rStyle w:val="kursiv"/>
        </w:rPr>
        <w:t>refusjonar</w:t>
      </w:r>
      <w:proofErr w:type="spellEnd"/>
      <w:r w:rsidRPr="00B419CE">
        <w:t xml:space="preserve"> og 05 </w:t>
      </w:r>
      <w:proofErr w:type="spellStart"/>
      <w:r w:rsidRPr="00B419CE">
        <w:rPr>
          <w:rStyle w:val="kursiv"/>
        </w:rPr>
        <w:t>Refusjonar</w:t>
      </w:r>
      <w:proofErr w:type="spellEnd"/>
      <w:r w:rsidRPr="00B419CE">
        <w:rPr>
          <w:rStyle w:val="kursiv"/>
        </w:rPr>
        <w:t xml:space="preserve"> </w:t>
      </w:r>
      <w:proofErr w:type="spellStart"/>
      <w:r w:rsidRPr="00B419CE">
        <w:rPr>
          <w:rStyle w:val="kursiv"/>
        </w:rPr>
        <w:t>frå</w:t>
      </w:r>
      <w:proofErr w:type="spellEnd"/>
      <w:r w:rsidRPr="00B419CE">
        <w:rPr>
          <w:rStyle w:val="kursiv"/>
        </w:rPr>
        <w:t xml:space="preserve"> Avinor AS,</w:t>
      </w:r>
      <w:r w:rsidRPr="00B419CE">
        <w:t xml:space="preserve"> jf. </w:t>
      </w:r>
      <w:proofErr w:type="spellStart"/>
      <w:r w:rsidRPr="00B419CE">
        <w:t>nærare</w:t>
      </w:r>
      <w:proofErr w:type="spellEnd"/>
      <w:r w:rsidRPr="00B419CE">
        <w:t xml:space="preserve"> omtale </w:t>
      </w:r>
      <w:proofErr w:type="spellStart"/>
      <w:r w:rsidRPr="00B419CE">
        <w:t>nedanfor</w:t>
      </w:r>
      <w:proofErr w:type="spellEnd"/>
      <w:r w:rsidRPr="00B419CE">
        <w:t>.</w:t>
      </w:r>
    </w:p>
    <w:p w14:paraId="62F9FFDC" w14:textId="77777777" w:rsidR="00B419CE" w:rsidRPr="00B419CE" w:rsidRDefault="00B419CE" w:rsidP="00B419CE">
      <w:pPr>
        <w:pStyle w:val="b-post"/>
      </w:pPr>
      <w:r w:rsidRPr="00B419CE">
        <w:t xml:space="preserve">Post 45 Større utstyrskjøp og </w:t>
      </w:r>
      <w:proofErr w:type="spellStart"/>
      <w:r w:rsidRPr="00B419CE">
        <w:t>vedlikehald</w:t>
      </w:r>
      <w:proofErr w:type="spellEnd"/>
      <w:r w:rsidRPr="00B419CE">
        <w:t xml:space="preserve">, kan </w:t>
      </w:r>
      <w:proofErr w:type="spellStart"/>
      <w:r w:rsidRPr="00B419CE">
        <w:t>overførast</w:t>
      </w:r>
      <w:proofErr w:type="spellEnd"/>
    </w:p>
    <w:p w14:paraId="2BD982B3" w14:textId="77777777" w:rsidR="00B419CE" w:rsidRPr="00B419CE" w:rsidRDefault="00B419CE" w:rsidP="00B419CE">
      <w:r w:rsidRPr="00B419CE">
        <w:t xml:space="preserve">Posten </w:t>
      </w:r>
      <w:proofErr w:type="spellStart"/>
      <w:r w:rsidRPr="00B419CE">
        <w:t>omfattar</w:t>
      </w:r>
      <w:proofErr w:type="spellEnd"/>
      <w:r w:rsidRPr="00B419CE">
        <w:t xml:space="preserve"> større </w:t>
      </w:r>
      <w:proofErr w:type="spellStart"/>
      <w:r w:rsidRPr="00B419CE">
        <w:t>vedlikehald</w:t>
      </w:r>
      <w:proofErr w:type="spellEnd"/>
      <w:r w:rsidRPr="00B419CE">
        <w:t xml:space="preserve">, </w:t>
      </w:r>
      <w:proofErr w:type="spellStart"/>
      <w:r w:rsidRPr="00B419CE">
        <w:t>utskiftingar</w:t>
      </w:r>
      <w:proofErr w:type="spellEnd"/>
      <w:r w:rsidRPr="00B419CE">
        <w:t xml:space="preserve"> og kjøp av utstyr til grensekontrollen og IT-</w:t>
      </w:r>
      <w:proofErr w:type="spellStart"/>
      <w:r w:rsidRPr="00B419CE">
        <w:t>føremål</w:t>
      </w:r>
      <w:proofErr w:type="spellEnd"/>
      <w:r w:rsidRPr="00B419CE">
        <w:t xml:space="preserve">. Posten er budsjettert med 166,7 mill. kroner. Det er 30,5 mill. kroner </w:t>
      </w:r>
      <w:proofErr w:type="spellStart"/>
      <w:r w:rsidRPr="00B419CE">
        <w:t>høgare</w:t>
      </w:r>
      <w:proofErr w:type="spellEnd"/>
      <w:r w:rsidRPr="00B419CE">
        <w:t xml:space="preserve"> enn saldert budsjett 2021. </w:t>
      </w:r>
      <w:proofErr w:type="spellStart"/>
      <w:r w:rsidRPr="00B419CE">
        <w:t>Ein</w:t>
      </w:r>
      <w:proofErr w:type="spellEnd"/>
      <w:r w:rsidRPr="00B419CE">
        <w:t xml:space="preserve"> stor del av 2022-framlegget gjeld </w:t>
      </w:r>
      <w:proofErr w:type="spellStart"/>
      <w:r w:rsidRPr="00B419CE">
        <w:t>vidareføring</w:t>
      </w:r>
      <w:proofErr w:type="spellEnd"/>
      <w:r w:rsidRPr="00B419CE">
        <w:t xml:space="preserve"> av prosjekta for digitalisert </w:t>
      </w:r>
      <w:proofErr w:type="spellStart"/>
      <w:r w:rsidRPr="00B419CE">
        <w:t>systemstøtte</w:t>
      </w:r>
      <w:proofErr w:type="spellEnd"/>
      <w:r w:rsidRPr="00B419CE">
        <w:t xml:space="preserve"> på kontrollområdet og ekspressfortolling, jf. </w:t>
      </w:r>
      <w:proofErr w:type="spellStart"/>
      <w:r w:rsidRPr="00B419CE">
        <w:t>nærare</w:t>
      </w:r>
      <w:proofErr w:type="spellEnd"/>
      <w:r w:rsidRPr="00B419CE">
        <w:t xml:space="preserve"> omtale foran.</w:t>
      </w:r>
    </w:p>
    <w:p w14:paraId="5277D675" w14:textId="77777777" w:rsidR="00B419CE" w:rsidRPr="00B419CE" w:rsidRDefault="00B419CE" w:rsidP="00B419CE">
      <w:r w:rsidRPr="00B419CE">
        <w:t xml:space="preserve">I samband med visse kjøp og prosjekt kan det </w:t>
      </w:r>
      <w:proofErr w:type="spellStart"/>
      <w:r w:rsidRPr="00B419CE">
        <w:t>vere</w:t>
      </w:r>
      <w:proofErr w:type="spellEnd"/>
      <w:r w:rsidRPr="00B419CE">
        <w:t xml:space="preserve"> behov for å bestille for </w:t>
      </w:r>
      <w:proofErr w:type="spellStart"/>
      <w:r w:rsidRPr="00B419CE">
        <w:t>meir</w:t>
      </w:r>
      <w:proofErr w:type="spellEnd"/>
      <w:r w:rsidRPr="00B419CE">
        <w:t xml:space="preserve"> enn det som er </w:t>
      </w:r>
      <w:proofErr w:type="spellStart"/>
      <w:r w:rsidRPr="00B419CE">
        <w:t>løyvt</w:t>
      </w:r>
      <w:proofErr w:type="spellEnd"/>
      <w:r w:rsidRPr="00B419CE">
        <w:t xml:space="preserve">, mot dekning av </w:t>
      </w:r>
      <w:proofErr w:type="spellStart"/>
      <w:r w:rsidRPr="00B419CE">
        <w:t>seinare</w:t>
      </w:r>
      <w:proofErr w:type="spellEnd"/>
      <w:r w:rsidRPr="00B419CE">
        <w:t xml:space="preserve"> </w:t>
      </w:r>
      <w:proofErr w:type="spellStart"/>
      <w:r w:rsidRPr="00B419CE">
        <w:t>løyvingar</w:t>
      </w:r>
      <w:proofErr w:type="spellEnd"/>
      <w:r w:rsidRPr="00B419CE">
        <w:t xml:space="preserve">. Departementet ber </w:t>
      </w:r>
      <w:proofErr w:type="spellStart"/>
      <w:r w:rsidRPr="00B419CE">
        <w:t>difor</w:t>
      </w:r>
      <w:proofErr w:type="spellEnd"/>
      <w:r w:rsidRPr="00B419CE">
        <w:t xml:space="preserve"> om ei bestillingsfullmakt på 40 mill. kroner, jf. framlegg til </w:t>
      </w:r>
      <w:proofErr w:type="spellStart"/>
      <w:r w:rsidRPr="00B419CE">
        <w:t>romartalsvedtak</w:t>
      </w:r>
      <w:proofErr w:type="spellEnd"/>
      <w:r w:rsidRPr="00B419CE">
        <w:t xml:space="preserve"> IV.</w:t>
      </w:r>
    </w:p>
    <w:p w14:paraId="5A6B20A4" w14:textId="77777777" w:rsidR="00B419CE" w:rsidRPr="00B419CE" w:rsidRDefault="00B419CE" w:rsidP="00B419CE">
      <w:pPr>
        <w:pStyle w:val="b-budkaptit"/>
      </w:pPr>
      <w:r w:rsidRPr="00B419CE">
        <w:t>Kap. 4610 Tolletaten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649BB175" w14:textId="77777777" w:rsidTr="00B419CE">
        <w:trPr>
          <w:trHeight w:val="640"/>
          <w:hidden/>
        </w:trPr>
        <w:tc>
          <w:tcPr>
            <w:tcW w:w="1140" w:type="dxa"/>
            <w:shd w:val="clear" w:color="auto" w:fill="FFFFFF"/>
          </w:tcPr>
          <w:p w14:paraId="5AD0211F" w14:textId="77777777" w:rsidR="00B419CE" w:rsidRPr="00B419CE" w:rsidRDefault="00B419CE" w:rsidP="00B419CE">
            <w:pPr>
              <w:pStyle w:val="Tabellnavn"/>
            </w:pPr>
            <w:r w:rsidRPr="00B419CE">
              <w:t>KPAL</w:t>
            </w:r>
          </w:p>
        </w:tc>
        <w:tc>
          <w:tcPr>
            <w:tcW w:w="4560" w:type="dxa"/>
          </w:tcPr>
          <w:p w14:paraId="7D939187" w14:textId="77777777" w:rsidR="00B419CE" w:rsidRPr="00B419CE" w:rsidRDefault="00B419CE" w:rsidP="00B419CE"/>
        </w:tc>
        <w:tc>
          <w:tcPr>
            <w:tcW w:w="1140" w:type="dxa"/>
          </w:tcPr>
          <w:p w14:paraId="2142DE22" w14:textId="77777777" w:rsidR="00B419CE" w:rsidRPr="00B419CE" w:rsidRDefault="00B419CE" w:rsidP="00B419CE">
            <w:pPr>
              <w:jc w:val="right"/>
            </w:pPr>
          </w:p>
        </w:tc>
        <w:tc>
          <w:tcPr>
            <w:tcW w:w="1140" w:type="dxa"/>
          </w:tcPr>
          <w:p w14:paraId="1D507C05" w14:textId="77777777" w:rsidR="00B419CE" w:rsidRPr="00B419CE" w:rsidRDefault="00B419CE" w:rsidP="00B419CE">
            <w:pPr>
              <w:jc w:val="right"/>
            </w:pPr>
          </w:p>
        </w:tc>
        <w:tc>
          <w:tcPr>
            <w:tcW w:w="1140" w:type="dxa"/>
          </w:tcPr>
          <w:p w14:paraId="33B2921A" w14:textId="77777777" w:rsidR="00B419CE" w:rsidRPr="00B419CE" w:rsidRDefault="00B419CE" w:rsidP="00B419CE">
            <w:pPr>
              <w:jc w:val="right"/>
            </w:pPr>
            <w:r w:rsidRPr="00B419CE">
              <w:t>(i 1 000 kr)</w:t>
            </w:r>
          </w:p>
        </w:tc>
      </w:tr>
      <w:tr w:rsidR="00B419CE" w:rsidRPr="00B419CE" w14:paraId="4A48230A" w14:textId="77777777" w:rsidTr="00B419CE">
        <w:trPr>
          <w:trHeight w:val="600"/>
        </w:trPr>
        <w:tc>
          <w:tcPr>
            <w:tcW w:w="1140" w:type="dxa"/>
          </w:tcPr>
          <w:p w14:paraId="43F3B051" w14:textId="77777777" w:rsidR="00B419CE" w:rsidRPr="00B419CE" w:rsidRDefault="00B419CE" w:rsidP="00B419CE">
            <w:r w:rsidRPr="00B419CE">
              <w:t>Post</w:t>
            </w:r>
          </w:p>
        </w:tc>
        <w:tc>
          <w:tcPr>
            <w:tcW w:w="4560" w:type="dxa"/>
          </w:tcPr>
          <w:p w14:paraId="76BFF2F5" w14:textId="77777777" w:rsidR="00B419CE" w:rsidRPr="00B419CE" w:rsidRDefault="00B419CE" w:rsidP="00B419CE">
            <w:proofErr w:type="spellStart"/>
            <w:r w:rsidRPr="00B419CE">
              <w:t>Nemning</w:t>
            </w:r>
            <w:proofErr w:type="spellEnd"/>
          </w:p>
        </w:tc>
        <w:tc>
          <w:tcPr>
            <w:tcW w:w="1140" w:type="dxa"/>
          </w:tcPr>
          <w:p w14:paraId="3CD8918C"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5B547B1A" w14:textId="77777777" w:rsidR="00B419CE" w:rsidRPr="00B419CE" w:rsidRDefault="00B419CE" w:rsidP="00B419CE">
            <w:pPr>
              <w:jc w:val="right"/>
            </w:pPr>
            <w:r w:rsidRPr="00B419CE">
              <w:t>Saldert</w:t>
            </w:r>
            <w:r w:rsidRPr="00B419CE">
              <w:br/>
              <w:t xml:space="preserve"> budsjett 2021</w:t>
            </w:r>
          </w:p>
        </w:tc>
        <w:tc>
          <w:tcPr>
            <w:tcW w:w="1140" w:type="dxa"/>
          </w:tcPr>
          <w:p w14:paraId="53038D14" w14:textId="77777777" w:rsidR="00B419CE" w:rsidRPr="00B419CE" w:rsidRDefault="00B419CE" w:rsidP="00B419CE">
            <w:pPr>
              <w:jc w:val="right"/>
            </w:pPr>
            <w:r w:rsidRPr="00B419CE">
              <w:t>Forslag</w:t>
            </w:r>
            <w:r w:rsidRPr="00B419CE">
              <w:br/>
              <w:t xml:space="preserve"> 2022</w:t>
            </w:r>
          </w:p>
        </w:tc>
      </w:tr>
      <w:tr w:rsidR="00B419CE" w:rsidRPr="00B419CE" w14:paraId="0FEB5FCB" w14:textId="77777777" w:rsidTr="00B419CE">
        <w:trPr>
          <w:trHeight w:val="380"/>
        </w:trPr>
        <w:tc>
          <w:tcPr>
            <w:tcW w:w="1140" w:type="dxa"/>
          </w:tcPr>
          <w:p w14:paraId="4C750A41" w14:textId="77777777" w:rsidR="00B419CE" w:rsidRPr="00B419CE" w:rsidRDefault="00B419CE" w:rsidP="00B419CE">
            <w:r w:rsidRPr="00B419CE">
              <w:t>01</w:t>
            </w:r>
          </w:p>
        </w:tc>
        <w:tc>
          <w:tcPr>
            <w:tcW w:w="4560" w:type="dxa"/>
          </w:tcPr>
          <w:p w14:paraId="41172E5D" w14:textId="77777777" w:rsidR="00B419CE" w:rsidRPr="00B419CE" w:rsidRDefault="00B419CE" w:rsidP="00B419CE">
            <w:r w:rsidRPr="00B419CE">
              <w:t xml:space="preserve">Særskilt vederlag for </w:t>
            </w:r>
            <w:proofErr w:type="spellStart"/>
            <w:r w:rsidRPr="00B419CE">
              <w:t>tolltenester</w:t>
            </w:r>
            <w:proofErr w:type="spellEnd"/>
          </w:p>
        </w:tc>
        <w:tc>
          <w:tcPr>
            <w:tcW w:w="1140" w:type="dxa"/>
          </w:tcPr>
          <w:p w14:paraId="315A7BF4" w14:textId="77777777" w:rsidR="00B419CE" w:rsidRPr="00B419CE" w:rsidRDefault="00B419CE" w:rsidP="00B419CE">
            <w:pPr>
              <w:jc w:val="right"/>
            </w:pPr>
            <w:r w:rsidRPr="00B419CE">
              <w:t>7 721</w:t>
            </w:r>
          </w:p>
        </w:tc>
        <w:tc>
          <w:tcPr>
            <w:tcW w:w="1140" w:type="dxa"/>
          </w:tcPr>
          <w:p w14:paraId="77521521" w14:textId="77777777" w:rsidR="00B419CE" w:rsidRPr="00B419CE" w:rsidRDefault="00B419CE" w:rsidP="00B419CE">
            <w:pPr>
              <w:jc w:val="right"/>
            </w:pPr>
            <w:r w:rsidRPr="00B419CE">
              <w:t>5 493</w:t>
            </w:r>
          </w:p>
        </w:tc>
        <w:tc>
          <w:tcPr>
            <w:tcW w:w="1140" w:type="dxa"/>
          </w:tcPr>
          <w:p w14:paraId="23019CDC" w14:textId="77777777" w:rsidR="00B419CE" w:rsidRPr="00B419CE" w:rsidRDefault="00B419CE" w:rsidP="00B419CE">
            <w:pPr>
              <w:jc w:val="right"/>
            </w:pPr>
            <w:r w:rsidRPr="00B419CE">
              <w:t>7 600</w:t>
            </w:r>
          </w:p>
        </w:tc>
      </w:tr>
      <w:tr w:rsidR="00B419CE" w:rsidRPr="00B419CE" w14:paraId="79E38281" w14:textId="77777777" w:rsidTr="00B419CE">
        <w:trPr>
          <w:trHeight w:val="380"/>
        </w:trPr>
        <w:tc>
          <w:tcPr>
            <w:tcW w:w="1140" w:type="dxa"/>
          </w:tcPr>
          <w:p w14:paraId="53C6A73E" w14:textId="77777777" w:rsidR="00B419CE" w:rsidRPr="00B419CE" w:rsidRDefault="00B419CE" w:rsidP="00B419CE">
            <w:r w:rsidRPr="00B419CE">
              <w:t>02</w:t>
            </w:r>
          </w:p>
        </w:tc>
        <w:tc>
          <w:tcPr>
            <w:tcW w:w="4560" w:type="dxa"/>
          </w:tcPr>
          <w:p w14:paraId="070ACDB8" w14:textId="77777777" w:rsidR="00B419CE" w:rsidRPr="00B419CE" w:rsidRDefault="00B419CE" w:rsidP="00B419CE">
            <w:r w:rsidRPr="00B419CE">
              <w:t>Andre inntekter</w:t>
            </w:r>
          </w:p>
        </w:tc>
        <w:tc>
          <w:tcPr>
            <w:tcW w:w="1140" w:type="dxa"/>
          </w:tcPr>
          <w:p w14:paraId="4482B74D" w14:textId="77777777" w:rsidR="00B419CE" w:rsidRPr="00B419CE" w:rsidRDefault="00B419CE" w:rsidP="00B419CE">
            <w:pPr>
              <w:jc w:val="right"/>
            </w:pPr>
            <w:r w:rsidRPr="00B419CE">
              <w:t>1 491</w:t>
            </w:r>
          </w:p>
        </w:tc>
        <w:tc>
          <w:tcPr>
            <w:tcW w:w="1140" w:type="dxa"/>
          </w:tcPr>
          <w:p w14:paraId="65BEEC4C" w14:textId="77777777" w:rsidR="00B419CE" w:rsidRPr="00B419CE" w:rsidRDefault="00B419CE" w:rsidP="00B419CE">
            <w:pPr>
              <w:jc w:val="right"/>
            </w:pPr>
            <w:r w:rsidRPr="00B419CE">
              <w:t>1 698</w:t>
            </w:r>
          </w:p>
        </w:tc>
        <w:tc>
          <w:tcPr>
            <w:tcW w:w="1140" w:type="dxa"/>
          </w:tcPr>
          <w:p w14:paraId="687C0BF4" w14:textId="77777777" w:rsidR="00B419CE" w:rsidRPr="00B419CE" w:rsidRDefault="00B419CE" w:rsidP="00B419CE">
            <w:pPr>
              <w:jc w:val="right"/>
            </w:pPr>
            <w:r w:rsidRPr="00B419CE">
              <w:t>2 200</w:t>
            </w:r>
          </w:p>
        </w:tc>
      </w:tr>
      <w:tr w:rsidR="00B419CE" w:rsidRPr="00B419CE" w14:paraId="3EB5F8D9" w14:textId="77777777" w:rsidTr="00B419CE">
        <w:trPr>
          <w:trHeight w:val="380"/>
        </w:trPr>
        <w:tc>
          <w:tcPr>
            <w:tcW w:w="1140" w:type="dxa"/>
          </w:tcPr>
          <w:p w14:paraId="28127A2A" w14:textId="77777777" w:rsidR="00B419CE" w:rsidRPr="00B419CE" w:rsidRDefault="00B419CE" w:rsidP="00B419CE">
            <w:r w:rsidRPr="00B419CE">
              <w:t>04</w:t>
            </w:r>
          </w:p>
        </w:tc>
        <w:tc>
          <w:tcPr>
            <w:tcW w:w="4560" w:type="dxa"/>
          </w:tcPr>
          <w:p w14:paraId="67E554ED" w14:textId="77777777" w:rsidR="00B419CE" w:rsidRPr="00B419CE" w:rsidRDefault="00B419CE" w:rsidP="00B419CE">
            <w:r w:rsidRPr="00B419CE">
              <w:t xml:space="preserve">Ymse </w:t>
            </w:r>
            <w:proofErr w:type="spellStart"/>
            <w:r w:rsidRPr="00B419CE">
              <w:t>refusjonar</w:t>
            </w:r>
            <w:proofErr w:type="spellEnd"/>
          </w:p>
        </w:tc>
        <w:tc>
          <w:tcPr>
            <w:tcW w:w="1140" w:type="dxa"/>
          </w:tcPr>
          <w:p w14:paraId="63F806B9" w14:textId="77777777" w:rsidR="00B419CE" w:rsidRPr="00B419CE" w:rsidRDefault="00B419CE" w:rsidP="00B419CE">
            <w:pPr>
              <w:jc w:val="right"/>
            </w:pPr>
            <w:r w:rsidRPr="00B419CE">
              <w:t>7 208</w:t>
            </w:r>
          </w:p>
        </w:tc>
        <w:tc>
          <w:tcPr>
            <w:tcW w:w="1140" w:type="dxa"/>
          </w:tcPr>
          <w:p w14:paraId="3D26E65C" w14:textId="77777777" w:rsidR="00B419CE" w:rsidRPr="00B419CE" w:rsidRDefault="00B419CE" w:rsidP="00B419CE">
            <w:pPr>
              <w:jc w:val="right"/>
            </w:pPr>
            <w:r w:rsidRPr="00B419CE">
              <w:t>1 099</w:t>
            </w:r>
          </w:p>
        </w:tc>
        <w:tc>
          <w:tcPr>
            <w:tcW w:w="1140" w:type="dxa"/>
          </w:tcPr>
          <w:p w14:paraId="18603AA1" w14:textId="77777777" w:rsidR="00B419CE" w:rsidRPr="00B419CE" w:rsidRDefault="00B419CE" w:rsidP="00B419CE">
            <w:pPr>
              <w:jc w:val="right"/>
            </w:pPr>
            <w:r w:rsidRPr="00B419CE">
              <w:t>1 100</w:t>
            </w:r>
          </w:p>
        </w:tc>
      </w:tr>
      <w:tr w:rsidR="00B419CE" w:rsidRPr="00B419CE" w14:paraId="0C2F5471" w14:textId="77777777" w:rsidTr="00B419CE">
        <w:trPr>
          <w:trHeight w:val="380"/>
        </w:trPr>
        <w:tc>
          <w:tcPr>
            <w:tcW w:w="1140" w:type="dxa"/>
          </w:tcPr>
          <w:p w14:paraId="661865CF" w14:textId="77777777" w:rsidR="00B419CE" w:rsidRPr="00B419CE" w:rsidRDefault="00B419CE" w:rsidP="00B419CE">
            <w:r w:rsidRPr="00B419CE">
              <w:t>05</w:t>
            </w:r>
          </w:p>
        </w:tc>
        <w:tc>
          <w:tcPr>
            <w:tcW w:w="4560" w:type="dxa"/>
          </w:tcPr>
          <w:p w14:paraId="5106B341" w14:textId="77777777" w:rsidR="00B419CE" w:rsidRPr="00B419CE" w:rsidRDefault="00B419CE" w:rsidP="00B419CE">
            <w:r w:rsidRPr="00B419CE">
              <w:t xml:space="preserve">Refusjon </w:t>
            </w:r>
            <w:proofErr w:type="spellStart"/>
            <w:r w:rsidRPr="00B419CE">
              <w:t>frå</w:t>
            </w:r>
            <w:proofErr w:type="spellEnd"/>
            <w:r w:rsidRPr="00B419CE">
              <w:t xml:space="preserve"> Avinor AS</w:t>
            </w:r>
          </w:p>
        </w:tc>
        <w:tc>
          <w:tcPr>
            <w:tcW w:w="1140" w:type="dxa"/>
          </w:tcPr>
          <w:p w14:paraId="0917A486" w14:textId="77777777" w:rsidR="00B419CE" w:rsidRPr="00B419CE" w:rsidRDefault="00B419CE" w:rsidP="00B419CE">
            <w:pPr>
              <w:jc w:val="right"/>
            </w:pPr>
            <w:r w:rsidRPr="00B419CE">
              <w:t>25 856</w:t>
            </w:r>
          </w:p>
        </w:tc>
        <w:tc>
          <w:tcPr>
            <w:tcW w:w="1140" w:type="dxa"/>
          </w:tcPr>
          <w:p w14:paraId="6B0F6F56" w14:textId="77777777" w:rsidR="00B419CE" w:rsidRPr="00B419CE" w:rsidRDefault="00B419CE" w:rsidP="00B419CE">
            <w:pPr>
              <w:jc w:val="right"/>
            </w:pPr>
            <w:r w:rsidRPr="00B419CE">
              <w:t>25 875</w:t>
            </w:r>
          </w:p>
        </w:tc>
        <w:tc>
          <w:tcPr>
            <w:tcW w:w="1140" w:type="dxa"/>
          </w:tcPr>
          <w:p w14:paraId="4A2F1B18" w14:textId="77777777" w:rsidR="00B419CE" w:rsidRPr="00B419CE" w:rsidRDefault="00B419CE" w:rsidP="00B419CE">
            <w:pPr>
              <w:jc w:val="right"/>
            </w:pPr>
            <w:r w:rsidRPr="00B419CE">
              <w:t>26 300</w:t>
            </w:r>
          </w:p>
        </w:tc>
      </w:tr>
      <w:tr w:rsidR="00B419CE" w:rsidRPr="00B419CE" w14:paraId="6D6FA614" w14:textId="77777777" w:rsidTr="00B419CE">
        <w:trPr>
          <w:trHeight w:val="380"/>
        </w:trPr>
        <w:tc>
          <w:tcPr>
            <w:tcW w:w="1140" w:type="dxa"/>
          </w:tcPr>
          <w:p w14:paraId="0EC73C09" w14:textId="77777777" w:rsidR="00B419CE" w:rsidRPr="00B419CE" w:rsidRDefault="00B419CE" w:rsidP="00B419CE">
            <w:r w:rsidRPr="00B419CE">
              <w:t>85</w:t>
            </w:r>
          </w:p>
        </w:tc>
        <w:tc>
          <w:tcPr>
            <w:tcW w:w="4560" w:type="dxa"/>
          </w:tcPr>
          <w:p w14:paraId="0C56D59A" w14:textId="77777777" w:rsidR="00B419CE" w:rsidRPr="00B419CE" w:rsidRDefault="00B419CE" w:rsidP="00B419CE">
            <w:r w:rsidRPr="00B419CE">
              <w:t xml:space="preserve">Tvangsmulkt og gebyr for </w:t>
            </w:r>
            <w:proofErr w:type="spellStart"/>
            <w:r w:rsidRPr="00B419CE">
              <w:t>regelbrot</w:t>
            </w:r>
            <w:proofErr w:type="spellEnd"/>
          </w:p>
        </w:tc>
        <w:tc>
          <w:tcPr>
            <w:tcW w:w="1140" w:type="dxa"/>
          </w:tcPr>
          <w:p w14:paraId="7A4D2E7D" w14:textId="77777777" w:rsidR="00B419CE" w:rsidRPr="00B419CE" w:rsidRDefault="00B419CE" w:rsidP="00B419CE">
            <w:pPr>
              <w:jc w:val="right"/>
            </w:pPr>
            <w:r w:rsidRPr="00B419CE">
              <w:t>16 352</w:t>
            </w:r>
          </w:p>
        </w:tc>
        <w:tc>
          <w:tcPr>
            <w:tcW w:w="1140" w:type="dxa"/>
          </w:tcPr>
          <w:p w14:paraId="7DFD5E6D" w14:textId="77777777" w:rsidR="00B419CE" w:rsidRPr="00B419CE" w:rsidRDefault="00B419CE" w:rsidP="00B419CE">
            <w:pPr>
              <w:jc w:val="right"/>
            </w:pPr>
            <w:r w:rsidRPr="00B419CE">
              <w:t>17 200</w:t>
            </w:r>
          </w:p>
        </w:tc>
        <w:tc>
          <w:tcPr>
            <w:tcW w:w="1140" w:type="dxa"/>
          </w:tcPr>
          <w:p w14:paraId="7C1C86E3" w14:textId="77777777" w:rsidR="00B419CE" w:rsidRPr="00B419CE" w:rsidRDefault="00B419CE" w:rsidP="00B419CE">
            <w:pPr>
              <w:jc w:val="right"/>
            </w:pPr>
            <w:r w:rsidRPr="00B419CE">
              <w:t>23 000</w:t>
            </w:r>
          </w:p>
        </w:tc>
      </w:tr>
      <w:tr w:rsidR="00B419CE" w:rsidRPr="00B419CE" w14:paraId="2EB9255E" w14:textId="77777777" w:rsidTr="00B419CE">
        <w:trPr>
          <w:trHeight w:val="380"/>
        </w:trPr>
        <w:tc>
          <w:tcPr>
            <w:tcW w:w="1140" w:type="dxa"/>
          </w:tcPr>
          <w:p w14:paraId="6F433198" w14:textId="77777777" w:rsidR="00B419CE" w:rsidRPr="00B419CE" w:rsidRDefault="00B419CE" w:rsidP="00B419CE"/>
        </w:tc>
        <w:tc>
          <w:tcPr>
            <w:tcW w:w="4560" w:type="dxa"/>
          </w:tcPr>
          <w:p w14:paraId="7FD27672" w14:textId="77777777" w:rsidR="00B419CE" w:rsidRPr="00B419CE" w:rsidRDefault="00B419CE" w:rsidP="00B419CE">
            <w:r w:rsidRPr="00B419CE">
              <w:t>Sum kap. 4610</w:t>
            </w:r>
          </w:p>
        </w:tc>
        <w:tc>
          <w:tcPr>
            <w:tcW w:w="1140" w:type="dxa"/>
          </w:tcPr>
          <w:p w14:paraId="4816F8B6" w14:textId="77777777" w:rsidR="00B419CE" w:rsidRPr="00B419CE" w:rsidRDefault="00B419CE" w:rsidP="00B419CE">
            <w:pPr>
              <w:jc w:val="right"/>
            </w:pPr>
            <w:r w:rsidRPr="00B419CE">
              <w:t>58 628</w:t>
            </w:r>
          </w:p>
        </w:tc>
        <w:tc>
          <w:tcPr>
            <w:tcW w:w="1140" w:type="dxa"/>
          </w:tcPr>
          <w:p w14:paraId="34503D5A" w14:textId="77777777" w:rsidR="00B419CE" w:rsidRPr="00B419CE" w:rsidRDefault="00B419CE" w:rsidP="00B419CE">
            <w:pPr>
              <w:jc w:val="right"/>
            </w:pPr>
            <w:r w:rsidRPr="00B419CE">
              <w:t>51 365</w:t>
            </w:r>
          </w:p>
        </w:tc>
        <w:tc>
          <w:tcPr>
            <w:tcW w:w="1140" w:type="dxa"/>
          </w:tcPr>
          <w:p w14:paraId="054E7A5E" w14:textId="77777777" w:rsidR="00B419CE" w:rsidRPr="00B419CE" w:rsidRDefault="00B419CE" w:rsidP="00B419CE">
            <w:pPr>
              <w:jc w:val="right"/>
            </w:pPr>
            <w:r w:rsidRPr="00B419CE">
              <w:t>60 200</w:t>
            </w:r>
          </w:p>
        </w:tc>
      </w:tr>
    </w:tbl>
    <w:p w14:paraId="0FDB49FD" w14:textId="77777777" w:rsidR="00B419CE" w:rsidRPr="00B419CE" w:rsidRDefault="00B419CE" w:rsidP="00B419CE">
      <w:pPr>
        <w:pStyle w:val="b-post"/>
      </w:pPr>
      <w:r w:rsidRPr="00B419CE">
        <w:t xml:space="preserve">Post 01 Særskilt vederlag for </w:t>
      </w:r>
      <w:proofErr w:type="spellStart"/>
      <w:r w:rsidRPr="00B419CE">
        <w:t>tolltenester</w:t>
      </w:r>
      <w:proofErr w:type="spellEnd"/>
    </w:p>
    <w:p w14:paraId="6AB22348" w14:textId="77777777" w:rsidR="00B419CE" w:rsidRPr="00B419CE" w:rsidRDefault="00B419CE" w:rsidP="00B419CE">
      <w:r w:rsidRPr="00B419CE">
        <w:t xml:space="preserve">Posten </w:t>
      </w:r>
      <w:proofErr w:type="spellStart"/>
      <w:r w:rsidRPr="00B419CE">
        <w:t>omfattar</w:t>
      </w:r>
      <w:proofErr w:type="spellEnd"/>
      <w:r w:rsidRPr="00B419CE">
        <w:t xml:space="preserve"> gebyr for privatrekvirert tollbehandling og ekspedisjonsgebyr for utført tollforretning </w:t>
      </w:r>
      <w:proofErr w:type="spellStart"/>
      <w:r w:rsidRPr="00B419CE">
        <w:t>utanfor</w:t>
      </w:r>
      <w:proofErr w:type="spellEnd"/>
      <w:r w:rsidRPr="00B419CE">
        <w:t xml:space="preserve"> </w:t>
      </w:r>
      <w:proofErr w:type="spellStart"/>
      <w:r w:rsidRPr="00B419CE">
        <w:t>kontorstad</w:t>
      </w:r>
      <w:proofErr w:type="spellEnd"/>
      <w:r w:rsidRPr="00B419CE">
        <w:t xml:space="preserve"> og ekspedisjonstid. For å </w:t>
      </w:r>
      <w:proofErr w:type="spellStart"/>
      <w:r w:rsidRPr="00B419CE">
        <w:t>dekkje</w:t>
      </w:r>
      <w:proofErr w:type="spellEnd"/>
      <w:r w:rsidRPr="00B419CE">
        <w:t xml:space="preserve"> </w:t>
      </w:r>
      <w:proofErr w:type="spellStart"/>
      <w:r w:rsidRPr="00B419CE">
        <w:t>dei</w:t>
      </w:r>
      <w:proofErr w:type="spellEnd"/>
      <w:r w:rsidRPr="00B419CE">
        <w:t xml:space="preserve"> </w:t>
      </w:r>
      <w:proofErr w:type="spellStart"/>
      <w:r w:rsidRPr="00B419CE">
        <w:t>meirkostnadane</w:t>
      </w:r>
      <w:proofErr w:type="spellEnd"/>
      <w:r w:rsidRPr="00B419CE">
        <w:t xml:space="preserve"> som denne </w:t>
      </w:r>
      <w:proofErr w:type="spellStart"/>
      <w:r w:rsidRPr="00B419CE">
        <w:t>behandlinga</w:t>
      </w:r>
      <w:proofErr w:type="spellEnd"/>
      <w:r w:rsidRPr="00B419CE">
        <w:t xml:space="preserve"> og ekspederinga fører med seg ved </w:t>
      </w:r>
      <w:proofErr w:type="spellStart"/>
      <w:r w:rsidRPr="00B419CE">
        <w:t>høgare</w:t>
      </w:r>
      <w:proofErr w:type="spellEnd"/>
      <w:r w:rsidRPr="00B419CE">
        <w:t xml:space="preserve"> aktivitetsnivå enn det som er </w:t>
      </w:r>
      <w:proofErr w:type="spellStart"/>
      <w:r w:rsidRPr="00B419CE">
        <w:t>føresett</w:t>
      </w:r>
      <w:proofErr w:type="spellEnd"/>
      <w:r w:rsidRPr="00B419CE">
        <w:t xml:space="preserve">, ber Finansdepartementet om fullmakt til å overskride løyvinga under kap. 1610, post 01 </w:t>
      </w:r>
      <w:r w:rsidRPr="00B419CE">
        <w:rPr>
          <w:rStyle w:val="kursiv"/>
        </w:rPr>
        <w:t>Driftsutgifter</w:t>
      </w:r>
      <w:r w:rsidRPr="00B419CE">
        <w:t xml:space="preserve">, mot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4610, post 01 </w:t>
      </w:r>
      <w:r w:rsidRPr="00B419CE">
        <w:rPr>
          <w:rStyle w:val="kursiv"/>
        </w:rPr>
        <w:t xml:space="preserve">Særskilt vederlag for </w:t>
      </w:r>
      <w:proofErr w:type="spellStart"/>
      <w:r w:rsidRPr="00B419CE">
        <w:rPr>
          <w:rStyle w:val="kursiv"/>
        </w:rPr>
        <w:t>tolltenester</w:t>
      </w:r>
      <w:proofErr w:type="spellEnd"/>
      <w:r w:rsidRPr="00B419CE">
        <w:t xml:space="preserve">, jf. framlegg til </w:t>
      </w:r>
      <w:proofErr w:type="spellStart"/>
      <w:r w:rsidRPr="00B419CE">
        <w:t>romartalsvedtak</w:t>
      </w:r>
      <w:proofErr w:type="spellEnd"/>
      <w:r w:rsidRPr="00B419CE">
        <w:t xml:space="preserve"> II.1.</w:t>
      </w:r>
    </w:p>
    <w:p w14:paraId="4F008016" w14:textId="77777777" w:rsidR="00B419CE" w:rsidRPr="00B419CE" w:rsidRDefault="00B419CE" w:rsidP="00B419CE">
      <w:proofErr w:type="spellStart"/>
      <w:r w:rsidRPr="00B419CE">
        <w:t>Satsane</w:t>
      </w:r>
      <w:proofErr w:type="spellEnd"/>
      <w:r w:rsidRPr="00B419CE">
        <w:t xml:space="preserve"> for privatrekvirert tollbehandling skal i 2022 </w:t>
      </w:r>
      <w:proofErr w:type="spellStart"/>
      <w:r w:rsidRPr="00B419CE">
        <w:t>vere</w:t>
      </w:r>
      <w:proofErr w:type="spellEnd"/>
      <w:r w:rsidRPr="00B419CE">
        <w:t xml:space="preserve"> 480 kroner for 50 pst. overtid og 620 kroner for 100 pst. overtid. Ekspedisjonsgebyret skal </w:t>
      </w:r>
      <w:proofErr w:type="spellStart"/>
      <w:r w:rsidRPr="00B419CE">
        <w:t>vere</w:t>
      </w:r>
      <w:proofErr w:type="spellEnd"/>
      <w:r w:rsidRPr="00B419CE">
        <w:t xml:space="preserve"> på 240 kroner per </w:t>
      </w:r>
      <w:proofErr w:type="spellStart"/>
      <w:r w:rsidRPr="00B419CE">
        <w:t>påbyrja</w:t>
      </w:r>
      <w:proofErr w:type="spellEnd"/>
      <w:r w:rsidRPr="00B419CE">
        <w:t xml:space="preserve"> halvtime. Gebyrheimel er tollova § 4–3 tredje ledd. Kostnadsgrunnlaget er </w:t>
      </w:r>
      <w:proofErr w:type="spellStart"/>
      <w:r w:rsidRPr="00B419CE">
        <w:t>nyleg</w:t>
      </w:r>
      <w:proofErr w:type="spellEnd"/>
      <w:r w:rsidRPr="00B419CE">
        <w:t xml:space="preserve"> gjennomgått og vurdert å samsvare bra med gebyrnivået.</w:t>
      </w:r>
    </w:p>
    <w:p w14:paraId="613E9A4A" w14:textId="77777777" w:rsidR="00B419CE" w:rsidRPr="00B419CE" w:rsidRDefault="00B419CE" w:rsidP="00B419CE">
      <w:pPr>
        <w:pStyle w:val="b-post"/>
      </w:pPr>
      <w:r w:rsidRPr="00B419CE">
        <w:lastRenderedPageBreak/>
        <w:t>Post 02 Andre inntekter</w:t>
      </w:r>
    </w:p>
    <w:p w14:paraId="39B201F8"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fleire</w:t>
      </w:r>
      <w:proofErr w:type="spellEnd"/>
      <w:r w:rsidRPr="00B419CE">
        <w:t xml:space="preserve"> </w:t>
      </w:r>
      <w:proofErr w:type="spellStart"/>
      <w:r w:rsidRPr="00B419CE">
        <w:t>typar</w:t>
      </w:r>
      <w:proofErr w:type="spellEnd"/>
      <w:r w:rsidRPr="00B419CE">
        <w:t xml:space="preserve"> inntekter, som til dømes inntekter </w:t>
      </w:r>
      <w:proofErr w:type="spellStart"/>
      <w:r w:rsidRPr="00B419CE">
        <w:t>frå</w:t>
      </w:r>
      <w:proofErr w:type="spellEnd"/>
      <w:r w:rsidRPr="00B419CE">
        <w:t xml:space="preserve"> </w:t>
      </w:r>
      <w:proofErr w:type="spellStart"/>
      <w:r w:rsidRPr="00B419CE">
        <w:t>auksjonssal</w:t>
      </w:r>
      <w:proofErr w:type="spellEnd"/>
      <w:r w:rsidRPr="00B419CE">
        <w:t xml:space="preserve"> av varer som er forsøkt smugla inn i landet eller varer på tollager som </w:t>
      </w:r>
      <w:proofErr w:type="spellStart"/>
      <w:r w:rsidRPr="00B419CE">
        <w:t>ikkje</w:t>
      </w:r>
      <w:proofErr w:type="spellEnd"/>
      <w:r w:rsidRPr="00B419CE">
        <w:t xml:space="preserve"> har vorte tollbehandla, </w:t>
      </w:r>
      <w:proofErr w:type="spellStart"/>
      <w:r w:rsidRPr="00B419CE">
        <w:t>innkravde</w:t>
      </w:r>
      <w:proofErr w:type="spellEnd"/>
      <w:r w:rsidRPr="00B419CE">
        <w:t xml:space="preserve"> </w:t>
      </w:r>
      <w:proofErr w:type="spellStart"/>
      <w:r w:rsidRPr="00B419CE">
        <w:t>sakskostnadar</w:t>
      </w:r>
      <w:proofErr w:type="spellEnd"/>
      <w:r w:rsidRPr="00B419CE">
        <w:t xml:space="preserve"> og agio.</w:t>
      </w:r>
    </w:p>
    <w:p w14:paraId="7D024EF2" w14:textId="77777777" w:rsidR="00B419CE" w:rsidRPr="00B419CE" w:rsidRDefault="00B419CE" w:rsidP="00B419CE">
      <w:r w:rsidRPr="00B419CE">
        <w:t xml:space="preserve">Tolletaten har </w:t>
      </w:r>
      <w:proofErr w:type="spellStart"/>
      <w:r w:rsidRPr="00B419CE">
        <w:t>ein</w:t>
      </w:r>
      <w:proofErr w:type="spellEnd"/>
      <w:r w:rsidRPr="00B419CE">
        <w:t xml:space="preserve"> del direkte utgifter i samband med </w:t>
      </w:r>
      <w:proofErr w:type="spellStart"/>
      <w:r w:rsidRPr="00B419CE">
        <w:t>auksjonssal</w:t>
      </w:r>
      <w:proofErr w:type="spellEnd"/>
      <w:r w:rsidRPr="00B419CE">
        <w:t xml:space="preserve">, </w:t>
      </w:r>
      <w:proofErr w:type="spellStart"/>
      <w:r w:rsidRPr="00B419CE">
        <w:t>særleg</w:t>
      </w:r>
      <w:proofErr w:type="spellEnd"/>
      <w:r w:rsidRPr="00B419CE">
        <w:t xml:space="preserve"> til </w:t>
      </w:r>
      <w:proofErr w:type="spellStart"/>
      <w:r w:rsidRPr="00B419CE">
        <w:t>kunngjeringar</w:t>
      </w:r>
      <w:proofErr w:type="spellEnd"/>
      <w:r w:rsidRPr="00B419CE">
        <w:t xml:space="preserve">, provisjon til nettauksjonsstaden og til taksering av </w:t>
      </w:r>
      <w:proofErr w:type="spellStart"/>
      <w:r w:rsidRPr="00B419CE">
        <w:t>særskilde</w:t>
      </w:r>
      <w:proofErr w:type="spellEnd"/>
      <w:r w:rsidRPr="00B419CE">
        <w:t xml:space="preserve"> varer, til dømes teppe og smykke. Slike utgifter er med på å </w:t>
      </w:r>
      <w:proofErr w:type="spellStart"/>
      <w:r w:rsidRPr="00B419CE">
        <w:t>gje</w:t>
      </w:r>
      <w:proofErr w:type="spellEnd"/>
      <w:r w:rsidRPr="00B419CE">
        <w:t xml:space="preserve"> </w:t>
      </w:r>
      <w:proofErr w:type="spellStart"/>
      <w:r w:rsidRPr="00B419CE">
        <w:t>høgare</w:t>
      </w:r>
      <w:proofErr w:type="spellEnd"/>
      <w:r w:rsidRPr="00B419CE">
        <w:t xml:space="preserve"> </w:t>
      </w:r>
      <w:proofErr w:type="spellStart"/>
      <w:r w:rsidRPr="00B419CE">
        <w:t>salsinntekter</w:t>
      </w:r>
      <w:proofErr w:type="spellEnd"/>
      <w:r w:rsidRPr="00B419CE">
        <w:t xml:space="preserve">. For å få </w:t>
      </w:r>
      <w:proofErr w:type="spellStart"/>
      <w:r w:rsidRPr="00B419CE">
        <w:t>eit</w:t>
      </w:r>
      <w:proofErr w:type="spellEnd"/>
      <w:r w:rsidRPr="00B419CE">
        <w:t xml:space="preserve"> </w:t>
      </w:r>
      <w:proofErr w:type="spellStart"/>
      <w:r w:rsidRPr="00B419CE">
        <w:t>meir</w:t>
      </w:r>
      <w:proofErr w:type="spellEnd"/>
      <w:r w:rsidRPr="00B419CE">
        <w:t xml:space="preserve"> korrekt uttrykk for salsresultatet foreslår departementet at slike direkte utgifter kan </w:t>
      </w:r>
      <w:proofErr w:type="spellStart"/>
      <w:r w:rsidRPr="00B419CE">
        <w:t>trekkjast</w:t>
      </w:r>
      <w:proofErr w:type="spellEnd"/>
      <w:r w:rsidRPr="00B419CE">
        <w:t xml:space="preserve"> </w:t>
      </w:r>
      <w:proofErr w:type="spellStart"/>
      <w:r w:rsidRPr="00B419CE">
        <w:t>frå</w:t>
      </w:r>
      <w:proofErr w:type="spellEnd"/>
      <w:r w:rsidRPr="00B419CE">
        <w:t xml:space="preserve"> brutto salsbeløp (nettoposterast), jf. framlegg til </w:t>
      </w:r>
      <w:proofErr w:type="spellStart"/>
      <w:r w:rsidRPr="00B419CE">
        <w:t>romartalsvedtak</w:t>
      </w:r>
      <w:proofErr w:type="spellEnd"/>
      <w:r w:rsidRPr="00B419CE">
        <w:t xml:space="preserve"> IX.</w:t>
      </w:r>
    </w:p>
    <w:p w14:paraId="5C9BA188" w14:textId="77777777" w:rsidR="00B419CE" w:rsidRPr="00B419CE" w:rsidRDefault="00B419CE" w:rsidP="00B419CE">
      <w:pPr>
        <w:pStyle w:val="b-post"/>
      </w:pPr>
      <w:r w:rsidRPr="00B419CE">
        <w:t xml:space="preserve">Post 04 Ymse </w:t>
      </w:r>
      <w:proofErr w:type="spellStart"/>
      <w:r w:rsidRPr="00B419CE">
        <w:t>refusjonar</w:t>
      </w:r>
      <w:proofErr w:type="spellEnd"/>
    </w:p>
    <w:p w14:paraId="5990D5EA" w14:textId="77777777" w:rsidR="00B419CE" w:rsidRPr="00B419CE" w:rsidRDefault="00B419CE" w:rsidP="00B419CE">
      <w:r w:rsidRPr="00B419CE">
        <w:t xml:space="preserve">Posten vert brukt til inntekter som er ei direkte </w:t>
      </w:r>
      <w:proofErr w:type="spellStart"/>
      <w:r w:rsidRPr="00B419CE">
        <w:t>følgje</w:t>
      </w:r>
      <w:proofErr w:type="spellEnd"/>
      <w:r w:rsidRPr="00B419CE">
        <w:t xml:space="preserve"> av, og av same slag som, den </w:t>
      </w:r>
      <w:proofErr w:type="spellStart"/>
      <w:r w:rsidRPr="00B419CE">
        <w:t>tilsvarande</w:t>
      </w:r>
      <w:proofErr w:type="spellEnd"/>
      <w:r w:rsidRPr="00B419CE">
        <w:t xml:space="preserve"> utgifta. Det </w:t>
      </w:r>
      <w:proofErr w:type="spellStart"/>
      <w:r w:rsidRPr="00B419CE">
        <w:t>gjeld</w:t>
      </w:r>
      <w:proofErr w:type="spellEnd"/>
      <w:r w:rsidRPr="00B419CE">
        <w:t xml:space="preserve"> mellom anna bestemte prosjekt etter oppdrag og med </w:t>
      </w:r>
      <w:proofErr w:type="spellStart"/>
      <w:r w:rsidRPr="00B419CE">
        <w:t>tilskot</w:t>
      </w:r>
      <w:proofErr w:type="spellEnd"/>
      <w:r w:rsidRPr="00B419CE">
        <w:t xml:space="preserve"> </w:t>
      </w:r>
      <w:proofErr w:type="spellStart"/>
      <w:r w:rsidRPr="00B419CE">
        <w:t>frå</w:t>
      </w:r>
      <w:proofErr w:type="spellEnd"/>
      <w:r w:rsidRPr="00B419CE">
        <w:t xml:space="preserve"> andre </w:t>
      </w:r>
      <w:proofErr w:type="spellStart"/>
      <w:r w:rsidRPr="00B419CE">
        <w:t>statlege</w:t>
      </w:r>
      <w:proofErr w:type="spellEnd"/>
      <w:r w:rsidRPr="00B419CE">
        <w:t xml:space="preserve"> </w:t>
      </w:r>
      <w:proofErr w:type="spellStart"/>
      <w:r w:rsidRPr="00B419CE">
        <w:t>etatar</w:t>
      </w:r>
      <w:proofErr w:type="spellEnd"/>
      <w:r w:rsidRPr="00B419CE">
        <w:t xml:space="preserve">, kompetansetiltak m.m. og inntekter </w:t>
      </w:r>
      <w:proofErr w:type="spellStart"/>
      <w:r w:rsidRPr="00B419CE">
        <w:t>frå</w:t>
      </w:r>
      <w:proofErr w:type="spellEnd"/>
      <w:r w:rsidRPr="00B419CE">
        <w:t xml:space="preserve"> </w:t>
      </w:r>
      <w:proofErr w:type="spellStart"/>
      <w:r w:rsidRPr="00B419CE">
        <w:t>kursverksemd</w:t>
      </w:r>
      <w:proofErr w:type="spellEnd"/>
      <w:r w:rsidRPr="00B419CE">
        <w:t xml:space="preserve"> for næringslivet.</w:t>
      </w:r>
    </w:p>
    <w:p w14:paraId="246B6759" w14:textId="77777777" w:rsidR="00B419CE" w:rsidRPr="00B419CE" w:rsidRDefault="00B419CE" w:rsidP="00B419CE">
      <w:r w:rsidRPr="00B419CE">
        <w:t xml:space="preserve">Det er nær </w:t>
      </w:r>
      <w:proofErr w:type="spellStart"/>
      <w:r w:rsidRPr="00B419CE">
        <w:t>samanheng</w:t>
      </w:r>
      <w:proofErr w:type="spellEnd"/>
      <w:r w:rsidRPr="00B419CE">
        <w:t xml:space="preserve"> mellom </w:t>
      </w:r>
      <w:proofErr w:type="spellStart"/>
      <w:r w:rsidRPr="00B419CE">
        <w:t>desse</w:t>
      </w:r>
      <w:proofErr w:type="spellEnd"/>
      <w:r w:rsidRPr="00B419CE">
        <w:t xml:space="preserve"> inntektene og </w:t>
      </w:r>
      <w:proofErr w:type="spellStart"/>
      <w:r w:rsidRPr="00B419CE">
        <w:t>dei</w:t>
      </w:r>
      <w:proofErr w:type="spellEnd"/>
      <w:r w:rsidRPr="00B419CE">
        <w:t xml:space="preserve"> </w:t>
      </w:r>
      <w:proofErr w:type="spellStart"/>
      <w:r w:rsidRPr="00B419CE">
        <w:t>tilhøyrande</w:t>
      </w:r>
      <w:proofErr w:type="spellEnd"/>
      <w:r w:rsidRPr="00B419CE">
        <w:t xml:space="preserve"> utgiftene på kap. 1610, post 01 </w:t>
      </w:r>
      <w:r w:rsidRPr="00B419CE">
        <w:rPr>
          <w:rStyle w:val="kursiv"/>
        </w:rPr>
        <w:t>Driftsutgifter</w:t>
      </w:r>
      <w:r w:rsidRPr="00B419CE">
        <w:t xml:space="preserve">, og inntektene varierer </w:t>
      </w:r>
      <w:proofErr w:type="spellStart"/>
      <w:r w:rsidRPr="00B419CE">
        <w:t>ein</w:t>
      </w:r>
      <w:proofErr w:type="spellEnd"/>
      <w:r w:rsidRPr="00B419CE">
        <w:t xml:space="preserve"> del </w:t>
      </w:r>
      <w:proofErr w:type="spellStart"/>
      <w:r w:rsidRPr="00B419CE">
        <w:t>frå</w:t>
      </w:r>
      <w:proofErr w:type="spellEnd"/>
      <w:r w:rsidRPr="00B419CE">
        <w:t xml:space="preserve"> år til år. Finansdepartementet ber </w:t>
      </w:r>
      <w:proofErr w:type="spellStart"/>
      <w:r w:rsidRPr="00B419CE">
        <w:t>difor</w:t>
      </w:r>
      <w:proofErr w:type="spellEnd"/>
      <w:r w:rsidRPr="00B419CE">
        <w:t xml:space="preserve"> om fullmakt til å overskride løyvinga under kap. 1610, post 01 </w:t>
      </w:r>
      <w:r w:rsidRPr="00B419CE">
        <w:rPr>
          <w:rStyle w:val="kursiv"/>
        </w:rPr>
        <w:t>Driftsutgifter</w:t>
      </w:r>
      <w:r w:rsidRPr="00B419CE">
        <w:t xml:space="preserve">, mot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4610, post 04 </w:t>
      </w:r>
      <w:r w:rsidRPr="00B419CE">
        <w:rPr>
          <w:rStyle w:val="kursiv"/>
        </w:rPr>
        <w:t xml:space="preserve">Ymse </w:t>
      </w:r>
      <w:proofErr w:type="spellStart"/>
      <w:r w:rsidRPr="00B419CE">
        <w:rPr>
          <w:rStyle w:val="kursiv"/>
        </w:rPr>
        <w:t>refusjonar</w:t>
      </w:r>
      <w:proofErr w:type="spellEnd"/>
      <w:r w:rsidRPr="00B419CE">
        <w:rPr>
          <w:rStyle w:val="kursiv"/>
        </w:rPr>
        <w:t>,</w:t>
      </w:r>
      <w:r w:rsidRPr="00B419CE">
        <w:t xml:space="preserve"> jf. framlegg til </w:t>
      </w:r>
      <w:proofErr w:type="spellStart"/>
      <w:r w:rsidRPr="00B419CE">
        <w:t>romartalsvedtak</w:t>
      </w:r>
      <w:proofErr w:type="spellEnd"/>
      <w:r w:rsidRPr="00B419CE">
        <w:t xml:space="preserve"> II.1.</w:t>
      </w:r>
    </w:p>
    <w:p w14:paraId="4768860B" w14:textId="77777777" w:rsidR="00B419CE" w:rsidRPr="00B419CE" w:rsidRDefault="00B419CE" w:rsidP="00B419CE">
      <w:pPr>
        <w:pStyle w:val="b-post"/>
      </w:pPr>
      <w:r w:rsidRPr="00B419CE">
        <w:t xml:space="preserve">Post 05 Refusjon </w:t>
      </w:r>
      <w:proofErr w:type="spellStart"/>
      <w:r w:rsidRPr="00B419CE">
        <w:t>frå</w:t>
      </w:r>
      <w:proofErr w:type="spellEnd"/>
      <w:r w:rsidRPr="00B419CE">
        <w:t xml:space="preserve"> Avinor AS</w:t>
      </w:r>
    </w:p>
    <w:p w14:paraId="0FEB1D21" w14:textId="77777777" w:rsidR="00B419CE" w:rsidRPr="00B419CE" w:rsidRDefault="00B419CE" w:rsidP="00B419CE">
      <w:r w:rsidRPr="00B419CE">
        <w:t xml:space="preserve">Avinor AS skal </w:t>
      </w:r>
      <w:proofErr w:type="spellStart"/>
      <w:r w:rsidRPr="00B419CE">
        <w:t>dekkje</w:t>
      </w:r>
      <w:proofErr w:type="spellEnd"/>
      <w:r w:rsidRPr="00B419CE">
        <w:t xml:space="preserve"> Tolletatens </w:t>
      </w:r>
      <w:proofErr w:type="spellStart"/>
      <w:r w:rsidRPr="00B419CE">
        <w:t>meirkostnader</w:t>
      </w:r>
      <w:proofErr w:type="spellEnd"/>
      <w:r w:rsidRPr="00B419CE">
        <w:t xml:space="preserve"> til ordninga med </w:t>
      </w:r>
      <w:proofErr w:type="spellStart"/>
      <w:r w:rsidRPr="00B419CE">
        <w:t>enklare</w:t>
      </w:r>
      <w:proofErr w:type="spellEnd"/>
      <w:r w:rsidRPr="00B419CE">
        <w:t xml:space="preserve"> </w:t>
      </w:r>
      <w:proofErr w:type="spellStart"/>
      <w:r w:rsidRPr="00B419CE">
        <w:t>prosedyrar</w:t>
      </w:r>
      <w:proofErr w:type="spellEnd"/>
      <w:r w:rsidRPr="00B419CE">
        <w:t xml:space="preserve"> ved flybytte på Oslo lufthamn (forenkla transfer). </w:t>
      </w:r>
      <w:proofErr w:type="spellStart"/>
      <w:r w:rsidRPr="00B419CE">
        <w:t>Refusjonar</w:t>
      </w:r>
      <w:proofErr w:type="spellEnd"/>
      <w:r w:rsidRPr="00B419CE">
        <w:t xml:space="preserve"> </w:t>
      </w:r>
      <w:proofErr w:type="spellStart"/>
      <w:r w:rsidRPr="00B419CE">
        <w:t>frå</w:t>
      </w:r>
      <w:proofErr w:type="spellEnd"/>
      <w:r w:rsidRPr="00B419CE">
        <w:t xml:space="preserve"> Avinor AS vert førte på denne posten. Fordi </w:t>
      </w:r>
      <w:proofErr w:type="spellStart"/>
      <w:r w:rsidRPr="00B419CE">
        <w:t>meirkostnadane</w:t>
      </w:r>
      <w:proofErr w:type="spellEnd"/>
      <w:r w:rsidRPr="00B419CE">
        <w:t xml:space="preserve"> og dermed òg refusjonsbeløp er </w:t>
      </w:r>
      <w:proofErr w:type="spellStart"/>
      <w:r w:rsidRPr="00B419CE">
        <w:t>noko</w:t>
      </w:r>
      <w:proofErr w:type="spellEnd"/>
      <w:r w:rsidRPr="00B419CE">
        <w:t xml:space="preserve"> usikre, ber Finansdepartementet om fullmakt til å overskride løyvinga under kap. 1610, post 01 </w:t>
      </w:r>
      <w:r w:rsidRPr="00B419CE">
        <w:rPr>
          <w:rStyle w:val="kursiv"/>
        </w:rPr>
        <w:t>Driftsutgifter</w:t>
      </w:r>
      <w:r w:rsidRPr="00B419CE">
        <w:t xml:space="preserve">, mot </w:t>
      </w:r>
      <w:proofErr w:type="spellStart"/>
      <w:r w:rsidRPr="00B419CE">
        <w:t>tilsvarande</w:t>
      </w:r>
      <w:proofErr w:type="spellEnd"/>
      <w:r w:rsidRPr="00B419CE">
        <w:t xml:space="preserve"> </w:t>
      </w:r>
      <w:proofErr w:type="spellStart"/>
      <w:r w:rsidRPr="00B419CE">
        <w:t>meirinntekter</w:t>
      </w:r>
      <w:proofErr w:type="spellEnd"/>
      <w:r w:rsidRPr="00B419CE">
        <w:t xml:space="preserve"> under kap. 4610, post 05 </w:t>
      </w:r>
      <w:r w:rsidRPr="00B419CE">
        <w:rPr>
          <w:rStyle w:val="kursiv"/>
        </w:rPr>
        <w:t xml:space="preserve">Refusjon </w:t>
      </w:r>
      <w:proofErr w:type="spellStart"/>
      <w:r w:rsidRPr="00B419CE">
        <w:rPr>
          <w:rStyle w:val="kursiv"/>
        </w:rPr>
        <w:t>frå</w:t>
      </w:r>
      <w:proofErr w:type="spellEnd"/>
      <w:r w:rsidRPr="00B419CE">
        <w:rPr>
          <w:rStyle w:val="kursiv"/>
        </w:rPr>
        <w:t xml:space="preserve"> Avinor AS</w:t>
      </w:r>
      <w:r w:rsidRPr="00B419CE">
        <w:t xml:space="preserve">, jf. framlegg til </w:t>
      </w:r>
      <w:proofErr w:type="spellStart"/>
      <w:r w:rsidRPr="00B419CE">
        <w:t>romartalsvedtak</w:t>
      </w:r>
      <w:proofErr w:type="spellEnd"/>
      <w:r w:rsidRPr="00B419CE">
        <w:t xml:space="preserve"> II.1.</w:t>
      </w:r>
    </w:p>
    <w:p w14:paraId="49C93941" w14:textId="77777777" w:rsidR="00B419CE" w:rsidRPr="00B419CE" w:rsidRDefault="00B419CE" w:rsidP="00B419CE">
      <w:pPr>
        <w:pStyle w:val="b-post"/>
      </w:pPr>
      <w:r w:rsidRPr="00B419CE">
        <w:t xml:space="preserve">Post 85 Tvangsmulkt og gebyr for </w:t>
      </w:r>
      <w:proofErr w:type="spellStart"/>
      <w:r w:rsidRPr="00B419CE">
        <w:t>regelbrot</w:t>
      </w:r>
      <w:proofErr w:type="spellEnd"/>
    </w:p>
    <w:p w14:paraId="47A64A47" w14:textId="77777777" w:rsidR="00B419CE" w:rsidRPr="00B419CE" w:rsidRDefault="00B419CE" w:rsidP="00B419CE">
      <w:r w:rsidRPr="00B419CE">
        <w:t xml:space="preserve">Posten </w:t>
      </w:r>
      <w:proofErr w:type="spellStart"/>
      <w:r w:rsidRPr="00B419CE">
        <w:t>omfattar</w:t>
      </w:r>
      <w:proofErr w:type="spellEnd"/>
      <w:r w:rsidRPr="00B419CE">
        <w:t xml:space="preserve"> inntekter </w:t>
      </w:r>
      <w:proofErr w:type="spellStart"/>
      <w:r w:rsidRPr="00B419CE">
        <w:t>frå</w:t>
      </w:r>
      <w:proofErr w:type="spellEnd"/>
      <w:r w:rsidRPr="00B419CE">
        <w:t xml:space="preserve"> gebyr som vert </w:t>
      </w:r>
      <w:proofErr w:type="spellStart"/>
      <w:r w:rsidRPr="00B419CE">
        <w:t>ilagde</w:t>
      </w:r>
      <w:proofErr w:type="spellEnd"/>
      <w:r w:rsidRPr="00B419CE">
        <w:t xml:space="preserve"> ved </w:t>
      </w:r>
      <w:proofErr w:type="spellStart"/>
      <w:r w:rsidRPr="00B419CE">
        <w:t>ulovleg</w:t>
      </w:r>
      <w:proofErr w:type="spellEnd"/>
      <w:r w:rsidRPr="00B419CE">
        <w:t xml:space="preserve"> ut- og innførsel av valuta, gebyr for </w:t>
      </w:r>
      <w:proofErr w:type="spellStart"/>
      <w:r w:rsidRPr="00B419CE">
        <w:t>brot</w:t>
      </w:r>
      <w:proofErr w:type="spellEnd"/>
      <w:r w:rsidRPr="00B419CE">
        <w:t xml:space="preserve"> på </w:t>
      </w:r>
      <w:proofErr w:type="spellStart"/>
      <w:r w:rsidRPr="00B419CE">
        <w:t>nærare</w:t>
      </w:r>
      <w:proofErr w:type="spellEnd"/>
      <w:r w:rsidRPr="00B419CE">
        <w:t xml:space="preserve"> </w:t>
      </w:r>
      <w:proofErr w:type="spellStart"/>
      <w:r w:rsidRPr="00B419CE">
        <w:t>angjeve</w:t>
      </w:r>
      <w:proofErr w:type="spellEnd"/>
      <w:r w:rsidRPr="00B419CE">
        <w:t xml:space="preserve"> føresegner i tollova kapittel 3 og 4 og tvangsmulkt for </w:t>
      </w:r>
      <w:proofErr w:type="spellStart"/>
      <w:r w:rsidRPr="00B419CE">
        <w:t>brot</w:t>
      </w:r>
      <w:proofErr w:type="spellEnd"/>
      <w:r w:rsidRPr="00B419CE">
        <w:t xml:space="preserve"> på </w:t>
      </w:r>
      <w:proofErr w:type="spellStart"/>
      <w:r w:rsidRPr="00B419CE">
        <w:t>nærare</w:t>
      </w:r>
      <w:proofErr w:type="spellEnd"/>
      <w:r w:rsidRPr="00B419CE">
        <w:t xml:space="preserve"> </w:t>
      </w:r>
      <w:proofErr w:type="spellStart"/>
      <w:r w:rsidRPr="00B419CE">
        <w:t>angjeve</w:t>
      </w:r>
      <w:proofErr w:type="spellEnd"/>
      <w:r w:rsidRPr="00B419CE">
        <w:t xml:space="preserve"> føresegner i tollova kapittel 13.</w:t>
      </w:r>
    </w:p>
    <w:p w14:paraId="517C7390" w14:textId="77777777" w:rsidR="00B419CE" w:rsidRPr="00B419CE" w:rsidRDefault="00B419CE" w:rsidP="00B419CE">
      <w:r w:rsidRPr="00B419CE">
        <w:t xml:space="preserve">Valuta og andre betalingsmiddel med </w:t>
      </w:r>
      <w:proofErr w:type="spellStart"/>
      <w:r w:rsidRPr="00B419CE">
        <w:t>ein</w:t>
      </w:r>
      <w:proofErr w:type="spellEnd"/>
      <w:r w:rsidRPr="00B419CE">
        <w:t xml:space="preserve"> verdi på </w:t>
      </w:r>
      <w:proofErr w:type="spellStart"/>
      <w:r w:rsidRPr="00B419CE">
        <w:t>meir</w:t>
      </w:r>
      <w:proofErr w:type="spellEnd"/>
      <w:r w:rsidRPr="00B419CE">
        <w:t xml:space="preserve"> enn 25 000 kroner skal </w:t>
      </w:r>
      <w:proofErr w:type="spellStart"/>
      <w:r w:rsidRPr="00B419CE">
        <w:t>meldast</w:t>
      </w:r>
      <w:proofErr w:type="spellEnd"/>
      <w:r w:rsidRPr="00B419CE">
        <w:t xml:space="preserve"> og </w:t>
      </w:r>
      <w:proofErr w:type="spellStart"/>
      <w:r w:rsidRPr="00B419CE">
        <w:t>leggjast</w:t>
      </w:r>
      <w:proofErr w:type="spellEnd"/>
      <w:r w:rsidRPr="00B419CE">
        <w:t xml:space="preserve"> fram for Tolletaten ved inn- og utførsel i samsvar med tollova med forskrift. Når det er konstatert </w:t>
      </w:r>
      <w:proofErr w:type="spellStart"/>
      <w:r w:rsidRPr="00B419CE">
        <w:t>brot</w:t>
      </w:r>
      <w:proofErr w:type="spellEnd"/>
      <w:r w:rsidRPr="00B419CE">
        <w:t xml:space="preserve"> på deklareringsplikta, kan det </w:t>
      </w:r>
      <w:proofErr w:type="spellStart"/>
      <w:r w:rsidRPr="00B419CE">
        <w:t>ileggjast</w:t>
      </w:r>
      <w:proofErr w:type="spellEnd"/>
      <w:r w:rsidRPr="00B419CE">
        <w:t xml:space="preserve"> </w:t>
      </w:r>
      <w:proofErr w:type="spellStart"/>
      <w:r w:rsidRPr="00B419CE">
        <w:t>eit</w:t>
      </w:r>
      <w:proofErr w:type="spellEnd"/>
      <w:r w:rsidRPr="00B419CE">
        <w:t xml:space="preserve"> gebyr, eventuelt kan tilhøvet </w:t>
      </w:r>
      <w:proofErr w:type="spellStart"/>
      <w:r w:rsidRPr="00B419CE">
        <w:t>meldast</w:t>
      </w:r>
      <w:proofErr w:type="spellEnd"/>
      <w:r w:rsidRPr="00B419CE">
        <w:t xml:space="preserve"> til politiet. Gebyret kan </w:t>
      </w:r>
      <w:proofErr w:type="spellStart"/>
      <w:r w:rsidRPr="00B419CE">
        <w:t>utgjere</w:t>
      </w:r>
      <w:proofErr w:type="spellEnd"/>
      <w:r w:rsidRPr="00B419CE">
        <w:t xml:space="preserve"> </w:t>
      </w:r>
      <w:proofErr w:type="spellStart"/>
      <w:r w:rsidRPr="00B419CE">
        <w:t>opp til</w:t>
      </w:r>
      <w:proofErr w:type="spellEnd"/>
      <w:r w:rsidRPr="00B419CE">
        <w:t xml:space="preserve"> 30 pst. av det </w:t>
      </w:r>
      <w:proofErr w:type="spellStart"/>
      <w:r w:rsidRPr="00B419CE">
        <w:t>ikkje</w:t>
      </w:r>
      <w:proofErr w:type="spellEnd"/>
      <w:r w:rsidRPr="00B419CE">
        <w:t>-deklarerte beløpet.</w:t>
      </w:r>
    </w:p>
    <w:p w14:paraId="2E6A3920" w14:textId="77777777" w:rsidR="00B419CE" w:rsidRPr="00B419CE" w:rsidRDefault="00B419CE" w:rsidP="00B419CE">
      <w:r w:rsidRPr="00B419CE">
        <w:lastRenderedPageBreak/>
        <w:t xml:space="preserve">Ved </w:t>
      </w:r>
      <w:proofErr w:type="spellStart"/>
      <w:r w:rsidRPr="00B419CE">
        <w:t>brot</w:t>
      </w:r>
      <w:proofErr w:type="spellEnd"/>
      <w:r w:rsidRPr="00B419CE">
        <w:t xml:space="preserve"> på </w:t>
      </w:r>
      <w:proofErr w:type="spellStart"/>
      <w:r w:rsidRPr="00B419CE">
        <w:t>nærare</w:t>
      </w:r>
      <w:proofErr w:type="spellEnd"/>
      <w:r w:rsidRPr="00B419CE">
        <w:t xml:space="preserve"> </w:t>
      </w:r>
      <w:proofErr w:type="spellStart"/>
      <w:r w:rsidRPr="00B419CE">
        <w:t>angjeve</w:t>
      </w:r>
      <w:proofErr w:type="spellEnd"/>
      <w:r w:rsidRPr="00B419CE">
        <w:t xml:space="preserve"> føresegn i tollova kapittel 3 og 4, for </w:t>
      </w:r>
      <w:proofErr w:type="spellStart"/>
      <w:r w:rsidRPr="00B419CE">
        <w:t>manglande</w:t>
      </w:r>
      <w:proofErr w:type="spellEnd"/>
      <w:r w:rsidRPr="00B419CE">
        <w:t xml:space="preserve"> </w:t>
      </w:r>
      <w:proofErr w:type="spellStart"/>
      <w:r w:rsidRPr="00B419CE">
        <w:t>medverknad</w:t>
      </w:r>
      <w:proofErr w:type="spellEnd"/>
      <w:r w:rsidRPr="00B419CE">
        <w:t xml:space="preserve"> til kontroll og utskriving av uriktig opphavsbevis m.m., kan det </w:t>
      </w:r>
      <w:proofErr w:type="spellStart"/>
      <w:r w:rsidRPr="00B419CE">
        <w:t>ileggjast</w:t>
      </w:r>
      <w:proofErr w:type="spellEnd"/>
      <w:r w:rsidRPr="00B419CE">
        <w:t xml:space="preserve"> </w:t>
      </w:r>
      <w:proofErr w:type="spellStart"/>
      <w:r w:rsidRPr="00B419CE">
        <w:t>eit</w:t>
      </w:r>
      <w:proofErr w:type="spellEnd"/>
      <w:r w:rsidRPr="00B419CE">
        <w:t xml:space="preserve"> gebyr. Ramma for gebyret er regulert i forskrift.</w:t>
      </w:r>
    </w:p>
    <w:p w14:paraId="3C1E43FC" w14:textId="77777777" w:rsidR="00B419CE" w:rsidRPr="00B419CE" w:rsidRDefault="00B419CE" w:rsidP="00B419CE">
      <w:r w:rsidRPr="00B419CE">
        <w:t xml:space="preserve">Ved </w:t>
      </w:r>
      <w:proofErr w:type="spellStart"/>
      <w:r w:rsidRPr="00B419CE">
        <w:t>brot</w:t>
      </w:r>
      <w:proofErr w:type="spellEnd"/>
      <w:r w:rsidRPr="00B419CE">
        <w:t xml:space="preserve"> på </w:t>
      </w:r>
      <w:proofErr w:type="spellStart"/>
      <w:r w:rsidRPr="00B419CE">
        <w:t>nærare</w:t>
      </w:r>
      <w:proofErr w:type="spellEnd"/>
      <w:r w:rsidRPr="00B419CE">
        <w:t xml:space="preserve"> </w:t>
      </w:r>
      <w:proofErr w:type="spellStart"/>
      <w:r w:rsidRPr="00B419CE">
        <w:t>angjeve</w:t>
      </w:r>
      <w:proofErr w:type="spellEnd"/>
      <w:r w:rsidRPr="00B419CE">
        <w:t xml:space="preserve"> føresegn i tollova kapittel 13, om krav til å </w:t>
      </w:r>
      <w:proofErr w:type="spellStart"/>
      <w:r w:rsidRPr="00B419CE">
        <w:t>gje</w:t>
      </w:r>
      <w:proofErr w:type="spellEnd"/>
      <w:r w:rsidRPr="00B419CE">
        <w:t xml:space="preserve"> </w:t>
      </w:r>
      <w:proofErr w:type="spellStart"/>
      <w:r w:rsidRPr="00B419CE">
        <w:t>opplysningar</w:t>
      </w:r>
      <w:proofErr w:type="spellEnd"/>
      <w:r w:rsidRPr="00B419CE">
        <w:t xml:space="preserve"> m.m., kan det </w:t>
      </w:r>
      <w:proofErr w:type="spellStart"/>
      <w:r w:rsidRPr="00B419CE">
        <w:t>ileggjast</w:t>
      </w:r>
      <w:proofErr w:type="spellEnd"/>
      <w:r w:rsidRPr="00B419CE">
        <w:t xml:space="preserve"> ei </w:t>
      </w:r>
      <w:proofErr w:type="spellStart"/>
      <w:r w:rsidRPr="00B419CE">
        <w:t>dagleg</w:t>
      </w:r>
      <w:proofErr w:type="spellEnd"/>
      <w:r w:rsidRPr="00B419CE">
        <w:t xml:space="preserve">, </w:t>
      </w:r>
      <w:proofErr w:type="spellStart"/>
      <w:r w:rsidRPr="00B419CE">
        <w:t>laupande</w:t>
      </w:r>
      <w:proofErr w:type="spellEnd"/>
      <w:r w:rsidRPr="00B419CE">
        <w:t xml:space="preserve"> tvangsmulkt fram til </w:t>
      </w:r>
      <w:proofErr w:type="spellStart"/>
      <w:r w:rsidRPr="00B419CE">
        <w:t>opplysningane</w:t>
      </w:r>
      <w:proofErr w:type="spellEnd"/>
      <w:r w:rsidRPr="00B419CE">
        <w:t xml:space="preserve"> vert </w:t>
      </w:r>
      <w:proofErr w:type="spellStart"/>
      <w:r w:rsidRPr="00B419CE">
        <w:t>gjevne</w:t>
      </w:r>
      <w:proofErr w:type="spellEnd"/>
      <w:r w:rsidRPr="00B419CE">
        <w:t>.</w:t>
      </w:r>
    </w:p>
    <w:p w14:paraId="7022FFB3" w14:textId="77777777" w:rsidR="00B419CE" w:rsidRPr="00B419CE" w:rsidRDefault="00B419CE" w:rsidP="00B419CE">
      <w:r w:rsidRPr="00B419CE">
        <w:t xml:space="preserve">Inntektene på post 85 er </w:t>
      </w:r>
      <w:proofErr w:type="spellStart"/>
      <w:r w:rsidRPr="00B419CE">
        <w:t>vanskelege</w:t>
      </w:r>
      <w:proofErr w:type="spellEnd"/>
      <w:r w:rsidRPr="00B419CE">
        <w:t xml:space="preserve"> å budsjettere </w:t>
      </w:r>
      <w:proofErr w:type="spellStart"/>
      <w:r w:rsidRPr="00B419CE">
        <w:t>sidan</w:t>
      </w:r>
      <w:proofErr w:type="spellEnd"/>
      <w:r w:rsidRPr="00B419CE">
        <w:t xml:space="preserve"> </w:t>
      </w:r>
      <w:proofErr w:type="spellStart"/>
      <w:r w:rsidRPr="00B419CE">
        <w:t>dei</w:t>
      </w:r>
      <w:proofErr w:type="spellEnd"/>
      <w:r w:rsidRPr="00B419CE">
        <w:t xml:space="preserve"> i stor mon avheng av </w:t>
      </w:r>
      <w:proofErr w:type="spellStart"/>
      <w:r w:rsidRPr="00B419CE">
        <w:t>åtferda</w:t>
      </w:r>
      <w:proofErr w:type="spellEnd"/>
      <w:r w:rsidRPr="00B419CE">
        <w:t xml:space="preserve"> hos </w:t>
      </w:r>
      <w:proofErr w:type="spellStart"/>
      <w:r w:rsidRPr="00B419CE">
        <w:t>reisande</w:t>
      </w:r>
      <w:proofErr w:type="spellEnd"/>
      <w:r w:rsidRPr="00B419CE">
        <w:t xml:space="preserve"> og </w:t>
      </w:r>
      <w:proofErr w:type="spellStart"/>
      <w:r w:rsidRPr="00B419CE">
        <w:t>transportørar</w:t>
      </w:r>
      <w:proofErr w:type="spellEnd"/>
      <w:r w:rsidRPr="00B419CE">
        <w:t xml:space="preserve">. </w:t>
      </w:r>
      <w:proofErr w:type="spellStart"/>
      <w:r w:rsidRPr="00B419CE">
        <w:t>Sidan</w:t>
      </w:r>
      <w:proofErr w:type="spellEnd"/>
      <w:r w:rsidRPr="00B419CE">
        <w:t xml:space="preserve"> det var </w:t>
      </w:r>
      <w:proofErr w:type="spellStart"/>
      <w:r w:rsidRPr="00B419CE">
        <w:t>lågare</w:t>
      </w:r>
      <w:proofErr w:type="spellEnd"/>
      <w:r w:rsidRPr="00B419CE">
        <w:t xml:space="preserve"> reiseaktivitet i 2021 enn </w:t>
      </w:r>
      <w:proofErr w:type="spellStart"/>
      <w:r w:rsidRPr="00B419CE">
        <w:t>vanleg</w:t>
      </w:r>
      <w:proofErr w:type="spellEnd"/>
      <w:r w:rsidRPr="00B419CE">
        <w:t xml:space="preserve">, som </w:t>
      </w:r>
      <w:proofErr w:type="spellStart"/>
      <w:r w:rsidRPr="00B419CE">
        <w:t>følgje</w:t>
      </w:r>
      <w:proofErr w:type="spellEnd"/>
      <w:r w:rsidRPr="00B419CE">
        <w:t xml:space="preserve"> av koronapandemien, </w:t>
      </w:r>
      <w:proofErr w:type="spellStart"/>
      <w:r w:rsidRPr="00B419CE">
        <w:t>reknar</w:t>
      </w:r>
      <w:proofErr w:type="spellEnd"/>
      <w:r w:rsidRPr="00B419CE">
        <w:t xml:space="preserve"> </w:t>
      </w:r>
      <w:proofErr w:type="spellStart"/>
      <w:r w:rsidRPr="00B419CE">
        <w:t>ein</w:t>
      </w:r>
      <w:proofErr w:type="spellEnd"/>
      <w:r w:rsidRPr="00B419CE">
        <w:t xml:space="preserve"> med </w:t>
      </w:r>
      <w:proofErr w:type="spellStart"/>
      <w:r w:rsidRPr="00B419CE">
        <w:t>noko</w:t>
      </w:r>
      <w:proofErr w:type="spellEnd"/>
      <w:r w:rsidRPr="00B419CE">
        <w:t xml:space="preserve"> </w:t>
      </w:r>
      <w:proofErr w:type="spellStart"/>
      <w:r w:rsidRPr="00B419CE">
        <w:t>høgare</w:t>
      </w:r>
      <w:proofErr w:type="spellEnd"/>
      <w:r w:rsidRPr="00B419CE">
        <w:t xml:space="preserve"> inntekter her enn i 2021.</w:t>
      </w:r>
    </w:p>
    <w:p w14:paraId="09B8581D" w14:textId="77777777" w:rsidR="00B419CE" w:rsidRPr="00B419CE" w:rsidRDefault="00B419CE" w:rsidP="00B419CE">
      <w:pPr>
        <w:pStyle w:val="b-budkaptit"/>
      </w:pPr>
      <w:r w:rsidRPr="00B419CE">
        <w:t>Kap. 1618 Skatteetaten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76D50EC" w14:textId="77777777" w:rsidTr="00B419CE">
        <w:trPr>
          <w:trHeight w:val="640"/>
          <w:hidden/>
        </w:trPr>
        <w:tc>
          <w:tcPr>
            <w:tcW w:w="1140" w:type="dxa"/>
            <w:shd w:val="clear" w:color="auto" w:fill="FFFFFF"/>
          </w:tcPr>
          <w:p w14:paraId="0018FB2C" w14:textId="77777777" w:rsidR="00B419CE" w:rsidRPr="00B419CE" w:rsidRDefault="00B419CE" w:rsidP="00B419CE">
            <w:pPr>
              <w:pStyle w:val="Tabellnavn"/>
            </w:pPr>
            <w:r w:rsidRPr="00B419CE">
              <w:t>KPAL</w:t>
            </w:r>
          </w:p>
        </w:tc>
        <w:tc>
          <w:tcPr>
            <w:tcW w:w="4560" w:type="dxa"/>
          </w:tcPr>
          <w:p w14:paraId="59688805" w14:textId="77777777" w:rsidR="00B419CE" w:rsidRPr="00B419CE" w:rsidRDefault="00B419CE" w:rsidP="00B419CE"/>
        </w:tc>
        <w:tc>
          <w:tcPr>
            <w:tcW w:w="1140" w:type="dxa"/>
          </w:tcPr>
          <w:p w14:paraId="1A371B23" w14:textId="77777777" w:rsidR="00B419CE" w:rsidRPr="00B419CE" w:rsidRDefault="00B419CE" w:rsidP="00B419CE">
            <w:pPr>
              <w:jc w:val="right"/>
            </w:pPr>
          </w:p>
        </w:tc>
        <w:tc>
          <w:tcPr>
            <w:tcW w:w="1140" w:type="dxa"/>
          </w:tcPr>
          <w:p w14:paraId="4F18BD5E" w14:textId="77777777" w:rsidR="00B419CE" w:rsidRPr="00B419CE" w:rsidRDefault="00B419CE" w:rsidP="00B419CE">
            <w:pPr>
              <w:jc w:val="right"/>
            </w:pPr>
          </w:p>
        </w:tc>
        <w:tc>
          <w:tcPr>
            <w:tcW w:w="1140" w:type="dxa"/>
          </w:tcPr>
          <w:p w14:paraId="0325AD13" w14:textId="77777777" w:rsidR="00B419CE" w:rsidRPr="00B419CE" w:rsidRDefault="00B419CE" w:rsidP="00B419CE">
            <w:pPr>
              <w:jc w:val="right"/>
            </w:pPr>
            <w:r w:rsidRPr="00B419CE">
              <w:t>(i 1 000 kr)</w:t>
            </w:r>
          </w:p>
        </w:tc>
      </w:tr>
      <w:tr w:rsidR="00B419CE" w:rsidRPr="00B419CE" w14:paraId="41071AD5" w14:textId="77777777" w:rsidTr="00B419CE">
        <w:trPr>
          <w:trHeight w:val="600"/>
        </w:trPr>
        <w:tc>
          <w:tcPr>
            <w:tcW w:w="1140" w:type="dxa"/>
          </w:tcPr>
          <w:p w14:paraId="17C64F39" w14:textId="77777777" w:rsidR="00B419CE" w:rsidRPr="00B419CE" w:rsidRDefault="00B419CE" w:rsidP="00B419CE">
            <w:r w:rsidRPr="00B419CE">
              <w:t>Post</w:t>
            </w:r>
          </w:p>
        </w:tc>
        <w:tc>
          <w:tcPr>
            <w:tcW w:w="4560" w:type="dxa"/>
          </w:tcPr>
          <w:p w14:paraId="2DD9EDE3" w14:textId="77777777" w:rsidR="00B419CE" w:rsidRPr="00B419CE" w:rsidRDefault="00B419CE" w:rsidP="00B419CE">
            <w:proofErr w:type="spellStart"/>
            <w:r w:rsidRPr="00B419CE">
              <w:t>Nemning</w:t>
            </w:r>
            <w:proofErr w:type="spellEnd"/>
          </w:p>
        </w:tc>
        <w:tc>
          <w:tcPr>
            <w:tcW w:w="1140" w:type="dxa"/>
          </w:tcPr>
          <w:p w14:paraId="1C87EF70"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25F96A97" w14:textId="77777777" w:rsidR="00B419CE" w:rsidRPr="00B419CE" w:rsidRDefault="00B419CE" w:rsidP="00B419CE">
            <w:pPr>
              <w:jc w:val="right"/>
            </w:pPr>
            <w:r w:rsidRPr="00B419CE">
              <w:t>Saldert</w:t>
            </w:r>
            <w:r w:rsidRPr="00B419CE">
              <w:br/>
              <w:t xml:space="preserve"> budsjett 2021</w:t>
            </w:r>
          </w:p>
        </w:tc>
        <w:tc>
          <w:tcPr>
            <w:tcW w:w="1140" w:type="dxa"/>
          </w:tcPr>
          <w:p w14:paraId="6C7AE098" w14:textId="77777777" w:rsidR="00B419CE" w:rsidRPr="00B419CE" w:rsidRDefault="00B419CE" w:rsidP="00B419CE">
            <w:pPr>
              <w:jc w:val="right"/>
            </w:pPr>
            <w:r w:rsidRPr="00B419CE">
              <w:t>Forslag</w:t>
            </w:r>
            <w:r w:rsidRPr="00B419CE">
              <w:br/>
              <w:t xml:space="preserve"> 2022</w:t>
            </w:r>
          </w:p>
        </w:tc>
      </w:tr>
      <w:tr w:rsidR="00B419CE" w:rsidRPr="00B419CE" w14:paraId="6371CAC0" w14:textId="77777777" w:rsidTr="00B419CE">
        <w:trPr>
          <w:trHeight w:val="380"/>
        </w:trPr>
        <w:tc>
          <w:tcPr>
            <w:tcW w:w="1140" w:type="dxa"/>
          </w:tcPr>
          <w:p w14:paraId="489D41B5" w14:textId="77777777" w:rsidR="00B419CE" w:rsidRPr="00B419CE" w:rsidRDefault="00B419CE" w:rsidP="00B419CE">
            <w:r w:rsidRPr="00B419CE">
              <w:t>01</w:t>
            </w:r>
          </w:p>
        </w:tc>
        <w:tc>
          <w:tcPr>
            <w:tcW w:w="4560" w:type="dxa"/>
          </w:tcPr>
          <w:p w14:paraId="53EE9EE9" w14:textId="77777777" w:rsidR="00B419CE" w:rsidRPr="00B419CE" w:rsidRDefault="00B419CE" w:rsidP="00B419CE">
            <w:r w:rsidRPr="00B419CE">
              <w:t>Driftsutgifter</w:t>
            </w:r>
          </w:p>
        </w:tc>
        <w:tc>
          <w:tcPr>
            <w:tcW w:w="1140" w:type="dxa"/>
          </w:tcPr>
          <w:p w14:paraId="0453288A" w14:textId="77777777" w:rsidR="00B419CE" w:rsidRPr="00B419CE" w:rsidRDefault="00B419CE" w:rsidP="00B419CE">
            <w:pPr>
              <w:jc w:val="right"/>
            </w:pPr>
            <w:r w:rsidRPr="00B419CE">
              <w:t>6 377 346</w:t>
            </w:r>
          </w:p>
        </w:tc>
        <w:tc>
          <w:tcPr>
            <w:tcW w:w="1140" w:type="dxa"/>
          </w:tcPr>
          <w:p w14:paraId="0546EC16" w14:textId="77777777" w:rsidR="00B419CE" w:rsidRPr="00B419CE" w:rsidRDefault="00B419CE" w:rsidP="00B419CE">
            <w:pPr>
              <w:jc w:val="right"/>
            </w:pPr>
            <w:r w:rsidRPr="00B419CE">
              <w:t>7 045 422</w:t>
            </w:r>
          </w:p>
        </w:tc>
        <w:tc>
          <w:tcPr>
            <w:tcW w:w="1140" w:type="dxa"/>
          </w:tcPr>
          <w:p w14:paraId="0CDBB314" w14:textId="77777777" w:rsidR="00B419CE" w:rsidRPr="00B419CE" w:rsidRDefault="00B419CE" w:rsidP="00B419CE">
            <w:pPr>
              <w:jc w:val="right"/>
            </w:pPr>
            <w:r w:rsidRPr="00B419CE">
              <w:t>7 102 061</w:t>
            </w:r>
          </w:p>
        </w:tc>
      </w:tr>
      <w:tr w:rsidR="00B419CE" w:rsidRPr="00B419CE" w14:paraId="423B58C1" w14:textId="77777777" w:rsidTr="00B419CE">
        <w:trPr>
          <w:trHeight w:val="380"/>
        </w:trPr>
        <w:tc>
          <w:tcPr>
            <w:tcW w:w="1140" w:type="dxa"/>
          </w:tcPr>
          <w:p w14:paraId="1F7C0257" w14:textId="77777777" w:rsidR="00B419CE" w:rsidRPr="00B419CE" w:rsidRDefault="00B419CE" w:rsidP="00B419CE">
            <w:r w:rsidRPr="00B419CE">
              <w:t>21</w:t>
            </w:r>
          </w:p>
        </w:tc>
        <w:tc>
          <w:tcPr>
            <w:tcW w:w="4560" w:type="dxa"/>
          </w:tcPr>
          <w:p w14:paraId="73728E3B" w14:textId="77777777" w:rsidR="00B419CE" w:rsidRPr="00B419CE" w:rsidRDefault="00B419CE" w:rsidP="00B419CE">
            <w:r w:rsidRPr="00B419CE">
              <w:t>Spesielle driftsutgifter</w:t>
            </w:r>
          </w:p>
        </w:tc>
        <w:tc>
          <w:tcPr>
            <w:tcW w:w="1140" w:type="dxa"/>
          </w:tcPr>
          <w:p w14:paraId="0CC76A58" w14:textId="77777777" w:rsidR="00B419CE" w:rsidRPr="00B419CE" w:rsidRDefault="00B419CE" w:rsidP="00B419CE">
            <w:pPr>
              <w:jc w:val="right"/>
            </w:pPr>
            <w:r w:rsidRPr="00B419CE">
              <w:t>188 729</w:t>
            </w:r>
          </w:p>
        </w:tc>
        <w:tc>
          <w:tcPr>
            <w:tcW w:w="1140" w:type="dxa"/>
          </w:tcPr>
          <w:p w14:paraId="59475DA7" w14:textId="77777777" w:rsidR="00B419CE" w:rsidRPr="00B419CE" w:rsidRDefault="00B419CE" w:rsidP="00B419CE">
            <w:pPr>
              <w:jc w:val="right"/>
            </w:pPr>
            <w:r w:rsidRPr="00B419CE">
              <w:t>199 300</w:t>
            </w:r>
          </w:p>
        </w:tc>
        <w:tc>
          <w:tcPr>
            <w:tcW w:w="1140" w:type="dxa"/>
          </w:tcPr>
          <w:p w14:paraId="21E0A58A" w14:textId="77777777" w:rsidR="00B419CE" w:rsidRPr="00B419CE" w:rsidRDefault="00B419CE" w:rsidP="00B419CE">
            <w:pPr>
              <w:jc w:val="right"/>
            </w:pPr>
            <w:r w:rsidRPr="00B419CE">
              <w:t>264 800</w:t>
            </w:r>
          </w:p>
        </w:tc>
      </w:tr>
      <w:tr w:rsidR="00B419CE" w:rsidRPr="00B419CE" w14:paraId="01C0762B" w14:textId="77777777" w:rsidTr="00B419CE">
        <w:trPr>
          <w:trHeight w:val="380"/>
        </w:trPr>
        <w:tc>
          <w:tcPr>
            <w:tcW w:w="1140" w:type="dxa"/>
          </w:tcPr>
          <w:p w14:paraId="79C8B1BC" w14:textId="77777777" w:rsidR="00B419CE" w:rsidRPr="00B419CE" w:rsidRDefault="00B419CE" w:rsidP="00B419CE">
            <w:r w:rsidRPr="00B419CE">
              <w:t>22</w:t>
            </w:r>
          </w:p>
        </w:tc>
        <w:tc>
          <w:tcPr>
            <w:tcW w:w="4560" w:type="dxa"/>
          </w:tcPr>
          <w:p w14:paraId="23578065" w14:textId="77777777" w:rsidR="00B419CE" w:rsidRPr="00B419CE" w:rsidRDefault="00B419CE" w:rsidP="00B419CE">
            <w:r w:rsidRPr="00B419CE">
              <w:t>Større IT-prosjekt</w:t>
            </w:r>
            <w:r w:rsidRPr="00B419CE">
              <w:rPr>
                <w:rStyle w:val="kursiv"/>
              </w:rPr>
              <w:t xml:space="preserve">, kan </w:t>
            </w:r>
            <w:proofErr w:type="spellStart"/>
            <w:r w:rsidRPr="00B419CE">
              <w:rPr>
                <w:rStyle w:val="kursiv"/>
              </w:rPr>
              <w:t>overførast</w:t>
            </w:r>
            <w:proofErr w:type="spellEnd"/>
          </w:p>
        </w:tc>
        <w:tc>
          <w:tcPr>
            <w:tcW w:w="1140" w:type="dxa"/>
          </w:tcPr>
          <w:p w14:paraId="6EE56959" w14:textId="77777777" w:rsidR="00B419CE" w:rsidRPr="00B419CE" w:rsidRDefault="00B419CE" w:rsidP="00B419CE">
            <w:pPr>
              <w:jc w:val="right"/>
            </w:pPr>
            <w:r w:rsidRPr="00B419CE">
              <w:t>359 048</w:t>
            </w:r>
          </w:p>
        </w:tc>
        <w:tc>
          <w:tcPr>
            <w:tcW w:w="1140" w:type="dxa"/>
          </w:tcPr>
          <w:p w14:paraId="7207602F" w14:textId="77777777" w:rsidR="00B419CE" w:rsidRPr="00B419CE" w:rsidRDefault="00B419CE" w:rsidP="00B419CE">
            <w:pPr>
              <w:jc w:val="right"/>
            </w:pPr>
            <w:r w:rsidRPr="00B419CE">
              <w:t>346 000</w:t>
            </w:r>
          </w:p>
        </w:tc>
        <w:tc>
          <w:tcPr>
            <w:tcW w:w="1140" w:type="dxa"/>
          </w:tcPr>
          <w:p w14:paraId="2001D7CC" w14:textId="77777777" w:rsidR="00B419CE" w:rsidRPr="00B419CE" w:rsidRDefault="00B419CE" w:rsidP="00B419CE">
            <w:pPr>
              <w:jc w:val="right"/>
            </w:pPr>
            <w:r w:rsidRPr="00B419CE">
              <w:t>616 800</w:t>
            </w:r>
          </w:p>
        </w:tc>
      </w:tr>
      <w:tr w:rsidR="00B419CE" w:rsidRPr="00B419CE" w14:paraId="47E0B1A0" w14:textId="77777777" w:rsidTr="00B419CE">
        <w:trPr>
          <w:trHeight w:val="380"/>
        </w:trPr>
        <w:tc>
          <w:tcPr>
            <w:tcW w:w="1140" w:type="dxa"/>
          </w:tcPr>
          <w:p w14:paraId="4F8206EB" w14:textId="77777777" w:rsidR="00B419CE" w:rsidRPr="00B419CE" w:rsidRDefault="00B419CE" w:rsidP="00B419CE">
            <w:r w:rsidRPr="00B419CE">
              <w:t>23</w:t>
            </w:r>
          </w:p>
        </w:tc>
        <w:tc>
          <w:tcPr>
            <w:tcW w:w="4560" w:type="dxa"/>
          </w:tcPr>
          <w:p w14:paraId="4A504129" w14:textId="77777777" w:rsidR="00B419CE" w:rsidRPr="00B419CE" w:rsidRDefault="00B419CE" w:rsidP="00B419CE">
            <w:r w:rsidRPr="00B419CE">
              <w:t>Spesielle driftsutgifter, a-ordninga</w:t>
            </w:r>
          </w:p>
        </w:tc>
        <w:tc>
          <w:tcPr>
            <w:tcW w:w="1140" w:type="dxa"/>
          </w:tcPr>
          <w:p w14:paraId="03E09FEF" w14:textId="77777777" w:rsidR="00B419CE" w:rsidRPr="00B419CE" w:rsidRDefault="00B419CE" w:rsidP="00B419CE">
            <w:pPr>
              <w:jc w:val="right"/>
            </w:pPr>
            <w:r w:rsidRPr="00B419CE">
              <w:t>94 565</w:t>
            </w:r>
          </w:p>
        </w:tc>
        <w:tc>
          <w:tcPr>
            <w:tcW w:w="1140" w:type="dxa"/>
          </w:tcPr>
          <w:p w14:paraId="5B6445BA" w14:textId="77777777" w:rsidR="00B419CE" w:rsidRPr="00B419CE" w:rsidRDefault="00B419CE" w:rsidP="00B419CE">
            <w:pPr>
              <w:jc w:val="right"/>
            </w:pPr>
            <w:r w:rsidRPr="00B419CE">
              <w:t>96 706</w:t>
            </w:r>
          </w:p>
        </w:tc>
        <w:tc>
          <w:tcPr>
            <w:tcW w:w="1140" w:type="dxa"/>
          </w:tcPr>
          <w:p w14:paraId="30D3C95D" w14:textId="77777777" w:rsidR="00B419CE" w:rsidRPr="00B419CE" w:rsidRDefault="00B419CE" w:rsidP="00B419CE">
            <w:pPr>
              <w:jc w:val="right"/>
            </w:pPr>
            <w:r w:rsidRPr="00B419CE">
              <w:t>97 638</w:t>
            </w:r>
          </w:p>
        </w:tc>
      </w:tr>
      <w:tr w:rsidR="00B419CE" w:rsidRPr="00B419CE" w14:paraId="216ABA19" w14:textId="77777777" w:rsidTr="00B419CE">
        <w:trPr>
          <w:trHeight w:val="380"/>
        </w:trPr>
        <w:tc>
          <w:tcPr>
            <w:tcW w:w="1140" w:type="dxa"/>
          </w:tcPr>
          <w:p w14:paraId="120B33D9" w14:textId="77777777" w:rsidR="00B419CE" w:rsidRPr="00B419CE" w:rsidRDefault="00B419CE" w:rsidP="00B419CE">
            <w:r w:rsidRPr="00B419CE">
              <w:t>45</w:t>
            </w:r>
          </w:p>
        </w:tc>
        <w:tc>
          <w:tcPr>
            <w:tcW w:w="4560" w:type="dxa"/>
          </w:tcPr>
          <w:p w14:paraId="52D0D4D0" w14:textId="77777777" w:rsidR="00B419CE" w:rsidRPr="00B419CE" w:rsidRDefault="00B419CE" w:rsidP="00B419CE">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1140" w:type="dxa"/>
          </w:tcPr>
          <w:p w14:paraId="30810641" w14:textId="77777777" w:rsidR="00B419CE" w:rsidRPr="00B419CE" w:rsidRDefault="00B419CE" w:rsidP="00B419CE">
            <w:pPr>
              <w:jc w:val="right"/>
            </w:pPr>
            <w:r w:rsidRPr="00B419CE">
              <w:t>190 506</w:t>
            </w:r>
          </w:p>
        </w:tc>
        <w:tc>
          <w:tcPr>
            <w:tcW w:w="1140" w:type="dxa"/>
          </w:tcPr>
          <w:p w14:paraId="60D9CB85" w14:textId="77777777" w:rsidR="00B419CE" w:rsidRPr="00B419CE" w:rsidRDefault="00B419CE" w:rsidP="00B419CE">
            <w:pPr>
              <w:jc w:val="right"/>
            </w:pPr>
            <w:r w:rsidRPr="00B419CE">
              <w:t>91 200</w:t>
            </w:r>
          </w:p>
        </w:tc>
        <w:tc>
          <w:tcPr>
            <w:tcW w:w="1140" w:type="dxa"/>
          </w:tcPr>
          <w:p w14:paraId="1E619A57" w14:textId="77777777" w:rsidR="00B419CE" w:rsidRPr="00B419CE" w:rsidRDefault="00B419CE" w:rsidP="00B419CE">
            <w:pPr>
              <w:jc w:val="right"/>
            </w:pPr>
            <w:r w:rsidRPr="00B419CE">
              <w:t>143 400</w:t>
            </w:r>
          </w:p>
        </w:tc>
      </w:tr>
      <w:tr w:rsidR="00B419CE" w:rsidRPr="00B419CE" w14:paraId="7C528800" w14:textId="77777777" w:rsidTr="00B419CE">
        <w:trPr>
          <w:trHeight w:val="380"/>
        </w:trPr>
        <w:tc>
          <w:tcPr>
            <w:tcW w:w="1140" w:type="dxa"/>
          </w:tcPr>
          <w:p w14:paraId="1672174B" w14:textId="77777777" w:rsidR="00B419CE" w:rsidRPr="00B419CE" w:rsidRDefault="00B419CE" w:rsidP="00B419CE">
            <w:r w:rsidRPr="00B419CE">
              <w:t>70</w:t>
            </w:r>
          </w:p>
        </w:tc>
        <w:tc>
          <w:tcPr>
            <w:tcW w:w="4560" w:type="dxa"/>
          </w:tcPr>
          <w:p w14:paraId="31F4534A" w14:textId="77777777" w:rsidR="00B419CE" w:rsidRPr="00B419CE" w:rsidRDefault="00B419CE" w:rsidP="00B419CE">
            <w:proofErr w:type="spellStart"/>
            <w:r w:rsidRPr="00B419CE">
              <w:t>Tilskot</w:t>
            </w:r>
            <w:proofErr w:type="spellEnd"/>
          </w:p>
        </w:tc>
        <w:tc>
          <w:tcPr>
            <w:tcW w:w="1140" w:type="dxa"/>
          </w:tcPr>
          <w:p w14:paraId="052C1CD2" w14:textId="77777777" w:rsidR="00B419CE" w:rsidRPr="00B419CE" w:rsidRDefault="00B419CE" w:rsidP="00B419CE">
            <w:pPr>
              <w:jc w:val="right"/>
            </w:pPr>
            <w:r w:rsidRPr="00B419CE">
              <w:t>4 633</w:t>
            </w:r>
          </w:p>
        </w:tc>
        <w:tc>
          <w:tcPr>
            <w:tcW w:w="1140" w:type="dxa"/>
          </w:tcPr>
          <w:p w14:paraId="085A5D17" w14:textId="77777777" w:rsidR="00B419CE" w:rsidRPr="00B419CE" w:rsidRDefault="00B419CE" w:rsidP="00B419CE">
            <w:pPr>
              <w:jc w:val="right"/>
            </w:pPr>
            <w:r w:rsidRPr="00B419CE">
              <w:t>5 700</w:t>
            </w:r>
          </w:p>
        </w:tc>
        <w:tc>
          <w:tcPr>
            <w:tcW w:w="1140" w:type="dxa"/>
          </w:tcPr>
          <w:p w14:paraId="0DB1E2B2" w14:textId="77777777" w:rsidR="00B419CE" w:rsidRPr="00B419CE" w:rsidRDefault="00B419CE" w:rsidP="00B419CE">
            <w:pPr>
              <w:jc w:val="right"/>
            </w:pPr>
            <w:r w:rsidRPr="00B419CE">
              <w:t>6 433</w:t>
            </w:r>
          </w:p>
        </w:tc>
      </w:tr>
      <w:tr w:rsidR="00B419CE" w:rsidRPr="00B419CE" w14:paraId="7074C993" w14:textId="77777777" w:rsidTr="00B419CE">
        <w:trPr>
          <w:trHeight w:val="380"/>
        </w:trPr>
        <w:tc>
          <w:tcPr>
            <w:tcW w:w="1140" w:type="dxa"/>
          </w:tcPr>
          <w:p w14:paraId="053850D4" w14:textId="77777777" w:rsidR="00B419CE" w:rsidRPr="00B419CE" w:rsidRDefault="00B419CE" w:rsidP="00B419CE"/>
        </w:tc>
        <w:tc>
          <w:tcPr>
            <w:tcW w:w="4560" w:type="dxa"/>
          </w:tcPr>
          <w:p w14:paraId="5C818CFC" w14:textId="77777777" w:rsidR="00B419CE" w:rsidRPr="00B419CE" w:rsidRDefault="00B419CE" w:rsidP="00B419CE">
            <w:r w:rsidRPr="00B419CE">
              <w:t>Sum kap. 1618</w:t>
            </w:r>
          </w:p>
        </w:tc>
        <w:tc>
          <w:tcPr>
            <w:tcW w:w="1140" w:type="dxa"/>
          </w:tcPr>
          <w:p w14:paraId="710A93AF" w14:textId="77777777" w:rsidR="00B419CE" w:rsidRPr="00B419CE" w:rsidRDefault="00B419CE" w:rsidP="00B419CE">
            <w:pPr>
              <w:jc w:val="right"/>
            </w:pPr>
            <w:r w:rsidRPr="00B419CE">
              <w:t>7 214 827</w:t>
            </w:r>
          </w:p>
        </w:tc>
        <w:tc>
          <w:tcPr>
            <w:tcW w:w="1140" w:type="dxa"/>
          </w:tcPr>
          <w:p w14:paraId="3DD08F3E" w14:textId="77777777" w:rsidR="00B419CE" w:rsidRPr="00B419CE" w:rsidRDefault="00B419CE" w:rsidP="00B419CE">
            <w:pPr>
              <w:jc w:val="right"/>
            </w:pPr>
            <w:r w:rsidRPr="00B419CE">
              <w:t>7 784 328</w:t>
            </w:r>
          </w:p>
        </w:tc>
        <w:tc>
          <w:tcPr>
            <w:tcW w:w="1140" w:type="dxa"/>
          </w:tcPr>
          <w:p w14:paraId="0514224E" w14:textId="77777777" w:rsidR="00B419CE" w:rsidRPr="00B419CE" w:rsidRDefault="00B419CE" w:rsidP="00B419CE">
            <w:pPr>
              <w:jc w:val="right"/>
            </w:pPr>
            <w:r w:rsidRPr="00B419CE">
              <w:t>8 231 132</w:t>
            </w:r>
          </w:p>
        </w:tc>
      </w:tr>
    </w:tbl>
    <w:p w14:paraId="4B65F1EE" w14:textId="77777777" w:rsidR="00B419CE" w:rsidRPr="00B419CE" w:rsidRDefault="00B419CE" w:rsidP="00B419CE">
      <w:pPr>
        <w:pStyle w:val="Undertittel"/>
      </w:pPr>
      <w:r w:rsidRPr="00B419CE">
        <w:t>Samfunnsoppdrag og organisering</w:t>
      </w:r>
    </w:p>
    <w:p w14:paraId="20FF1619" w14:textId="77777777" w:rsidR="00B419CE" w:rsidRPr="00B419CE" w:rsidRDefault="00B419CE" w:rsidP="00B419CE">
      <w:r w:rsidRPr="00B419CE">
        <w:t xml:space="preserve">Skatteetaten skal sikre </w:t>
      </w:r>
      <w:proofErr w:type="spellStart"/>
      <w:r w:rsidRPr="00B419CE">
        <w:t>eit</w:t>
      </w:r>
      <w:proofErr w:type="spellEnd"/>
      <w:r w:rsidRPr="00B419CE">
        <w:t xml:space="preserve"> finansielt </w:t>
      </w:r>
      <w:proofErr w:type="spellStart"/>
      <w:r w:rsidRPr="00B419CE">
        <w:t>hovudgrunnlag</w:t>
      </w:r>
      <w:proofErr w:type="spellEnd"/>
      <w:r w:rsidRPr="00B419CE">
        <w:t xml:space="preserve"> for </w:t>
      </w:r>
      <w:proofErr w:type="spellStart"/>
      <w:r w:rsidRPr="00B419CE">
        <w:t>offentleg</w:t>
      </w:r>
      <w:proofErr w:type="spellEnd"/>
      <w:r w:rsidRPr="00B419CE">
        <w:t xml:space="preserve"> </w:t>
      </w:r>
      <w:proofErr w:type="spellStart"/>
      <w:r w:rsidRPr="00B419CE">
        <w:t>verksemd</w:t>
      </w:r>
      <w:proofErr w:type="spellEnd"/>
      <w:r w:rsidRPr="00B419CE">
        <w:t>.</w:t>
      </w:r>
    </w:p>
    <w:p w14:paraId="74FF805D" w14:textId="77777777" w:rsidR="00B419CE" w:rsidRPr="00B419CE" w:rsidRDefault="00B419CE" w:rsidP="00B419CE">
      <w:r w:rsidRPr="00B419CE">
        <w:t xml:space="preserve">Skatteetaten består av </w:t>
      </w:r>
      <w:proofErr w:type="spellStart"/>
      <w:r w:rsidRPr="00B419CE">
        <w:t>eit</w:t>
      </w:r>
      <w:proofErr w:type="spellEnd"/>
      <w:r w:rsidRPr="00B419CE">
        <w:t xml:space="preserve"> direktorat og seks </w:t>
      </w:r>
      <w:proofErr w:type="spellStart"/>
      <w:r w:rsidRPr="00B419CE">
        <w:t>divisjonar</w:t>
      </w:r>
      <w:proofErr w:type="spellEnd"/>
      <w:r w:rsidRPr="00B419CE">
        <w:t xml:space="preserve"> med </w:t>
      </w:r>
      <w:proofErr w:type="spellStart"/>
      <w:r w:rsidRPr="00B419CE">
        <w:t>landsdekkjande</w:t>
      </w:r>
      <w:proofErr w:type="spellEnd"/>
      <w:r w:rsidRPr="00B419CE">
        <w:t xml:space="preserve"> ansvar for kvar </w:t>
      </w:r>
      <w:proofErr w:type="gramStart"/>
      <w:r w:rsidRPr="00B419CE">
        <w:t>sine fagområde</w:t>
      </w:r>
      <w:proofErr w:type="gramEnd"/>
      <w:r w:rsidRPr="00B419CE">
        <w:t xml:space="preserve">. Etaten har 57 skattekontor fordelt rundt i landet. </w:t>
      </w:r>
      <w:proofErr w:type="spellStart"/>
      <w:r w:rsidRPr="00B419CE">
        <w:t>Skatteoppkrevjarfunksjonen</w:t>
      </w:r>
      <w:proofErr w:type="spellEnd"/>
      <w:r w:rsidRPr="00B419CE">
        <w:t xml:space="preserve"> </w:t>
      </w:r>
      <w:proofErr w:type="spellStart"/>
      <w:r w:rsidRPr="00B419CE">
        <w:t>vart</w:t>
      </w:r>
      <w:proofErr w:type="spellEnd"/>
      <w:r w:rsidRPr="00B419CE">
        <w:t xml:space="preserve"> overført </w:t>
      </w:r>
      <w:proofErr w:type="spellStart"/>
      <w:r w:rsidRPr="00B419CE">
        <w:t>frå</w:t>
      </w:r>
      <w:proofErr w:type="spellEnd"/>
      <w:r w:rsidRPr="00B419CE">
        <w:t xml:space="preserve"> </w:t>
      </w:r>
      <w:proofErr w:type="spellStart"/>
      <w:r w:rsidRPr="00B419CE">
        <w:t>kommunane</w:t>
      </w:r>
      <w:proofErr w:type="spellEnd"/>
      <w:r w:rsidRPr="00B419CE">
        <w:t xml:space="preserve"> til Skatteetaten 1. november 2020. Om lag 1 000 </w:t>
      </w:r>
      <w:proofErr w:type="spellStart"/>
      <w:r w:rsidRPr="00B419CE">
        <w:t>personar</w:t>
      </w:r>
      <w:proofErr w:type="spellEnd"/>
      <w:r w:rsidRPr="00B419CE">
        <w:t xml:space="preserve"> med ansvar for arbeidsgjevarkontroll, </w:t>
      </w:r>
      <w:proofErr w:type="spellStart"/>
      <w:r w:rsidRPr="00B419CE">
        <w:t>skatteinnkrevjing</w:t>
      </w:r>
      <w:proofErr w:type="spellEnd"/>
      <w:r w:rsidRPr="00B419CE">
        <w:t xml:space="preserve"> og </w:t>
      </w:r>
      <w:proofErr w:type="spellStart"/>
      <w:r w:rsidRPr="00B419CE">
        <w:t>skatterekneskap</w:t>
      </w:r>
      <w:proofErr w:type="spellEnd"/>
      <w:r w:rsidRPr="00B419CE">
        <w:t xml:space="preserve"> vart då overførte </w:t>
      </w:r>
      <w:proofErr w:type="spellStart"/>
      <w:r w:rsidRPr="00B419CE">
        <w:t>frå</w:t>
      </w:r>
      <w:proofErr w:type="spellEnd"/>
      <w:r w:rsidRPr="00B419CE">
        <w:t xml:space="preserve"> </w:t>
      </w:r>
      <w:proofErr w:type="spellStart"/>
      <w:r w:rsidRPr="00B419CE">
        <w:t>kommunane</w:t>
      </w:r>
      <w:proofErr w:type="spellEnd"/>
      <w:r w:rsidRPr="00B419CE">
        <w:t xml:space="preserve"> til Skatteetaten. Skatteetaten har </w:t>
      </w:r>
      <w:proofErr w:type="spellStart"/>
      <w:r w:rsidRPr="00B419CE">
        <w:t>no</w:t>
      </w:r>
      <w:proofErr w:type="spellEnd"/>
      <w:r w:rsidRPr="00B419CE">
        <w:t xml:space="preserve"> </w:t>
      </w:r>
      <w:proofErr w:type="spellStart"/>
      <w:r w:rsidRPr="00B419CE">
        <w:t>eit</w:t>
      </w:r>
      <w:proofErr w:type="spellEnd"/>
      <w:r w:rsidRPr="00B419CE">
        <w:t xml:space="preserve"> </w:t>
      </w:r>
      <w:proofErr w:type="spellStart"/>
      <w:r w:rsidRPr="00B419CE">
        <w:t>heilskapleg</w:t>
      </w:r>
      <w:proofErr w:type="spellEnd"/>
      <w:r w:rsidRPr="00B419CE">
        <w:t xml:space="preserve"> ansvar for </w:t>
      </w:r>
      <w:proofErr w:type="spellStart"/>
      <w:r w:rsidRPr="00B419CE">
        <w:t>fastsetjing</w:t>
      </w:r>
      <w:proofErr w:type="spellEnd"/>
      <w:r w:rsidRPr="00B419CE">
        <w:t xml:space="preserve">, </w:t>
      </w:r>
      <w:proofErr w:type="spellStart"/>
      <w:r w:rsidRPr="00B419CE">
        <w:t>innkrevjing</w:t>
      </w:r>
      <w:proofErr w:type="spellEnd"/>
      <w:r w:rsidRPr="00B419CE">
        <w:t xml:space="preserve"> og kontroll av </w:t>
      </w:r>
      <w:proofErr w:type="spellStart"/>
      <w:r w:rsidRPr="00B419CE">
        <w:t>skattar</w:t>
      </w:r>
      <w:proofErr w:type="spellEnd"/>
      <w:r w:rsidRPr="00B419CE">
        <w:t xml:space="preserve"> og avgifter. Etaten hadde per 31. desember 2020 ei bemanning </w:t>
      </w:r>
      <w:proofErr w:type="spellStart"/>
      <w:r w:rsidRPr="00B419CE">
        <w:t>tilsvarande</w:t>
      </w:r>
      <w:proofErr w:type="spellEnd"/>
      <w:r w:rsidRPr="00B419CE">
        <w:t xml:space="preserve"> 7 241 årsverk.</w:t>
      </w:r>
    </w:p>
    <w:p w14:paraId="08EC7456" w14:textId="77777777" w:rsidR="00B419CE" w:rsidRPr="00B419CE" w:rsidRDefault="00B419CE" w:rsidP="00B419CE">
      <w:pPr>
        <w:pStyle w:val="Undertittel"/>
      </w:pPr>
      <w:r w:rsidRPr="00B419CE">
        <w:lastRenderedPageBreak/>
        <w:t>Resultat i 2020</w:t>
      </w:r>
    </w:p>
    <w:p w14:paraId="7237C727" w14:textId="77777777" w:rsidR="00B419CE" w:rsidRPr="00B419CE" w:rsidRDefault="00B419CE" w:rsidP="00B419CE">
      <w:proofErr w:type="spellStart"/>
      <w:r w:rsidRPr="00B419CE">
        <w:t>Fastsetjing</w:t>
      </w:r>
      <w:proofErr w:type="spellEnd"/>
      <w:r w:rsidRPr="00B419CE">
        <w:t xml:space="preserve"> og </w:t>
      </w:r>
      <w:proofErr w:type="spellStart"/>
      <w:r w:rsidRPr="00B419CE">
        <w:t>innkrevjing</w:t>
      </w:r>
      <w:proofErr w:type="spellEnd"/>
      <w:r w:rsidRPr="00B419CE">
        <w:t xml:space="preserve"> av </w:t>
      </w:r>
      <w:proofErr w:type="spellStart"/>
      <w:r w:rsidRPr="00B419CE">
        <w:t>skattar</w:t>
      </w:r>
      <w:proofErr w:type="spellEnd"/>
      <w:r w:rsidRPr="00B419CE">
        <w:t xml:space="preserve"> og avgifter er </w:t>
      </w:r>
      <w:proofErr w:type="spellStart"/>
      <w:r w:rsidRPr="00B419CE">
        <w:t>krevjande</w:t>
      </w:r>
      <w:proofErr w:type="spellEnd"/>
      <w:r w:rsidRPr="00B419CE">
        <w:t xml:space="preserve"> </w:t>
      </w:r>
      <w:proofErr w:type="spellStart"/>
      <w:r w:rsidRPr="00B419CE">
        <w:t>prosessar</w:t>
      </w:r>
      <w:proofErr w:type="spellEnd"/>
      <w:r w:rsidRPr="00B419CE">
        <w:t xml:space="preserve">. </w:t>
      </w:r>
      <w:proofErr w:type="spellStart"/>
      <w:r w:rsidRPr="00B419CE">
        <w:t>Desse</w:t>
      </w:r>
      <w:proofErr w:type="spellEnd"/>
      <w:r w:rsidRPr="00B419CE">
        <w:t xml:space="preserve"> </w:t>
      </w:r>
      <w:proofErr w:type="spellStart"/>
      <w:r w:rsidRPr="00B419CE">
        <w:t>prosessane</w:t>
      </w:r>
      <w:proofErr w:type="spellEnd"/>
      <w:r w:rsidRPr="00B419CE">
        <w:t xml:space="preserve"> </w:t>
      </w:r>
      <w:proofErr w:type="spellStart"/>
      <w:r w:rsidRPr="00B419CE">
        <w:t>byggjer</w:t>
      </w:r>
      <w:proofErr w:type="spellEnd"/>
      <w:r w:rsidRPr="00B419CE">
        <w:t xml:space="preserve"> på prinsippet om </w:t>
      </w:r>
      <w:proofErr w:type="spellStart"/>
      <w:r w:rsidRPr="00B419CE">
        <w:t>eigenfastsetjing</w:t>
      </w:r>
      <w:proofErr w:type="spellEnd"/>
      <w:r w:rsidRPr="00B419CE">
        <w:t xml:space="preserve"> og </w:t>
      </w:r>
      <w:proofErr w:type="spellStart"/>
      <w:r w:rsidRPr="00B419CE">
        <w:t>føreset</w:t>
      </w:r>
      <w:proofErr w:type="spellEnd"/>
      <w:r w:rsidRPr="00B419CE">
        <w:t xml:space="preserve"> </w:t>
      </w:r>
      <w:proofErr w:type="spellStart"/>
      <w:r w:rsidRPr="00B419CE">
        <w:t>omfattande</w:t>
      </w:r>
      <w:proofErr w:type="spellEnd"/>
      <w:r w:rsidRPr="00B419CE">
        <w:t xml:space="preserve"> bruk av </w:t>
      </w:r>
      <w:proofErr w:type="spellStart"/>
      <w:r w:rsidRPr="00B419CE">
        <w:t>tredjepartsopplysningar</w:t>
      </w:r>
      <w:proofErr w:type="spellEnd"/>
      <w:r w:rsidRPr="00B419CE">
        <w:t xml:space="preserve">, registerinformasjon av god kvalitet, </w:t>
      </w:r>
      <w:proofErr w:type="spellStart"/>
      <w:r w:rsidRPr="00B419CE">
        <w:t>velfungerande</w:t>
      </w:r>
      <w:proofErr w:type="spellEnd"/>
      <w:r w:rsidRPr="00B419CE">
        <w:t xml:space="preserve"> og effektive IT-system og god dialog med </w:t>
      </w:r>
      <w:proofErr w:type="spellStart"/>
      <w:r w:rsidRPr="00B419CE">
        <w:t>dei</w:t>
      </w:r>
      <w:proofErr w:type="spellEnd"/>
      <w:r w:rsidRPr="00B419CE">
        <w:t xml:space="preserve"> skattepliktige. Figuren under gjev ei forenkla framstilling av denne prosessen.</w:t>
      </w:r>
    </w:p>
    <w:p w14:paraId="60E0210C" w14:textId="18346BE8" w:rsidR="00B419CE" w:rsidRPr="00B419CE" w:rsidRDefault="00B419CE" w:rsidP="00B419CE">
      <w:r w:rsidRPr="00B419CE">
        <w:drawing>
          <wp:inline distT="0" distB="0" distL="0" distR="0" wp14:anchorId="27E80E68" wp14:editId="44735944">
            <wp:extent cx="5762625" cy="187642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876425"/>
                    </a:xfrm>
                    <a:prstGeom prst="rect">
                      <a:avLst/>
                    </a:prstGeom>
                    <a:noFill/>
                    <a:ln>
                      <a:noFill/>
                    </a:ln>
                  </pic:spPr>
                </pic:pic>
              </a:graphicData>
            </a:graphic>
          </wp:inline>
        </w:drawing>
      </w:r>
    </w:p>
    <w:p w14:paraId="1160A932" w14:textId="77777777" w:rsidR="00B419CE" w:rsidRPr="00B419CE" w:rsidRDefault="00B419CE" w:rsidP="00DF1D6A">
      <w:pPr>
        <w:pStyle w:val="figur-tittel"/>
        <w:numPr>
          <w:ilvl w:val="5"/>
          <w:numId w:val="22"/>
        </w:numPr>
      </w:pPr>
      <w:r w:rsidRPr="00B419CE">
        <w:t xml:space="preserve">Skatteetatens arbeid med </w:t>
      </w:r>
      <w:proofErr w:type="spellStart"/>
      <w:r w:rsidRPr="00B419CE">
        <w:t>fastsetjing</w:t>
      </w:r>
      <w:proofErr w:type="spellEnd"/>
      <w:r w:rsidRPr="00B419CE">
        <w:t xml:space="preserve"> av </w:t>
      </w:r>
      <w:proofErr w:type="spellStart"/>
      <w:r w:rsidRPr="00B419CE">
        <w:t>skattar</w:t>
      </w:r>
      <w:proofErr w:type="spellEnd"/>
      <w:r w:rsidRPr="00B419CE">
        <w:t xml:space="preserve"> og avgifter</w:t>
      </w:r>
    </w:p>
    <w:p w14:paraId="4447A2DA" w14:textId="77777777" w:rsidR="00B419CE" w:rsidRPr="00B419CE" w:rsidRDefault="00B419CE" w:rsidP="00B419CE">
      <w:r w:rsidRPr="00B419CE">
        <w:t xml:space="preserve">Skatteetatens resultat vert vurderte ut </w:t>
      </w:r>
      <w:proofErr w:type="spellStart"/>
      <w:r w:rsidRPr="00B419CE">
        <w:t>ifrå</w:t>
      </w:r>
      <w:proofErr w:type="spellEnd"/>
      <w:r w:rsidRPr="00B419CE">
        <w:t xml:space="preserve"> tre </w:t>
      </w:r>
      <w:proofErr w:type="spellStart"/>
      <w:r w:rsidRPr="00B419CE">
        <w:t>hovudmål</w:t>
      </w:r>
      <w:proofErr w:type="spellEnd"/>
      <w:r w:rsidRPr="00B419CE">
        <w:t xml:space="preserve">. </w:t>
      </w:r>
      <w:proofErr w:type="spellStart"/>
      <w:r w:rsidRPr="00B419CE">
        <w:t>Hovudmåla</w:t>
      </w:r>
      <w:proofErr w:type="spellEnd"/>
      <w:r w:rsidRPr="00B419CE">
        <w:t xml:space="preserve"> skal </w:t>
      </w:r>
      <w:proofErr w:type="spellStart"/>
      <w:r w:rsidRPr="00B419CE">
        <w:t>leggje</w:t>
      </w:r>
      <w:proofErr w:type="spellEnd"/>
      <w:r w:rsidRPr="00B419CE">
        <w:t xml:space="preserve"> til rette for ei styring av Skatteetaten som i større grad legg vekt på </w:t>
      </w:r>
      <w:proofErr w:type="spellStart"/>
      <w:r w:rsidRPr="00B419CE">
        <w:t>dei</w:t>
      </w:r>
      <w:proofErr w:type="spellEnd"/>
      <w:r w:rsidRPr="00B419CE">
        <w:t xml:space="preserve"> samla </w:t>
      </w:r>
      <w:proofErr w:type="spellStart"/>
      <w:r w:rsidRPr="00B419CE">
        <w:t>effektane</w:t>
      </w:r>
      <w:proofErr w:type="spellEnd"/>
      <w:r w:rsidRPr="00B419CE">
        <w:t xml:space="preserve"> av </w:t>
      </w:r>
      <w:proofErr w:type="spellStart"/>
      <w:r w:rsidRPr="00B419CE">
        <w:t>verkemidla</w:t>
      </w:r>
      <w:proofErr w:type="spellEnd"/>
      <w:r w:rsidRPr="00B419CE">
        <w:t xml:space="preserve"> etaten bruker, og i mindre grad på </w:t>
      </w:r>
      <w:proofErr w:type="spellStart"/>
      <w:r w:rsidRPr="00B419CE">
        <w:t>aktivitetar</w:t>
      </w:r>
      <w:proofErr w:type="spellEnd"/>
      <w:r w:rsidRPr="00B419CE">
        <w:t>.</w:t>
      </w:r>
    </w:p>
    <w:p w14:paraId="0B3F6E2C" w14:textId="77777777" w:rsidR="00B419CE" w:rsidRPr="00B419CE" w:rsidRDefault="00B419CE" w:rsidP="00B419CE">
      <w:pPr>
        <w:pStyle w:val="avsnitt-tittel"/>
      </w:pPr>
      <w:proofErr w:type="spellStart"/>
      <w:r w:rsidRPr="00B419CE">
        <w:t>Hovudmål</w:t>
      </w:r>
      <w:proofErr w:type="spellEnd"/>
      <w:r w:rsidRPr="00B419CE">
        <w:t xml:space="preserve"> 1: Dei skatte- og opplysningspliktige etterlever skatte- og </w:t>
      </w:r>
      <w:proofErr w:type="spellStart"/>
      <w:r w:rsidRPr="00B419CE">
        <w:t>avgiftsreglane</w:t>
      </w:r>
      <w:proofErr w:type="spellEnd"/>
    </w:p>
    <w:p w14:paraId="1B7253D2" w14:textId="77777777" w:rsidR="00B419CE" w:rsidRPr="00B419CE" w:rsidRDefault="00B419CE" w:rsidP="00B419CE">
      <w:r w:rsidRPr="00B419CE">
        <w:t xml:space="preserve">Dei skatte- og opplysningspliktige skal oppleve at </w:t>
      </w:r>
      <w:proofErr w:type="spellStart"/>
      <w:r w:rsidRPr="00B419CE">
        <w:t>ordningane</w:t>
      </w:r>
      <w:proofErr w:type="spellEnd"/>
      <w:r w:rsidRPr="00B419CE">
        <w:t xml:space="preserve"> til etaten </w:t>
      </w:r>
      <w:proofErr w:type="spellStart"/>
      <w:r w:rsidRPr="00B419CE">
        <w:t>legg</w:t>
      </w:r>
      <w:proofErr w:type="spellEnd"/>
      <w:r w:rsidRPr="00B419CE">
        <w:t xml:space="preserve"> til rette for enkel og riktig registrering, rapportering og innbetaling. Skatteetaten skal likebehandle </w:t>
      </w:r>
      <w:proofErr w:type="spellStart"/>
      <w:r w:rsidRPr="00B419CE">
        <w:t>dei</w:t>
      </w:r>
      <w:proofErr w:type="spellEnd"/>
      <w:r w:rsidRPr="00B419CE">
        <w:t xml:space="preserve"> skattepliktige og </w:t>
      </w:r>
      <w:proofErr w:type="spellStart"/>
      <w:r w:rsidRPr="00B419CE">
        <w:t>avdekkje</w:t>
      </w:r>
      <w:proofErr w:type="spellEnd"/>
      <w:r w:rsidRPr="00B419CE">
        <w:t xml:space="preserve"> og korrigere uriktige og </w:t>
      </w:r>
      <w:proofErr w:type="spellStart"/>
      <w:r w:rsidRPr="00B419CE">
        <w:t>manglande</w:t>
      </w:r>
      <w:proofErr w:type="spellEnd"/>
      <w:r w:rsidRPr="00B419CE">
        <w:t xml:space="preserve"> </w:t>
      </w:r>
      <w:proofErr w:type="spellStart"/>
      <w:r w:rsidRPr="00B419CE">
        <w:t>opplysningar</w:t>
      </w:r>
      <w:proofErr w:type="spellEnd"/>
      <w:r w:rsidRPr="00B419CE">
        <w:t>.</w:t>
      </w:r>
    </w:p>
    <w:p w14:paraId="0C065DDC" w14:textId="472C1C84" w:rsidR="00B419CE" w:rsidRDefault="00B419CE" w:rsidP="00B419CE">
      <w:r w:rsidRPr="00B419CE">
        <w:t xml:space="preserve">Tabell 6.3 syner fastsett proveny for </w:t>
      </w:r>
      <w:proofErr w:type="spellStart"/>
      <w:r w:rsidRPr="00B419CE">
        <w:t>dei</w:t>
      </w:r>
      <w:proofErr w:type="spellEnd"/>
      <w:r w:rsidRPr="00B419CE">
        <w:t xml:space="preserve"> </w:t>
      </w:r>
      <w:proofErr w:type="spellStart"/>
      <w:r w:rsidRPr="00B419CE">
        <w:t>viktigaste</w:t>
      </w:r>
      <w:proofErr w:type="spellEnd"/>
      <w:r w:rsidRPr="00B419CE">
        <w:t xml:space="preserve"> </w:t>
      </w:r>
      <w:proofErr w:type="spellStart"/>
      <w:r w:rsidRPr="00B419CE">
        <w:t>skatteartane</w:t>
      </w:r>
      <w:proofErr w:type="spellEnd"/>
      <w:r w:rsidRPr="00B419CE">
        <w:t xml:space="preserve">. Skatteetaten bidrog i 2020 til </w:t>
      </w:r>
      <w:proofErr w:type="spellStart"/>
      <w:r w:rsidRPr="00B419CE">
        <w:t>eit</w:t>
      </w:r>
      <w:proofErr w:type="spellEnd"/>
      <w:r w:rsidRPr="00B419CE">
        <w:t xml:space="preserve"> proveny på til </w:t>
      </w:r>
      <w:proofErr w:type="spellStart"/>
      <w:r w:rsidRPr="00B419CE">
        <w:t>saman</w:t>
      </w:r>
      <w:proofErr w:type="spellEnd"/>
      <w:r w:rsidRPr="00B419CE">
        <w:t xml:space="preserve"> 1 175,4 mrd. kroner </w:t>
      </w:r>
      <w:proofErr w:type="spellStart"/>
      <w:r w:rsidRPr="00B419CE">
        <w:t>frå</w:t>
      </w:r>
      <w:proofErr w:type="spellEnd"/>
      <w:r w:rsidRPr="00B419CE">
        <w:t xml:space="preserve"> direkte og indirekte </w:t>
      </w:r>
      <w:proofErr w:type="spellStart"/>
      <w:r w:rsidRPr="00B419CE">
        <w:t>skattar</w:t>
      </w:r>
      <w:proofErr w:type="spellEnd"/>
      <w:r w:rsidRPr="00B419CE">
        <w:t xml:space="preserve">. Samla proveny var 100,5 mrd. kroner mindre enn i 2019. For </w:t>
      </w:r>
      <w:proofErr w:type="spellStart"/>
      <w:r w:rsidRPr="00B419CE">
        <w:t>personlege</w:t>
      </w:r>
      <w:proofErr w:type="spellEnd"/>
      <w:r w:rsidRPr="00B419CE">
        <w:t xml:space="preserve"> </w:t>
      </w:r>
      <w:proofErr w:type="spellStart"/>
      <w:r w:rsidRPr="00B419CE">
        <w:t>skattytarar</w:t>
      </w:r>
      <w:proofErr w:type="spellEnd"/>
      <w:r w:rsidRPr="00B419CE">
        <w:t xml:space="preserve"> </w:t>
      </w:r>
      <w:proofErr w:type="spellStart"/>
      <w:r w:rsidRPr="00B419CE">
        <w:t>auka</w:t>
      </w:r>
      <w:proofErr w:type="spellEnd"/>
      <w:r w:rsidRPr="00B419CE">
        <w:t xml:space="preserve"> provenyet med 77,1 mrd. kroner. Det meste av </w:t>
      </w:r>
      <w:proofErr w:type="spellStart"/>
      <w:r w:rsidRPr="00B419CE">
        <w:t>auken</w:t>
      </w:r>
      <w:proofErr w:type="spellEnd"/>
      <w:r w:rsidRPr="00B419CE">
        <w:t xml:space="preserve"> kjem av at </w:t>
      </w:r>
      <w:proofErr w:type="spellStart"/>
      <w:r w:rsidRPr="00B419CE">
        <w:t>forskotsskatt</w:t>
      </w:r>
      <w:proofErr w:type="spellEnd"/>
      <w:r w:rsidRPr="00B419CE">
        <w:t xml:space="preserve"> for 2019 (62,2 mrd. kroner) </w:t>
      </w:r>
      <w:proofErr w:type="spellStart"/>
      <w:r w:rsidRPr="00B419CE">
        <w:t>vart</w:t>
      </w:r>
      <w:proofErr w:type="spellEnd"/>
      <w:r w:rsidRPr="00B419CE">
        <w:t xml:space="preserve"> bokført i desember 2018, </w:t>
      </w:r>
      <w:proofErr w:type="spellStart"/>
      <w:r w:rsidRPr="00B419CE">
        <w:t>medan</w:t>
      </w:r>
      <w:proofErr w:type="spellEnd"/>
      <w:r w:rsidRPr="00B419CE">
        <w:t xml:space="preserve"> </w:t>
      </w:r>
      <w:proofErr w:type="spellStart"/>
      <w:r w:rsidRPr="00B419CE">
        <w:t>utskriven</w:t>
      </w:r>
      <w:proofErr w:type="spellEnd"/>
      <w:r w:rsidRPr="00B419CE">
        <w:t xml:space="preserve"> </w:t>
      </w:r>
      <w:proofErr w:type="spellStart"/>
      <w:r w:rsidRPr="00B419CE">
        <w:t>forskotsskatt</w:t>
      </w:r>
      <w:proofErr w:type="spellEnd"/>
      <w:r w:rsidRPr="00B419CE">
        <w:t xml:space="preserve"> for 2020 </w:t>
      </w:r>
      <w:proofErr w:type="spellStart"/>
      <w:r w:rsidRPr="00B419CE">
        <w:t>vart</w:t>
      </w:r>
      <w:proofErr w:type="spellEnd"/>
      <w:r w:rsidRPr="00B419CE">
        <w:t xml:space="preserve"> bokført i januar 2020. Provenyet for </w:t>
      </w:r>
      <w:proofErr w:type="spellStart"/>
      <w:r w:rsidRPr="00B419CE">
        <w:t>upersonlege</w:t>
      </w:r>
      <w:proofErr w:type="spellEnd"/>
      <w:r w:rsidRPr="00B419CE">
        <w:t xml:space="preserve"> skattepliktige (aksjeselskap m.m.) </w:t>
      </w:r>
      <w:proofErr w:type="spellStart"/>
      <w:r w:rsidRPr="00B419CE">
        <w:t>auka</w:t>
      </w:r>
      <w:proofErr w:type="spellEnd"/>
      <w:r w:rsidRPr="00B419CE">
        <w:t xml:space="preserve"> med 13,8 mrd. kroner. Petroleumsskatt </w:t>
      </w:r>
      <w:proofErr w:type="spellStart"/>
      <w:r w:rsidRPr="00B419CE">
        <w:t>vart</w:t>
      </w:r>
      <w:proofErr w:type="spellEnd"/>
      <w:r w:rsidRPr="00B419CE">
        <w:t xml:space="preserve"> redusert med 184,8 mrd. Redusert petroleumsskatt kjem mellom anna av </w:t>
      </w:r>
      <w:proofErr w:type="spellStart"/>
      <w:r w:rsidRPr="00B419CE">
        <w:t>dei</w:t>
      </w:r>
      <w:proofErr w:type="spellEnd"/>
      <w:r w:rsidRPr="00B419CE">
        <w:t xml:space="preserve"> </w:t>
      </w:r>
      <w:proofErr w:type="spellStart"/>
      <w:r w:rsidRPr="00B419CE">
        <w:t>mellombelse</w:t>
      </w:r>
      <w:proofErr w:type="spellEnd"/>
      <w:r w:rsidRPr="00B419CE">
        <w:t xml:space="preserve"> </w:t>
      </w:r>
      <w:proofErr w:type="spellStart"/>
      <w:r w:rsidRPr="00B419CE">
        <w:t>skatteendringane</w:t>
      </w:r>
      <w:proofErr w:type="spellEnd"/>
      <w:r w:rsidRPr="00B419CE">
        <w:t xml:space="preserve"> som vart </w:t>
      </w:r>
      <w:proofErr w:type="spellStart"/>
      <w:r w:rsidRPr="00B419CE">
        <w:t>vedtekne</w:t>
      </w:r>
      <w:proofErr w:type="spellEnd"/>
      <w:r w:rsidRPr="00B419CE">
        <w:t xml:space="preserve"> våren 2020, jf. </w:t>
      </w:r>
      <w:proofErr w:type="spellStart"/>
      <w:r w:rsidRPr="00B419CE">
        <w:t>Prop</w:t>
      </w:r>
      <w:proofErr w:type="spellEnd"/>
      <w:r w:rsidRPr="00B419CE">
        <w:t xml:space="preserve">. 113 LS (2019–2020) og </w:t>
      </w:r>
      <w:proofErr w:type="spellStart"/>
      <w:r w:rsidRPr="00B419CE">
        <w:t>Innst</w:t>
      </w:r>
      <w:proofErr w:type="spellEnd"/>
      <w:r w:rsidRPr="00B419CE">
        <w:t xml:space="preserve">. 351 L (2019–2020). Det vart skrive ut negativ terminskatt for 2020. </w:t>
      </w:r>
      <w:proofErr w:type="spellStart"/>
      <w:r w:rsidRPr="00B419CE">
        <w:t>Nærare</w:t>
      </w:r>
      <w:proofErr w:type="spellEnd"/>
      <w:r w:rsidRPr="00B419CE">
        <w:t xml:space="preserve"> omtale </w:t>
      </w:r>
      <w:proofErr w:type="spellStart"/>
      <w:r w:rsidRPr="00B419CE">
        <w:t>finst</w:t>
      </w:r>
      <w:proofErr w:type="spellEnd"/>
      <w:r w:rsidRPr="00B419CE">
        <w:t xml:space="preserve"> i </w:t>
      </w:r>
      <w:proofErr w:type="spellStart"/>
      <w:r w:rsidRPr="00B419CE">
        <w:t>Prop</w:t>
      </w:r>
      <w:proofErr w:type="spellEnd"/>
      <w:r w:rsidRPr="00B419CE">
        <w:t xml:space="preserve">. 1 LS (2021–2022) </w:t>
      </w:r>
      <w:r w:rsidRPr="00B419CE">
        <w:rPr>
          <w:rStyle w:val="kursiv"/>
        </w:rPr>
        <w:t>Skatter, avgifter og toll 2022</w:t>
      </w:r>
      <w:r w:rsidRPr="00B419CE">
        <w:t>.</w:t>
      </w:r>
    </w:p>
    <w:p w14:paraId="024ED357" w14:textId="250E6CDA" w:rsidR="00920011" w:rsidRPr="00B419CE" w:rsidRDefault="00920011" w:rsidP="00920011">
      <w:pPr>
        <w:pStyle w:val="tabell-tittel"/>
      </w:pPr>
      <w:r w:rsidRPr="00B419CE">
        <w:t xml:space="preserve">Skatte- og </w:t>
      </w:r>
      <w:proofErr w:type="spellStart"/>
      <w:r w:rsidRPr="00B419CE">
        <w:t>avgiftsproveny</w:t>
      </w:r>
      <w:proofErr w:type="spellEnd"/>
      <w:r w:rsidRPr="00B419CE">
        <w:t xml:space="preserve"> (i mrd. kroner)</w:t>
      </w:r>
    </w:p>
    <w:p w14:paraId="6B4B67BB" w14:textId="77777777" w:rsidR="00B419CE" w:rsidRPr="00B419CE" w:rsidRDefault="00B419CE" w:rsidP="00B419CE">
      <w:pPr>
        <w:pStyle w:val="Tabellnavn"/>
      </w:pPr>
      <w:r w:rsidRPr="00B419CE">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419CE" w:rsidRPr="00B419CE" w14:paraId="22629870" w14:textId="77777777" w:rsidTr="00920011">
        <w:trPr>
          <w:trHeight w:val="360"/>
        </w:trPr>
        <w:tc>
          <w:tcPr>
            <w:tcW w:w="5200" w:type="dxa"/>
            <w:shd w:val="clear" w:color="auto" w:fill="FFFFFF"/>
          </w:tcPr>
          <w:p w14:paraId="6C4A1F31" w14:textId="77777777" w:rsidR="00B419CE" w:rsidRPr="00B419CE" w:rsidRDefault="00B419CE" w:rsidP="00920011"/>
        </w:tc>
        <w:tc>
          <w:tcPr>
            <w:tcW w:w="1300" w:type="dxa"/>
          </w:tcPr>
          <w:p w14:paraId="729B9C80" w14:textId="77777777" w:rsidR="00B419CE" w:rsidRPr="00B419CE" w:rsidRDefault="00B419CE" w:rsidP="00920011">
            <w:pPr>
              <w:jc w:val="right"/>
            </w:pPr>
            <w:r w:rsidRPr="00B419CE">
              <w:t>2018</w:t>
            </w:r>
          </w:p>
        </w:tc>
        <w:tc>
          <w:tcPr>
            <w:tcW w:w="1300" w:type="dxa"/>
          </w:tcPr>
          <w:p w14:paraId="56CFC486" w14:textId="77777777" w:rsidR="00B419CE" w:rsidRPr="00B419CE" w:rsidRDefault="00B419CE" w:rsidP="00920011">
            <w:pPr>
              <w:jc w:val="right"/>
            </w:pPr>
            <w:r w:rsidRPr="00B419CE">
              <w:t>2019</w:t>
            </w:r>
          </w:p>
        </w:tc>
        <w:tc>
          <w:tcPr>
            <w:tcW w:w="1300" w:type="dxa"/>
          </w:tcPr>
          <w:p w14:paraId="7BB3236A" w14:textId="77777777" w:rsidR="00B419CE" w:rsidRPr="00B419CE" w:rsidRDefault="00B419CE" w:rsidP="00920011">
            <w:pPr>
              <w:jc w:val="right"/>
            </w:pPr>
            <w:r w:rsidRPr="00B419CE">
              <w:t>2020</w:t>
            </w:r>
          </w:p>
        </w:tc>
      </w:tr>
      <w:tr w:rsidR="00B419CE" w:rsidRPr="00B419CE" w14:paraId="09B127D4" w14:textId="77777777" w:rsidTr="00920011">
        <w:trPr>
          <w:trHeight w:val="380"/>
        </w:trPr>
        <w:tc>
          <w:tcPr>
            <w:tcW w:w="5200" w:type="dxa"/>
          </w:tcPr>
          <w:p w14:paraId="3B7ECF23" w14:textId="77777777" w:rsidR="00B419CE" w:rsidRPr="00B419CE" w:rsidRDefault="00B419CE" w:rsidP="00920011">
            <w:proofErr w:type="spellStart"/>
            <w:r w:rsidRPr="00B419CE">
              <w:lastRenderedPageBreak/>
              <w:t>Personleg</w:t>
            </w:r>
            <w:proofErr w:type="spellEnd"/>
            <w:r w:rsidRPr="00B419CE">
              <w:t xml:space="preserve"> skattepliktige</w:t>
            </w:r>
            <w:r w:rsidRPr="00B419CE">
              <w:rPr>
                <w:rStyle w:val="skrift-hevet"/>
              </w:rPr>
              <w:t>1</w:t>
            </w:r>
          </w:p>
        </w:tc>
        <w:tc>
          <w:tcPr>
            <w:tcW w:w="1300" w:type="dxa"/>
          </w:tcPr>
          <w:p w14:paraId="0ADD5260" w14:textId="77777777" w:rsidR="00B419CE" w:rsidRPr="00B419CE" w:rsidRDefault="00B419CE" w:rsidP="00920011">
            <w:pPr>
              <w:jc w:val="right"/>
            </w:pPr>
            <w:r w:rsidRPr="00B419CE">
              <w:t>573,3</w:t>
            </w:r>
          </w:p>
        </w:tc>
        <w:tc>
          <w:tcPr>
            <w:tcW w:w="1300" w:type="dxa"/>
          </w:tcPr>
          <w:p w14:paraId="67ADEC7D" w14:textId="77777777" w:rsidR="00B419CE" w:rsidRPr="00B419CE" w:rsidRDefault="00B419CE" w:rsidP="00920011">
            <w:pPr>
              <w:jc w:val="right"/>
            </w:pPr>
            <w:r w:rsidRPr="00B419CE">
              <w:t>473,6</w:t>
            </w:r>
          </w:p>
        </w:tc>
        <w:tc>
          <w:tcPr>
            <w:tcW w:w="1300" w:type="dxa"/>
          </w:tcPr>
          <w:p w14:paraId="1656596B" w14:textId="77777777" w:rsidR="00B419CE" w:rsidRPr="00B419CE" w:rsidRDefault="00B419CE" w:rsidP="00920011">
            <w:pPr>
              <w:jc w:val="right"/>
            </w:pPr>
            <w:r w:rsidRPr="00B419CE">
              <w:t>550,7</w:t>
            </w:r>
          </w:p>
        </w:tc>
      </w:tr>
      <w:tr w:rsidR="00B419CE" w:rsidRPr="00B419CE" w14:paraId="08A1323A" w14:textId="77777777" w:rsidTr="00920011">
        <w:trPr>
          <w:trHeight w:val="380"/>
        </w:trPr>
        <w:tc>
          <w:tcPr>
            <w:tcW w:w="5200" w:type="dxa"/>
          </w:tcPr>
          <w:p w14:paraId="6C51AE34" w14:textId="77777777" w:rsidR="00B419CE" w:rsidRPr="00B419CE" w:rsidRDefault="00B419CE" w:rsidP="00920011">
            <w:proofErr w:type="spellStart"/>
            <w:r w:rsidRPr="00B419CE">
              <w:t>Upersonleg</w:t>
            </w:r>
            <w:proofErr w:type="spellEnd"/>
            <w:r w:rsidRPr="00B419CE">
              <w:t xml:space="preserve"> skattepliktige </w:t>
            </w:r>
          </w:p>
        </w:tc>
        <w:tc>
          <w:tcPr>
            <w:tcW w:w="1300" w:type="dxa"/>
          </w:tcPr>
          <w:p w14:paraId="1494F7F4" w14:textId="77777777" w:rsidR="00B419CE" w:rsidRPr="00B419CE" w:rsidRDefault="00B419CE" w:rsidP="00920011">
            <w:pPr>
              <w:jc w:val="right"/>
            </w:pPr>
            <w:r w:rsidRPr="00B419CE">
              <w:t>79,2</w:t>
            </w:r>
          </w:p>
        </w:tc>
        <w:tc>
          <w:tcPr>
            <w:tcW w:w="1300" w:type="dxa"/>
          </w:tcPr>
          <w:p w14:paraId="31F9173F" w14:textId="77777777" w:rsidR="00B419CE" w:rsidRPr="00B419CE" w:rsidRDefault="00B419CE" w:rsidP="00920011">
            <w:pPr>
              <w:jc w:val="right"/>
            </w:pPr>
            <w:r w:rsidRPr="00B419CE">
              <w:t>86,4</w:t>
            </w:r>
          </w:p>
        </w:tc>
        <w:tc>
          <w:tcPr>
            <w:tcW w:w="1300" w:type="dxa"/>
          </w:tcPr>
          <w:p w14:paraId="3BFD89EE" w14:textId="77777777" w:rsidR="00B419CE" w:rsidRPr="00B419CE" w:rsidRDefault="00B419CE" w:rsidP="00920011">
            <w:pPr>
              <w:jc w:val="right"/>
            </w:pPr>
            <w:r w:rsidRPr="00B419CE">
              <w:t>100,2</w:t>
            </w:r>
          </w:p>
        </w:tc>
      </w:tr>
      <w:tr w:rsidR="00B419CE" w:rsidRPr="00B419CE" w14:paraId="10CEDE1C" w14:textId="77777777" w:rsidTr="00920011">
        <w:trPr>
          <w:trHeight w:val="380"/>
        </w:trPr>
        <w:tc>
          <w:tcPr>
            <w:tcW w:w="5200" w:type="dxa"/>
          </w:tcPr>
          <w:p w14:paraId="2B10887A" w14:textId="77777777" w:rsidR="00B419CE" w:rsidRPr="00B419CE" w:rsidRDefault="00B419CE" w:rsidP="00920011">
            <w:proofErr w:type="spellStart"/>
            <w:r w:rsidRPr="00B419CE">
              <w:t>Meirverdiavgift</w:t>
            </w:r>
            <w:proofErr w:type="spellEnd"/>
          </w:p>
        </w:tc>
        <w:tc>
          <w:tcPr>
            <w:tcW w:w="1300" w:type="dxa"/>
          </w:tcPr>
          <w:p w14:paraId="34508D02" w14:textId="77777777" w:rsidR="00B419CE" w:rsidRPr="00B419CE" w:rsidRDefault="00B419CE" w:rsidP="00920011">
            <w:pPr>
              <w:jc w:val="right"/>
            </w:pPr>
            <w:r w:rsidRPr="00B419CE">
              <w:t>295,0</w:t>
            </w:r>
          </w:p>
        </w:tc>
        <w:tc>
          <w:tcPr>
            <w:tcW w:w="1300" w:type="dxa"/>
          </w:tcPr>
          <w:p w14:paraId="113E53A8" w14:textId="77777777" w:rsidR="00B419CE" w:rsidRPr="00B419CE" w:rsidRDefault="00B419CE" w:rsidP="00920011">
            <w:pPr>
              <w:jc w:val="right"/>
            </w:pPr>
            <w:r w:rsidRPr="00B419CE">
              <w:t>306,9</w:t>
            </w:r>
          </w:p>
        </w:tc>
        <w:tc>
          <w:tcPr>
            <w:tcW w:w="1300" w:type="dxa"/>
          </w:tcPr>
          <w:p w14:paraId="1F1C03EA" w14:textId="77777777" w:rsidR="00B419CE" w:rsidRPr="00B419CE" w:rsidRDefault="00B419CE" w:rsidP="00920011">
            <w:pPr>
              <w:jc w:val="right"/>
            </w:pPr>
            <w:r w:rsidRPr="00B419CE">
              <w:t>310,3</w:t>
            </w:r>
          </w:p>
        </w:tc>
      </w:tr>
      <w:tr w:rsidR="00B419CE" w:rsidRPr="00B419CE" w14:paraId="664F6810" w14:textId="77777777" w:rsidTr="00920011">
        <w:trPr>
          <w:trHeight w:val="380"/>
        </w:trPr>
        <w:tc>
          <w:tcPr>
            <w:tcW w:w="5200" w:type="dxa"/>
          </w:tcPr>
          <w:p w14:paraId="6B2B9131" w14:textId="77777777" w:rsidR="00B419CE" w:rsidRPr="00B419CE" w:rsidRDefault="00B419CE" w:rsidP="00920011">
            <w:r w:rsidRPr="00B419CE">
              <w:t>Særavgift</w:t>
            </w:r>
          </w:p>
        </w:tc>
        <w:tc>
          <w:tcPr>
            <w:tcW w:w="1300" w:type="dxa"/>
          </w:tcPr>
          <w:p w14:paraId="016DE769" w14:textId="77777777" w:rsidR="00B419CE" w:rsidRPr="00B419CE" w:rsidRDefault="00B419CE" w:rsidP="00920011">
            <w:pPr>
              <w:jc w:val="right"/>
            </w:pPr>
            <w:r w:rsidRPr="00B419CE">
              <w:t>95,7</w:t>
            </w:r>
          </w:p>
        </w:tc>
        <w:tc>
          <w:tcPr>
            <w:tcW w:w="1300" w:type="dxa"/>
          </w:tcPr>
          <w:p w14:paraId="70535C1E" w14:textId="77777777" w:rsidR="00B419CE" w:rsidRPr="00B419CE" w:rsidRDefault="00B419CE" w:rsidP="00920011">
            <w:pPr>
              <w:jc w:val="right"/>
            </w:pPr>
            <w:r w:rsidRPr="00B419CE">
              <w:t>93,5</w:t>
            </w:r>
          </w:p>
        </w:tc>
        <w:tc>
          <w:tcPr>
            <w:tcW w:w="1300" w:type="dxa"/>
          </w:tcPr>
          <w:p w14:paraId="4901D4D9" w14:textId="77777777" w:rsidR="00B419CE" w:rsidRPr="00B419CE" w:rsidRDefault="00B419CE" w:rsidP="00920011">
            <w:pPr>
              <w:jc w:val="right"/>
            </w:pPr>
            <w:r w:rsidRPr="00B419CE">
              <w:t>93,3</w:t>
            </w:r>
          </w:p>
        </w:tc>
      </w:tr>
      <w:tr w:rsidR="00B419CE" w:rsidRPr="00B419CE" w14:paraId="7AFB6F80" w14:textId="77777777" w:rsidTr="00920011">
        <w:trPr>
          <w:trHeight w:val="380"/>
        </w:trPr>
        <w:tc>
          <w:tcPr>
            <w:tcW w:w="5200" w:type="dxa"/>
          </w:tcPr>
          <w:p w14:paraId="0F5828D9" w14:textId="77777777" w:rsidR="00B419CE" w:rsidRPr="00B419CE" w:rsidRDefault="00B419CE" w:rsidP="00920011">
            <w:r w:rsidRPr="00B419CE">
              <w:t>Kjeldeskatt</w:t>
            </w:r>
            <w:r w:rsidRPr="00B419CE">
              <w:rPr>
                <w:rStyle w:val="skrift-hevet"/>
              </w:rPr>
              <w:t>2</w:t>
            </w:r>
          </w:p>
        </w:tc>
        <w:tc>
          <w:tcPr>
            <w:tcW w:w="1300" w:type="dxa"/>
          </w:tcPr>
          <w:p w14:paraId="4423CA0C" w14:textId="77777777" w:rsidR="00B419CE" w:rsidRPr="00B419CE" w:rsidRDefault="00B419CE" w:rsidP="00920011">
            <w:pPr>
              <w:jc w:val="right"/>
            </w:pPr>
            <w:r w:rsidRPr="00B419CE">
              <w:t>4,8</w:t>
            </w:r>
          </w:p>
        </w:tc>
        <w:tc>
          <w:tcPr>
            <w:tcW w:w="1300" w:type="dxa"/>
          </w:tcPr>
          <w:p w14:paraId="2C0B178F" w14:textId="77777777" w:rsidR="00B419CE" w:rsidRPr="00B419CE" w:rsidRDefault="00B419CE" w:rsidP="00920011">
            <w:pPr>
              <w:jc w:val="right"/>
            </w:pPr>
            <w:r w:rsidRPr="00B419CE">
              <w:t>4,9</w:t>
            </w:r>
          </w:p>
        </w:tc>
        <w:tc>
          <w:tcPr>
            <w:tcW w:w="1300" w:type="dxa"/>
          </w:tcPr>
          <w:p w14:paraId="4093A3B0" w14:textId="77777777" w:rsidR="00B419CE" w:rsidRPr="00B419CE" w:rsidRDefault="00B419CE" w:rsidP="00920011">
            <w:pPr>
              <w:jc w:val="right"/>
            </w:pPr>
            <w:r w:rsidRPr="00B419CE">
              <w:t>2,4</w:t>
            </w:r>
          </w:p>
        </w:tc>
      </w:tr>
      <w:tr w:rsidR="00B419CE" w:rsidRPr="00B419CE" w14:paraId="41B96007" w14:textId="77777777" w:rsidTr="00920011">
        <w:trPr>
          <w:trHeight w:val="380"/>
        </w:trPr>
        <w:tc>
          <w:tcPr>
            <w:tcW w:w="5200" w:type="dxa"/>
          </w:tcPr>
          <w:p w14:paraId="1AF1762A" w14:textId="77777777" w:rsidR="00B419CE" w:rsidRPr="00B419CE" w:rsidRDefault="00B419CE" w:rsidP="00920011">
            <w:r w:rsidRPr="00B419CE">
              <w:t xml:space="preserve">Tvangsmulkt (skatt) </w:t>
            </w:r>
          </w:p>
        </w:tc>
        <w:tc>
          <w:tcPr>
            <w:tcW w:w="1300" w:type="dxa"/>
          </w:tcPr>
          <w:p w14:paraId="3C4EFC0E" w14:textId="77777777" w:rsidR="00B419CE" w:rsidRPr="00B419CE" w:rsidRDefault="00B419CE" w:rsidP="00920011">
            <w:pPr>
              <w:jc w:val="right"/>
            </w:pPr>
            <w:r w:rsidRPr="00B419CE">
              <w:t>0,5</w:t>
            </w:r>
          </w:p>
        </w:tc>
        <w:tc>
          <w:tcPr>
            <w:tcW w:w="1300" w:type="dxa"/>
          </w:tcPr>
          <w:p w14:paraId="3D2873E9" w14:textId="77777777" w:rsidR="00B419CE" w:rsidRPr="00B419CE" w:rsidRDefault="00B419CE" w:rsidP="00920011">
            <w:pPr>
              <w:jc w:val="right"/>
            </w:pPr>
            <w:r w:rsidRPr="00B419CE">
              <w:t>0,5</w:t>
            </w:r>
          </w:p>
        </w:tc>
        <w:tc>
          <w:tcPr>
            <w:tcW w:w="1300" w:type="dxa"/>
          </w:tcPr>
          <w:p w14:paraId="53F38EC8" w14:textId="77777777" w:rsidR="00B419CE" w:rsidRPr="00B419CE" w:rsidRDefault="00B419CE" w:rsidP="00920011">
            <w:pPr>
              <w:jc w:val="right"/>
            </w:pPr>
            <w:r w:rsidRPr="00B419CE">
              <w:t>0,1</w:t>
            </w:r>
          </w:p>
        </w:tc>
      </w:tr>
      <w:tr w:rsidR="00B419CE" w:rsidRPr="00B419CE" w14:paraId="2EED6E27" w14:textId="77777777" w:rsidTr="00920011">
        <w:trPr>
          <w:trHeight w:val="380"/>
        </w:trPr>
        <w:tc>
          <w:tcPr>
            <w:tcW w:w="5200" w:type="dxa"/>
          </w:tcPr>
          <w:p w14:paraId="7FA5D06B" w14:textId="77777777" w:rsidR="00B419CE" w:rsidRPr="00B419CE" w:rsidRDefault="00B419CE" w:rsidP="00920011">
            <w:r w:rsidRPr="00B419CE">
              <w:t>Finansskatt</w:t>
            </w:r>
          </w:p>
        </w:tc>
        <w:tc>
          <w:tcPr>
            <w:tcW w:w="1300" w:type="dxa"/>
          </w:tcPr>
          <w:p w14:paraId="17399DF2" w14:textId="77777777" w:rsidR="00B419CE" w:rsidRPr="00B419CE" w:rsidRDefault="00B419CE" w:rsidP="00920011">
            <w:pPr>
              <w:jc w:val="right"/>
            </w:pPr>
            <w:r w:rsidRPr="00B419CE">
              <w:t>1,9</w:t>
            </w:r>
          </w:p>
        </w:tc>
        <w:tc>
          <w:tcPr>
            <w:tcW w:w="1300" w:type="dxa"/>
          </w:tcPr>
          <w:p w14:paraId="186D172C" w14:textId="77777777" w:rsidR="00B419CE" w:rsidRPr="00B419CE" w:rsidRDefault="00B419CE" w:rsidP="00920011">
            <w:pPr>
              <w:jc w:val="right"/>
            </w:pPr>
            <w:r w:rsidRPr="00B419CE">
              <w:t>2,0</w:t>
            </w:r>
          </w:p>
        </w:tc>
        <w:tc>
          <w:tcPr>
            <w:tcW w:w="1300" w:type="dxa"/>
          </w:tcPr>
          <w:p w14:paraId="2C1EA6B0" w14:textId="77777777" w:rsidR="00B419CE" w:rsidRPr="00B419CE" w:rsidRDefault="00B419CE" w:rsidP="00920011">
            <w:pPr>
              <w:jc w:val="right"/>
            </w:pPr>
            <w:r w:rsidRPr="00B419CE">
              <w:t>2,0</w:t>
            </w:r>
          </w:p>
        </w:tc>
      </w:tr>
      <w:tr w:rsidR="00B419CE" w:rsidRPr="00B419CE" w14:paraId="569D6A3B" w14:textId="77777777" w:rsidTr="00920011">
        <w:trPr>
          <w:trHeight w:val="380"/>
        </w:trPr>
        <w:tc>
          <w:tcPr>
            <w:tcW w:w="5200" w:type="dxa"/>
          </w:tcPr>
          <w:p w14:paraId="65A79B31" w14:textId="77777777" w:rsidR="00B419CE" w:rsidRPr="00B419CE" w:rsidRDefault="00B419CE" w:rsidP="00920011">
            <w:r w:rsidRPr="00B419CE">
              <w:t>Skatt og avgift på utvinning av petroleum</w:t>
            </w:r>
          </w:p>
        </w:tc>
        <w:tc>
          <w:tcPr>
            <w:tcW w:w="1300" w:type="dxa"/>
          </w:tcPr>
          <w:p w14:paraId="69F99C83" w14:textId="77777777" w:rsidR="00B419CE" w:rsidRPr="00B419CE" w:rsidRDefault="00B419CE" w:rsidP="00920011">
            <w:pPr>
              <w:jc w:val="right"/>
            </w:pPr>
            <w:r w:rsidRPr="00B419CE">
              <w:t>139,2</w:t>
            </w:r>
          </w:p>
        </w:tc>
        <w:tc>
          <w:tcPr>
            <w:tcW w:w="1300" w:type="dxa"/>
          </w:tcPr>
          <w:p w14:paraId="27F63524" w14:textId="77777777" w:rsidR="00B419CE" w:rsidRPr="00B419CE" w:rsidRDefault="00B419CE" w:rsidP="00920011">
            <w:pPr>
              <w:jc w:val="right"/>
            </w:pPr>
            <w:r w:rsidRPr="00B419CE">
              <w:t>123,9</w:t>
            </w:r>
          </w:p>
        </w:tc>
        <w:tc>
          <w:tcPr>
            <w:tcW w:w="1300" w:type="dxa"/>
          </w:tcPr>
          <w:p w14:paraId="2B6180F8" w14:textId="77777777" w:rsidR="00B419CE" w:rsidRPr="00B419CE" w:rsidRDefault="00B419CE" w:rsidP="00920011">
            <w:pPr>
              <w:jc w:val="right"/>
            </w:pPr>
            <w:r w:rsidRPr="00B419CE">
              <w:t>-60,9</w:t>
            </w:r>
          </w:p>
        </w:tc>
      </w:tr>
      <w:tr w:rsidR="00B419CE" w:rsidRPr="00B419CE" w14:paraId="7110AC02" w14:textId="77777777" w:rsidTr="00920011">
        <w:trPr>
          <w:trHeight w:val="380"/>
        </w:trPr>
        <w:tc>
          <w:tcPr>
            <w:tcW w:w="5200" w:type="dxa"/>
          </w:tcPr>
          <w:p w14:paraId="700145DA" w14:textId="77777777" w:rsidR="00B419CE" w:rsidRPr="00B419CE" w:rsidRDefault="00B419CE" w:rsidP="00920011">
            <w:r w:rsidRPr="00B419CE">
              <w:t>Avgift på arv og gåver</w:t>
            </w:r>
            <w:r w:rsidRPr="00B419CE">
              <w:rPr>
                <w:rStyle w:val="skrift-hevet"/>
              </w:rPr>
              <w:t>3</w:t>
            </w:r>
          </w:p>
        </w:tc>
        <w:tc>
          <w:tcPr>
            <w:tcW w:w="1300" w:type="dxa"/>
          </w:tcPr>
          <w:p w14:paraId="7BE1B607" w14:textId="77777777" w:rsidR="00B419CE" w:rsidRPr="00B419CE" w:rsidRDefault="00B419CE" w:rsidP="00920011">
            <w:pPr>
              <w:jc w:val="right"/>
            </w:pPr>
            <w:r w:rsidRPr="00B419CE">
              <w:t>0,0</w:t>
            </w:r>
          </w:p>
        </w:tc>
        <w:tc>
          <w:tcPr>
            <w:tcW w:w="1300" w:type="dxa"/>
          </w:tcPr>
          <w:p w14:paraId="1D1111DF" w14:textId="77777777" w:rsidR="00B419CE" w:rsidRPr="00B419CE" w:rsidRDefault="00B419CE" w:rsidP="00920011">
            <w:pPr>
              <w:jc w:val="right"/>
            </w:pPr>
            <w:r w:rsidRPr="00B419CE">
              <w:t>0,0</w:t>
            </w:r>
          </w:p>
        </w:tc>
        <w:tc>
          <w:tcPr>
            <w:tcW w:w="1300" w:type="dxa"/>
          </w:tcPr>
          <w:p w14:paraId="32E75E12" w14:textId="77777777" w:rsidR="00B419CE" w:rsidRPr="00B419CE" w:rsidRDefault="00B419CE" w:rsidP="00920011">
            <w:pPr>
              <w:jc w:val="right"/>
            </w:pPr>
            <w:r w:rsidRPr="00B419CE">
              <w:t>0,0</w:t>
            </w:r>
          </w:p>
        </w:tc>
      </w:tr>
      <w:tr w:rsidR="00B419CE" w:rsidRPr="00B419CE" w14:paraId="25166DF6" w14:textId="77777777" w:rsidTr="00920011">
        <w:trPr>
          <w:trHeight w:val="380"/>
        </w:trPr>
        <w:tc>
          <w:tcPr>
            <w:tcW w:w="5200" w:type="dxa"/>
          </w:tcPr>
          <w:p w14:paraId="27A3AFE8" w14:textId="77777777" w:rsidR="00B419CE" w:rsidRPr="00B419CE" w:rsidRDefault="00B419CE" w:rsidP="00920011">
            <w:proofErr w:type="spellStart"/>
            <w:r w:rsidRPr="00B419CE">
              <w:t>Arbeidsgjevaravgift</w:t>
            </w:r>
            <w:proofErr w:type="spellEnd"/>
          </w:p>
        </w:tc>
        <w:tc>
          <w:tcPr>
            <w:tcW w:w="1300" w:type="dxa"/>
          </w:tcPr>
          <w:p w14:paraId="4DA00F67" w14:textId="77777777" w:rsidR="00B419CE" w:rsidRPr="00B419CE" w:rsidRDefault="00B419CE" w:rsidP="00920011">
            <w:pPr>
              <w:jc w:val="right"/>
            </w:pPr>
            <w:r w:rsidRPr="00B419CE">
              <w:t>173,4</w:t>
            </w:r>
          </w:p>
        </w:tc>
        <w:tc>
          <w:tcPr>
            <w:tcW w:w="1300" w:type="dxa"/>
          </w:tcPr>
          <w:p w14:paraId="107BBE22" w14:textId="77777777" w:rsidR="00B419CE" w:rsidRPr="00B419CE" w:rsidRDefault="00B419CE" w:rsidP="00920011">
            <w:pPr>
              <w:jc w:val="right"/>
            </w:pPr>
            <w:r w:rsidRPr="00B419CE">
              <w:t>184,2</w:t>
            </w:r>
          </w:p>
        </w:tc>
        <w:tc>
          <w:tcPr>
            <w:tcW w:w="1300" w:type="dxa"/>
          </w:tcPr>
          <w:p w14:paraId="7639DE6A" w14:textId="77777777" w:rsidR="00B419CE" w:rsidRPr="00B419CE" w:rsidRDefault="00B419CE" w:rsidP="00920011">
            <w:pPr>
              <w:jc w:val="right"/>
            </w:pPr>
            <w:r w:rsidRPr="00B419CE">
              <w:t>177,3</w:t>
            </w:r>
          </w:p>
        </w:tc>
      </w:tr>
      <w:tr w:rsidR="00B419CE" w:rsidRPr="00B419CE" w14:paraId="77F88EA2" w14:textId="77777777" w:rsidTr="00920011">
        <w:trPr>
          <w:trHeight w:val="380"/>
        </w:trPr>
        <w:tc>
          <w:tcPr>
            <w:tcW w:w="5200" w:type="dxa"/>
          </w:tcPr>
          <w:p w14:paraId="68854E1B" w14:textId="77777777" w:rsidR="00B419CE" w:rsidRPr="00B419CE" w:rsidRDefault="00B419CE" w:rsidP="00920011">
            <w:r w:rsidRPr="00B419CE">
              <w:t xml:space="preserve">Totalt skatte- og </w:t>
            </w:r>
            <w:proofErr w:type="spellStart"/>
            <w:r w:rsidRPr="00B419CE">
              <w:t>avgiftsproveny</w:t>
            </w:r>
            <w:proofErr w:type="spellEnd"/>
          </w:p>
        </w:tc>
        <w:tc>
          <w:tcPr>
            <w:tcW w:w="1300" w:type="dxa"/>
          </w:tcPr>
          <w:p w14:paraId="5D12568C" w14:textId="77777777" w:rsidR="00B419CE" w:rsidRPr="00B419CE" w:rsidRDefault="00B419CE" w:rsidP="00920011">
            <w:pPr>
              <w:jc w:val="right"/>
            </w:pPr>
            <w:r w:rsidRPr="00B419CE">
              <w:t>1 363,0</w:t>
            </w:r>
          </w:p>
        </w:tc>
        <w:tc>
          <w:tcPr>
            <w:tcW w:w="1300" w:type="dxa"/>
          </w:tcPr>
          <w:p w14:paraId="238F128D" w14:textId="77777777" w:rsidR="00B419CE" w:rsidRPr="00B419CE" w:rsidRDefault="00B419CE" w:rsidP="00920011">
            <w:pPr>
              <w:jc w:val="right"/>
            </w:pPr>
            <w:r w:rsidRPr="00B419CE">
              <w:t>1 275,9</w:t>
            </w:r>
          </w:p>
        </w:tc>
        <w:tc>
          <w:tcPr>
            <w:tcW w:w="1300" w:type="dxa"/>
          </w:tcPr>
          <w:p w14:paraId="42C76EF5" w14:textId="77777777" w:rsidR="00B419CE" w:rsidRPr="00B419CE" w:rsidRDefault="00B419CE" w:rsidP="00920011">
            <w:pPr>
              <w:jc w:val="right"/>
            </w:pPr>
            <w:r w:rsidRPr="00B419CE">
              <w:t>1 175,4</w:t>
            </w:r>
          </w:p>
        </w:tc>
      </w:tr>
    </w:tbl>
    <w:p w14:paraId="1584D0B2" w14:textId="77777777" w:rsidR="00B419CE" w:rsidRPr="00B419CE" w:rsidRDefault="00B419CE" w:rsidP="00B419CE">
      <w:pPr>
        <w:pStyle w:val="tabell-noter"/>
        <w:rPr>
          <w:rStyle w:val="skrift-hevet"/>
        </w:rPr>
      </w:pPr>
      <w:r w:rsidRPr="00B419CE">
        <w:rPr>
          <w:rStyle w:val="skrift-hevet"/>
        </w:rPr>
        <w:t xml:space="preserve">1 </w:t>
      </w:r>
      <w:r w:rsidRPr="00B419CE">
        <w:rPr>
          <w:rStyle w:val="skrift-hevet"/>
        </w:rPr>
        <w:tab/>
      </w:r>
      <w:r w:rsidRPr="00B419CE">
        <w:t>Kommune, fylke, stat og folketrygd samla.</w:t>
      </w:r>
    </w:p>
    <w:p w14:paraId="2346E940" w14:textId="77777777" w:rsidR="00B419CE" w:rsidRPr="00B419CE" w:rsidRDefault="00B419CE" w:rsidP="00B419CE">
      <w:pPr>
        <w:pStyle w:val="tabell-noter"/>
        <w:rPr>
          <w:rStyle w:val="skrift-hevet"/>
        </w:rPr>
      </w:pPr>
      <w:r w:rsidRPr="00B419CE">
        <w:rPr>
          <w:rStyle w:val="skrift-hevet"/>
        </w:rPr>
        <w:t xml:space="preserve">2 </w:t>
      </w:r>
      <w:r w:rsidRPr="00B419CE">
        <w:rPr>
          <w:rStyle w:val="skrift-hevet"/>
        </w:rPr>
        <w:tab/>
      </w:r>
      <w:r w:rsidRPr="00B419CE">
        <w:t xml:space="preserve">Artistskatt og kjeldeskatt på </w:t>
      </w:r>
      <w:proofErr w:type="spellStart"/>
      <w:r w:rsidRPr="00B419CE">
        <w:t>utbyte</w:t>
      </w:r>
      <w:proofErr w:type="spellEnd"/>
      <w:r w:rsidRPr="00B419CE">
        <w:t xml:space="preserve"> til </w:t>
      </w:r>
      <w:proofErr w:type="spellStart"/>
      <w:r w:rsidRPr="00B419CE">
        <w:t>utanlandske</w:t>
      </w:r>
      <w:proofErr w:type="spellEnd"/>
      <w:r w:rsidRPr="00B419CE">
        <w:t xml:space="preserve"> </w:t>
      </w:r>
      <w:proofErr w:type="spellStart"/>
      <w:r w:rsidRPr="00B419CE">
        <w:t>aksjonærar</w:t>
      </w:r>
      <w:proofErr w:type="spellEnd"/>
      <w:r w:rsidRPr="00B419CE">
        <w:t>.</w:t>
      </w:r>
    </w:p>
    <w:p w14:paraId="726EF2A5" w14:textId="77777777" w:rsidR="00B419CE" w:rsidRPr="00B419CE" w:rsidRDefault="00B419CE" w:rsidP="00B419CE">
      <w:pPr>
        <w:pStyle w:val="tabell-noter"/>
      </w:pPr>
      <w:r w:rsidRPr="00B419CE">
        <w:rPr>
          <w:rStyle w:val="skrift-hevet"/>
        </w:rPr>
        <w:t xml:space="preserve">3 </w:t>
      </w:r>
      <w:r w:rsidRPr="00B419CE">
        <w:rPr>
          <w:rStyle w:val="skrift-hevet"/>
        </w:rPr>
        <w:tab/>
      </w:r>
      <w:r w:rsidRPr="00B419CE">
        <w:t>Beløp mellom 0,0 og 0,1 mrd. kroner.</w:t>
      </w:r>
    </w:p>
    <w:p w14:paraId="255F9F33" w14:textId="77777777" w:rsidR="00B419CE" w:rsidRPr="00B419CE" w:rsidRDefault="00B419CE" w:rsidP="00B419CE">
      <w:r w:rsidRPr="00B419CE">
        <w:t xml:space="preserve">Dei store </w:t>
      </w:r>
      <w:proofErr w:type="spellStart"/>
      <w:r w:rsidRPr="00B419CE">
        <w:t>fastsetjings</w:t>
      </w:r>
      <w:proofErr w:type="spellEnd"/>
      <w:r w:rsidRPr="00B419CE">
        <w:t xml:space="preserve">- og </w:t>
      </w:r>
      <w:proofErr w:type="spellStart"/>
      <w:r w:rsidRPr="00B419CE">
        <w:t>innkrevjingsprosessane</w:t>
      </w:r>
      <w:proofErr w:type="spellEnd"/>
      <w:r w:rsidRPr="00B419CE">
        <w:t xml:space="preserve"> har i 2020 </w:t>
      </w:r>
      <w:proofErr w:type="spellStart"/>
      <w:r w:rsidRPr="00B419CE">
        <w:t>vore</w:t>
      </w:r>
      <w:proofErr w:type="spellEnd"/>
      <w:r w:rsidRPr="00B419CE">
        <w:t xml:space="preserve"> gjennomførte med </w:t>
      </w:r>
      <w:proofErr w:type="spellStart"/>
      <w:r w:rsidRPr="00B419CE">
        <w:t>tilfredsstillande</w:t>
      </w:r>
      <w:proofErr w:type="spellEnd"/>
      <w:r w:rsidRPr="00B419CE">
        <w:t xml:space="preserve"> kvalitet og </w:t>
      </w:r>
      <w:proofErr w:type="spellStart"/>
      <w:r w:rsidRPr="00B419CE">
        <w:t>utan</w:t>
      </w:r>
      <w:proofErr w:type="spellEnd"/>
      <w:r w:rsidRPr="00B419CE">
        <w:t xml:space="preserve"> </w:t>
      </w:r>
      <w:proofErr w:type="spellStart"/>
      <w:r w:rsidRPr="00B419CE">
        <w:t>vesentlege</w:t>
      </w:r>
      <w:proofErr w:type="spellEnd"/>
      <w:r w:rsidRPr="00B419CE">
        <w:t xml:space="preserve"> avvik. Kvaliteten på </w:t>
      </w:r>
      <w:proofErr w:type="spellStart"/>
      <w:r w:rsidRPr="00B419CE">
        <w:t>tredjepartsopplysningane</w:t>
      </w:r>
      <w:proofErr w:type="spellEnd"/>
      <w:r w:rsidRPr="00B419CE">
        <w:t xml:space="preserve"> som er grunnlag for både skattekort og den </w:t>
      </w:r>
      <w:proofErr w:type="spellStart"/>
      <w:r w:rsidRPr="00B419CE">
        <w:t>førehandsutfylte</w:t>
      </w:r>
      <w:proofErr w:type="spellEnd"/>
      <w:r w:rsidRPr="00B419CE">
        <w:t xml:space="preserve"> </w:t>
      </w:r>
      <w:proofErr w:type="spellStart"/>
      <w:r w:rsidRPr="00B419CE">
        <w:t>skattemeldinga</w:t>
      </w:r>
      <w:proofErr w:type="spellEnd"/>
      <w:r w:rsidRPr="00B419CE">
        <w:t xml:space="preserve">, har </w:t>
      </w:r>
      <w:proofErr w:type="spellStart"/>
      <w:r w:rsidRPr="00B419CE">
        <w:t>vore</w:t>
      </w:r>
      <w:proofErr w:type="spellEnd"/>
      <w:r w:rsidRPr="00B419CE">
        <w:t xml:space="preserve"> god.</w:t>
      </w:r>
    </w:p>
    <w:p w14:paraId="606B39B9" w14:textId="77777777" w:rsidR="00B419CE" w:rsidRPr="00B419CE" w:rsidRDefault="00B419CE" w:rsidP="00B419CE">
      <w:pPr>
        <w:pStyle w:val="avsnitt-undertittel"/>
      </w:pPr>
      <w:proofErr w:type="spellStart"/>
      <w:r w:rsidRPr="00B419CE">
        <w:t>Analysar</w:t>
      </w:r>
      <w:proofErr w:type="spellEnd"/>
      <w:r w:rsidRPr="00B419CE">
        <w:t xml:space="preserve"> av etterleving</w:t>
      </w:r>
    </w:p>
    <w:p w14:paraId="0C925204" w14:textId="77777777" w:rsidR="00B419CE" w:rsidRPr="00B419CE" w:rsidRDefault="00B419CE" w:rsidP="00B419CE">
      <w:r w:rsidRPr="00B419CE">
        <w:t xml:space="preserve">Skatteetaten analyserer stadig etterlevinga hos </w:t>
      </w:r>
      <w:proofErr w:type="spellStart"/>
      <w:r w:rsidRPr="00B419CE">
        <w:t>dei</w:t>
      </w:r>
      <w:proofErr w:type="spellEnd"/>
      <w:r w:rsidRPr="00B419CE">
        <w:t xml:space="preserve"> skattepliktige og utviklinga over tid. </w:t>
      </w:r>
      <w:proofErr w:type="spellStart"/>
      <w:r w:rsidRPr="00B419CE">
        <w:t>Ein</w:t>
      </w:r>
      <w:proofErr w:type="spellEnd"/>
      <w:r w:rsidRPr="00B419CE">
        <w:t xml:space="preserve"> effektindikator gjev </w:t>
      </w:r>
      <w:proofErr w:type="spellStart"/>
      <w:r w:rsidRPr="00B419CE">
        <w:t>eit</w:t>
      </w:r>
      <w:proofErr w:type="spellEnd"/>
      <w:r w:rsidRPr="00B419CE">
        <w:t xml:space="preserve"> kvalitativt eller kvantitativt uttrykk for høvet mellom innsats eller aktivitet og det resultatet eller den samla effekten som Skatteetatens </w:t>
      </w:r>
      <w:proofErr w:type="spellStart"/>
      <w:r w:rsidRPr="00B419CE">
        <w:t>verkemiddel</w:t>
      </w:r>
      <w:proofErr w:type="spellEnd"/>
      <w:r w:rsidRPr="00B419CE">
        <w:t xml:space="preserve"> gjev.</w:t>
      </w:r>
    </w:p>
    <w:p w14:paraId="646114D4" w14:textId="77777777" w:rsidR="00B419CE" w:rsidRPr="00B419CE" w:rsidRDefault="00B419CE" w:rsidP="00B419CE">
      <w:r w:rsidRPr="00B419CE">
        <w:t xml:space="preserve">For 2020 hadde etaten fire </w:t>
      </w:r>
      <w:proofErr w:type="spellStart"/>
      <w:r w:rsidRPr="00B419CE">
        <w:t>effektindikatorar</w:t>
      </w:r>
      <w:proofErr w:type="spellEnd"/>
      <w:r w:rsidRPr="00B419CE">
        <w:t xml:space="preserve"> under </w:t>
      </w:r>
      <w:proofErr w:type="spellStart"/>
      <w:r w:rsidRPr="00B419CE">
        <w:t>hovudmål</w:t>
      </w:r>
      <w:proofErr w:type="spellEnd"/>
      <w:r w:rsidRPr="00B419CE">
        <w:t xml:space="preserve"> 1, knytte til etterleving: riktig registrering i pliktige register, korrekte og fullstendige </w:t>
      </w:r>
      <w:proofErr w:type="spellStart"/>
      <w:r w:rsidRPr="00B419CE">
        <w:t>opplysingar</w:t>
      </w:r>
      <w:proofErr w:type="spellEnd"/>
      <w:r w:rsidRPr="00B419CE">
        <w:t xml:space="preserve">, betaling til rett tid og del </w:t>
      </w:r>
      <w:proofErr w:type="spellStart"/>
      <w:r w:rsidRPr="00B419CE">
        <w:t>verksemder</w:t>
      </w:r>
      <w:proofErr w:type="spellEnd"/>
      <w:r w:rsidRPr="00B419CE">
        <w:t xml:space="preserve"> som opplev lite eller svært lite </w:t>
      </w:r>
      <w:proofErr w:type="spellStart"/>
      <w:r w:rsidRPr="00B419CE">
        <w:t>sannsyn</w:t>
      </w:r>
      <w:proofErr w:type="spellEnd"/>
      <w:r w:rsidRPr="00B419CE">
        <w:t xml:space="preserve"> for oppdaging.</w:t>
      </w:r>
    </w:p>
    <w:p w14:paraId="7B68FDC0" w14:textId="77777777" w:rsidR="00B419CE" w:rsidRPr="00B419CE" w:rsidRDefault="00B419CE" w:rsidP="00B419CE">
      <w:r w:rsidRPr="00B419CE">
        <w:t xml:space="preserve">Til </w:t>
      </w:r>
      <w:proofErr w:type="spellStart"/>
      <w:r w:rsidRPr="00B419CE">
        <w:t>dei</w:t>
      </w:r>
      <w:proofErr w:type="spellEnd"/>
      <w:r w:rsidRPr="00B419CE">
        <w:t xml:space="preserve"> pliktige </w:t>
      </w:r>
      <w:proofErr w:type="spellStart"/>
      <w:r w:rsidRPr="00B419CE">
        <w:t>registera</w:t>
      </w:r>
      <w:proofErr w:type="spellEnd"/>
      <w:r w:rsidRPr="00B419CE">
        <w:t xml:space="preserve"> vert </w:t>
      </w:r>
      <w:proofErr w:type="spellStart"/>
      <w:r w:rsidRPr="00B419CE">
        <w:t>rekna</w:t>
      </w:r>
      <w:proofErr w:type="spellEnd"/>
      <w:r w:rsidRPr="00B419CE">
        <w:t xml:space="preserve"> Folkeregisteret, </w:t>
      </w:r>
      <w:proofErr w:type="spellStart"/>
      <w:r w:rsidRPr="00B419CE">
        <w:t>meirverdiavgiftsregisteret</w:t>
      </w:r>
      <w:proofErr w:type="spellEnd"/>
      <w:r w:rsidRPr="00B419CE">
        <w:t xml:space="preserve"> og aksjonærregisteret. Ei samla vurdering viser at det i </w:t>
      </w:r>
      <w:proofErr w:type="spellStart"/>
      <w:r w:rsidRPr="00B419CE">
        <w:t>hovudsak</w:t>
      </w:r>
      <w:proofErr w:type="spellEnd"/>
      <w:r w:rsidRPr="00B419CE">
        <w:t xml:space="preserve"> er ei positiv utvikling når det </w:t>
      </w:r>
      <w:proofErr w:type="spellStart"/>
      <w:r w:rsidRPr="00B419CE">
        <w:t>gjeld</w:t>
      </w:r>
      <w:proofErr w:type="spellEnd"/>
      <w:r w:rsidRPr="00B419CE">
        <w:t xml:space="preserve"> riktig registrering i </w:t>
      </w:r>
      <w:proofErr w:type="spellStart"/>
      <w:r w:rsidRPr="00B419CE">
        <w:t>desse</w:t>
      </w:r>
      <w:proofErr w:type="spellEnd"/>
      <w:r w:rsidRPr="00B419CE">
        <w:t xml:space="preserve"> </w:t>
      </w:r>
      <w:proofErr w:type="spellStart"/>
      <w:r w:rsidRPr="00B419CE">
        <w:t>registera</w:t>
      </w:r>
      <w:proofErr w:type="spellEnd"/>
      <w:r w:rsidRPr="00B419CE">
        <w:t>.</w:t>
      </w:r>
    </w:p>
    <w:p w14:paraId="05DBAECE" w14:textId="77777777" w:rsidR="00B419CE" w:rsidRPr="00B419CE" w:rsidRDefault="00B419CE" w:rsidP="00B419CE">
      <w:r w:rsidRPr="00B419CE">
        <w:t xml:space="preserve">Del rettidig leverte </w:t>
      </w:r>
      <w:proofErr w:type="spellStart"/>
      <w:r w:rsidRPr="00B419CE">
        <w:t>skattemeldingar</w:t>
      </w:r>
      <w:proofErr w:type="spellEnd"/>
      <w:r w:rsidRPr="00B419CE">
        <w:t xml:space="preserve"> </w:t>
      </w:r>
      <w:proofErr w:type="spellStart"/>
      <w:r w:rsidRPr="00B419CE">
        <w:t>frå</w:t>
      </w:r>
      <w:proofErr w:type="spellEnd"/>
      <w:r w:rsidRPr="00B419CE">
        <w:t xml:space="preserve"> </w:t>
      </w:r>
      <w:proofErr w:type="spellStart"/>
      <w:r w:rsidRPr="00B419CE">
        <w:t>næringsdrivande</w:t>
      </w:r>
      <w:proofErr w:type="spellEnd"/>
      <w:r w:rsidRPr="00B419CE">
        <w:t xml:space="preserve"> </w:t>
      </w:r>
      <w:proofErr w:type="spellStart"/>
      <w:r w:rsidRPr="00B419CE">
        <w:t>personar</w:t>
      </w:r>
      <w:proofErr w:type="spellEnd"/>
      <w:r w:rsidRPr="00B419CE">
        <w:t xml:space="preserve"> og selskap har </w:t>
      </w:r>
      <w:proofErr w:type="spellStart"/>
      <w:r w:rsidRPr="00B419CE">
        <w:t>vore</w:t>
      </w:r>
      <w:proofErr w:type="spellEnd"/>
      <w:r w:rsidRPr="00B419CE">
        <w:t xml:space="preserve"> </w:t>
      </w:r>
      <w:proofErr w:type="spellStart"/>
      <w:r w:rsidRPr="00B419CE">
        <w:t>lågare</w:t>
      </w:r>
      <w:proofErr w:type="spellEnd"/>
      <w:r w:rsidRPr="00B419CE">
        <w:t xml:space="preserve"> i 2020 enn i 2019, </w:t>
      </w:r>
      <w:proofErr w:type="spellStart"/>
      <w:r w:rsidRPr="00B419CE">
        <w:t>sjølv</w:t>
      </w:r>
      <w:proofErr w:type="spellEnd"/>
      <w:r w:rsidRPr="00B419CE">
        <w:t xml:space="preserve"> om fristen for levering vart utsett </w:t>
      </w:r>
      <w:proofErr w:type="spellStart"/>
      <w:r w:rsidRPr="00B419CE">
        <w:t>frå</w:t>
      </w:r>
      <w:proofErr w:type="spellEnd"/>
      <w:r w:rsidRPr="00B419CE">
        <w:t xml:space="preserve"> 31. mai til 31. august som </w:t>
      </w:r>
      <w:proofErr w:type="spellStart"/>
      <w:r w:rsidRPr="00B419CE">
        <w:t>følgje</w:t>
      </w:r>
      <w:proofErr w:type="spellEnd"/>
      <w:r w:rsidRPr="00B419CE">
        <w:t xml:space="preserve"> av koronapandemien. Del rettidig leverte </w:t>
      </w:r>
      <w:proofErr w:type="spellStart"/>
      <w:r w:rsidRPr="00B419CE">
        <w:t>mva-meldingar</w:t>
      </w:r>
      <w:proofErr w:type="spellEnd"/>
      <w:r w:rsidRPr="00B419CE">
        <w:t xml:space="preserve"> vart òg redusert. Den negative utviklinga har </w:t>
      </w:r>
      <w:proofErr w:type="spellStart"/>
      <w:r w:rsidRPr="00B419CE">
        <w:t>truleg</w:t>
      </w:r>
      <w:proofErr w:type="spellEnd"/>
      <w:r w:rsidRPr="00B419CE">
        <w:t xml:space="preserve"> </w:t>
      </w:r>
      <w:proofErr w:type="spellStart"/>
      <w:r w:rsidRPr="00B419CE">
        <w:t>samanheng</w:t>
      </w:r>
      <w:proofErr w:type="spellEnd"/>
      <w:r w:rsidRPr="00B419CE">
        <w:t xml:space="preserve"> med </w:t>
      </w:r>
      <w:proofErr w:type="spellStart"/>
      <w:r w:rsidRPr="00B419CE">
        <w:t>dei</w:t>
      </w:r>
      <w:proofErr w:type="spellEnd"/>
      <w:r w:rsidRPr="00B419CE">
        <w:t xml:space="preserve"> økonomiske verknadene koronapandemien har hatt på samfunnet og avgjerda om å </w:t>
      </w:r>
      <w:proofErr w:type="spellStart"/>
      <w:r w:rsidRPr="00B419CE">
        <w:t>ikkje</w:t>
      </w:r>
      <w:proofErr w:type="spellEnd"/>
      <w:r w:rsidRPr="00B419CE">
        <w:t xml:space="preserve"> </w:t>
      </w:r>
      <w:proofErr w:type="spellStart"/>
      <w:r w:rsidRPr="00B419CE">
        <w:t>ileggje</w:t>
      </w:r>
      <w:proofErr w:type="spellEnd"/>
      <w:r w:rsidRPr="00B419CE">
        <w:t xml:space="preserve"> tvangsmulkt for forsinka skattemelding i 2020. Skatteetaten har innvilga ei </w:t>
      </w:r>
      <w:proofErr w:type="spellStart"/>
      <w:r w:rsidRPr="00B419CE">
        <w:t>rekkje</w:t>
      </w:r>
      <w:proofErr w:type="spellEnd"/>
      <w:r w:rsidRPr="00B419CE">
        <w:t xml:space="preserve"> utsette </w:t>
      </w:r>
      <w:proofErr w:type="spellStart"/>
      <w:r w:rsidRPr="00B419CE">
        <w:t>betalingar</w:t>
      </w:r>
      <w:proofErr w:type="spellEnd"/>
      <w:r w:rsidRPr="00B419CE">
        <w:t xml:space="preserve"> i 2020 på grunn av pandemien. Per 18. august 2021 var det innvilga om lag 41 000 søknader om </w:t>
      </w:r>
      <w:proofErr w:type="spellStart"/>
      <w:r w:rsidRPr="00B419CE">
        <w:t>betalingsutsetjingar</w:t>
      </w:r>
      <w:proofErr w:type="spellEnd"/>
      <w:r w:rsidRPr="00B419CE">
        <w:t xml:space="preserve">. Delen rettidige </w:t>
      </w:r>
      <w:proofErr w:type="spellStart"/>
      <w:r w:rsidRPr="00B419CE">
        <w:t>innbetalingar</w:t>
      </w:r>
      <w:proofErr w:type="spellEnd"/>
      <w:r w:rsidRPr="00B419CE">
        <w:t xml:space="preserve"> vil </w:t>
      </w:r>
      <w:proofErr w:type="spellStart"/>
      <w:r w:rsidRPr="00B419CE">
        <w:t>difor</w:t>
      </w:r>
      <w:proofErr w:type="spellEnd"/>
      <w:r w:rsidRPr="00B419CE">
        <w:t xml:space="preserve"> </w:t>
      </w:r>
      <w:proofErr w:type="spellStart"/>
      <w:r w:rsidRPr="00B419CE">
        <w:t>verte</w:t>
      </w:r>
      <w:proofErr w:type="spellEnd"/>
      <w:r w:rsidRPr="00B419CE">
        <w:t xml:space="preserve"> redusert òg i 2021 og kan hende i 2022 òg. Det er òg grunn til å tru at </w:t>
      </w:r>
      <w:proofErr w:type="spellStart"/>
      <w:r w:rsidRPr="00B419CE">
        <w:t>talet</w:t>
      </w:r>
      <w:proofErr w:type="spellEnd"/>
      <w:r w:rsidRPr="00B419CE">
        <w:t xml:space="preserve"> på </w:t>
      </w:r>
      <w:proofErr w:type="spellStart"/>
      <w:r w:rsidRPr="00B419CE">
        <w:t>konkursar</w:t>
      </w:r>
      <w:proofErr w:type="spellEnd"/>
      <w:r w:rsidRPr="00B419CE">
        <w:t xml:space="preserve"> vil </w:t>
      </w:r>
      <w:proofErr w:type="spellStart"/>
      <w:r w:rsidRPr="00B419CE">
        <w:t>auke</w:t>
      </w:r>
      <w:proofErr w:type="spellEnd"/>
      <w:r w:rsidRPr="00B419CE">
        <w:t xml:space="preserve"> når </w:t>
      </w:r>
      <w:proofErr w:type="spellStart"/>
      <w:r w:rsidRPr="00B419CE">
        <w:t>dei</w:t>
      </w:r>
      <w:proofErr w:type="spellEnd"/>
      <w:r w:rsidRPr="00B419CE">
        <w:t xml:space="preserve"> </w:t>
      </w:r>
      <w:proofErr w:type="spellStart"/>
      <w:r w:rsidRPr="00B419CE">
        <w:lastRenderedPageBreak/>
        <w:t>mellombelse</w:t>
      </w:r>
      <w:proofErr w:type="spellEnd"/>
      <w:r w:rsidRPr="00B419CE">
        <w:t xml:space="preserve"> </w:t>
      </w:r>
      <w:proofErr w:type="spellStart"/>
      <w:r w:rsidRPr="00B419CE">
        <w:t>betalingsutsetjingane</w:t>
      </w:r>
      <w:proofErr w:type="spellEnd"/>
      <w:r w:rsidRPr="00B419CE">
        <w:t xml:space="preserve"> </w:t>
      </w:r>
      <w:proofErr w:type="spellStart"/>
      <w:r w:rsidRPr="00B419CE">
        <w:t>forfell</w:t>
      </w:r>
      <w:proofErr w:type="spellEnd"/>
      <w:r w:rsidRPr="00B419CE">
        <w:t xml:space="preserve">. Etaten har sett i verk tiltak for å handtere </w:t>
      </w:r>
      <w:proofErr w:type="spellStart"/>
      <w:r w:rsidRPr="00B419CE">
        <w:t>innkrevjinga</w:t>
      </w:r>
      <w:proofErr w:type="spellEnd"/>
      <w:r w:rsidRPr="00B419CE">
        <w:t xml:space="preserve"> av </w:t>
      </w:r>
      <w:proofErr w:type="gramStart"/>
      <w:r w:rsidRPr="00B419CE">
        <w:t>utsette</w:t>
      </w:r>
      <w:proofErr w:type="gramEnd"/>
      <w:r w:rsidRPr="00B419CE">
        <w:t xml:space="preserve"> </w:t>
      </w:r>
      <w:proofErr w:type="spellStart"/>
      <w:r w:rsidRPr="00B419CE">
        <w:t>skattar</w:t>
      </w:r>
      <w:proofErr w:type="spellEnd"/>
      <w:r w:rsidRPr="00B419CE">
        <w:t xml:space="preserve"> og avgifter framover.</w:t>
      </w:r>
    </w:p>
    <w:p w14:paraId="57CDD8A5" w14:textId="77777777" w:rsidR="00B419CE" w:rsidRPr="00B419CE" w:rsidRDefault="00B419CE" w:rsidP="00B419CE">
      <w:r w:rsidRPr="00B419CE">
        <w:t xml:space="preserve">Kvaliteten på innrapporterte grunnlagsdata som vert leverte som grunnlag for den </w:t>
      </w:r>
      <w:proofErr w:type="spellStart"/>
      <w:r w:rsidRPr="00B419CE">
        <w:t>førehandsutfylte</w:t>
      </w:r>
      <w:proofErr w:type="spellEnd"/>
      <w:r w:rsidRPr="00B419CE">
        <w:t xml:space="preserve"> </w:t>
      </w:r>
      <w:proofErr w:type="spellStart"/>
      <w:r w:rsidRPr="00B419CE">
        <w:t>skattemeldinga</w:t>
      </w:r>
      <w:proofErr w:type="spellEnd"/>
      <w:r w:rsidRPr="00B419CE">
        <w:t xml:space="preserve">, har </w:t>
      </w:r>
      <w:proofErr w:type="spellStart"/>
      <w:r w:rsidRPr="00B419CE">
        <w:t>vore</w:t>
      </w:r>
      <w:proofErr w:type="spellEnd"/>
      <w:r w:rsidRPr="00B419CE">
        <w:t xml:space="preserve"> god. Del rettidig betaling på skatt- og </w:t>
      </w:r>
      <w:proofErr w:type="spellStart"/>
      <w:r w:rsidRPr="00B419CE">
        <w:t>meirverdiavgiftsområdet</w:t>
      </w:r>
      <w:proofErr w:type="spellEnd"/>
      <w:r w:rsidRPr="00B419CE">
        <w:t xml:space="preserve"> viser ei </w:t>
      </w:r>
      <w:proofErr w:type="gramStart"/>
      <w:r w:rsidRPr="00B419CE">
        <w:t>betre etterleving</w:t>
      </w:r>
      <w:proofErr w:type="gramEnd"/>
      <w:r w:rsidRPr="00B419CE">
        <w:t xml:space="preserve"> enn året før. Som </w:t>
      </w:r>
      <w:proofErr w:type="spellStart"/>
      <w:r w:rsidRPr="00B419CE">
        <w:t>tidlegare</w:t>
      </w:r>
      <w:proofErr w:type="spellEnd"/>
      <w:r w:rsidRPr="00B419CE">
        <w:t xml:space="preserve"> år er det </w:t>
      </w:r>
      <w:proofErr w:type="spellStart"/>
      <w:r w:rsidRPr="00B419CE">
        <w:t>noko</w:t>
      </w:r>
      <w:proofErr w:type="spellEnd"/>
      <w:r w:rsidRPr="00B419CE">
        <w:t xml:space="preserve"> variasjon mellom </w:t>
      </w:r>
      <w:proofErr w:type="spellStart"/>
      <w:r w:rsidRPr="00B419CE">
        <w:t>dei</w:t>
      </w:r>
      <w:proofErr w:type="spellEnd"/>
      <w:r w:rsidRPr="00B419CE">
        <w:t xml:space="preserve"> ulike </w:t>
      </w:r>
      <w:proofErr w:type="spellStart"/>
      <w:r w:rsidRPr="00B419CE">
        <w:t>kravtypane</w:t>
      </w:r>
      <w:proofErr w:type="spellEnd"/>
      <w:r w:rsidRPr="00B419CE">
        <w:t xml:space="preserve">. Del rettidig betalt har </w:t>
      </w:r>
      <w:proofErr w:type="spellStart"/>
      <w:r w:rsidRPr="00B419CE">
        <w:t>auka</w:t>
      </w:r>
      <w:proofErr w:type="spellEnd"/>
      <w:r w:rsidRPr="00B419CE">
        <w:t xml:space="preserve"> for </w:t>
      </w:r>
      <w:proofErr w:type="spellStart"/>
      <w:r w:rsidRPr="00B419CE">
        <w:t>forskotstrekk</w:t>
      </w:r>
      <w:proofErr w:type="spellEnd"/>
      <w:r w:rsidRPr="00B419CE">
        <w:t xml:space="preserve">, </w:t>
      </w:r>
      <w:proofErr w:type="spellStart"/>
      <w:r w:rsidRPr="00B419CE">
        <w:t>arbeidsgjevaravgift</w:t>
      </w:r>
      <w:proofErr w:type="spellEnd"/>
      <w:r w:rsidRPr="00B419CE">
        <w:t xml:space="preserve"> og restskatt for </w:t>
      </w:r>
      <w:proofErr w:type="spellStart"/>
      <w:r w:rsidRPr="00B419CE">
        <w:t>upersonlege</w:t>
      </w:r>
      <w:proofErr w:type="spellEnd"/>
      <w:r w:rsidRPr="00B419CE">
        <w:t xml:space="preserve"> </w:t>
      </w:r>
      <w:proofErr w:type="spellStart"/>
      <w:r w:rsidRPr="00B419CE">
        <w:t>skatteytarar</w:t>
      </w:r>
      <w:proofErr w:type="spellEnd"/>
      <w:r w:rsidRPr="00B419CE">
        <w:t xml:space="preserve">, men har gått </w:t>
      </w:r>
      <w:proofErr w:type="spellStart"/>
      <w:r w:rsidRPr="00B419CE">
        <w:t>noko</w:t>
      </w:r>
      <w:proofErr w:type="spellEnd"/>
      <w:r w:rsidRPr="00B419CE">
        <w:t xml:space="preserve"> ned for </w:t>
      </w:r>
      <w:proofErr w:type="spellStart"/>
      <w:r w:rsidRPr="00B419CE">
        <w:t>dei</w:t>
      </w:r>
      <w:proofErr w:type="spellEnd"/>
      <w:r w:rsidRPr="00B419CE">
        <w:t xml:space="preserve"> andre skattartene og for </w:t>
      </w:r>
      <w:proofErr w:type="spellStart"/>
      <w:r w:rsidRPr="00B419CE">
        <w:t>meirverdiavgifta</w:t>
      </w:r>
      <w:proofErr w:type="spellEnd"/>
      <w:r w:rsidRPr="00B419CE">
        <w:t>.</w:t>
      </w:r>
    </w:p>
    <w:p w14:paraId="0EFD1A8B" w14:textId="77777777" w:rsidR="00B419CE" w:rsidRPr="00B419CE" w:rsidRDefault="00B419CE" w:rsidP="00B419CE">
      <w:pPr>
        <w:pStyle w:val="avsnitt-undertittel"/>
      </w:pPr>
      <w:r w:rsidRPr="00B419CE">
        <w:t>Opplevd oppdagingsrisiko</w:t>
      </w:r>
    </w:p>
    <w:p w14:paraId="1EF00FDA" w14:textId="77777777" w:rsidR="00B419CE" w:rsidRPr="00B419CE" w:rsidRDefault="00B419CE" w:rsidP="00B419CE">
      <w:r w:rsidRPr="00B419CE">
        <w:t xml:space="preserve">Skatteetaten gjennomfører </w:t>
      </w:r>
      <w:proofErr w:type="spellStart"/>
      <w:r w:rsidRPr="00B419CE">
        <w:t>årleg</w:t>
      </w:r>
      <w:proofErr w:type="spellEnd"/>
      <w:r w:rsidRPr="00B419CE">
        <w:t xml:space="preserve"> på våren ei </w:t>
      </w:r>
      <w:proofErr w:type="spellStart"/>
      <w:r w:rsidRPr="00B419CE">
        <w:t>spørjeundersøking</w:t>
      </w:r>
      <w:proofErr w:type="spellEnd"/>
      <w:r w:rsidRPr="00B419CE">
        <w:t xml:space="preserve"> (</w:t>
      </w:r>
      <w:proofErr w:type="spellStart"/>
      <w:r w:rsidRPr="00B419CE">
        <w:t>Sero</w:t>
      </w:r>
      <w:proofErr w:type="spellEnd"/>
      <w:r w:rsidRPr="00B419CE">
        <w:t xml:space="preserve">) som mellom anna måler opplevd oppdagingsrisiko hos </w:t>
      </w:r>
      <w:proofErr w:type="spellStart"/>
      <w:r w:rsidRPr="00B419CE">
        <w:t>eit</w:t>
      </w:r>
      <w:proofErr w:type="spellEnd"/>
      <w:r w:rsidRPr="00B419CE">
        <w:t xml:space="preserve"> </w:t>
      </w:r>
      <w:proofErr w:type="spellStart"/>
      <w:r w:rsidRPr="00B419CE">
        <w:t>utval</w:t>
      </w:r>
      <w:proofErr w:type="spellEnd"/>
      <w:r w:rsidRPr="00B419CE">
        <w:t xml:space="preserve"> </w:t>
      </w:r>
      <w:proofErr w:type="spellStart"/>
      <w:r w:rsidRPr="00B419CE">
        <w:t>verksemder</w:t>
      </w:r>
      <w:proofErr w:type="spellEnd"/>
      <w:r w:rsidRPr="00B419CE">
        <w:t xml:space="preserve">. Delen som opplever liten eller svært liten oppdagingsrisiko ved å </w:t>
      </w:r>
      <w:proofErr w:type="spellStart"/>
      <w:r w:rsidRPr="00B419CE">
        <w:t>ikkje</w:t>
      </w:r>
      <w:proofErr w:type="spellEnd"/>
      <w:r w:rsidRPr="00B419CE">
        <w:t xml:space="preserve"> rapportere alle </w:t>
      </w:r>
      <w:proofErr w:type="spellStart"/>
      <w:r w:rsidRPr="00B419CE">
        <w:t>skattar</w:t>
      </w:r>
      <w:proofErr w:type="spellEnd"/>
      <w:r w:rsidRPr="00B419CE">
        <w:t xml:space="preserve"> og avgifter, var 25 pst. i 2020. Dette er om lag same resultat som </w:t>
      </w:r>
      <w:proofErr w:type="spellStart"/>
      <w:r w:rsidRPr="00B419CE">
        <w:t>dei</w:t>
      </w:r>
      <w:proofErr w:type="spellEnd"/>
      <w:r w:rsidRPr="00B419CE">
        <w:t xml:space="preserve"> fire åra før. Grunna </w:t>
      </w:r>
      <w:proofErr w:type="spellStart"/>
      <w:r w:rsidRPr="00B419CE">
        <w:t>ynskje</w:t>
      </w:r>
      <w:proofErr w:type="spellEnd"/>
      <w:r w:rsidRPr="00B419CE">
        <w:t xml:space="preserve"> om </w:t>
      </w:r>
      <w:proofErr w:type="spellStart"/>
      <w:r w:rsidRPr="00B419CE">
        <w:t>auka</w:t>
      </w:r>
      <w:proofErr w:type="spellEnd"/>
      <w:r w:rsidRPr="00B419CE">
        <w:t xml:space="preserve"> innsikt om </w:t>
      </w:r>
      <w:proofErr w:type="spellStart"/>
      <w:r w:rsidRPr="00B419CE">
        <w:t>haldningar</w:t>
      </w:r>
      <w:proofErr w:type="spellEnd"/>
      <w:r w:rsidRPr="00B419CE">
        <w:t xml:space="preserve"> i næringslivet under </w:t>
      </w:r>
      <w:proofErr w:type="spellStart"/>
      <w:r w:rsidRPr="00B419CE">
        <w:t>ein</w:t>
      </w:r>
      <w:proofErr w:type="spellEnd"/>
      <w:r w:rsidRPr="00B419CE">
        <w:t xml:space="preserve"> krisesituasjon, vart det i tillegg gjennomført ei undersøking </w:t>
      </w:r>
      <w:proofErr w:type="spellStart"/>
      <w:r w:rsidRPr="00B419CE">
        <w:t>hausten</w:t>
      </w:r>
      <w:proofErr w:type="spellEnd"/>
      <w:r w:rsidRPr="00B419CE">
        <w:t xml:space="preserve"> 2020. Resultata </w:t>
      </w:r>
      <w:proofErr w:type="spellStart"/>
      <w:r w:rsidRPr="00B419CE">
        <w:t>frå</w:t>
      </w:r>
      <w:proofErr w:type="spellEnd"/>
      <w:r w:rsidRPr="00B419CE">
        <w:t xml:space="preserve"> </w:t>
      </w:r>
      <w:proofErr w:type="spellStart"/>
      <w:r w:rsidRPr="00B419CE">
        <w:t>dei</w:t>
      </w:r>
      <w:proofErr w:type="spellEnd"/>
      <w:r w:rsidRPr="00B419CE">
        <w:t xml:space="preserve"> to </w:t>
      </w:r>
      <w:proofErr w:type="spellStart"/>
      <w:r w:rsidRPr="00B419CE">
        <w:t>undersøkingane</w:t>
      </w:r>
      <w:proofErr w:type="spellEnd"/>
      <w:r w:rsidRPr="00B419CE">
        <w:t xml:space="preserve"> viser </w:t>
      </w:r>
      <w:proofErr w:type="spellStart"/>
      <w:r w:rsidRPr="00B419CE">
        <w:t>ein</w:t>
      </w:r>
      <w:proofErr w:type="spellEnd"/>
      <w:r w:rsidRPr="00B419CE">
        <w:t xml:space="preserve"> </w:t>
      </w:r>
      <w:proofErr w:type="spellStart"/>
      <w:r w:rsidRPr="00B419CE">
        <w:t>klårt</w:t>
      </w:r>
      <w:proofErr w:type="spellEnd"/>
      <w:r w:rsidRPr="00B419CE">
        <w:t xml:space="preserve"> </w:t>
      </w:r>
      <w:proofErr w:type="spellStart"/>
      <w:r w:rsidRPr="00B419CE">
        <w:t>høgare</w:t>
      </w:r>
      <w:proofErr w:type="spellEnd"/>
      <w:r w:rsidRPr="00B419CE">
        <w:t xml:space="preserve"> del som opplever liten risiko for å </w:t>
      </w:r>
      <w:proofErr w:type="spellStart"/>
      <w:r w:rsidRPr="00B419CE">
        <w:t>verte</w:t>
      </w:r>
      <w:proofErr w:type="spellEnd"/>
      <w:r w:rsidRPr="00B419CE">
        <w:t xml:space="preserve"> oppdaga i </w:t>
      </w:r>
      <w:proofErr w:type="spellStart"/>
      <w:r w:rsidRPr="00B419CE">
        <w:t>laupet</w:t>
      </w:r>
      <w:proofErr w:type="spellEnd"/>
      <w:r w:rsidRPr="00B419CE">
        <w:t xml:space="preserve"> av 2020 – </w:t>
      </w:r>
      <w:proofErr w:type="spellStart"/>
      <w:r w:rsidRPr="00B419CE">
        <w:t>frå</w:t>
      </w:r>
      <w:proofErr w:type="spellEnd"/>
      <w:r w:rsidRPr="00B419CE">
        <w:t xml:space="preserve"> 25 pst. på våren til 30 pst. på </w:t>
      </w:r>
      <w:proofErr w:type="spellStart"/>
      <w:r w:rsidRPr="00B419CE">
        <w:t>hausten</w:t>
      </w:r>
      <w:proofErr w:type="spellEnd"/>
      <w:r w:rsidRPr="00B419CE">
        <w:t xml:space="preserve">. Skatteetaten vil </w:t>
      </w:r>
      <w:proofErr w:type="spellStart"/>
      <w:r w:rsidRPr="00B419CE">
        <w:t>følgje</w:t>
      </w:r>
      <w:proofErr w:type="spellEnd"/>
      <w:r w:rsidRPr="00B419CE">
        <w:t xml:space="preserve"> opp utviklinga framover.</w:t>
      </w:r>
    </w:p>
    <w:p w14:paraId="7A9CF15D" w14:textId="77777777" w:rsidR="00B419CE" w:rsidRPr="00B419CE" w:rsidRDefault="00B419CE" w:rsidP="00B419CE">
      <w:r w:rsidRPr="00B419CE">
        <w:t xml:space="preserve">I </w:t>
      </w:r>
      <w:proofErr w:type="spellStart"/>
      <w:r w:rsidRPr="00B419CE">
        <w:t>Sero-undersøkingane</w:t>
      </w:r>
      <w:proofErr w:type="spellEnd"/>
      <w:r w:rsidRPr="00B419CE">
        <w:t xml:space="preserve"> vert òg opplevd oppdagingsrisiko i ulike </w:t>
      </w:r>
      <w:proofErr w:type="spellStart"/>
      <w:r w:rsidRPr="00B419CE">
        <w:t>bransjar</w:t>
      </w:r>
      <w:proofErr w:type="spellEnd"/>
      <w:r w:rsidRPr="00B419CE">
        <w:t xml:space="preserve"> målt. Bygge- og anleggsbransjen er den bransjen som, i samsvar med 2019-resultata, har </w:t>
      </w:r>
      <w:proofErr w:type="spellStart"/>
      <w:r w:rsidRPr="00B419CE">
        <w:t>oppgjeve</w:t>
      </w:r>
      <w:proofErr w:type="spellEnd"/>
      <w:r w:rsidRPr="00B419CE">
        <w:t xml:space="preserve"> </w:t>
      </w:r>
      <w:proofErr w:type="spellStart"/>
      <w:r w:rsidRPr="00B419CE">
        <w:t>lågast</w:t>
      </w:r>
      <w:proofErr w:type="spellEnd"/>
      <w:r w:rsidRPr="00B419CE">
        <w:t xml:space="preserve"> risiko for å </w:t>
      </w:r>
      <w:proofErr w:type="spellStart"/>
      <w:r w:rsidRPr="00B419CE">
        <w:t>verte</w:t>
      </w:r>
      <w:proofErr w:type="spellEnd"/>
      <w:r w:rsidRPr="00B419CE">
        <w:t xml:space="preserve"> oppdaga. Denne bransjen har </w:t>
      </w:r>
      <w:proofErr w:type="spellStart"/>
      <w:r w:rsidRPr="00B419CE">
        <w:t>vore</w:t>
      </w:r>
      <w:proofErr w:type="spellEnd"/>
      <w:r w:rsidRPr="00B419CE">
        <w:t xml:space="preserve"> ei prioritert målgruppe i arbeidet mot arbeidslivskriminalitet.</w:t>
      </w:r>
    </w:p>
    <w:p w14:paraId="71E46E73" w14:textId="77777777" w:rsidR="00B419CE" w:rsidRPr="00B419CE" w:rsidRDefault="00B419CE" w:rsidP="00B419CE">
      <w:r w:rsidRPr="00B419CE">
        <w:t xml:space="preserve">Ei undersøking av </w:t>
      </w:r>
      <w:proofErr w:type="spellStart"/>
      <w:r w:rsidRPr="00B419CE">
        <w:t>proffmarknaden</w:t>
      </w:r>
      <w:proofErr w:type="spellEnd"/>
      <w:r w:rsidRPr="00B419CE">
        <w:t xml:space="preserve"> i bygg og anlegg viser at </w:t>
      </w:r>
      <w:proofErr w:type="spellStart"/>
      <w:r w:rsidRPr="00B419CE">
        <w:t>klårt</w:t>
      </w:r>
      <w:proofErr w:type="spellEnd"/>
      <w:r w:rsidRPr="00B419CE">
        <w:t xml:space="preserve"> færre i bransjen opplever svart arbeid og arbeidslivskriminalitet som svært </w:t>
      </w:r>
      <w:proofErr w:type="spellStart"/>
      <w:r w:rsidRPr="00B419CE">
        <w:t>vanleg</w:t>
      </w:r>
      <w:proofErr w:type="spellEnd"/>
      <w:r w:rsidRPr="00B419CE">
        <w:t xml:space="preserve"> eller ganske </w:t>
      </w:r>
      <w:proofErr w:type="spellStart"/>
      <w:r w:rsidRPr="00B419CE">
        <w:t>vanleg</w:t>
      </w:r>
      <w:proofErr w:type="spellEnd"/>
      <w:r w:rsidRPr="00B419CE">
        <w:t xml:space="preserve"> i 2020 enn i 2015. Resultata </w:t>
      </w:r>
      <w:proofErr w:type="spellStart"/>
      <w:r w:rsidRPr="00B419CE">
        <w:t>frå</w:t>
      </w:r>
      <w:proofErr w:type="spellEnd"/>
      <w:r w:rsidRPr="00B419CE">
        <w:t xml:space="preserve"> </w:t>
      </w:r>
      <w:proofErr w:type="spellStart"/>
      <w:r w:rsidRPr="00B419CE">
        <w:t>desse</w:t>
      </w:r>
      <w:proofErr w:type="spellEnd"/>
      <w:r w:rsidRPr="00B419CE">
        <w:t xml:space="preserve"> </w:t>
      </w:r>
      <w:proofErr w:type="spellStart"/>
      <w:r w:rsidRPr="00B419CE">
        <w:t>undersøkingane</w:t>
      </w:r>
      <w:proofErr w:type="spellEnd"/>
      <w:r w:rsidRPr="00B419CE">
        <w:t xml:space="preserve"> bør </w:t>
      </w:r>
      <w:proofErr w:type="spellStart"/>
      <w:r w:rsidRPr="00B419CE">
        <w:t>vurderast</w:t>
      </w:r>
      <w:proofErr w:type="spellEnd"/>
      <w:r w:rsidRPr="00B419CE">
        <w:t xml:space="preserve"> over tid før </w:t>
      </w:r>
      <w:proofErr w:type="spellStart"/>
      <w:r w:rsidRPr="00B419CE">
        <w:t>ein</w:t>
      </w:r>
      <w:proofErr w:type="spellEnd"/>
      <w:r w:rsidRPr="00B419CE">
        <w:t xml:space="preserve"> kan </w:t>
      </w:r>
      <w:proofErr w:type="spellStart"/>
      <w:r w:rsidRPr="00B419CE">
        <w:t>trekkje</w:t>
      </w:r>
      <w:proofErr w:type="spellEnd"/>
      <w:r w:rsidRPr="00B419CE">
        <w:t xml:space="preserve"> </w:t>
      </w:r>
      <w:proofErr w:type="spellStart"/>
      <w:r w:rsidRPr="00B419CE">
        <w:t>klåre</w:t>
      </w:r>
      <w:proofErr w:type="spellEnd"/>
      <w:r w:rsidRPr="00B419CE">
        <w:t xml:space="preserve"> </w:t>
      </w:r>
      <w:proofErr w:type="spellStart"/>
      <w:r w:rsidRPr="00B419CE">
        <w:t>konklusjonar</w:t>
      </w:r>
      <w:proofErr w:type="spellEnd"/>
      <w:r w:rsidRPr="00B419CE">
        <w:t xml:space="preserve"> om utviklinga.</w:t>
      </w:r>
    </w:p>
    <w:p w14:paraId="636E20BF" w14:textId="77777777" w:rsidR="00B419CE" w:rsidRPr="00B419CE" w:rsidRDefault="00B419CE" w:rsidP="00B419CE">
      <w:r w:rsidRPr="00B419CE">
        <w:t xml:space="preserve">Skatteetaten har i 2020 arbeidd </w:t>
      </w:r>
      <w:proofErr w:type="spellStart"/>
      <w:r w:rsidRPr="00B419CE">
        <w:t>mykje</w:t>
      </w:r>
      <w:proofErr w:type="spellEnd"/>
      <w:r w:rsidRPr="00B419CE">
        <w:t xml:space="preserve"> med oppfølging av regjeringa sin strategi mot arbeidslivskriminalitet. Måla for dette arbeidet er å redusere kapasitet og intensjon </w:t>
      </w:r>
      <w:proofErr w:type="spellStart"/>
      <w:r w:rsidRPr="00B419CE">
        <w:t>monaleg</w:t>
      </w:r>
      <w:proofErr w:type="spellEnd"/>
      <w:r w:rsidRPr="00B419CE">
        <w:t xml:space="preserve"> hos sentrale </w:t>
      </w:r>
      <w:proofErr w:type="spellStart"/>
      <w:r w:rsidRPr="00B419CE">
        <w:t>trusselaktørar</w:t>
      </w:r>
      <w:proofErr w:type="spellEnd"/>
      <w:r w:rsidRPr="00B419CE">
        <w:t xml:space="preserve">, </w:t>
      </w:r>
      <w:proofErr w:type="spellStart"/>
      <w:r w:rsidRPr="00B419CE">
        <w:t>setje</w:t>
      </w:r>
      <w:proofErr w:type="spellEnd"/>
      <w:r w:rsidRPr="00B419CE">
        <w:t xml:space="preserve"> </w:t>
      </w:r>
      <w:proofErr w:type="spellStart"/>
      <w:r w:rsidRPr="00B419CE">
        <w:t>utanlandske</w:t>
      </w:r>
      <w:proofErr w:type="spellEnd"/>
      <w:r w:rsidRPr="00B419CE">
        <w:t xml:space="preserve"> </w:t>
      </w:r>
      <w:proofErr w:type="spellStart"/>
      <w:r w:rsidRPr="00B419CE">
        <w:t>arbeidstakarar</w:t>
      </w:r>
      <w:proofErr w:type="spellEnd"/>
      <w:r w:rsidRPr="00B419CE">
        <w:t xml:space="preserve"> i stand til å ivareta sine </w:t>
      </w:r>
      <w:proofErr w:type="spellStart"/>
      <w:r w:rsidRPr="00B419CE">
        <w:t>rettar</w:t>
      </w:r>
      <w:proofErr w:type="spellEnd"/>
      <w:r w:rsidRPr="00B419CE">
        <w:t xml:space="preserve"> og oppfylle sine plikter, samt sikre at </w:t>
      </w:r>
      <w:proofErr w:type="spellStart"/>
      <w:r w:rsidRPr="00B419CE">
        <w:t>oppdragsgjevarar</w:t>
      </w:r>
      <w:proofErr w:type="spellEnd"/>
      <w:r w:rsidRPr="00B419CE">
        <w:t xml:space="preserve"> og </w:t>
      </w:r>
      <w:proofErr w:type="spellStart"/>
      <w:r w:rsidRPr="00B419CE">
        <w:t>forbrukarar</w:t>
      </w:r>
      <w:proofErr w:type="spellEnd"/>
      <w:r w:rsidRPr="00B419CE">
        <w:t xml:space="preserve"> </w:t>
      </w:r>
      <w:proofErr w:type="spellStart"/>
      <w:r w:rsidRPr="00B419CE">
        <w:t>ikkje</w:t>
      </w:r>
      <w:proofErr w:type="spellEnd"/>
      <w:r w:rsidRPr="00B419CE">
        <w:t xml:space="preserve"> </w:t>
      </w:r>
      <w:proofErr w:type="spellStart"/>
      <w:r w:rsidRPr="00B419CE">
        <w:t>bidreg</w:t>
      </w:r>
      <w:proofErr w:type="spellEnd"/>
      <w:r w:rsidRPr="00B419CE">
        <w:t xml:space="preserve"> til a-krim ved kjøp av varer og </w:t>
      </w:r>
      <w:proofErr w:type="spellStart"/>
      <w:r w:rsidRPr="00B419CE">
        <w:t>tenester</w:t>
      </w:r>
      <w:proofErr w:type="spellEnd"/>
      <w:r w:rsidRPr="00B419CE">
        <w:t xml:space="preserve">. Etaten samarbeider med relevante </w:t>
      </w:r>
      <w:proofErr w:type="spellStart"/>
      <w:r w:rsidRPr="00B419CE">
        <w:t>etatar</w:t>
      </w:r>
      <w:proofErr w:type="spellEnd"/>
      <w:r w:rsidRPr="00B419CE">
        <w:t xml:space="preserve"> gjennom </w:t>
      </w:r>
      <w:proofErr w:type="spellStart"/>
      <w:r w:rsidRPr="00B419CE">
        <w:t>dei</w:t>
      </w:r>
      <w:proofErr w:type="spellEnd"/>
      <w:r w:rsidRPr="00B419CE">
        <w:t xml:space="preserve"> sju a-krimsentra og i Nasjonalt </w:t>
      </w:r>
      <w:proofErr w:type="spellStart"/>
      <w:r w:rsidRPr="00B419CE">
        <w:t>tverretatleg</w:t>
      </w:r>
      <w:proofErr w:type="spellEnd"/>
      <w:r w:rsidRPr="00B419CE">
        <w:t xml:space="preserve"> analysesenter (NTAES). I tillegg </w:t>
      </w:r>
      <w:proofErr w:type="spellStart"/>
      <w:r w:rsidRPr="00B419CE">
        <w:t>deltek</w:t>
      </w:r>
      <w:proofErr w:type="spellEnd"/>
      <w:r w:rsidRPr="00B419CE">
        <w:t xml:space="preserve"> etaten i internasjonale samarbeid.</w:t>
      </w:r>
    </w:p>
    <w:p w14:paraId="12EB19AE" w14:textId="77777777" w:rsidR="00B419CE" w:rsidRPr="00B419CE" w:rsidRDefault="00B419CE" w:rsidP="00B419CE">
      <w:pPr>
        <w:pStyle w:val="avsnitt-undertittel"/>
      </w:pPr>
      <w:r w:rsidRPr="00B419CE">
        <w:t xml:space="preserve">Ny skattemelding for </w:t>
      </w:r>
      <w:proofErr w:type="spellStart"/>
      <w:r w:rsidRPr="00B419CE">
        <w:t>lønstakarar</w:t>
      </w:r>
      <w:proofErr w:type="spellEnd"/>
      <w:r w:rsidRPr="00B419CE">
        <w:t xml:space="preserve"> og </w:t>
      </w:r>
      <w:proofErr w:type="spellStart"/>
      <w:r w:rsidRPr="00B419CE">
        <w:t>pensjonistar</w:t>
      </w:r>
      <w:proofErr w:type="spellEnd"/>
    </w:p>
    <w:p w14:paraId="6044D6F7" w14:textId="77777777" w:rsidR="00B419CE" w:rsidRPr="00B419CE" w:rsidRDefault="00B419CE" w:rsidP="00B419CE">
      <w:r w:rsidRPr="00B419CE">
        <w:t xml:space="preserve">Ny skattemelding for </w:t>
      </w:r>
      <w:proofErr w:type="spellStart"/>
      <w:r w:rsidRPr="00B419CE">
        <w:t>lønstakarar</w:t>
      </w:r>
      <w:proofErr w:type="spellEnd"/>
      <w:r w:rsidRPr="00B419CE">
        <w:t xml:space="preserve"> og </w:t>
      </w:r>
      <w:proofErr w:type="spellStart"/>
      <w:r w:rsidRPr="00B419CE">
        <w:t>pensjonistar</w:t>
      </w:r>
      <w:proofErr w:type="spellEnd"/>
      <w:r w:rsidRPr="00B419CE">
        <w:t xml:space="preserve"> vart, som </w:t>
      </w:r>
      <w:proofErr w:type="spellStart"/>
      <w:r w:rsidRPr="00B419CE">
        <w:t>ein</w:t>
      </w:r>
      <w:proofErr w:type="spellEnd"/>
      <w:r w:rsidRPr="00B419CE">
        <w:t xml:space="preserve"> del av Sirius-prosjektet, lansert i mars 2020 til 3,4 </w:t>
      </w:r>
      <w:proofErr w:type="spellStart"/>
      <w:r w:rsidRPr="00B419CE">
        <w:t>millionar</w:t>
      </w:r>
      <w:proofErr w:type="spellEnd"/>
      <w:r w:rsidRPr="00B419CE">
        <w:t xml:space="preserve"> skattepliktige. Den nye </w:t>
      </w:r>
      <w:proofErr w:type="spellStart"/>
      <w:r w:rsidRPr="00B419CE">
        <w:t>skattemeldinga</w:t>
      </w:r>
      <w:proofErr w:type="spellEnd"/>
      <w:r w:rsidRPr="00B419CE">
        <w:t xml:space="preserve"> har </w:t>
      </w:r>
      <w:proofErr w:type="spellStart"/>
      <w:r w:rsidRPr="00B419CE">
        <w:t>vore</w:t>
      </w:r>
      <w:proofErr w:type="spellEnd"/>
      <w:r w:rsidRPr="00B419CE">
        <w:t xml:space="preserve"> utvikla </w:t>
      </w:r>
      <w:proofErr w:type="spellStart"/>
      <w:r w:rsidRPr="00B419CE">
        <w:t>ytterlegare</w:t>
      </w:r>
      <w:proofErr w:type="spellEnd"/>
      <w:r w:rsidRPr="00B419CE">
        <w:t xml:space="preserve"> for inntektsåret 2020, og løysinga dekte 4,2 </w:t>
      </w:r>
      <w:proofErr w:type="spellStart"/>
      <w:r w:rsidRPr="00B419CE">
        <w:t>millionar</w:t>
      </w:r>
      <w:proofErr w:type="spellEnd"/>
      <w:r w:rsidRPr="00B419CE">
        <w:t xml:space="preserve"> skattepliktige dette inntektsåret. </w:t>
      </w:r>
      <w:proofErr w:type="spellStart"/>
      <w:r w:rsidRPr="00B419CE">
        <w:t>Førebelse</w:t>
      </w:r>
      <w:proofErr w:type="spellEnd"/>
      <w:r w:rsidRPr="00B419CE">
        <w:t xml:space="preserve"> </w:t>
      </w:r>
      <w:proofErr w:type="spellStart"/>
      <w:r w:rsidRPr="00B419CE">
        <w:t>erfaringar</w:t>
      </w:r>
      <w:proofErr w:type="spellEnd"/>
      <w:r w:rsidRPr="00B419CE">
        <w:t xml:space="preserve"> og </w:t>
      </w:r>
      <w:proofErr w:type="spellStart"/>
      <w:r w:rsidRPr="00B419CE">
        <w:t>vurderingar</w:t>
      </w:r>
      <w:proofErr w:type="spellEnd"/>
      <w:r w:rsidRPr="00B419CE">
        <w:t xml:space="preserve"> er at den nye </w:t>
      </w:r>
      <w:proofErr w:type="spellStart"/>
      <w:r w:rsidRPr="00B419CE">
        <w:t>skattemeldinga</w:t>
      </w:r>
      <w:proofErr w:type="spellEnd"/>
      <w:r w:rsidRPr="00B419CE">
        <w:t xml:space="preserve"> gjev forventa </w:t>
      </w:r>
      <w:proofErr w:type="spellStart"/>
      <w:r w:rsidRPr="00B419CE">
        <w:t>gevinstar</w:t>
      </w:r>
      <w:proofErr w:type="spellEnd"/>
      <w:r w:rsidRPr="00B419CE">
        <w:t xml:space="preserve">, mellom anna betre støtte til </w:t>
      </w:r>
      <w:proofErr w:type="spellStart"/>
      <w:r w:rsidRPr="00B419CE">
        <w:t>dei</w:t>
      </w:r>
      <w:proofErr w:type="spellEnd"/>
      <w:r w:rsidRPr="00B419CE">
        <w:t xml:space="preserve"> skattepliktige si </w:t>
      </w:r>
      <w:proofErr w:type="spellStart"/>
      <w:r w:rsidRPr="00B419CE">
        <w:t>eigenfastsetjing</w:t>
      </w:r>
      <w:proofErr w:type="spellEnd"/>
      <w:r w:rsidRPr="00B419CE">
        <w:t xml:space="preserve">, </w:t>
      </w:r>
      <w:proofErr w:type="spellStart"/>
      <w:r w:rsidRPr="00B419CE">
        <w:t>meir</w:t>
      </w:r>
      <w:proofErr w:type="spellEnd"/>
      <w:r w:rsidRPr="00B419CE">
        <w:t xml:space="preserve"> korrekte </w:t>
      </w:r>
      <w:proofErr w:type="spellStart"/>
      <w:r w:rsidRPr="00B419CE">
        <w:t>eigenfastsette</w:t>
      </w:r>
      <w:proofErr w:type="spellEnd"/>
      <w:r w:rsidRPr="00B419CE">
        <w:t xml:space="preserve"> </w:t>
      </w:r>
      <w:proofErr w:type="spellStart"/>
      <w:r w:rsidRPr="00B419CE">
        <w:t>skattemeldingar</w:t>
      </w:r>
      <w:proofErr w:type="spellEnd"/>
      <w:r w:rsidRPr="00B419CE">
        <w:t xml:space="preserve"> og redusert saksbehandlingsbehov.</w:t>
      </w:r>
    </w:p>
    <w:p w14:paraId="4BF7A8C2" w14:textId="77777777" w:rsidR="00B419CE" w:rsidRPr="00B419CE" w:rsidRDefault="00B419CE" w:rsidP="00B419CE">
      <w:pPr>
        <w:pStyle w:val="avsnitt-undertittel"/>
      </w:pPr>
      <w:r w:rsidRPr="00B419CE">
        <w:lastRenderedPageBreak/>
        <w:t xml:space="preserve">Ny løysing for </w:t>
      </w:r>
      <w:proofErr w:type="spellStart"/>
      <w:r w:rsidRPr="00B419CE">
        <w:t>mva</w:t>
      </w:r>
      <w:proofErr w:type="spellEnd"/>
      <w:r w:rsidRPr="00B419CE">
        <w:t>-registrering</w:t>
      </w:r>
    </w:p>
    <w:p w14:paraId="7711EAF2" w14:textId="77777777" w:rsidR="00B419CE" w:rsidRPr="00B419CE" w:rsidRDefault="00B419CE" w:rsidP="00B419CE">
      <w:r w:rsidRPr="00B419CE">
        <w:t xml:space="preserve">Som </w:t>
      </w:r>
      <w:proofErr w:type="spellStart"/>
      <w:r w:rsidRPr="00B419CE">
        <w:t>ein</w:t>
      </w:r>
      <w:proofErr w:type="spellEnd"/>
      <w:r w:rsidRPr="00B419CE">
        <w:t xml:space="preserve"> del av arbeidet med nytt IT-system for </w:t>
      </w:r>
      <w:proofErr w:type="spellStart"/>
      <w:r w:rsidRPr="00B419CE">
        <w:t>meirverdiavgift</w:t>
      </w:r>
      <w:proofErr w:type="spellEnd"/>
      <w:r w:rsidRPr="00B419CE">
        <w:t xml:space="preserve"> (Memo) vart </w:t>
      </w:r>
      <w:proofErr w:type="spellStart"/>
      <w:r w:rsidRPr="00B419CE">
        <w:t>ein</w:t>
      </w:r>
      <w:proofErr w:type="spellEnd"/>
      <w:r w:rsidRPr="00B419CE">
        <w:t xml:space="preserve"> fyrste versjon av ny løysing for </w:t>
      </w:r>
      <w:proofErr w:type="spellStart"/>
      <w:r w:rsidRPr="00B419CE">
        <w:t>meirverdiavgiftregistrering</w:t>
      </w:r>
      <w:proofErr w:type="spellEnd"/>
      <w:r w:rsidRPr="00B419CE">
        <w:t xml:space="preserve"> lansert i 2020, med </w:t>
      </w:r>
      <w:proofErr w:type="spellStart"/>
      <w:r w:rsidRPr="00B419CE">
        <w:t>tilhøyrande</w:t>
      </w:r>
      <w:proofErr w:type="spellEnd"/>
      <w:r w:rsidRPr="00B419CE">
        <w:t xml:space="preserve"> ny </w:t>
      </w:r>
      <w:proofErr w:type="spellStart"/>
      <w:r w:rsidRPr="00B419CE">
        <w:t>saksbehandlarløysing</w:t>
      </w:r>
      <w:proofErr w:type="spellEnd"/>
      <w:r w:rsidRPr="00B419CE">
        <w:t xml:space="preserve">. </w:t>
      </w:r>
      <w:proofErr w:type="spellStart"/>
      <w:r w:rsidRPr="00B419CE">
        <w:t>Sidan</w:t>
      </w:r>
      <w:proofErr w:type="spellEnd"/>
      <w:r w:rsidRPr="00B419CE">
        <w:t xml:space="preserve"> </w:t>
      </w:r>
      <w:proofErr w:type="spellStart"/>
      <w:r w:rsidRPr="00B419CE">
        <w:t>tenesta</w:t>
      </w:r>
      <w:proofErr w:type="spellEnd"/>
      <w:r w:rsidRPr="00B419CE">
        <w:t xml:space="preserve"> </w:t>
      </w:r>
      <w:proofErr w:type="spellStart"/>
      <w:r w:rsidRPr="00B419CE">
        <w:t>opna</w:t>
      </w:r>
      <w:proofErr w:type="spellEnd"/>
      <w:r w:rsidRPr="00B419CE">
        <w:t xml:space="preserve"> i 2020 er per 1. august 2021 ca. 25 000 </w:t>
      </w:r>
      <w:proofErr w:type="spellStart"/>
      <w:r w:rsidRPr="00B419CE">
        <w:t>verksemder</w:t>
      </w:r>
      <w:proofErr w:type="spellEnd"/>
      <w:r w:rsidRPr="00B419CE">
        <w:t xml:space="preserve"> vorte registrerte, av </w:t>
      </w:r>
      <w:proofErr w:type="spellStart"/>
      <w:r w:rsidRPr="00B419CE">
        <w:t>desse</w:t>
      </w:r>
      <w:proofErr w:type="spellEnd"/>
      <w:r w:rsidRPr="00B419CE">
        <w:t xml:space="preserve"> er om lag 93 pst. behandla automatisk. Dette </w:t>
      </w:r>
      <w:proofErr w:type="spellStart"/>
      <w:r w:rsidRPr="00B419CE">
        <w:t>utgjer</w:t>
      </w:r>
      <w:proofErr w:type="spellEnd"/>
      <w:r w:rsidRPr="00B419CE">
        <w:t xml:space="preserve"> om lag 50 pst. av alle </w:t>
      </w:r>
      <w:proofErr w:type="spellStart"/>
      <w:r w:rsidRPr="00B419CE">
        <w:t>nyregistreringar</w:t>
      </w:r>
      <w:proofErr w:type="spellEnd"/>
      <w:r w:rsidRPr="00B419CE">
        <w:t xml:space="preserve"> i perioden. Ny registreringsløysing gjev </w:t>
      </w:r>
      <w:proofErr w:type="spellStart"/>
      <w:r w:rsidRPr="00B419CE">
        <w:t>ein</w:t>
      </w:r>
      <w:proofErr w:type="spellEnd"/>
      <w:r w:rsidRPr="00B419CE">
        <w:t xml:space="preserve"> positiv effekt på kvaliteten, og </w:t>
      </w:r>
      <w:proofErr w:type="spellStart"/>
      <w:r w:rsidRPr="00B419CE">
        <w:t>brukarane</w:t>
      </w:r>
      <w:proofErr w:type="spellEnd"/>
      <w:r w:rsidRPr="00B419CE">
        <w:t xml:space="preserve"> opplev at saksbehandlingstida er redusert. I tillegg har etaten </w:t>
      </w:r>
      <w:proofErr w:type="spellStart"/>
      <w:r w:rsidRPr="00B419CE">
        <w:t>arbeidd</w:t>
      </w:r>
      <w:proofErr w:type="spellEnd"/>
      <w:r w:rsidRPr="00B419CE">
        <w:t xml:space="preserve"> med ny </w:t>
      </w:r>
      <w:proofErr w:type="spellStart"/>
      <w:r w:rsidRPr="00B419CE">
        <w:t>mva</w:t>
      </w:r>
      <w:proofErr w:type="spellEnd"/>
      <w:r w:rsidRPr="00B419CE">
        <w:t>-melding.</w:t>
      </w:r>
    </w:p>
    <w:p w14:paraId="056F4944" w14:textId="77777777" w:rsidR="00B419CE" w:rsidRPr="00B419CE" w:rsidRDefault="00B419CE" w:rsidP="00B419CE">
      <w:pPr>
        <w:pStyle w:val="avsnitt-undertittel"/>
      </w:pPr>
      <w:r w:rsidRPr="00B419CE">
        <w:t>Saksbehandlingstid for klager</w:t>
      </w:r>
    </w:p>
    <w:p w14:paraId="195A7937" w14:textId="77777777" w:rsidR="00B419CE" w:rsidRPr="00B419CE" w:rsidRDefault="00B419CE" w:rsidP="00B419CE">
      <w:r w:rsidRPr="00B419CE">
        <w:t xml:space="preserve">I 2020 </w:t>
      </w:r>
      <w:proofErr w:type="spellStart"/>
      <w:r w:rsidRPr="00B419CE">
        <w:t>vart</w:t>
      </w:r>
      <w:proofErr w:type="spellEnd"/>
      <w:r w:rsidRPr="00B419CE">
        <w:t xml:space="preserve"> 84,7 pst. av sakene på skattekontora behandla </w:t>
      </w:r>
      <w:proofErr w:type="spellStart"/>
      <w:r w:rsidRPr="00B419CE">
        <w:t>innan</w:t>
      </w:r>
      <w:proofErr w:type="spellEnd"/>
      <w:r w:rsidRPr="00B419CE">
        <w:t xml:space="preserve"> 3 </w:t>
      </w:r>
      <w:proofErr w:type="spellStart"/>
      <w:r w:rsidRPr="00B419CE">
        <w:t>månader</w:t>
      </w:r>
      <w:proofErr w:type="spellEnd"/>
      <w:r w:rsidRPr="00B419CE">
        <w:t xml:space="preserve">. I saker der skattekontoret </w:t>
      </w:r>
      <w:proofErr w:type="spellStart"/>
      <w:r w:rsidRPr="00B419CE">
        <w:t>ikkje</w:t>
      </w:r>
      <w:proofErr w:type="spellEnd"/>
      <w:r w:rsidRPr="00B419CE">
        <w:t xml:space="preserve"> finn å </w:t>
      </w:r>
      <w:proofErr w:type="spellStart"/>
      <w:r w:rsidRPr="00B419CE">
        <w:t>gje</w:t>
      </w:r>
      <w:proofErr w:type="spellEnd"/>
      <w:r w:rsidRPr="00B419CE">
        <w:t xml:space="preserve"> </w:t>
      </w:r>
      <w:proofErr w:type="spellStart"/>
      <w:r w:rsidRPr="00B419CE">
        <w:t>klagar</w:t>
      </w:r>
      <w:proofErr w:type="spellEnd"/>
      <w:r w:rsidRPr="00B419CE">
        <w:t xml:space="preserve"> </w:t>
      </w:r>
      <w:proofErr w:type="spellStart"/>
      <w:r w:rsidRPr="00B419CE">
        <w:t>medhald</w:t>
      </w:r>
      <w:proofErr w:type="spellEnd"/>
      <w:r w:rsidRPr="00B419CE">
        <w:t xml:space="preserve">, vert klaga </w:t>
      </w:r>
      <w:proofErr w:type="spellStart"/>
      <w:r w:rsidRPr="00B419CE">
        <w:t>hovudsakleg</w:t>
      </w:r>
      <w:proofErr w:type="spellEnd"/>
      <w:r w:rsidRPr="00B419CE">
        <w:t xml:space="preserve"> sendt til Skatteklagenemnda for avgjerd. Av sakene som vart sende til nemnda for avgjerd, hadde 12,6 pst. ei samla saksbehandlingstid på under åtte </w:t>
      </w:r>
      <w:proofErr w:type="spellStart"/>
      <w:r w:rsidRPr="00B419CE">
        <w:t>månader</w:t>
      </w:r>
      <w:proofErr w:type="spellEnd"/>
      <w:r w:rsidRPr="00B419CE">
        <w:t xml:space="preserve">, </w:t>
      </w:r>
      <w:proofErr w:type="spellStart"/>
      <w:r w:rsidRPr="00B419CE">
        <w:t>noko</w:t>
      </w:r>
      <w:proofErr w:type="spellEnd"/>
      <w:r w:rsidRPr="00B419CE">
        <w:t xml:space="preserve"> som var betre enn året før. Klager i saker med lav provenyeffekt eller av særskilte sakstyper, vert avgjort av Skattedirektoratet. Saksbehandlingstida for </w:t>
      </w:r>
      <w:proofErr w:type="spellStart"/>
      <w:r w:rsidRPr="00B419CE">
        <w:t>desse</w:t>
      </w:r>
      <w:proofErr w:type="spellEnd"/>
      <w:r w:rsidRPr="00B419CE">
        <w:t xml:space="preserve"> sakene ligg, i all </w:t>
      </w:r>
      <w:proofErr w:type="spellStart"/>
      <w:r w:rsidRPr="00B419CE">
        <w:t>hovudsak</w:t>
      </w:r>
      <w:proofErr w:type="spellEnd"/>
      <w:r w:rsidRPr="00B419CE">
        <w:t xml:space="preserve">, </w:t>
      </w:r>
      <w:proofErr w:type="spellStart"/>
      <w:r w:rsidRPr="00B419CE">
        <w:t>innanfor</w:t>
      </w:r>
      <w:proofErr w:type="spellEnd"/>
      <w:r w:rsidRPr="00B419CE">
        <w:t xml:space="preserve"> målkrava.</w:t>
      </w:r>
    </w:p>
    <w:p w14:paraId="3EE8FFB5" w14:textId="77777777" w:rsidR="00B419CE" w:rsidRPr="00B419CE" w:rsidRDefault="00B419CE" w:rsidP="00B419CE">
      <w:proofErr w:type="spellStart"/>
      <w:r w:rsidRPr="00B419CE">
        <w:t>Restansane</w:t>
      </w:r>
      <w:proofErr w:type="spellEnd"/>
      <w:r w:rsidRPr="00B419CE">
        <w:t xml:space="preserve"> ved sekretariatet til Skatteklagenemnda stabiliserte seg </w:t>
      </w:r>
      <w:proofErr w:type="spellStart"/>
      <w:r w:rsidRPr="00B419CE">
        <w:t>noko</w:t>
      </w:r>
      <w:proofErr w:type="spellEnd"/>
      <w:r w:rsidRPr="00B419CE">
        <w:t xml:space="preserve"> gjennom 2019 og vart </w:t>
      </w:r>
      <w:proofErr w:type="spellStart"/>
      <w:r w:rsidRPr="00B419CE">
        <w:t>noko</w:t>
      </w:r>
      <w:proofErr w:type="spellEnd"/>
      <w:r w:rsidRPr="00B419CE">
        <w:t xml:space="preserve"> mindre gjennom 2020. </w:t>
      </w:r>
      <w:proofErr w:type="spellStart"/>
      <w:r w:rsidRPr="00B419CE">
        <w:t>Frå</w:t>
      </w:r>
      <w:proofErr w:type="spellEnd"/>
      <w:r w:rsidRPr="00B419CE">
        <w:t xml:space="preserve"> 2018 til 2020 er det totale </w:t>
      </w:r>
      <w:proofErr w:type="spellStart"/>
      <w:r w:rsidRPr="00B419CE">
        <w:t>talet</w:t>
      </w:r>
      <w:proofErr w:type="spellEnd"/>
      <w:r w:rsidRPr="00B419CE">
        <w:t xml:space="preserve"> på ubehandla saker redusert </w:t>
      </w:r>
      <w:proofErr w:type="spellStart"/>
      <w:r w:rsidRPr="00B419CE">
        <w:t>frå</w:t>
      </w:r>
      <w:proofErr w:type="spellEnd"/>
      <w:r w:rsidRPr="00B419CE">
        <w:t xml:space="preserve"> 2 550 til 2 081. Samla saksbehandlingstid for sakene som vert sende til nemnda, er </w:t>
      </w:r>
      <w:proofErr w:type="spellStart"/>
      <w:r w:rsidRPr="00B419CE">
        <w:t>framleis</w:t>
      </w:r>
      <w:proofErr w:type="spellEnd"/>
      <w:r w:rsidRPr="00B419CE">
        <w:t xml:space="preserve"> for lang. </w:t>
      </w:r>
      <w:proofErr w:type="spellStart"/>
      <w:r w:rsidRPr="00B419CE">
        <w:t>Saksproduksjonen</w:t>
      </w:r>
      <w:proofErr w:type="spellEnd"/>
      <w:r w:rsidRPr="00B419CE">
        <w:t xml:space="preserve"> i sekretariatet har i 2020 </w:t>
      </w:r>
      <w:proofErr w:type="spellStart"/>
      <w:r w:rsidRPr="00B419CE">
        <w:t>vore</w:t>
      </w:r>
      <w:proofErr w:type="spellEnd"/>
      <w:r w:rsidRPr="00B419CE">
        <w:t xml:space="preserve"> negativt </w:t>
      </w:r>
      <w:proofErr w:type="spellStart"/>
      <w:r w:rsidRPr="00B419CE">
        <w:t>påverka</w:t>
      </w:r>
      <w:proofErr w:type="spellEnd"/>
      <w:r w:rsidRPr="00B419CE">
        <w:t xml:space="preserve"> av koronapandemien </w:t>
      </w:r>
      <w:proofErr w:type="spellStart"/>
      <w:r w:rsidRPr="00B419CE">
        <w:t>sidan</w:t>
      </w:r>
      <w:proofErr w:type="spellEnd"/>
      <w:r w:rsidRPr="00B419CE">
        <w:t xml:space="preserve"> heimekontor har gjort saksbehandlinga </w:t>
      </w:r>
      <w:proofErr w:type="spellStart"/>
      <w:r w:rsidRPr="00B419CE">
        <w:t>meir</w:t>
      </w:r>
      <w:proofErr w:type="spellEnd"/>
      <w:r w:rsidRPr="00B419CE">
        <w:t xml:space="preserve"> </w:t>
      </w:r>
      <w:proofErr w:type="spellStart"/>
      <w:r w:rsidRPr="00B419CE">
        <w:t>krevjande</w:t>
      </w:r>
      <w:proofErr w:type="spellEnd"/>
      <w:r w:rsidRPr="00B419CE">
        <w:t xml:space="preserve">. Skattedirektoratet er i </w:t>
      </w:r>
      <w:proofErr w:type="spellStart"/>
      <w:r w:rsidRPr="00B419CE">
        <w:t>kontinuerleg</w:t>
      </w:r>
      <w:proofErr w:type="spellEnd"/>
      <w:r w:rsidRPr="00B419CE">
        <w:t xml:space="preserve"> dialog med sekretariatet om restansesituasjonen. Sjå </w:t>
      </w:r>
      <w:proofErr w:type="spellStart"/>
      <w:r w:rsidRPr="00B419CE">
        <w:t>nærare</w:t>
      </w:r>
      <w:proofErr w:type="spellEnd"/>
      <w:r w:rsidRPr="00B419CE">
        <w:t xml:space="preserve"> omtale under kap. 1619 Skatteklagenemnda.</w:t>
      </w:r>
    </w:p>
    <w:p w14:paraId="0BA69C99" w14:textId="77777777" w:rsidR="00B419CE" w:rsidRPr="00B419CE" w:rsidRDefault="00B419CE" w:rsidP="00B419CE">
      <w:pPr>
        <w:pStyle w:val="avsnitt-tittel"/>
      </w:pPr>
      <w:proofErr w:type="spellStart"/>
      <w:r w:rsidRPr="00B419CE">
        <w:t>Hovudmål</w:t>
      </w:r>
      <w:proofErr w:type="spellEnd"/>
      <w:r w:rsidRPr="00B419CE">
        <w:t xml:space="preserve"> 2: Skatteetaten </w:t>
      </w:r>
      <w:proofErr w:type="spellStart"/>
      <w:r w:rsidRPr="00B419CE">
        <w:t>sikrar</w:t>
      </w:r>
      <w:proofErr w:type="spellEnd"/>
      <w:r w:rsidRPr="00B419CE">
        <w:t xml:space="preserve"> </w:t>
      </w:r>
      <w:proofErr w:type="spellStart"/>
      <w:r w:rsidRPr="00B419CE">
        <w:t>brukarane</w:t>
      </w:r>
      <w:proofErr w:type="spellEnd"/>
      <w:r w:rsidRPr="00B419CE">
        <w:t xml:space="preserve"> tilgang til registerdata og informasjon med god kvalitet</w:t>
      </w:r>
    </w:p>
    <w:p w14:paraId="11D244E5" w14:textId="77777777" w:rsidR="00B419CE" w:rsidRPr="00B419CE" w:rsidRDefault="00B419CE" w:rsidP="00B419CE">
      <w:r w:rsidRPr="00B419CE">
        <w:t xml:space="preserve">Det </w:t>
      </w:r>
      <w:proofErr w:type="spellStart"/>
      <w:r w:rsidRPr="00B419CE">
        <w:t>offentlege</w:t>
      </w:r>
      <w:proofErr w:type="spellEnd"/>
      <w:r w:rsidRPr="00B419CE">
        <w:t xml:space="preserve"> og andre </w:t>
      </w:r>
      <w:proofErr w:type="spellStart"/>
      <w:r w:rsidRPr="00B419CE">
        <w:t>brukarar</w:t>
      </w:r>
      <w:proofErr w:type="spellEnd"/>
      <w:r w:rsidRPr="00B419CE">
        <w:t xml:space="preserve"> har behov for registerdata og informasjon </w:t>
      </w:r>
      <w:proofErr w:type="spellStart"/>
      <w:r w:rsidRPr="00B419CE">
        <w:t>frå</w:t>
      </w:r>
      <w:proofErr w:type="spellEnd"/>
      <w:r w:rsidRPr="00B419CE">
        <w:t xml:space="preserve"> Skatteetaten i sitt arbeid. Skatteetaten skal ha ei effektiv og sikker innsamling, gjennomarbeiding og </w:t>
      </w:r>
      <w:proofErr w:type="spellStart"/>
      <w:r w:rsidRPr="00B419CE">
        <w:t>tilgjengeliggjering</w:t>
      </w:r>
      <w:proofErr w:type="spellEnd"/>
      <w:r w:rsidRPr="00B419CE">
        <w:t xml:space="preserve"> av slik informasjon nasjonalt og internasjonalt. </w:t>
      </w:r>
      <w:proofErr w:type="spellStart"/>
      <w:r w:rsidRPr="00B419CE">
        <w:t>Registera</w:t>
      </w:r>
      <w:proofErr w:type="spellEnd"/>
      <w:r w:rsidRPr="00B419CE">
        <w:t xml:space="preserve"> er òg </w:t>
      </w:r>
      <w:proofErr w:type="spellStart"/>
      <w:r w:rsidRPr="00B419CE">
        <w:t>eit</w:t>
      </w:r>
      <w:proofErr w:type="spellEnd"/>
      <w:r w:rsidRPr="00B419CE">
        <w:t xml:space="preserve"> viktig grunnlag for Skatteetaten </w:t>
      </w:r>
      <w:proofErr w:type="spellStart"/>
      <w:r w:rsidRPr="00B419CE">
        <w:t>si</w:t>
      </w:r>
      <w:proofErr w:type="spellEnd"/>
      <w:r w:rsidRPr="00B419CE">
        <w:t xml:space="preserve"> evne til å </w:t>
      </w:r>
      <w:proofErr w:type="spellStart"/>
      <w:r w:rsidRPr="00B419CE">
        <w:t>fastsetje</w:t>
      </w:r>
      <w:proofErr w:type="spellEnd"/>
      <w:r w:rsidRPr="00B419CE">
        <w:t xml:space="preserve"> </w:t>
      </w:r>
      <w:proofErr w:type="spellStart"/>
      <w:r w:rsidRPr="00B419CE">
        <w:t>skattane</w:t>
      </w:r>
      <w:proofErr w:type="spellEnd"/>
      <w:r w:rsidRPr="00B419CE">
        <w:t xml:space="preserve"> riktig og til rett tid.</w:t>
      </w:r>
    </w:p>
    <w:p w14:paraId="4AA9B838" w14:textId="77777777" w:rsidR="00B419CE" w:rsidRPr="00B419CE" w:rsidRDefault="00B419CE" w:rsidP="00B419CE">
      <w:r w:rsidRPr="00B419CE">
        <w:t xml:space="preserve">For 2020 hadde etaten to </w:t>
      </w:r>
      <w:proofErr w:type="spellStart"/>
      <w:r w:rsidRPr="00B419CE">
        <w:t>effektindikatorar</w:t>
      </w:r>
      <w:proofErr w:type="spellEnd"/>
      <w:r w:rsidRPr="00B419CE">
        <w:t xml:space="preserve"> under </w:t>
      </w:r>
      <w:proofErr w:type="spellStart"/>
      <w:r w:rsidRPr="00B419CE">
        <w:t>hovudmål</w:t>
      </w:r>
      <w:proofErr w:type="spellEnd"/>
      <w:r w:rsidRPr="00B419CE">
        <w:t xml:space="preserve"> 2: tilgang på </w:t>
      </w:r>
      <w:proofErr w:type="spellStart"/>
      <w:r w:rsidRPr="00B419CE">
        <w:t>formålstenleg</w:t>
      </w:r>
      <w:proofErr w:type="spellEnd"/>
      <w:r w:rsidRPr="00B419CE">
        <w:t xml:space="preserve"> informasjon for </w:t>
      </w:r>
      <w:proofErr w:type="spellStart"/>
      <w:r w:rsidRPr="00B419CE">
        <w:t>brukarane</w:t>
      </w:r>
      <w:proofErr w:type="spellEnd"/>
      <w:r w:rsidRPr="00B419CE">
        <w:t xml:space="preserve"> og registerdata og informasjon </w:t>
      </w:r>
      <w:proofErr w:type="spellStart"/>
      <w:r w:rsidRPr="00B419CE">
        <w:t>frå</w:t>
      </w:r>
      <w:proofErr w:type="spellEnd"/>
      <w:r w:rsidRPr="00B419CE">
        <w:t xml:space="preserve"> Skatteetaten av god kvalitet. Tilgang til registerdata og informasjon har i all </w:t>
      </w:r>
      <w:proofErr w:type="spellStart"/>
      <w:r w:rsidRPr="00B419CE">
        <w:t>hovudsak</w:t>
      </w:r>
      <w:proofErr w:type="spellEnd"/>
      <w:r w:rsidRPr="00B419CE">
        <w:t xml:space="preserve"> </w:t>
      </w:r>
      <w:proofErr w:type="spellStart"/>
      <w:r w:rsidRPr="00B419CE">
        <w:t>vore</w:t>
      </w:r>
      <w:proofErr w:type="spellEnd"/>
      <w:r w:rsidRPr="00B419CE">
        <w:t xml:space="preserve"> god. </w:t>
      </w:r>
      <w:proofErr w:type="spellStart"/>
      <w:r w:rsidRPr="00B419CE">
        <w:t>Tenestene</w:t>
      </w:r>
      <w:proofErr w:type="spellEnd"/>
      <w:r w:rsidRPr="00B419CE">
        <w:t xml:space="preserve"> som vert brukte av eksterne, har </w:t>
      </w:r>
      <w:proofErr w:type="spellStart"/>
      <w:r w:rsidRPr="00B419CE">
        <w:t>vore</w:t>
      </w:r>
      <w:proofErr w:type="spellEnd"/>
      <w:r w:rsidRPr="00B419CE">
        <w:t xml:space="preserve"> </w:t>
      </w:r>
      <w:proofErr w:type="spellStart"/>
      <w:r w:rsidRPr="00B419CE">
        <w:t>tilgjengelege</w:t>
      </w:r>
      <w:proofErr w:type="spellEnd"/>
      <w:r w:rsidRPr="00B419CE">
        <w:t xml:space="preserve"> mellom 99 og 100 pst. av tida. Kvaliteten på registerdata og informasjon vert vurdert som god.</w:t>
      </w:r>
    </w:p>
    <w:p w14:paraId="6C0D0A91" w14:textId="77777777" w:rsidR="00B419CE" w:rsidRPr="00B419CE" w:rsidRDefault="00B419CE" w:rsidP="00B419CE">
      <w:pPr>
        <w:pStyle w:val="avsnitt-undertittel"/>
      </w:pPr>
      <w:r w:rsidRPr="00B419CE">
        <w:t>Nytt modernisert folkeregister ferdigstilt</w:t>
      </w:r>
    </w:p>
    <w:p w14:paraId="4B5B4ECB" w14:textId="3FB1C114" w:rsidR="00B419CE" w:rsidRPr="00B419CE" w:rsidRDefault="00B419CE" w:rsidP="00B419CE">
      <w:r w:rsidRPr="00B419CE">
        <w:t xml:space="preserve">I 2020 vart </w:t>
      </w:r>
      <w:proofErr w:type="spellStart"/>
      <w:r w:rsidRPr="00B419CE">
        <w:t>eit</w:t>
      </w:r>
      <w:proofErr w:type="spellEnd"/>
      <w:r w:rsidRPr="00B419CE">
        <w:t xml:space="preserve"> nytt modernisert folkeregister lansert. Moderniseringa har </w:t>
      </w:r>
      <w:proofErr w:type="spellStart"/>
      <w:r w:rsidRPr="00B419CE">
        <w:t>vore</w:t>
      </w:r>
      <w:proofErr w:type="spellEnd"/>
      <w:r w:rsidRPr="00B419CE">
        <w:t xml:space="preserve"> </w:t>
      </w:r>
      <w:proofErr w:type="spellStart"/>
      <w:r w:rsidRPr="00B419CE">
        <w:t>eit</w:t>
      </w:r>
      <w:proofErr w:type="spellEnd"/>
      <w:r w:rsidRPr="00B419CE">
        <w:t xml:space="preserve"> av </w:t>
      </w:r>
      <w:proofErr w:type="spellStart"/>
      <w:r w:rsidRPr="00B419CE">
        <w:t>dei</w:t>
      </w:r>
      <w:proofErr w:type="spellEnd"/>
      <w:r w:rsidRPr="00B419CE">
        <w:t xml:space="preserve"> største utviklingsprosjekta i etaten. Resultatet er ei ny modernisert utforming, betre kvalitet i </w:t>
      </w:r>
      <w:proofErr w:type="spellStart"/>
      <w:r w:rsidRPr="00B419CE">
        <w:t>opplysningane</w:t>
      </w:r>
      <w:proofErr w:type="spellEnd"/>
      <w:r w:rsidRPr="00B419CE">
        <w:t xml:space="preserve"> og </w:t>
      </w:r>
      <w:proofErr w:type="spellStart"/>
      <w:r w:rsidRPr="00B419CE">
        <w:t>raskare</w:t>
      </w:r>
      <w:proofErr w:type="spellEnd"/>
      <w:r w:rsidRPr="00B419CE">
        <w:t xml:space="preserve"> og automatisert saksbehandling for Skatteetaten og </w:t>
      </w:r>
      <w:r w:rsidRPr="00B419CE">
        <w:lastRenderedPageBreak/>
        <w:t xml:space="preserve">andre </w:t>
      </w:r>
      <w:proofErr w:type="spellStart"/>
      <w:r w:rsidRPr="00B419CE">
        <w:t>brukarar</w:t>
      </w:r>
      <w:proofErr w:type="spellEnd"/>
      <w:r w:rsidRPr="00B419CE">
        <w:t xml:space="preserve"> av registeret. Ei innsynsløysing for </w:t>
      </w:r>
      <w:proofErr w:type="spellStart"/>
      <w:r w:rsidRPr="00B419CE">
        <w:t>innbyggjarar</w:t>
      </w:r>
      <w:proofErr w:type="spellEnd"/>
      <w:r w:rsidRPr="00B419CE">
        <w:t xml:space="preserve">, der </w:t>
      </w:r>
      <w:proofErr w:type="spellStart"/>
      <w:r w:rsidRPr="00B419CE">
        <w:t>ein</w:t>
      </w:r>
      <w:proofErr w:type="spellEnd"/>
      <w:r w:rsidRPr="00B419CE">
        <w:t xml:space="preserve"> kan sjå eigne </w:t>
      </w:r>
      <w:proofErr w:type="spellStart"/>
      <w:r w:rsidRPr="00B419CE">
        <w:t>opplysningar</w:t>
      </w:r>
      <w:proofErr w:type="spellEnd"/>
      <w:r w:rsidRPr="00B419CE">
        <w:t>, vart òg utvikla og er lansert i 2021. Det er òg gjennomført ei opprydding i d</w:t>
      </w:r>
      <w:r>
        <w:t>-</w:t>
      </w:r>
      <w:r w:rsidRPr="00B419CE">
        <w:t xml:space="preserve">nummer-databasen. Etaten har òg </w:t>
      </w:r>
      <w:proofErr w:type="spellStart"/>
      <w:r w:rsidRPr="00B419CE">
        <w:t>arbeidd</w:t>
      </w:r>
      <w:proofErr w:type="spellEnd"/>
      <w:r w:rsidRPr="00B419CE">
        <w:t xml:space="preserve"> aktivt for å </w:t>
      </w:r>
      <w:proofErr w:type="spellStart"/>
      <w:r w:rsidRPr="00B419CE">
        <w:t>leggje</w:t>
      </w:r>
      <w:proofErr w:type="spellEnd"/>
      <w:r w:rsidRPr="00B419CE">
        <w:t xml:space="preserve"> til rette for deling av data på </w:t>
      </w:r>
      <w:proofErr w:type="spellStart"/>
      <w:r w:rsidRPr="00B419CE">
        <w:t>ein</w:t>
      </w:r>
      <w:proofErr w:type="spellEnd"/>
      <w:r w:rsidRPr="00B419CE">
        <w:t xml:space="preserve"> sikker og effektiv måte i tråd med teieplikt og personvern.</w:t>
      </w:r>
    </w:p>
    <w:p w14:paraId="08EA8DCD" w14:textId="77777777" w:rsidR="00B419CE" w:rsidRPr="00B419CE" w:rsidRDefault="00B419CE" w:rsidP="00B419CE">
      <w:r w:rsidRPr="00B419CE">
        <w:t xml:space="preserve">Ei brukarundersøking syner at 72,9 pst. av </w:t>
      </w:r>
      <w:proofErr w:type="spellStart"/>
      <w:r w:rsidRPr="00B419CE">
        <w:t>dei</w:t>
      </w:r>
      <w:proofErr w:type="spellEnd"/>
      <w:r w:rsidRPr="00B419CE">
        <w:t xml:space="preserve"> profesjonelle </w:t>
      </w:r>
      <w:proofErr w:type="spellStart"/>
      <w:r w:rsidRPr="00B419CE">
        <w:t>brukarane</w:t>
      </w:r>
      <w:proofErr w:type="spellEnd"/>
      <w:r w:rsidRPr="00B419CE">
        <w:t xml:space="preserve"> av Folkeregisteret er nøgde med kor godt og </w:t>
      </w:r>
      <w:proofErr w:type="spellStart"/>
      <w:r w:rsidRPr="00B419CE">
        <w:t>tilgjengeleg</w:t>
      </w:r>
      <w:proofErr w:type="spellEnd"/>
      <w:r w:rsidRPr="00B419CE">
        <w:t xml:space="preserve"> registeret er. Folkeregisteret var </w:t>
      </w:r>
      <w:proofErr w:type="spellStart"/>
      <w:r w:rsidRPr="00B419CE">
        <w:t>tilgjengeleg</w:t>
      </w:r>
      <w:proofErr w:type="spellEnd"/>
      <w:r w:rsidRPr="00B419CE">
        <w:t xml:space="preserve"> for </w:t>
      </w:r>
      <w:proofErr w:type="spellStart"/>
      <w:r w:rsidRPr="00B419CE">
        <w:t>brukarane</w:t>
      </w:r>
      <w:proofErr w:type="spellEnd"/>
      <w:r w:rsidRPr="00B419CE">
        <w:t xml:space="preserve"> tilnærma </w:t>
      </w:r>
      <w:proofErr w:type="spellStart"/>
      <w:r w:rsidRPr="00B419CE">
        <w:t>utan</w:t>
      </w:r>
      <w:proofErr w:type="spellEnd"/>
      <w:r w:rsidRPr="00B419CE">
        <w:t xml:space="preserve"> </w:t>
      </w:r>
      <w:proofErr w:type="spellStart"/>
      <w:r w:rsidRPr="00B419CE">
        <w:t>avbrot</w:t>
      </w:r>
      <w:proofErr w:type="spellEnd"/>
      <w:r w:rsidRPr="00B419CE">
        <w:t xml:space="preserve"> i heile 2020, men overgangen til ny modernisert løysing har gjeve </w:t>
      </w:r>
      <w:proofErr w:type="spellStart"/>
      <w:r w:rsidRPr="00B419CE">
        <w:t>nokre</w:t>
      </w:r>
      <w:proofErr w:type="spellEnd"/>
      <w:r w:rsidRPr="00B419CE">
        <w:t xml:space="preserve"> </w:t>
      </w:r>
      <w:proofErr w:type="spellStart"/>
      <w:r w:rsidRPr="00B419CE">
        <w:t>utfordringar</w:t>
      </w:r>
      <w:proofErr w:type="spellEnd"/>
      <w:r w:rsidRPr="00B419CE">
        <w:t xml:space="preserve"> som har ført til tidvis lengre saksbehandlingstid enn venta for </w:t>
      </w:r>
      <w:proofErr w:type="spellStart"/>
      <w:r w:rsidRPr="00B419CE">
        <w:t>nokre</w:t>
      </w:r>
      <w:proofErr w:type="spellEnd"/>
      <w:r w:rsidRPr="00B419CE">
        <w:t xml:space="preserve"> </w:t>
      </w:r>
      <w:proofErr w:type="spellStart"/>
      <w:r w:rsidRPr="00B419CE">
        <w:t>meldingstypar</w:t>
      </w:r>
      <w:proofErr w:type="spellEnd"/>
      <w:r w:rsidRPr="00B419CE">
        <w:t>.</w:t>
      </w:r>
    </w:p>
    <w:p w14:paraId="294EB2F6" w14:textId="77777777" w:rsidR="00B419CE" w:rsidRPr="00B419CE" w:rsidRDefault="00B419CE" w:rsidP="00B419CE">
      <w:pPr>
        <w:pStyle w:val="avsnitt-undertittel"/>
      </w:pPr>
      <w:proofErr w:type="spellStart"/>
      <w:r w:rsidRPr="00B419CE">
        <w:t>Tredjepartsopplysningar</w:t>
      </w:r>
      <w:proofErr w:type="spellEnd"/>
    </w:p>
    <w:p w14:paraId="4B3457C4" w14:textId="77777777" w:rsidR="00B419CE" w:rsidRPr="00B419CE" w:rsidRDefault="00B419CE" w:rsidP="00B419CE">
      <w:r w:rsidRPr="00B419CE">
        <w:t xml:space="preserve">Kvaliteten på </w:t>
      </w:r>
      <w:proofErr w:type="spellStart"/>
      <w:r w:rsidRPr="00B419CE">
        <w:t>tredjepartsopplysningar</w:t>
      </w:r>
      <w:proofErr w:type="spellEnd"/>
      <w:r w:rsidRPr="00B419CE">
        <w:t xml:space="preserve"> som vert nytta i den </w:t>
      </w:r>
      <w:proofErr w:type="spellStart"/>
      <w:r w:rsidRPr="00B419CE">
        <w:t>førehandsutfylte</w:t>
      </w:r>
      <w:proofErr w:type="spellEnd"/>
      <w:r w:rsidRPr="00B419CE">
        <w:t xml:space="preserve"> </w:t>
      </w:r>
      <w:proofErr w:type="spellStart"/>
      <w:r w:rsidRPr="00B419CE">
        <w:t>skattemeldinga</w:t>
      </w:r>
      <w:proofErr w:type="spellEnd"/>
      <w:r w:rsidRPr="00B419CE">
        <w:t xml:space="preserve">, vert vurdert som </w:t>
      </w:r>
      <w:proofErr w:type="spellStart"/>
      <w:r w:rsidRPr="00B419CE">
        <w:t>gjennomgåande</w:t>
      </w:r>
      <w:proofErr w:type="spellEnd"/>
      <w:r w:rsidRPr="00B419CE">
        <w:t xml:space="preserve"> høg og </w:t>
      </w:r>
      <w:proofErr w:type="spellStart"/>
      <w:r w:rsidRPr="00B419CE">
        <w:t>utan</w:t>
      </w:r>
      <w:proofErr w:type="spellEnd"/>
      <w:r w:rsidRPr="00B419CE">
        <w:t xml:space="preserve"> </w:t>
      </w:r>
      <w:proofErr w:type="spellStart"/>
      <w:r w:rsidRPr="00B419CE">
        <w:t>vesentlege</w:t>
      </w:r>
      <w:proofErr w:type="spellEnd"/>
      <w:r w:rsidRPr="00B419CE">
        <w:t xml:space="preserve"> avvik. Heile 99,7 pst. av </w:t>
      </w:r>
      <w:proofErr w:type="spellStart"/>
      <w:r w:rsidRPr="00B419CE">
        <w:t>tredjepartsopplysningane</w:t>
      </w:r>
      <w:proofErr w:type="spellEnd"/>
      <w:r w:rsidRPr="00B419CE">
        <w:t xml:space="preserve"> vert leverte med riktig kvalitet til riktig tid. Den formelle datakvaliteten i a-ordninga er god og utvikla seg i 2020 positivt med færre feil enn </w:t>
      </w:r>
      <w:proofErr w:type="spellStart"/>
      <w:r w:rsidRPr="00B419CE">
        <w:t>tidlegare</w:t>
      </w:r>
      <w:proofErr w:type="spellEnd"/>
      <w:r w:rsidRPr="00B419CE">
        <w:t xml:space="preserve">. For </w:t>
      </w:r>
      <w:proofErr w:type="spellStart"/>
      <w:r w:rsidRPr="00B419CE">
        <w:t>inntektsopplysningar</w:t>
      </w:r>
      <w:proofErr w:type="spellEnd"/>
      <w:r w:rsidRPr="00B419CE">
        <w:t xml:space="preserve"> er datakvaliteten svært god.</w:t>
      </w:r>
    </w:p>
    <w:p w14:paraId="3217D039" w14:textId="77777777" w:rsidR="00B419CE" w:rsidRPr="00B419CE" w:rsidRDefault="00B419CE" w:rsidP="00B419CE">
      <w:pPr>
        <w:pStyle w:val="avsnitt-tittel"/>
      </w:pPr>
      <w:proofErr w:type="spellStart"/>
      <w:r w:rsidRPr="00B419CE">
        <w:t>Hovudmål</w:t>
      </w:r>
      <w:proofErr w:type="spellEnd"/>
      <w:r w:rsidRPr="00B419CE">
        <w:t xml:space="preserve"> 3: Samfunnet har tillit til Skatteetaten</w:t>
      </w:r>
    </w:p>
    <w:p w14:paraId="569BE243" w14:textId="77777777" w:rsidR="00B419CE" w:rsidRPr="00B419CE" w:rsidRDefault="00B419CE" w:rsidP="00B419CE">
      <w:r w:rsidRPr="00B419CE">
        <w:t xml:space="preserve">Skatteetaten skal forvalte regelverk og tilby brukartenester for å vareta </w:t>
      </w:r>
      <w:proofErr w:type="spellStart"/>
      <w:r w:rsidRPr="00B419CE">
        <w:t>dei</w:t>
      </w:r>
      <w:proofErr w:type="spellEnd"/>
      <w:r w:rsidRPr="00B419CE">
        <w:t xml:space="preserve"> </w:t>
      </w:r>
      <w:proofErr w:type="spellStart"/>
      <w:r w:rsidRPr="00B419CE">
        <w:t>rettar</w:t>
      </w:r>
      <w:proofErr w:type="spellEnd"/>
      <w:r w:rsidRPr="00B419CE">
        <w:t xml:space="preserve"> og plikter som </w:t>
      </w:r>
      <w:proofErr w:type="spellStart"/>
      <w:r w:rsidRPr="00B419CE">
        <w:t>dei</w:t>
      </w:r>
      <w:proofErr w:type="spellEnd"/>
      <w:r w:rsidRPr="00B419CE">
        <w:t xml:space="preserve"> skatte- og avgiftspliktige har. Dei skatte- og </w:t>
      </w:r>
      <w:proofErr w:type="spellStart"/>
      <w:r w:rsidRPr="00B419CE">
        <w:t>opplysingspliktige</w:t>
      </w:r>
      <w:proofErr w:type="spellEnd"/>
      <w:r w:rsidRPr="00B419CE">
        <w:t xml:space="preserve"> skal møte profesjonell og effektiv saksbehandling, få god informasjon og oppleve at informasjonen </w:t>
      </w:r>
      <w:proofErr w:type="spellStart"/>
      <w:r w:rsidRPr="00B419CE">
        <w:t>deira</w:t>
      </w:r>
      <w:proofErr w:type="spellEnd"/>
      <w:r w:rsidRPr="00B419CE">
        <w:t xml:space="preserve"> vert forvalta på </w:t>
      </w:r>
      <w:proofErr w:type="spellStart"/>
      <w:r w:rsidRPr="00B419CE">
        <w:t>ein</w:t>
      </w:r>
      <w:proofErr w:type="spellEnd"/>
      <w:r w:rsidRPr="00B419CE">
        <w:t xml:space="preserve"> god og trygg måte.</w:t>
      </w:r>
    </w:p>
    <w:p w14:paraId="35441016" w14:textId="77777777" w:rsidR="00B419CE" w:rsidRPr="00B419CE" w:rsidRDefault="00B419CE" w:rsidP="00B419CE">
      <w:r w:rsidRPr="00B419CE">
        <w:t xml:space="preserve">For 2020 hadde etaten fire </w:t>
      </w:r>
      <w:proofErr w:type="spellStart"/>
      <w:r w:rsidRPr="00B419CE">
        <w:t>effektindikatorar</w:t>
      </w:r>
      <w:proofErr w:type="spellEnd"/>
      <w:r w:rsidRPr="00B419CE">
        <w:t xml:space="preserve"> under </w:t>
      </w:r>
      <w:proofErr w:type="spellStart"/>
      <w:r w:rsidRPr="00B419CE">
        <w:t>hovudmål</w:t>
      </w:r>
      <w:proofErr w:type="spellEnd"/>
      <w:r w:rsidRPr="00B419CE">
        <w:t xml:space="preserve"> 3: at </w:t>
      </w:r>
      <w:proofErr w:type="spellStart"/>
      <w:r w:rsidRPr="00B419CE">
        <w:t>dei</w:t>
      </w:r>
      <w:proofErr w:type="spellEnd"/>
      <w:r w:rsidRPr="00B419CE">
        <w:t xml:space="preserve"> skattepliktige har tillit til Skatteetaten si utøving av mynde, at </w:t>
      </w:r>
      <w:proofErr w:type="spellStart"/>
      <w:r w:rsidRPr="00B419CE">
        <w:t>dei</w:t>
      </w:r>
      <w:proofErr w:type="spellEnd"/>
      <w:r w:rsidRPr="00B419CE">
        <w:t xml:space="preserve"> skattepliktige opplever at </w:t>
      </w:r>
      <w:proofErr w:type="spellStart"/>
      <w:r w:rsidRPr="00B419CE">
        <w:t>rettar</w:t>
      </w:r>
      <w:proofErr w:type="spellEnd"/>
      <w:r w:rsidRPr="00B419CE">
        <w:t xml:space="preserve"> og plikter vert </w:t>
      </w:r>
      <w:proofErr w:type="spellStart"/>
      <w:r w:rsidRPr="00B419CE">
        <w:t>tekne</w:t>
      </w:r>
      <w:proofErr w:type="spellEnd"/>
      <w:r w:rsidRPr="00B419CE">
        <w:t xml:space="preserve"> vare på, at </w:t>
      </w:r>
      <w:proofErr w:type="spellStart"/>
      <w:r w:rsidRPr="00B419CE">
        <w:t>dei</w:t>
      </w:r>
      <w:proofErr w:type="spellEnd"/>
      <w:r w:rsidRPr="00B419CE">
        <w:t xml:space="preserve"> skatte- og opplysningspliktige opplever at informasjon vert forvalta på </w:t>
      </w:r>
      <w:proofErr w:type="spellStart"/>
      <w:r w:rsidRPr="00B419CE">
        <w:t>ein</w:t>
      </w:r>
      <w:proofErr w:type="spellEnd"/>
      <w:r w:rsidRPr="00B419CE">
        <w:t xml:space="preserve"> trygg måte, og at </w:t>
      </w:r>
      <w:proofErr w:type="spellStart"/>
      <w:r w:rsidRPr="00B419CE">
        <w:t>dei</w:t>
      </w:r>
      <w:proofErr w:type="spellEnd"/>
      <w:r w:rsidRPr="00B419CE">
        <w:t xml:space="preserve"> skatte- og opplysningspliktige opplever profesjonell og effektiv saksbehandling og at </w:t>
      </w:r>
      <w:proofErr w:type="spellStart"/>
      <w:r w:rsidRPr="00B419CE">
        <w:t>dei</w:t>
      </w:r>
      <w:proofErr w:type="spellEnd"/>
      <w:r w:rsidRPr="00B419CE">
        <w:t xml:space="preserve"> får god informasjon.</w:t>
      </w:r>
    </w:p>
    <w:p w14:paraId="0F29FD7A" w14:textId="77777777" w:rsidR="00B419CE" w:rsidRPr="00B419CE" w:rsidRDefault="00B419CE" w:rsidP="00B419CE">
      <w:r w:rsidRPr="00B419CE">
        <w:t xml:space="preserve">Skatteetaten gjennomfører </w:t>
      </w:r>
      <w:proofErr w:type="spellStart"/>
      <w:r w:rsidRPr="00B419CE">
        <w:t>årlege</w:t>
      </w:r>
      <w:proofErr w:type="spellEnd"/>
      <w:r w:rsidRPr="00B419CE">
        <w:t xml:space="preserve"> </w:t>
      </w:r>
      <w:proofErr w:type="spellStart"/>
      <w:r w:rsidRPr="00B419CE">
        <w:t>undersøkingar</w:t>
      </w:r>
      <w:proofErr w:type="spellEnd"/>
      <w:r w:rsidRPr="00B419CE">
        <w:t xml:space="preserve"> hos </w:t>
      </w:r>
      <w:proofErr w:type="spellStart"/>
      <w:r w:rsidRPr="00B419CE">
        <w:t>privatpersonar</w:t>
      </w:r>
      <w:proofErr w:type="spellEnd"/>
      <w:r w:rsidRPr="00B419CE">
        <w:t xml:space="preserve"> og bedrifter for å </w:t>
      </w:r>
      <w:proofErr w:type="spellStart"/>
      <w:r w:rsidRPr="00B419CE">
        <w:t>kartleggje</w:t>
      </w:r>
      <w:proofErr w:type="spellEnd"/>
      <w:r w:rsidRPr="00B419CE">
        <w:t xml:space="preserve"> </w:t>
      </w:r>
      <w:proofErr w:type="spellStart"/>
      <w:r w:rsidRPr="00B419CE">
        <w:t>deira</w:t>
      </w:r>
      <w:proofErr w:type="spellEnd"/>
      <w:r w:rsidRPr="00B419CE">
        <w:t xml:space="preserve"> inntrykk av Skatteetaten. </w:t>
      </w:r>
      <w:proofErr w:type="spellStart"/>
      <w:r w:rsidRPr="00B419CE">
        <w:t>Undersøkingane</w:t>
      </w:r>
      <w:proofErr w:type="spellEnd"/>
      <w:r w:rsidRPr="00B419CE">
        <w:t xml:space="preserve"> </w:t>
      </w:r>
      <w:proofErr w:type="spellStart"/>
      <w:r w:rsidRPr="00B419CE">
        <w:t>frå</w:t>
      </w:r>
      <w:proofErr w:type="spellEnd"/>
      <w:r w:rsidRPr="00B419CE">
        <w:t xml:space="preserve"> 2020 syner at </w:t>
      </w:r>
      <w:proofErr w:type="spellStart"/>
      <w:r w:rsidRPr="00B419CE">
        <w:t>ein</w:t>
      </w:r>
      <w:proofErr w:type="spellEnd"/>
      <w:r w:rsidRPr="00B419CE">
        <w:t xml:space="preserve"> stor del av </w:t>
      </w:r>
      <w:proofErr w:type="spellStart"/>
      <w:r w:rsidRPr="00B419CE">
        <w:t>brukarane</w:t>
      </w:r>
      <w:proofErr w:type="spellEnd"/>
      <w:r w:rsidRPr="00B419CE">
        <w:t xml:space="preserve"> har </w:t>
      </w:r>
      <w:proofErr w:type="spellStart"/>
      <w:r w:rsidRPr="00B419CE">
        <w:t>høg</w:t>
      </w:r>
      <w:proofErr w:type="spellEnd"/>
      <w:r w:rsidRPr="00B419CE">
        <w:t xml:space="preserve"> tillit til korleis Skatteetaten utøver mynde, og til at </w:t>
      </w:r>
      <w:proofErr w:type="spellStart"/>
      <w:r w:rsidRPr="00B419CE">
        <w:t>deira</w:t>
      </w:r>
      <w:proofErr w:type="spellEnd"/>
      <w:r w:rsidRPr="00B419CE">
        <w:t xml:space="preserve"> </w:t>
      </w:r>
      <w:proofErr w:type="spellStart"/>
      <w:r w:rsidRPr="00B419CE">
        <w:t>rettar</w:t>
      </w:r>
      <w:proofErr w:type="spellEnd"/>
      <w:r w:rsidRPr="00B419CE">
        <w:t xml:space="preserve"> vert </w:t>
      </w:r>
      <w:proofErr w:type="spellStart"/>
      <w:r w:rsidRPr="00B419CE">
        <w:t>tekne</w:t>
      </w:r>
      <w:proofErr w:type="spellEnd"/>
      <w:r w:rsidRPr="00B419CE">
        <w:t xml:space="preserve"> vare på. Resultata er </w:t>
      </w:r>
      <w:proofErr w:type="spellStart"/>
      <w:r w:rsidRPr="00B419CE">
        <w:t>gjennomgåande</w:t>
      </w:r>
      <w:proofErr w:type="spellEnd"/>
      <w:r w:rsidRPr="00B419CE">
        <w:t xml:space="preserve"> </w:t>
      </w:r>
      <w:proofErr w:type="spellStart"/>
      <w:r w:rsidRPr="00B419CE">
        <w:t>noko</w:t>
      </w:r>
      <w:proofErr w:type="spellEnd"/>
      <w:r w:rsidRPr="00B419CE">
        <w:t xml:space="preserve"> betre enn for 2019. Heile 84 pst. av </w:t>
      </w:r>
      <w:proofErr w:type="spellStart"/>
      <w:r w:rsidRPr="00B419CE">
        <w:t>dei</w:t>
      </w:r>
      <w:proofErr w:type="spellEnd"/>
      <w:r w:rsidRPr="00B419CE">
        <w:t xml:space="preserve"> </w:t>
      </w:r>
      <w:proofErr w:type="spellStart"/>
      <w:r w:rsidRPr="00B419CE">
        <w:t>spurde</w:t>
      </w:r>
      <w:proofErr w:type="spellEnd"/>
      <w:r w:rsidRPr="00B419CE">
        <w:t xml:space="preserve"> </w:t>
      </w:r>
      <w:proofErr w:type="spellStart"/>
      <w:r w:rsidRPr="00B419CE">
        <w:t>personane</w:t>
      </w:r>
      <w:proofErr w:type="spellEnd"/>
      <w:r w:rsidRPr="00B419CE">
        <w:t xml:space="preserve"> har </w:t>
      </w:r>
      <w:proofErr w:type="spellStart"/>
      <w:r w:rsidRPr="00B419CE">
        <w:t>høg</w:t>
      </w:r>
      <w:proofErr w:type="spellEnd"/>
      <w:r w:rsidRPr="00B419CE">
        <w:t xml:space="preserve"> tillit til at Skatteetaten </w:t>
      </w:r>
      <w:proofErr w:type="spellStart"/>
      <w:r w:rsidRPr="00B419CE">
        <w:t>forvaltar</w:t>
      </w:r>
      <w:proofErr w:type="spellEnd"/>
      <w:r w:rsidRPr="00B419CE">
        <w:t xml:space="preserve"> informasjon på </w:t>
      </w:r>
      <w:proofErr w:type="spellStart"/>
      <w:r w:rsidRPr="00B419CE">
        <w:t>ein</w:t>
      </w:r>
      <w:proofErr w:type="spellEnd"/>
      <w:r w:rsidRPr="00B419CE">
        <w:t xml:space="preserve"> trygg måte. Dette er det </w:t>
      </w:r>
      <w:proofErr w:type="spellStart"/>
      <w:r w:rsidRPr="00B419CE">
        <w:t>høgaste</w:t>
      </w:r>
      <w:proofErr w:type="spellEnd"/>
      <w:r w:rsidRPr="00B419CE">
        <w:t xml:space="preserve"> resultatet etaten har hatt. </w:t>
      </w:r>
      <w:proofErr w:type="spellStart"/>
      <w:r w:rsidRPr="00B419CE">
        <w:t>Framleis</w:t>
      </w:r>
      <w:proofErr w:type="spellEnd"/>
      <w:r w:rsidRPr="00B419CE">
        <w:t xml:space="preserve"> er det </w:t>
      </w:r>
      <w:proofErr w:type="spellStart"/>
      <w:r w:rsidRPr="00B419CE">
        <w:t>noko</w:t>
      </w:r>
      <w:proofErr w:type="spellEnd"/>
      <w:r w:rsidRPr="00B419CE">
        <w:t xml:space="preserve"> låg tillit til at </w:t>
      </w:r>
      <w:proofErr w:type="spellStart"/>
      <w:r w:rsidRPr="00B419CE">
        <w:t>skattemyndigheitene</w:t>
      </w:r>
      <w:proofErr w:type="spellEnd"/>
      <w:r w:rsidRPr="00B419CE">
        <w:t xml:space="preserve"> </w:t>
      </w:r>
      <w:proofErr w:type="spellStart"/>
      <w:r w:rsidRPr="00B419CE">
        <w:t>sikrar</w:t>
      </w:r>
      <w:proofErr w:type="spellEnd"/>
      <w:r w:rsidRPr="00B419CE">
        <w:t xml:space="preserve"> at andre </w:t>
      </w:r>
      <w:proofErr w:type="spellStart"/>
      <w:r w:rsidRPr="00B419CE">
        <w:t>verksemder</w:t>
      </w:r>
      <w:proofErr w:type="spellEnd"/>
      <w:r w:rsidRPr="00B419CE">
        <w:t xml:space="preserve"> </w:t>
      </w:r>
      <w:proofErr w:type="spellStart"/>
      <w:r w:rsidRPr="00B419CE">
        <w:t>betalar</w:t>
      </w:r>
      <w:proofErr w:type="spellEnd"/>
      <w:r w:rsidRPr="00B419CE">
        <w:t xml:space="preserve"> riktig skatt, </w:t>
      </w:r>
      <w:proofErr w:type="spellStart"/>
      <w:r w:rsidRPr="00B419CE">
        <w:t>sidan</w:t>
      </w:r>
      <w:proofErr w:type="spellEnd"/>
      <w:r w:rsidRPr="00B419CE">
        <w:t xml:space="preserve"> </w:t>
      </w:r>
      <w:proofErr w:type="spellStart"/>
      <w:r w:rsidRPr="00B419CE">
        <w:t>berre</w:t>
      </w:r>
      <w:proofErr w:type="spellEnd"/>
      <w:r w:rsidRPr="00B419CE">
        <w:t xml:space="preserve"> 50 pst. har svart at </w:t>
      </w:r>
      <w:proofErr w:type="spellStart"/>
      <w:r w:rsidRPr="00B419CE">
        <w:t>dei</w:t>
      </w:r>
      <w:proofErr w:type="spellEnd"/>
      <w:r w:rsidRPr="00B419CE">
        <w:t xml:space="preserve"> har «stor» eller «svært stor» tillit.</w:t>
      </w:r>
    </w:p>
    <w:p w14:paraId="58EDF0DC" w14:textId="77777777" w:rsidR="00B419CE" w:rsidRPr="00B419CE" w:rsidRDefault="00B419CE" w:rsidP="00B419CE">
      <w:pPr>
        <w:pStyle w:val="avsnitt-undertittel"/>
      </w:pPr>
      <w:r w:rsidRPr="00B419CE">
        <w:t>Arbeid med koronatiltak</w:t>
      </w:r>
    </w:p>
    <w:p w14:paraId="3B3E02F6" w14:textId="77777777" w:rsidR="00B419CE" w:rsidRPr="00B419CE" w:rsidRDefault="00B419CE" w:rsidP="00B419CE">
      <w:r w:rsidRPr="00B419CE">
        <w:t xml:space="preserve">Skatteetaten har i 2020 utvikla og forvalta </w:t>
      </w:r>
      <w:proofErr w:type="spellStart"/>
      <w:r w:rsidRPr="00B419CE">
        <w:t>fleire</w:t>
      </w:r>
      <w:proofErr w:type="spellEnd"/>
      <w:r w:rsidRPr="00B419CE">
        <w:t xml:space="preserve"> </w:t>
      </w:r>
      <w:proofErr w:type="spellStart"/>
      <w:r w:rsidRPr="00B419CE">
        <w:t>mellombelse</w:t>
      </w:r>
      <w:proofErr w:type="spellEnd"/>
      <w:r w:rsidRPr="00B419CE">
        <w:t xml:space="preserve"> koronatiltak, både </w:t>
      </w:r>
      <w:proofErr w:type="spellStart"/>
      <w:r w:rsidRPr="00B419CE">
        <w:t>innanfor</w:t>
      </w:r>
      <w:proofErr w:type="spellEnd"/>
      <w:r w:rsidRPr="00B419CE">
        <w:t xml:space="preserve"> og </w:t>
      </w:r>
      <w:proofErr w:type="spellStart"/>
      <w:r w:rsidRPr="00B419CE">
        <w:t>utanfor</w:t>
      </w:r>
      <w:proofErr w:type="spellEnd"/>
      <w:r w:rsidRPr="00B419CE">
        <w:t xml:space="preserve"> skatteområdet: mellombels </w:t>
      </w:r>
      <w:proofErr w:type="spellStart"/>
      <w:r w:rsidRPr="00B419CE">
        <w:t>tilskotsordning</w:t>
      </w:r>
      <w:proofErr w:type="spellEnd"/>
      <w:r w:rsidRPr="00B419CE">
        <w:t xml:space="preserve"> for </w:t>
      </w:r>
      <w:proofErr w:type="spellStart"/>
      <w:r w:rsidRPr="00B419CE">
        <w:t>føretak</w:t>
      </w:r>
      <w:proofErr w:type="spellEnd"/>
      <w:r w:rsidRPr="00B419CE">
        <w:t xml:space="preserve"> med stor reduksjon i </w:t>
      </w:r>
      <w:proofErr w:type="spellStart"/>
      <w:r w:rsidRPr="00B419CE">
        <w:t>omsetnaden</w:t>
      </w:r>
      <w:proofErr w:type="spellEnd"/>
      <w:r w:rsidRPr="00B419CE">
        <w:t xml:space="preserve"> (kompensasjonsordninga for næringslivet), mellombels </w:t>
      </w:r>
      <w:proofErr w:type="spellStart"/>
      <w:r w:rsidRPr="00B419CE">
        <w:t>tilskotsordning</w:t>
      </w:r>
      <w:proofErr w:type="spellEnd"/>
      <w:r w:rsidRPr="00B419CE">
        <w:t xml:space="preserve"> for </w:t>
      </w:r>
      <w:proofErr w:type="spellStart"/>
      <w:r w:rsidRPr="00B419CE">
        <w:t>arbeidsgjevarar</w:t>
      </w:r>
      <w:proofErr w:type="spellEnd"/>
      <w:r w:rsidRPr="00B419CE">
        <w:t xml:space="preserve"> i tiltakssona og på Svalbard, mellombels </w:t>
      </w:r>
      <w:proofErr w:type="spellStart"/>
      <w:r w:rsidRPr="00B419CE">
        <w:t>tilskotsordning</w:t>
      </w:r>
      <w:proofErr w:type="spellEnd"/>
      <w:r w:rsidRPr="00B419CE">
        <w:t xml:space="preserve"> ved </w:t>
      </w:r>
      <w:proofErr w:type="spellStart"/>
      <w:r w:rsidRPr="00B419CE">
        <w:t>avbroten</w:t>
      </w:r>
      <w:proofErr w:type="spellEnd"/>
      <w:r w:rsidRPr="00B419CE">
        <w:t xml:space="preserve"> permittering (</w:t>
      </w:r>
      <w:proofErr w:type="spellStart"/>
      <w:r w:rsidRPr="00B419CE">
        <w:t>lønsstøtteordninga</w:t>
      </w:r>
      <w:proofErr w:type="spellEnd"/>
      <w:r w:rsidRPr="00B419CE">
        <w:t xml:space="preserve">), den forenkla ordninga for </w:t>
      </w:r>
      <w:proofErr w:type="spellStart"/>
      <w:r w:rsidRPr="00B419CE">
        <w:t>mellombelse</w:t>
      </w:r>
      <w:proofErr w:type="spellEnd"/>
      <w:r w:rsidRPr="00B419CE">
        <w:t xml:space="preserve"> </w:t>
      </w:r>
      <w:proofErr w:type="spellStart"/>
      <w:r w:rsidRPr="00B419CE">
        <w:lastRenderedPageBreak/>
        <w:t>betalingsutsetjingar</w:t>
      </w:r>
      <w:proofErr w:type="spellEnd"/>
      <w:r w:rsidRPr="00B419CE">
        <w:t xml:space="preserve"> etter skattebetalingslova § 15-4 (</w:t>
      </w:r>
      <w:proofErr w:type="spellStart"/>
      <w:r w:rsidRPr="00B419CE">
        <w:t>utsetjingsordninga</w:t>
      </w:r>
      <w:proofErr w:type="spellEnd"/>
      <w:r w:rsidRPr="00B419CE">
        <w:t xml:space="preserve">), og </w:t>
      </w:r>
      <w:proofErr w:type="spellStart"/>
      <w:r w:rsidRPr="00B419CE">
        <w:t>dei</w:t>
      </w:r>
      <w:proofErr w:type="spellEnd"/>
      <w:r w:rsidRPr="00B419CE">
        <w:t xml:space="preserve"> materielle </w:t>
      </w:r>
      <w:proofErr w:type="spellStart"/>
      <w:r w:rsidRPr="00B419CE">
        <w:t>skatteordningane</w:t>
      </w:r>
      <w:proofErr w:type="spellEnd"/>
      <w:r w:rsidRPr="00B419CE">
        <w:t xml:space="preserve">. I tillegg vart </w:t>
      </w:r>
      <w:proofErr w:type="spellStart"/>
      <w:r w:rsidRPr="00B419CE">
        <w:t>innkrevjing</w:t>
      </w:r>
      <w:proofErr w:type="spellEnd"/>
      <w:r w:rsidRPr="00B419CE">
        <w:t xml:space="preserve"> av </w:t>
      </w:r>
      <w:proofErr w:type="spellStart"/>
      <w:r w:rsidRPr="00B419CE">
        <w:t>skattar</w:t>
      </w:r>
      <w:proofErr w:type="spellEnd"/>
      <w:r w:rsidRPr="00B419CE">
        <w:t xml:space="preserve"> og avgifter for </w:t>
      </w:r>
      <w:proofErr w:type="spellStart"/>
      <w:r w:rsidRPr="00B419CE">
        <w:t>næringsdrivande</w:t>
      </w:r>
      <w:proofErr w:type="spellEnd"/>
      <w:r w:rsidRPr="00B419CE">
        <w:t xml:space="preserve"> i stor utstrekning sette på hald i mars 2020 som </w:t>
      </w:r>
      <w:proofErr w:type="spellStart"/>
      <w:r w:rsidRPr="00B419CE">
        <w:t>følgje</w:t>
      </w:r>
      <w:proofErr w:type="spellEnd"/>
      <w:r w:rsidRPr="00B419CE">
        <w:t xml:space="preserve"> av koronasituasjonen, men vart </w:t>
      </w:r>
      <w:proofErr w:type="spellStart"/>
      <w:r w:rsidRPr="00B419CE">
        <w:t>seinare</w:t>
      </w:r>
      <w:proofErr w:type="spellEnd"/>
      <w:r w:rsidRPr="00B419CE">
        <w:t xml:space="preserve"> sett i gang igjen. I mellombels instruks for </w:t>
      </w:r>
      <w:proofErr w:type="spellStart"/>
      <w:r w:rsidRPr="00B419CE">
        <w:t>innkrevjingsarbeidet</w:t>
      </w:r>
      <w:proofErr w:type="spellEnd"/>
      <w:r w:rsidRPr="00B419CE">
        <w:t xml:space="preserve"> ved koronapandemien vart det gjeve </w:t>
      </w:r>
      <w:proofErr w:type="spellStart"/>
      <w:r w:rsidRPr="00B419CE">
        <w:t>føringar</w:t>
      </w:r>
      <w:proofErr w:type="spellEnd"/>
      <w:r w:rsidRPr="00B419CE">
        <w:t xml:space="preserve"> om å </w:t>
      </w:r>
      <w:proofErr w:type="spellStart"/>
      <w:r w:rsidRPr="00B419CE">
        <w:t>setje</w:t>
      </w:r>
      <w:proofErr w:type="spellEnd"/>
      <w:r w:rsidRPr="00B419CE">
        <w:t xml:space="preserve"> dette på vent. Dei sentrale omsyna bak instruksen er smittevern, kapasitet hos Skatteetaten, </w:t>
      </w:r>
      <w:proofErr w:type="spellStart"/>
      <w:r w:rsidRPr="00B419CE">
        <w:t>skatteoppkrevjarane</w:t>
      </w:r>
      <w:proofErr w:type="spellEnd"/>
      <w:r w:rsidRPr="00B419CE">
        <w:t xml:space="preserve"> og andre </w:t>
      </w:r>
      <w:proofErr w:type="spellStart"/>
      <w:r w:rsidRPr="00B419CE">
        <w:t>offentlege</w:t>
      </w:r>
      <w:proofErr w:type="spellEnd"/>
      <w:r w:rsidRPr="00B419CE">
        <w:t xml:space="preserve"> </w:t>
      </w:r>
      <w:proofErr w:type="spellStart"/>
      <w:r w:rsidRPr="00B419CE">
        <w:t>etatar</w:t>
      </w:r>
      <w:proofErr w:type="spellEnd"/>
      <w:r w:rsidRPr="00B419CE">
        <w:t xml:space="preserve"> (</w:t>
      </w:r>
      <w:proofErr w:type="spellStart"/>
      <w:r w:rsidRPr="00B419CE">
        <w:t>tingrettar</w:t>
      </w:r>
      <w:proofErr w:type="spellEnd"/>
      <w:r w:rsidRPr="00B419CE">
        <w:t xml:space="preserve">, </w:t>
      </w:r>
      <w:proofErr w:type="spellStart"/>
      <w:r w:rsidRPr="00B419CE">
        <w:t>alminneleg</w:t>
      </w:r>
      <w:proofErr w:type="spellEnd"/>
      <w:r w:rsidRPr="00B419CE">
        <w:t xml:space="preserve"> namsmann), og </w:t>
      </w:r>
      <w:proofErr w:type="spellStart"/>
      <w:r w:rsidRPr="00B419CE">
        <w:t>dessutan</w:t>
      </w:r>
      <w:proofErr w:type="spellEnd"/>
      <w:r w:rsidRPr="00B419CE">
        <w:t xml:space="preserve"> omsyn til likviditeten hos </w:t>
      </w:r>
      <w:proofErr w:type="spellStart"/>
      <w:r w:rsidRPr="00B419CE">
        <w:t>privatpersonar</w:t>
      </w:r>
      <w:proofErr w:type="spellEnd"/>
      <w:r w:rsidRPr="00B419CE">
        <w:t xml:space="preserve"> og </w:t>
      </w:r>
      <w:proofErr w:type="spellStart"/>
      <w:r w:rsidRPr="00B419CE">
        <w:t>næringsverksemder</w:t>
      </w:r>
      <w:proofErr w:type="spellEnd"/>
      <w:r w:rsidRPr="00B419CE">
        <w:t xml:space="preserve">. Etaten har òg, ved at det var </w:t>
      </w:r>
      <w:proofErr w:type="spellStart"/>
      <w:r w:rsidRPr="00B419CE">
        <w:t>mogeleg</w:t>
      </w:r>
      <w:proofErr w:type="spellEnd"/>
      <w:r w:rsidRPr="00B419CE">
        <w:t xml:space="preserve"> å tilbakeføre </w:t>
      </w:r>
      <w:proofErr w:type="spellStart"/>
      <w:r w:rsidRPr="00B419CE">
        <w:t>underskot</w:t>
      </w:r>
      <w:proofErr w:type="spellEnd"/>
      <w:r w:rsidRPr="00B419CE">
        <w:t xml:space="preserve"> i 2020 mot skatta </w:t>
      </w:r>
      <w:proofErr w:type="spellStart"/>
      <w:r w:rsidRPr="00B419CE">
        <w:t>overskot</w:t>
      </w:r>
      <w:proofErr w:type="spellEnd"/>
      <w:r w:rsidRPr="00B419CE">
        <w:t xml:space="preserve"> i 2018/2019, lagt til rette for at selskap mellombels kan få utnytte skatteverdien av </w:t>
      </w:r>
      <w:proofErr w:type="spellStart"/>
      <w:r w:rsidRPr="00B419CE">
        <w:t>selskapsunderskotet</w:t>
      </w:r>
      <w:proofErr w:type="spellEnd"/>
      <w:r w:rsidRPr="00B419CE">
        <w:t xml:space="preserve"> i 2020, på inntil 30 mill. kroner, </w:t>
      </w:r>
      <w:proofErr w:type="spellStart"/>
      <w:r w:rsidRPr="00B419CE">
        <w:t>tidlegare</w:t>
      </w:r>
      <w:proofErr w:type="spellEnd"/>
      <w:r w:rsidRPr="00B419CE">
        <w:t xml:space="preserve"> enn om </w:t>
      </w:r>
      <w:proofErr w:type="spellStart"/>
      <w:r w:rsidRPr="00B419CE">
        <w:t>dei</w:t>
      </w:r>
      <w:proofErr w:type="spellEnd"/>
      <w:r w:rsidRPr="00B419CE">
        <w:t xml:space="preserve"> skulle framført </w:t>
      </w:r>
      <w:proofErr w:type="spellStart"/>
      <w:r w:rsidRPr="00B419CE">
        <w:t>underskotet</w:t>
      </w:r>
      <w:proofErr w:type="spellEnd"/>
      <w:r w:rsidRPr="00B419CE">
        <w:t xml:space="preserve"> mot </w:t>
      </w:r>
      <w:proofErr w:type="spellStart"/>
      <w:r w:rsidRPr="00B419CE">
        <w:t>overskot</w:t>
      </w:r>
      <w:proofErr w:type="spellEnd"/>
      <w:r w:rsidRPr="00B419CE">
        <w:t xml:space="preserve"> </w:t>
      </w:r>
      <w:proofErr w:type="spellStart"/>
      <w:r w:rsidRPr="00B419CE">
        <w:t>seinare</w:t>
      </w:r>
      <w:proofErr w:type="spellEnd"/>
      <w:r w:rsidRPr="00B419CE">
        <w:t xml:space="preserve"> inntektsår. Arbeidet med </w:t>
      </w:r>
      <w:proofErr w:type="spellStart"/>
      <w:r w:rsidRPr="00B419CE">
        <w:t>nemnde</w:t>
      </w:r>
      <w:proofErr w:type="spellEnd"/>
      <w:r w:rsidRPr="00B419CE">
        <w:t xml:space="preserve"> koronatiltak har </w:t>
      </w:r>
      <w:proofErr w:type="spellStart"/>
      <w:r w:rsidRPr="00B419CE">
        <w:t>kravt</w:t>
      </w:r>
      <w:proofErr w:type="spellEnd"/>
      <w:r w:rsidRPr="00B419CE">
        <w:t xml:space="preserve"> store </w:t>
      </w:r>
      <w:proofErr w:type="spellStart"/>
      <w:r w:rsidRPr="00B419CE">
        <w:t>ressursar</w:t>
      </w:r>
      <w:proofErr w:type="spellEnd"/>
      <w:r w:rsidRPr="00B419CE">
        <w:t xml:space="preserve"> i etaten i 2020.</w:t>
      </w:r>
    </w:p>
    <w:p w14:paraId="55046571" w14:textId="77777777" w:rsidR="00B419CE" w:rsidRPr="00B419CE" w:rsidRDefault="00B419CE" w:rsidP="00B419CE">
      <w:r w:rsidRPr="00B419CE">
        <w:t xml:space="preserve">I kompensasjonsordninga for næringslivet for perioden mars–august 2020 har etaten per 31. desember 2020 </w:t>
      </w:r>
      <w:proofErr w:type="spellStart"/>
      <w:r w:rsidRPr="00B419CE">
        <w:t>motteke</w:t>
      </w:r>
      <w:proofErr w:type="spellEnd"/>
      <w:r w:rsidRPr="00B419CE">
        <w:t xml:space="preserve"> 100 139 </w:t>
      </w:r>
      <w:proofErr w:type="spellStart"/>
      <w:r w:rsidRPr="00B419CE">
        <w:t>søknadar</w:t>
      </w:r>
      <w:proofErr w:type="spellEnd"/>
      <w:r w:rsidRPr="00B419CE">
        <w:t xml:space="preserve">. Av </w:t>
      </w:r>
      <w:proofErr w:type="spellStart"/>
      <w:r w:rsidRPr="00B419CE">
        <w:t>desse</w:t>
      </w:r>
      <w:proofErr w:type="spellEnd"/>
      <w:r w:rsidRPr="00B419CE">
        <w:t xml:space="preserve"> har 78 940 </w:t>
      </w:r>
      <w:proofErr w:type="spellStart"/>
      <w:r w:rsidRPr="00B419CE">
        <w:t>søknadar</w:t>
      </w:r>
      <w:proofErr w:type="spellEnd"/>
      <w:r w:rsidRPr="00B419CE">
        <w:t xml:space="preserve"> vorte godkjente (79 pst.) og 21 199 avslått (21 pst.). I 2020 </w:t>
      </w:r>
      <w:proofErr w:type="spellStart"/>
      <w:r w:rsidRPr="00B419CE">
        <w:t>vart</w:t>
      </w:r>
      <w:proofErr w:type="spellEnd"/>
      <w:r w:rsidRPr="00B419CE">
        <w:t xml:space="preserve"> det utbetalt til </w:t>
      </w:r>
      <w:proofErr w:type="spellStart"/>
      <w:r w:rsidRPr="00B419CE">
        <w:t>saman</w:t>
      </w:r>
      <w:proofErr w:type="spellEnd"/>
      <w:r w:rsidRPr="00B419CE">
        <w:t xml:space="preserve"> 6,9 mrd. kroner til 34 332 </w:t>
      </w:r>
      <w:proofErr w:type="spellStart"/>
      <w:r w:rsidRPr="00B419CE">
        <w:t>verksemder</w:t>
      </w:r>
      <w:proofErr w:type="spellEnd"/>
      <w:r w:rsidRPr="00B419CE">
        <w:t xml:space="preserve">. Trass i </w:t>
      </w:r>
      <w:proofErr w:type="spellStart"/>
      <w:r w:rsidRPr="00B419CE">
        <w:t>nokon</w:t>
      </w:r>
      <w:proofErr w:type="spellEnd"/>
      <w:r w:rsidRPr="00B419CE">
        <w:t xml:space="preserve"> </w:t>
      </w:r>
      <w:proofErr w:type="spellStart"/>
      <w:r w:rsidRPr="00B419CE">
        <w:t>einskildsaker</w:t>
      </w:r>
      <w:proofErr w:type="spellEnd"/>
      <w:r w:rsidRPr="00B419CE">
        <w:t xml:space="preserve"> meiner etaten at det </w:t>
      </w:r>
      <w:proofErr w:type="spellStart"/>
      <w:r w:rsidRPr="00B419CE">
        <w:t>ikkje</w:t>
      </w:r>
      <w:proofErr w:type="spellEnd"/>
      <w:r w:rsidRPr="00B419CE">
        <w:t xml:space="preserve"> er </w:t>
      </w:r>
      <w:proofErr w:type="spellStart"/>
      <w:r w:rsidRPr="00B419CE">
        <w:t>indikasjonar</w:t>
      </w:r>
      <w:proofErr w:type="spellEnd"/>
      <w:r w:rsidRPr="00B419CE">
        <w:t xml:space="preserve"> på </w:t>
      </w:r>
      <w:proofErr w:type="spellStart"/>
      <w:r w:rsidRPr="00B419CE">
        <w:t>omfattande</w:t>
      </w:r>
      <w:proofErr w:type="spellEnd"/>
      <w:r w:rsidRPr="00B419CE">
        <w:t xml:space="preserve"> misbruk av ordninga. I mellombels </w:t>
      </w:r>
      <w:proofErr w:type="spellStart"/>
      <w:r w:rsidRPr="00B419CE">
        <w:t>tilskotsordning</w:t>
      </w:r>
      <w:proofErr w:type="spellEnd"/>
      <w:r w:rsidRPr="00B419CE">
        <w:t xml:space="preserve"> for </w:t>
      </w:r>
      <w:proofErr w:type="spellStart"/>
      <w:r w:rsidRPr="00B419CE">
        <w:t>arbeidsgjevarar</w:t>
      </w:r>
      <w:proofErr w:type="spellEnd"/>
      <w:r w:rsidRPr="00B419CE">
        <w:t xml:space="preserve"> i tiltakssona og på Svalbard har etaten utbetalt til </w:t>
      </w:r>
      <w:proofErr w:type="spellStart"/>
      <w:r w:rsidRPr="00B419CE">
        <w:t>saman</w:t>
      </w:r>
      <w:proofErr w:type="spellEnd"/>
      <w:r w:rsidRPr="00B419CE">
        <w:t xml:space="preserve"> 160,1 mill. kroner i støtte per 31. desember 2020. I </w:t>
      </w:r>
      <w:proofErr w:type="spellStart"/>
      <w:r w:rsidRPr="00B419CE">
        <w:t>lønsstøtteordninga</w:t>
      </w:r>
      <w:proofErr w:type="spellEnd"/>
      <w:r w:rsidRPr="00B419CE">
        <w:t xml:space="preserve"> for perioden juli–desember 2020 har etaten per 31. desember 2020 innvilga 2 366 </w:t>
      </w:r>
      <w:proofErr w:type="spellStart"/>
      <w:r w:rsidRPr="00B419CE">
        <w:t>søknadar</w:t>
      </w:r>
      <w:proofErr w:type="spellEnd"/>
      <w:r w:rsidRPr="00B419CE">
        <w:t xml:space="preserve"> av til </w:t>
      </w:r>
      <w:proofErr w:type="spellStart"/>
      <w:r w:rsidRPr="00B419CE">
        <w:t>saman</w:t>
      </w:r>
      <w:proofErr w:type="spellEnd"/>
      <w:r w:rsidRPr="00B419CE">
        <w:t xml:space="preserve"> 3 039. Samla utbetalt støtte i 2020 i </w:t>
      </w:r>
      <w:proofErr w:type="spellStart"/>
      <w:r w:rsidRPr="00B419CE">
        <w:t>lønsstøtteordninga</w:t>
      </w:r>
      <w:proofErr w:type="spellEnd"/>
      <w:r w:rsidRPr="00B419CE">
        <w:t xml:space="preserve"> er 162,6 mill. kroner. </w:t>
      </w:r>
      <w:proofErr w:type="spellStart"/>
      <w:r w:rsidRPr="00B419CE">
        <w:t>Lønsstøtteordninga</w:t>
      </w:r>
      <w:proofErr w:type="spellEnd"/>
      <w:r w:rsidRPr="00B419CE">
        <w:t xml:space="preserve"> er vedtatt </w:t>
      </w:r>
      <w:proofErr w:type="spellStart"/>
      <w:r w:rsidRPr="00B419CE">
        <w:t>vidareført</w:t>
      </w:r>
      <w:proofErr w:type="spellEnd"/>
      <w:r w:rsidRPr="00B419CE">
        <w:t xml:space="preserve"> for perioden mars–august 2021. Etaten vil i 2021 gjennomføre </w:t>
      </w:r>
      <w:proofErr w:type="spellStart"/>
      <w:r w:rsidRPr="00B419CE">
        <w:t>etterkontrollar</w:t>
      </w:r>
      <w:proofErr w:type="spellEnd"/>
      <w:r w:rsidRPr="00B419CE">
        <w:t xml:space="preserve"> av innvilga </w:t>
      </w:r>
      <w:proofErr w:type="spellStart"/>
      <w:r w:rsidRPr="00B419CE">
        <w:t>tilskot</w:t>
      </w:r>
      <w:proofErr w:type="spellEnd"/>
      <w:r w:rsidRPr="00B419CE">
        <w:t>.</w:t>
      </w:r>
    </w:p>
    <w:p w14:paraId="24B4843B" w14:textId="77777777" w:rsidR="00B419CE" w:rsidRPr="00B419CE" w:rsidRDefault="00B419CE" w:rsidP="00B419CE">
      <w:pPr>
        <w:pStyle w:val="Undertittel"/>
      </w:pPr>
      <w:r w:rsidRPr="00B419CE">
        <w:t>Samla resultatvurdering</w:t>
      </w:r>
    </w:p>
    <w:p w14:paraId="3C419FA7" w14:textId="77777777" w:rsidR="00B419CE" w:rsidRPr="00B419CE" w:rsidRDefault="00B419CE" w:rsidP="00B419CE">
      <w:r w:rsidRPr="00B419CE">
        <w:t xml:space="preserve">Finansdepartementet vurderer Skatteetatens resultat i 2020 samla sett som </w:t>
      </w:r>
      <w:proofErr w:type="spellStart"/>
      <w:r w:rsidRPr="00B419CE">
        <w:t>tilfredsstillande</w:t>
      </w:r>
      <w:proofErr w:type="spellEnd"/>
      <w:r w:rsidRPr="00B419CE">
        <w:t xml:space="preserve">, sett i lys av </w:t>
      </w:r>
      <w:proofErr w:type="spellStart"/>
      <w:r w:rsidRPr="00B419CE">
        <w:t>eit</w:t>
      </w:r>
      <w:proofErr w:type="spellEnd"/>
      <w:r w:rsidRPr="00B419CE">
        <w:t xml:space="preserve"> </w:t>
      </w:r>
      <w:proofErr w:type="spellStart"/>
      <w:r w:rsidRPr="00B419CE">
        <w:t>krevjande</w:t>
      </w:r>
      <w:proofErr w:type="spellEnd"/>
      <w:r w:rsidRPr="00B419CE">
        <w:t xml:space="preserve"> år med koronapandemi. Etaten har </w:t>
      </w:r>
      <w:proofErr w:type="spellStart"/>
      <w:r w:rsidRPr="00B419CE">
        <w:t>måtta</w:t>
      </w:r>
      <w:proofErr w:type="spellEnd"/>
      <w:r w:rsidRPr="00B419CE">
        <w:t xml:space="preserve"> </w:t>
      </w:r>
      <w:proofErr w:type="spellStart"/>
      <w:r w:rsidRPr="00B419CE">
        <w:t>gjere</w:t>
      </w:r>
      <w:proofErr w:type="spellEnd"/>
      <w:r w:rsidRPr="00B419CE">
        <w:t xml:space="preserve"> svært </w:t>
      </w:r>
      <w:proofErr w:type="spellStart"/>
      <w:r w:rsidRPr="00B419CE">
        <w:t>vanskelege</w:t>
      </w:r>
      <w:proofErr w:type="spellEnd"/>
      <w:r w:rsidRPr="00B419CE">
        <w:t xml:space="preserve"> </w:t>
      </w:r>
      <w:proofErr w:type="spellStart"/>
      <w:r w:rsidRPr="00B419CE">
        <w:t>prioriteringar</w:t>
      </w:r>
      <w:proofErr w:type="spellEnd"/>
      <w:r w:rsidRPr="00B419CE">
        <w:t xml:space="preserve">. </w:t>
      </w:r>
      <w:proofErr w:type="spellStart"/>
      <w:r w:rsidRPr="00B419CE">
        <w:t>Kjerneoppgåvene</w:t>
      </w:r>
      <w:proofErr w:type="spellEnd"/>
      <w:r w:rsidRPr="00B419CE">
        <w:t xml:space="preserve"> og arbeidet med koronatiltak har hatt </w:t>
      </w:r>
      <w:proofErr w:type="spellStart"/>
      <w:r w:rsidRPr="00B419CE">
        <w:t>høgaste</w:t>
      </w:r>
      <w:proofErr w:type="spellEnd"/>
      <w:r w:rsidRPr="00B419CE">
        <w:t xml:space="preserve"> prioritet og lagt beslag på store </w:t>
      </w:r>
      <w:proofErr w:type="spellStart"/>
      <w:r w:rsidRPr="00B419CE">
        <w:t>ressursar</w:t>
      </w:r>
      <w:proofErr w:type="spellEnd"/>
      <w:r w:rsidRPr="00B419CE">
        <w:t xml:space="preserve">. Departementet meiner etaten har gjort gode og </w:t>
      </w:r>
      <w:proofErr w:type="spellStart"/>
      <w:r w:rsidRPr="00B419CE">
        <w:t>heilskaplege</w:t>
      </w:r>
      <w:proofErr w:type="spellEnd"/>
      <w:r w:rsidRPr="00B419CE">
        <w:t xml:space="preserve"> </w:t>
      </w:r>
      <w:proofErr w:type="spellStart"/>
      <w:r w:rsidRPr="00B419CE">
        <w:t>prioriteringar</w:t>
      </w:r>
      <w:proofErr w:type="spellEnd"/>
      <w:r w:rsidRPr="00B419CE">
        <w:t>, samt vist stor fleksibilitet i koronasituasjonen.</w:t>
      </w:r>
    </w:p>
    <w:p w14:paraId="3C96A9CD" w14:textId="77777777" w:rsidR="00B419CE" w:rsidRPr="00B419CE" w:rsidRDefault="00B419CE" w:rsidP="00B419CE">
      <w:r w:rsidRPr="00B419CE">
        <w:t xml:space="preserve">Overføringa av </w:t>
      </w:r>
      <w:proofErr w:type="spellStart"/>
      <w:r w:rsidRPr="00B419CE">
        <w:t>skatteoppkrevjinga</w:t>
      </w:r>
      <w:proofErr w:type="spellEnd"/>
      <w:r w:rsidRPr="00B419CE">
        <w:t xml:space="preserve"> </w:t>
      </w:r>
      <w:proofErr w:type="spellStart"/>
      <w:r w:rsidRPr="00B419CE">
        <w:t>frå</w:t>
      </w:r>
      <w:proofErr w:type="spellEnd"/>
      <w:r w:rsidRPr="00B419CE">
        <w:t xml:space="preserve"> </w:t>
      </w:r>
      <w:proofErr w:type="spellStart"/>
      <w:r w:rsidRPr="00B419CE">
        <w:t>kommunane</w:t>
      </w:r>
      <w:proofErr w:type="spellEnd"/>
      <w:r w:rsidRPr="00B419CE">
        <w:t xml:space="preserve"> er gjennomført på </w:t>
      </w:r>
      <w:proofErr w:type="spellStart"/>
      <w:r w:rsidRPr="00B419CE">
        <w:t>ein</w:t>
      </w:r>
      <w:proofErr w:type="spellEnd"/>
      <w:r w:rsidRPr="00B419CE">
        <w:t xml:space="preserve"> god måte. Dei store </w:t>
      </w:r>
      <w:proofErr w:type="spellStart"/>
      <w:r w:rsidRPr="00B419CE">
        <w:t>fastsetjings</w:t>
      </w:r>
      <w:proofErr w:type="spellEnd"/>
      <w:r w:rsidRPr="00B419CE">
        <w:t xml:space="preserve">- og </w:t>
      </w:r>
      <w:proofErr w:type="spellStart"/>
      <w:r w:rsidRPr="00B419CE">
        <w:t>innkrevjingsprosessane</w:t>
      </w:r>
      <w:proofErr w:type="spellEnd"/>
      <w:r w:rsidRPr="00B419CE">
        <w:t xml:space="preserve"> har </w:t>
      </w:r>
      <w:proofErr w:type="spellStart"/>
      <w:r w:rsidRPr="00B419CE">
        <w:t>vore</w:t>
      </w:r>
      <w:proofErr w:type="spellEnd"/>
      <w:r w:rsidRPr="00B419CE">
        <w:t xml:space="preserve"> gjennomførte </w:t>
      </w:r>
      <w:proofErr w:type="spellStart"/>
      <w:r w:rsidRPr="00B419CE">
        <w:t>utan</w:t>
      </w:r>
      <w:proofErr w:type="spellEnd"/>
      <w:r w:rsidRPr="00B419CE">
        <w:t xml:space="preserve"> </w:t>
      </w:r>
      <w:proofErr w:type="spellStart"/>
      <w:r w:rsidRPr="00B419CE">
        <w:t>vesentlege</w:t>
      </w:r>
      <w:proofErr w:type="spellEnd"/>
      <w:r w:rsidRPr="00B419CE">
        <w:t xml:space="preserve"> avvik og med </w:t>
      </w:r>
      <w:proofErr w:type="spellStart"/>
      <w:r w:rsidRPr="00B419CE">
        <w:t>tilfredsstillande</w:t>
      </w:r>
      <w:proofErr w:type="spellEnd"/>
      <w:r w:rsidRPr="00B419CE">
        <w:t xml:space="preserve"> kvalitet. Departementet meiner det er svært positivt at etaten </w:t>
      </w:r>
      <w:proofErr w:type="spellStart"/>
      <w:r w:rsidRPr="00B419CE">
        <w:t>fekk</w:t>
      </w:r>
      <w:proofErr w:type="spellEnd"/>
      <w:r w:rsidRPr="00B419CE">
        <w:t xml:space="preserve"> gjennomført produksjonen under skattemeldingsperioden på </w:t>
      </w:r>
      <w:proofErr w:type="spellStart"/>
      <w:r w:rsidRPr="00B419CE">
        <w:t>ein</w:t>
      </w:r>
      <w:proofErr w:type="spellEnd"/>
      <w:r w:rsidRPr="00B419CE">
        <w:t xml:space="preserve"> gode måte rett etter </w:t>
      </w:r>
      <w:proofErr w:type="spellStart"/>
      <w:r w:rsidRPr="00B419CE">
        <w:t>virusutbrotet</w:t>
      </w:r>
      <w:proofErr w:type="spellEnd"/>
      <w:r w:rsidRPr="00B419CE">
        <w:t xml:space="preserve">. Etaten har i </w:t>
      </w:r>
      <w:proofErr w:type="spellStart"/>
      <w:r w:rsidRPr="00B419CE">
        <w:t>hovudsak</w:t>
      </w:r>
      <w:proofErr w:type="spellEnd"/>
      <w:r w:rsidRPr="00B419CE">
        <w:t xml:space="preserve"> gode resultat på </w:t>
      </w:r>
      <w:proofErr w:type="spellStart"/>
      <w:r w:rsidRPr="00B419CE">
        <w:t>styringsparametrane</w:t>
      </w:r>
      <w:proofErr w:type="spellEnd"/>
      <w:r w:rsidRPr="00B419CE">
        <w:t>.</w:t>
      </w:r>
    </w:p>
    <w:p w14:paraId="7AFCF908" w14:textId="77777777" w:rsidR="00B419CE" w:rsidRPr="00B419CE" w:rsidRDefault="00B419CE" w:rsidP="00B419CE">
      <w:proofErr w:type="spellStart"/>
      <w:r w:rsidRPr="00B419CE">
        <w:t>Analysar</w:t>
      </w:r>
      <w:proofErr w:type="spellEnd"/>
      <w:r w:rsidRPr="00B419CE">
        <w:t xml:space="preserve"> og </w:t>
      </w:r>
      <w:proofErr w:type="spellStart"/>
      <w:r w:rsidRPr="00B419CE">
        <w:t>evalueringar</w:t>
      </w:r>
      <w:proofErr w:type="spellEnd"/>
      <w:r w:rsidRPr="00B419CE">
        <w:t xml:space="preserve"> </w:t>
      </w:r>
      <w:proofErr w:type="spellStart"/>
      <w:r w:rsidRPr="00B419CE">
        <w:t>peiker</w:t>
      </w:r>
      <w:proofErr w:type="spellEnd"/>
      <w:r w:rsidRPr="00B419CE">
        <w:t xml:space="preserve"> i retning av at etatens </w:t>
      </w:r>
      <w:proofErr w:type="spellStart"/>
      <w:r w:rsidRPr="00B419CE">
        <w:t>aktivitetar</w:t>
      </w:r>
      <w:proofErr w:type="spellEnd"/>
      <w:r w:rsidRPr="00B419CE">
        <w:t xml:space="preserve"> og bruk av </w:t>
      </w:r>
      <w:proofErr w:type="spellStart"/>
      <w:r w:rsidRPr="00B419CE">
        <w:t>verkemiddel</w:t>
      </w:r>
      <w:proofErr w:type="spellEnd"/>
      <w:r w:rsidRPr="00B419CE">
        <w:t xml:space="preserve"> på områda arbeidslivskriminalitet, frivillig retting og rettidig levering har effekt på etterlevinga. Samstundes </w:t>
      </w:r>
      <w:proofErr w:type="spellStart"/>
      <w:r w:rsidRPr="00B419CE">
        <w:t>underbyggjer</w:t>
      </w:r>
      <w:proofErr w:type="spellEnd"/>
      <w:r w:rsidRPr="00B419CE">
        <w:t xml:space="preserve"> negativ utvikling i 2020 for rettidig levering av </w:t>
      </w:r>
      <w:proofErr w:type="spellStart"/>
      <w:r w:rsidRPr="00B419CE">
        <w:t>skattemeldingar</w:t>
      </w:r>
      <w:proofErr w:type="spellEnd"/>
      <w:r w:rsidRPr="00B419CE">
        <w:t xml:space="preserve"> </w:t>
      </w:r>
      <w:proofErr w:type="spellStart"/>
      <w:r w:rsidRPr="00B419CE">
        <w:t>frå</w:t>
      </w:r>
      <w:proofErr w:type="spellEnd"/>
      <w:r w:rsidRPr="00B419CE">
        <w:t xml:space="preserve"> </w:t>
      </w:r>
      <w:proofErr w:type="spellStart"/>
      <w:r w:rsidRPr="00B419CE">
        <w:t>næringsdrivande</w:t>
      </w:r>
      <w:proofErr w:type="spellEnd"/>
      <w:r w:rsidRPr="00B419CE">
        <w:t xml:space="preserve"> </w:t>
      </w:r>
      <w:proofErr w:type="spellStart"/>
      <w:r w:rsidRPr="00B419CE">
        <w:t>personar</w:t>
      </w:r>
      <w:proofErr w:type="spellEnd"/>
      <w:r w:rsidRPr="00B419CE">
        <w:t xml:space="preserve"> og selskap at etaten framleis må </w:t>
      </w:r>
      <w:proofErr w:type="spellStart"/>
      <w:r w:rsidRPr="00B419CE">
        <w:t>vektleggje</w:t>
      </w:r>
      <w:proofErr w:type="spellEnd"/>
      <w:r w:rsidRPr="00B419CE">
        <w:t xml:space="preserve"> arbeid med </w:t>
      </w:r>
      <w:proofErr w:type="spellStart"/>
      <w:r w:rsidRPr="00B419CE">
        <w:t>auka</w:t>
      </w:r>
      <w:proofErr w:type="spellEnd"/>
      <w:r w:rsidRPr="00B419CE">
        <w:t xml:space="preserve"> etterleving på dette området. Departementet </w:t>
      </w:r>
      <w:proofErr w:type="spellStart"/>
      <w:r w:rsidRPr="00B419CE">
        <w:t>ventar</w:t>
      </w:r>
      <w:proofErr w:type="spellEnd"/>
      <w:r w:rsidRPr="00B419CE">
        <w:t xml:space="preserve"> òg at utsette </w:t>
      </w:r>
      <w:proofErr w:type="spellStart"/>
      <w:r w:rsidRPr="00B419CE">
        <w:t>fristar</w:t>
      </w:r>
      <w:proofErr w:type="spellEnd"/>
      <w:r w:rsidRPr="00B419CE">
        <w:t xml:space="preserve"> for innbetaling av </w:t>
      </w:r>
      <w:proofErr w:type="spellStart"/>
      <w:r w:rsidRPr="00B419CE">
        <w:t>skattar</w:t>
      </w:r>
      <w:proofErr w:type="spellEnd"/>
      <w:r w:rsidRPr="00B419CE">
        <w:t xml:space="preserve"> og avgifter som </w:t>
      </w:r>
      <w:proofErr w:type="spellStart"/>
      <w:r w:rsidRPr="00B419CE">
        <w:t>følgje</w:t>
      </w:r>
      <w:proofErr w:type="spellEnd"/>
      <w:r w:rsidRPr="00B419CE">
        <w:t xml:space="preserve"> av koronasituasjonen, vil </w:t>
      </w:r>
      <w:proofErr w:type="spellStart"/>
      <w:r w:rsidRPr="00B419CE">
        <w:t>gjere</w:t>
      </w:r>
      <w:proofErr w:type="spellEnd"/>
      <w:r w:rsidRPr="00B419CE">
        <w:t xml:space="preserve"> </w:t>
      </w:r>
      <w:proofErr w:type="spellStart"/>
      <w:r w:rsidRPr="00B419CE">
        <w:t>innkrevjingsarbeidet</w:t>
      </w:r>
      <w:proofErr w:type="spellEnd"/>
      <w:r w:rsidRPr="00B419CE">
        <w:t xml:space="preserve"> </w:t>
      </w:r>
      <w:proofErr w:type="spellStart"/>
      <w:r w:rsidRPr="00B419CE">
        <w:t>meir</w:t>
      </w:r>
      <w:proofErr w:type="spellEnd"/>
      <w:r w:rsidRPr="00B419CE">
        <w:t xml:space="preserve"> </w:t>
      </w:r>
      <w:proofErr w:type="spellStart"/>
      <w:r w:rsidRPr="00B419CE">
        <w:t>krevjande</w:t>
      </w:r>
      <w:proofErr w:type="spellEnd"/>
      <w:r w:rsidRPr="00B419CE">
        <w:t xml:space="preserve"> framover.</w:t>
      </w:r>
    </w:p>
    <w:p w14:paraId="55EAA6C2" w14:textId="77777777" w:rsidR="00B419CE" w:rsidRPr="00B419CE" w:rsidRDefault="00B419CE" w:rsidP="00B419CE">
      <w:proofErr w:type="spellStart"/>
      <w:r w:rsidRPr="00B419CE">
        <w:lastRenderedPageBreak/>
        <w:t>Undersøkingar</w:t>
      </w:r>
      <w:proofErr w:type="spellEnd"/>
      <w:r w:rsidRPr="00B419CE">
        <w:t xml:space="preserve"> syner at </w:t>
      </w:r>
      <w:proofErr w:type="spellStart"/>
      <w:r w:rsidRPr="00B419CE">
        <w:t>brukarane</w:t>
      </w:r>
      <w:proofErr w:type="spellEnd"/>
      <w:r w:rsidRPr="00B419CE">
        <w:t xml:space="preserve"> av Folkeregisteret er nøgde med kvaliteten på </w:t>
      </w:r>
      <w:proofErr w:type="spellStart"/>
      <w:r w:rsidRPr="00B419CE">
        <w:t>innhaldet</w:t>
      </w:r>
      <w:proofErr w:type="spellEnd"/>
      <w:r w:rsidRPr="00B419CE">
        <w:t xml:space="preserve"> i registeret. Registeret er godt </w:t>
      </w:r>
      <w:proofErr w:type="spellStart"/>
      <w:r w:rsidRPr="00B419CE">
        <w:t>tilgjengeleg</w:t>
      </w:r>
      <w:proofErr w:type="spellEnd"/>
      <w:r w:rsidRPr="00B419CE">
        <w:t>.</w:t>
      </w:r>
    </w:p>
    <w:p w14:paraId="260C4E40" w14:textId="77777777" w:rsidR="00B419CE" w:rsidRPr="00B419CE" w:rsidRDefault="00B419CE" w:rsidP="00B419CE">
      <w:proofErr w:type="spellStart"/>
      <w:r w:rsidRPr="00B419CE">
        <w:t>Brukarundersøkingar</w:t>
      </w:r>
      <w:proofErr w:type="spellEnd"/>
      <w:r w:rsidRPr="00B419CE">
        <w:t xml:space="preserve"> tyder òg på at befolkninga og </w:t>
      </w:r>
      <w:proofErr w:type="spellStart"/>
      <w:r w:rsidRPr="00B419CE">
        <w:t>verksemdene</w:t>
      </w:r>
      <w:proofErr w:type="spellEnd"/>
      <w:r w:rsidRPr="00B419CE">
        <w:t xml:space="preserve"> har </w:t>
      </w:r>
      <w:proofErr w:type="spellStart"/>
      <w:r w:rsidRPr="00B419CE">
        <w:t>høg</w:t>
      </w:r>
      <w:proofErr w:type="spellEnd"/>
      <w:r w:rsidRPr="00B419CE">
        <w:t xml:space="preserve"> tillit til Skatteetaten. Dette er </w:t>
      </w:r>
      <w:proofErr w:type="spellStart"/>
      <w:r w:rsidRPr="00B419CE">
        <w:t>ein</w:t>
      </w:r>
      <w:proofErr w:type="spellEnd"/>
      <w:r w:rsidRPr="00B419CE">
        <w:t xml:space="preserve"> viktig </w:t>
      </w:r>
      <w:proofErr w:type="spellStart"/>
      <w:r w:rsidRPr="00B419CE">
        <w:t>føresetnad</w:t>
      </w:r>
      <w:proofErr w:type="spellEnd"/>
      <w:r w:rsidRPr="00B419CE">
        <w:t xml:space="preserve"> for etterleving av skatte- og </w:t>
      </w:r>
      <w:proofErr w:type="spellStart"/>
      <w:r w:rsidRPr="00B419CE">
        <w:t>avgiftsreglane</w:t>
      </w:r>
      <w:proofErr w:type="spellEnd"/>
      <w:r w:rsidRPr="00B419CE">
        <w:t>.</w:t>
      </w:r>
    </w:p>
    <w:p w14:paraId="4122A4B2" w14:textId="77777777" w:rsidR="00B419CE" w:rsidRPr="00B419CE" w:rsidRDefault="00B419CE" w:rsidP="00B419CE">
      <w:r w:rsidRPr="00B419CE">
        <w:t xml:space="preserve">Utviklinga i klagesaksbehandlingstida i etaten er positiv. Redusert saksbehandlingstid i etaten </w:t>
      </w:r>
      <w:proofErr w:type="spellStart"/>
      <w:r w:rsidRPr="00B419CE">
        <w:t>bidreg</w:t>
      </w:r>
      <w:proofErr w:type="spellEnd"/>
      <w:r w:rsidRPr="00B419CE">
        <w:t xml:space="preserve"> til at samla saksbehandlingstid vert redusert. Skattedirektoratet må </w:t>
      </w:r>
      <w:proofErr w:type="spellStart"/>
      <w:r w:rsidRPr="00B419CE">
        <w:t>framleis</w:t>
      </w:r>
      <w:proofErr w:type="spellEnd"/>
      <w:r w:rsidRPr="00B419CE">
        <w:t xml:space="preserve"> </w:t>
      </w:r>
      <w:proofErr w:type="spellStart"/>
      <w:r w:rsidRPr="00B419CE">
        <w:t>følgje</w:t>
      </w:r>
      <w:proofErr w:type="spellEnd"/>
      <w:r w:rsidRPr="00B419CE">
        <w:t xml:space="preserve"> opp sekretariatet for Skatteklagenemnda sitt arbeid med å redusere </w:t>
      </w:r>
      <w:proofErr w:type="spellStart"/>
      <w:r w:rsidRPr="00B419CE">
        <w:t>restansane</w:t>
      </w:r>
      <w:proofErr w:type="spellEnd"/>
      <w:r w:rsidRPr="00B419CE">
        <w:t>.</w:t>
      </w:r>
    </w:p>
    <w:p w14:paraId="69152A63" w14:textId="77777777" w:rsidR="00B419CE" w:rsidRPr="00B419CE" w:rsidRDefault="00B419CE" w:rsidP="00B419CE">
      <w:r w:rsidRPr="00B419CE">
        <w:t xml:space="preserve">Skatteetaten har </w:t>
      </w:r>
      <w:proofErr w:type="spellStart"/>
      <w:r w:rsidRPr="00B419CE">
        <w:t>ein</w:t>
      </w:r>
      <w:proofErr w:type="spellEnd"/>
      <w:r w:rsidRPr="00B419CE">
        <w:t xml:space="preserve"> stor og kompleks utviklingsportefølje. Departementet meiner etaten har </w:t>
      </w:r>
      <w:proofErr w:type="spellStart"/>
      <w:r w:rsidRPr="00B419CE">
        <w:t>arbeidd</w:t>
      </w:r>
      <w:proofErr w:type="spellEnd"/>
      <w:r w:rsidRPr="00B419CE">
        <w:t xml:space="preserve"> godt med utviklingsprosjekta i 2020, </w:t>
      </w:r>
      <w:proofErr w:type="spellStart"/>
      <w:r w:rsidRPr="00B419CE">
        <w:t>sjølv</w:t>
      </w:r>
      <w:proofErr w:type="spellEnd"/>
      <w:r w:rsidRPr="00B419CE">
        <w:t xml:space="preserve"> under </w:t>
      </w:r>
      <w:proofErr w:type="spellStart"/>
      <w:r w:rsidRPr="00B419CE">
        <w:t>krevjande</w:t>
      </w:r>
      <w:proofErr w:type="spellEnd"/>
      <w:r w:rsidRPr="00B419CE">
        <w:t xml:space="preserve"> forhold med stor bruk av heimekontor. </w:t>
      </w:r>
      <w:proofErr w:type="spellStart"/>
      <w:r w:rsidRPr="00B419CE">
        <w:t>Kjerneoppgåvene</w:t>
      </w:r>
      <w:proofErr w:type="spellEnd"/>
      <w:r w:rsidRPr="00B419CE">
        <w:t xml:space="preserve"> og arbeidet med koronatiltak har hatt </w:t>
      </w:r>
      <w:proofErr w:type="spellStart"/>
      <w:r w:rsidRPr="00B419CE">
        <w:t>høgaste</w:t>
      </w:r>
      <w:proofErr w:type="spellEnd"/>
      <w:r w:rsidRPr="00B419CE">
        <w:t xml:space="preserve"> prioritet, og </w:t>
      </w:r>
      <w:proofErr w:type="spellStart"/>
      <w:r w:rsidRPr="00B419CE">
        <w:t>fleire</w:t>
      </w:r>
      <w:proofErr w:type="spellEnd"/>
      <w:r w:rsidRPr="00B419CE">
        <w:t xml:space="preserve"> viktige </w:t>
      </w:r>
      <w:proofErr w:type="spellStart"/>
      <w:r w:rsidRPr="00B419CE">
        <w:t>utviklingsoppgåver</w:t>
      </w:r>
      <w:proofErr w:type="spellEnd"/>
      <w:r w:rsidRPr="00B419CE">
        <w:t xml:space="preserve"> er utsette. I 2020 har etaten lansert ny skattemelding for </w:t>
      </w:r>
      <w:proofErr w:type="spellStart"/>
      <w:r w:rsidRPr="00B419CE">
        <w:t>lønstakarar</w:t>
      </w:r>
      <w:proofErr w:type="spellEnd"/>
      <w:r w:rsidRPr="00B419CE">
        <w:t xml:space="preserve"> og </w:t>
      </w:r>
      <w:proofErr w:type="spellStart"/>
      <w:r w:rsidRPr="00B419CE">
        <w:t>pensjonistar</w:t>
      </w:r>
      <w:proofErr w:type="spellEnd"/>
      <w:r w:rsidRPr="00B419CE">
        <w:t xml:space="preserve">, tatt i bruk nytt modernisert folkeregister, og den fyrste versjonen av ny </w:t>
      </w:r>
      <w:proofErr w:type="spellStart"/>
      <w:r w:rsidRPr="00B419CE">
        <w:t>mva</w:t>
      </w:r>
      <w:proofErr w:type="spellEnd"/>
      <w:r w:rsidRPr="00B419CE">
        <w:t xml:space="preserve">-registreringsløysing er lansert med </w:t>
      </w:r>
      <w:proofErr w:type="spellStart"/>
      <w:r w:rsidRPr="00B419CE">
        <w:t>tilhøyrande</w:t>
      </w:r>
      <w:proofErr w:type="spellEnd"/>
      <w:r w:rsidRPr="00B419CE">
        <w:t xml:space="preserve"> ny saksbehandlingsløysing for </w:t>
      </w:r>
      <w:proofErr w:type="spellStart"/>
      <w:r w:rsidRPr="00B419CE">
        <w:t>mva</w:t>
      </w:r>
      <w:proofErr w:type="spellEnd"/>
      <w:r w:rsidRPr="00B419CE">
        <w:t>-registrering.</w:t>
      </w:r>
    </w:p>
    <w:p w14:paraId="6C07FD1E" w14:textId="77777777" w:rsidR="00B419CE" w:rsidRPr="00B419CE" w:rsidRDefault="00B419CE" w:rsidP="00B419CE">
      <w:r w:rsidRPr="00B419CE">
        <w:t xml:space="preserve">Departementet meiner etaten sitt arbeid med </w:t>
      </w:r>
      <w:proofErr w:type="spellStart"/>
      <w:r w:rsidRPr="00B419CE">
        <w:t>dei</w:t>
      </w:r>
      <w:proofErr w:type="spellEnd"/>
      <w:r w:rsidRPr="00B419CE">
        <w:t xml:space="preserve"> </w:t>
      </w:r>
      <w:proofErr w:type="spellStart"/>
      <w:r w:rsidRPr="00B419CE">
        <w:t>mellombelse</w:t>
      </w:r>
      <w:proofErr w:type="spellEnd"/>
      <w:r w:rsidRPr="00B419CE">
        <w:t xml:space="preserve"> koronatiltaka har </w:t>
      </w:r>
      <w:proofErr w:type="spellStart"/>
      <w:r w:rsidRPr="00B419CE">
        <w:t>vore</w:t>
      </w:r>
      <w:proofErr w:type="spellEnd"/>
      <w:r w:rsidRPr="00B419CE">
        <w:t xml:space="preserve"> god. Etaten må </w:t>
      </w:r>
      <w:proofErr w:type="spellStart"/>
      <w:r w:rsidRPr="00B419CE">
        <w:t>framleis</w:t>
      </w:r>
      <w:proofErr w:type="spellEnd"/>
      <w:r w:rsidRPr="00B419CE">
        <w:t xml:space="preserve"> </w:t>
      </w:r>
      <w:proofErr w:type="spellStart"/>
      <w:r w:rsidRPr="00B419CE">
        <w:t>gjere</w:t>
      </w:r>
      <w:proofErr w:type="spellEnd"/>
      <w:r w:rsidRPr="00B419CE">
        <w:t xml:space="preserve"> gode risikovurderinga av korleis koronasituasjonen påverkar etaten og </w:t>
      </w:r>
      <w:proofErr w:type="spellStart"/>
      <w:r w:rsidRPr="00B419CE">
        <w:t>naudsynte</w:t>
      </w:r>
      <w:proofErr w:type="spellEnd"/>
      <w:r w:rsidRPr="00B419CE">
        <w:t xml:space="preserve"> </w:t>
      </w:r>
      <w:proofErr w:type="spellStart"/>
      <w:r w:rsidRPr="00B419CE">
        <w:t>prioriteringar</w:t>
      </w:r>
      <w:proofErr w:type="spellEnd"/>
      <w:r w:rsidRPr="00B419CE">
        <w:t xml:space="preserve"> framover.</w:t>
      </w:r>
    </w:p>
    <w:p w14:paraId="098649FC" w14:textId="77777777" w:rsidR="00B419CE" w:rsidRPr="00B419CE" w:rsidRDefault="00B419CE" w:rsidP="00B419CE">
      <w:pPr>
        <w:pStyle w:val="Undertittel"/>
      </w:pPr>
      <w:r w:rsidRPr="00B419CE">
        <w:t xml:space="preserve">Viktige </w:t>
      </w:r>
      <w:proofErr w:type="spellStart"/>
      <w:r w:rsidRPr="00B419CE">
        <w:t>utfordringar</w:t>
      </w:r>
      <w:proofErr w:type="spellEnd"/>
    </w:p>
    <w:p w14:paraId="7FD0F32D" w14:textId="77777777" w:rsidR="00B419CE" w:rsidRPr="00B419CE" w:rsidRDefault="00B419CE" w:rsidP="00B419CE">
      <w:r w:rsidRPr="00B419CE">
        <w:t xml:space="preserve">Finansdepartementets styring av Skatteetaten har </w:t>
      </w:r>
      <w:proofErr w:type="spellStart"/>
      <w:r w:rsidRPr="00B419CE">
        <w:t>eit</w:t>
      </w:r>
      <w:proofErr w:type="spellEnd"/>
      <w:r w:rsidRPr="00B419CE">
        <w:t xml:space="preserve"> </w:t>
      </w:r>
      <w:proofErr w:type="spellStart"/>
      <w:r w:rsidRPr="00B419CE">
        <w:t>fleirårig</w:t>
      </w:r>
      <w:proofErr w:type="spellEnd"/>
      <w:r w:rsidRPr="00B419CE">
        <w:t xml:space="preserve"> perspektiv. Evna etaten har til å oppfylle samfunnsoppdraget og nå måla sine, avheng både av </w:t>
      </w:r>
      <w:proofErr w:type="spellStart"/>
      <w:r w:rsidRPr="00B419CE">
        <w:t>utanforliggjande</w:t>
      </w:r>
      <w:proofErr w:type="spellEnd"/>
      <w:r w:rsidRPr="00B419CE">
        <w:t xml:space="preserve"> forhold og </w:t>
      </w:r>
      <w:proofErr w:type="spellStart"/>
      <w:r w:rsidRPr="00B419CE">
        <w:t>dei</w:t>
      </w:r>
      <w:proofErr w:type="spellEnd"/>
      <w:r w:rsidRPr="00B419CE">
        <w:t xml:space="preserve"> interne </w:t>
      </w:r>
      <w:proofErr w:type="spellStart"/>
      <w:r w:rsidRPr="00B419CE">
        <w:t>prosessane</w:t>
      </w:r>
      <w:proofErr w:type="spellEnd"/>
      <w:r w:rsidRPr="00B419CE">
        <w:t xml:space="preserve"> og </w:t>
      </w:r>
      <w:proofErr w:type="spellStart"/>
      <w:r w:rsidRPr="00B419CE">
        <w:t>oppgåveløysinga</w:t>
      </w:r>
      <w:proofErr w:type="spellEnd"/>
      <w:r w:rsidRPr="00B419CE">
        <w:t xml:space="preserve"> i etaten.</w:t>
      </w:r>
    </w:p>
    <w:p w14:paraId="0E0E131E" w14:textId="77777777" w:rsidR="00B419CE" w:rsidRPr="00B419CE" w:rsidRDefault="00B419CE" w:rsidP="00B419CE">
      <w:r w:rsidRPr="00B419CE">
        <w:t xml:space="preserve">Departementet </w:t>
      </w:r>
      <w:proofErr w:type="spellStart"/>
      <w:r w:rsidRPr="00B419CE">
        <w:t>ventar</w:t>
      </w:r>
      <w:proofErr w:type="spellEnd"/>
      <w:r w:rsidRPr="00B419CE">
        <w:t xml:space="preserve"> at utsette </w:t>
      </w:r>
      <w:proofErr w:type="spellStart"/>
      <w:r w:rsidRPr="00B419CE">
        <w:t>fristar</w:t>
      </w:r>
      <w:proofErr w:type="spellEnd"/>
      <w:r w:rsidRPr="00B419CE">
        <w:t xml:space="preserve"> for innbetaling av </w:t>
      </w:r>
      <w:proofErr w:type="spellStart"/>
      <w:r w:rsidRPr="00B419CE">
        <w:t>skattar</w:t>
      </w:r>
      <w:proofErr w:type="spellEnd"/>
      <w:r w:rsidRPr="00B419CE">
        <w:t xml:space="preserve"> og avgifter som </w:t>
      </w:r>
      <w:proofErr w:type="spellStart"/>
      <w:r w:rsidRPr="00B419CE">
        <w:t>følgje</w:t>
      </w:r>
      <w:proofErr w:type="spellEnd"/>
      <w:r w:rsidRPr="00B419CE">
        <w:t xml:space="preserve"> av koronapandemien, vil kunne </w:t>
      </w:r>
      <w:proofErr w:type="spellStart"/>
      <w:r w:rsidRPr="00B419CE">
        <w:t>gjere</w:t>
      </w:r>
      <w:proofErr w:type="spellEnd"/>
      <w:r w:rsidRPr="00B419CE">
        <w:t xml:space="preserve"> </w:t>
      </w:r>
      <w:proofErr w:type="spellStart"/>
      <w:r w:rsidRPr="00B419CE">
        <w:t>innkrevjingsarbeidet</w:t>
      </w:r>
      <w:proofErr w:type="spellEnd"/>
      <w:r w:rsidRPr="00B419CE">
        <w:t xml:space="preserve"> til etaten </w:t>
      </w:r>
      <w:proofErr w:type="spellStart"/>
      <w:r w:rsidRPr="00B419CE">
        <w:t>meir</w:t>
      </w:r>
      <w:proofErr w:type="spellEnd"/>
      <w:r w:rsidRPr="00B419CE">
        <w:t xml:space="preserve"> </w:t>
      </w:r>
      <w:proofErr w:type="spellStart"/>
      <w:r w:rsidRPr="00B419CE">
        <w:t>krevjande</w:t>
      </w:r>
      <w:proofErr w:type="spellEnd"/>
      <w:r w:rsidRPr="00B419CE">
        <w:t xml:space="preserve"> framover. </w:t>
      </w:r>
      <w:proofErr w:type="spellStart"/>
      <w:r w:rsidRPr="00B419CE">
        <w:t>Innkrevjingsarbeidet</w:t>
      </w:r>
      <w:proofErr w:type="spellEnd"/>
      <w:r w:rsidRPr="00B419CE">
        <w:t xml:space="preserve"> vil òg </w:t>
      </w:r>
      <w:proofErr w:type="spellStart"/>
      <w:r w:rsidRPr="00B419CE">
        <w:t>verte</w:t>
      </w:r>
      <w:proofErr w:type="spellEnd"/>
      <w:r w:rsidRPr="00B419CE">
        <w:t xml:space="preserve"> </w:t>
      </w:r>
      <w:proofErr w:type="spellStart"/>
      <w:r w:rsidRPr="00B419CE">
        <w:t>påverka</w:t>
      </w:r>
      <w:proofErr w:type="spellEnd"/>
      <w:r w:rsidRPr="00B419CE">
        <w:t xml:space="preserve"> av den økonomiske situasjonen til næringslivet. Det høge </w:t>
      </w:r>
      <w:proofErr w:type="spellStart"/>
      <w:r w:rsidRPr="00B419CE">
        <w:t>talet</w:t>
      </w:r>
      <w:proofErr w:type="spellEnd"/>
      <w:r w:rsidRPr="00B419CE">
        <w:t xml:space="preserve"> </w:t>
      </w:r>
      <w:proofErr w:type="spellStart"/>
      <w:r w:rsidRPr="00B419CE">
        <w:t>betalingsutsetjingar</w:t>
      </w:r>
      <w:proofErr w:type="spellEnd"/>
      <w:r w:rsidRPr="00B419CE">
        <w:t xml:space="preserve"> medfører òg risiko for provenytap.</w:t>
      </w:r>
    </w:p>
    <w:p w14:paraId="4D000C7C" w14:textId="77777777" w:rsidR="00B419CE" w:rsidRPr="00B419CE" w:rsidRDefault="00B419CE" w:rsidP="00B419CE">
      <w:r w:rsidRPr="00B419CE">
        <w:t xml:space="preserve">Framover vil det </w:t>
      </w:r>
      <w:proofErr w:type="spellStart"/>
      <w:r w:rsidRPr="00B419CE">
        <w:t>framleis</w:t>
      </w:r>
      <w:proofErr w:type="spellEnd"/>
      <w:r w:rsidRPr="00B419CE">
        <w:t xml:space="preserve"> </w:t>
      </w:r>
      <w:proofErr w:type="spellStart"/>
      <w:r w:rsidRPr="00B419CE">
        <w:t>vere</w:t>
      </w:r>
      <w:proofErr w:type="spellEnd"/>
      <w:r w:rsidRPr="00B419CE">
        <w:t xml:space="preserve"> viktig at etaten vektlegg arbeidet for </w:t>
      </w:r>
      <w:proofErr w:type="spellStart"/>
      <w:r w:rsidRPr="00B419CE">
        <w:t>auka</w:t>
      </w:r>
      <w:proofErr w:type="spellEnd"/>
      <w:r w:rsidRPr="00B419CE">
        <w:t xml:space="preserve"> etterleving. Skatteetaten må arbeide systematisk for at kontrollnivået skal </w:t>
      </w:r>
      <w:proofErr w:type="spellStart"/>
      <w:r w:rsidRPr="00B419CE">
        <w:t>vere</w:t>
      </w:r>
      <w:proofErr w:type="spellEnd"/>
      <w:r w:rsidRPr="00B419CE">
        <w:t xml:space="preserve"> </w:t>
      </w:r>
      <w:proofErr w:type="spellStart"/>
      <w:r w:rsidRPr="00B419CE">
        <w:t>tilstrekkeleg</w:t>
      </w:r>
      <w:proofErr w:type="spellEnd"/>
      <w:r w:rsidRPr="00B419CE">
        <w:t xml:space="preserve"> høgt og at </w:t>
      </w:r>
      <w:proofErr w:type="spellStart"/>
      <w:r w:rsidRPr="00B419CE">
        <w:t>kontrollar</w:t>
      </w:r>
      <w:proofErr w:type="spellEnd"/>
      <w:r w:rsidRPr="00B419CE">
        <w:t xml:space="preserve"> vert gjennomførte på </w:t>
      </w:r>
      <w:proofErr w:type="spellStart"/>
      <w:r w:rsidRPr="00B419CE">
        <w:t>ein</w:t>
      </w:r>
      <w:proofErr w:type="spellEnd"/>
      <w:r w:rsidRPr="00B419CE">
        <w:t xml:space="preserve"> planmessig og </w:t>
      </w:r>
      <w:proofErr w:type="spellStart"/>
      <w:r w:rsidRPr="00B419CE">
        <w:t>heilskapleg</w:t>
      </w:r>
      <w:proofErr w:type="spellEnd"/>
      <w:r w:rsidRPr="00B419CE">
        <w:t xml:space="preserve"> måte, basert på gode </w:t>
      </w:r>
      <w:proofErr w:type="spellStart"/>
      <w:r w:rsidRPr="00B419CE">
        <w:t>risikovurderingar</w:t>
      </w:r>
      <w:proofErr w:type="spellEnd"/>
      <w:r w:rsidRPr="00B419CE">
        <w:t xml:space="preserve">. Skatteetaten vil til ei kvar tid vekte kontrollnivået opp mot andre </w:t>
      </w:r>
      <w:proofErr w:type="spellStart"/>
      <w:r w:rsidRPr="00B419CE">
        <w:t>aktivitetar</w:t>
      </w:r>
      <w:proofErr w:type="spellEnd"/>
      <w:r w:rsidRPr="00B419CE">
        <w:t xml:space="preserve"> som kan betre etterlevinga.</w:t>
      </w:r>
    </w:p>
    <w:p w14:paraId="15EBDFCB" w14:textId="77777777" w:rsidR="00B419CE" w:rsidRPr="00B419CE" w:rsidRDefault="00B419CE" w:rsidP="00B419CE">
      <w:r w:rsidRPr="00B419CE">
        <w:t xml:space="preserve">Skatteetaten har gjennomført </w:t>
      </w:r>
      <w:proofErr w:type="spellStart"/>
      <w:r w:rsidRPr="00B419CE">
        <w:t>fleire</w:t>
      </w:r>
      <w:proofErr w:type="spellEnd"/>
      <w:r w:rsidRPr="00B419CE">
        <w:t xml:space="preserve"> større </w:t>
      </w:r>
      <w:proofErr w:type="spellStart"/>
      <w:r w:rsidRPr="00B419CE">
        <w:t>omstillingsprosessar</w:t>
      </w:r>
      <w:proofErr w:type="spellEnd"/>
      <w:r w:rsidRPr="00B419CE">
        <w:t xml:space="preserve"> </w:t>
      </w:r>
      <w:proofErr w:type="spellStart"/>
      <w:r w:rsidRPr="00B419CE">
        <w:t>sidan</w:t>
      </w:r>
      <w:proofErr w:type="spellEnd"/>
      <w:r w:rsidRPr="00B419CE">
        <w:t xml:space="preserve"> 2014. Departementet meiner det er </w:t>
      </w:r>
      <w:proofErr w:type="spellStart"/>
      <w:r w:rsidRPr="00B419CE">
        <w:t>vesentleg</w:t>
      </w:r>
      <w:proofErr w:type="spellEnd"/>
      <w:r w:rsidRPr="00B419CE">
        <w:t xml:space="preserve"> at etaten framover </w:t>
      </w:r>
      <w:proofErr w:type="spellStart"/>
      <w:r w:rsidRPr="00B419CE">
        <w:t>utnyttar</w:t>
      </w:r>
      <w:proofErr w:type="spellEnd"/>
      <w:r w:rsidRPr="00B419CE">
        <w:t xml:space="preserve"> </w:t>
      </w:r>
      <w:proofErr w:type="spellStart"/>
      <w:r w:rsidRPr="00B419CE">
        <w:t>moglegheitene</w:t>
      </w:r>
      <w:proofErr w:type="spellEnd"/>
      <w:r w:rsidRPr="00B419CE">
        <w:t xml:space="preserve"> som følgjer av ny organisering og </w:t>
      </w:r>
      <w:proofErr w:type="spellStart"/>
      <w:r w:rsidRPr="00B419CE">
        <w:t>dei</w:t>
      </w:r>
      <w:proofErr w:type="spellEnd"/>
      <w:r w:rsidRPr="00B419CE">
        <w:t xml:space="preserve"> nye </w:t>
      </w:r>
      <w:proofErr w:type="spellStart"/>
      <w:r w:rsidRPr="00B419CE">
        <w:t>oppgåvene</w:t>
      </w:r>
      <w:proofErr w:type="spellEnd"/>
      <w:r w:rsidRPr="00B419CE">
        <w:t>, mellom anna sikre god samhandling i organisasjonen.</w:t>
      </w:r>
    </w:p>
    <w:p w14:paraId="14F5340F" w14:textId="77777777" w:rsidR="00B419CE" w:rsidRPr="00B419CE" w:rsidRDefault="00B419CE" w:rsidP="00B419CE">
      <w:proofErr w:type="spellStart"/>
      <w:r w:rsidRPr="00B419CE">
        <w:t>Ifølgje</w:t>
      </w:r>
      <w:proofErr w:type="spellEnd"/>
      <w:r w:rsidRPr="00B419CE">
        <w:t xml:space="preserve"> Nasjonal </w:t>
      </w:r>
      <w:proofErr w:type="spellStart"/>
      <w:r w:rsidRPr="00B419CE">
        <w:t>tryggleiksmyndigheit</w:t>
      </w:r>
      <w:proofErr w:type="spellEnd"/>
      <w:r w:rsidRPr="00B419CE">
        <w:t xml:space="preserve"> (NSM) er den digitale risikoen i samfunnet </w:t>
      </w:r>
      <w:proofErr w:type="spellStart"/>
      <w:r w:rsidRPr="00B419CE">
        <w:t>auka</w:t>
      </w:r>
      <w:proofErr w:type="spellEnd"/>
      <w:r w:rsidRPr="00B419CE">
        <w:t xml:space="preserve">. Skatteetaten har </w:t>
      </w:r>
      <w:proofErr w:type="spellStart"/>
      <w:r w:rsidRPr="00B419CE">
        <w:t>ein</w:t>
      </w:r>
      <w:proofErr w:type="spellEnd"/>
      <w:r w:rsidRPr="00B419CE">
        <w:t xml:space="preserve"> stor og kompleks IT-systemportefølje. </w:t>
      </w:r>
      <w:proofErr w:type="spellStart"/>
      <w:r w:rsidRPr="00B419CE">
        <w:t>Velfungerande</w:t>
      </w:r>
      <w:proofErr w:type="spellEnd"/>
      <w:r w:rsidRPr="00B419CE">
        <w:t xml:space="preserve"> og sikre IT-system er </w:t>
      </w:r>
      <w:proofErr w:type="spellStart"/>
      <w:r w:rsidRPr="00B419CE">
        <w:t>avgjerande</w:t>
      </w:r>
      <w:proofErr w:type="spellEnd"/>
      <w:r w:rsidRPr="00B419CE">
        <w:t xml:space="preserve"> for etatens evne til å løyse sitt samfunnsoppdrag. Etaten må </w:t>
      </w:r>
      <w:proofErr w:type="spellStart"/>
      <w:r w:rsidRPr="00B419CE">
        <w:t>difor</w:t>
      </w:r>
      <w:proofErr w:type="spellEnd"/>
      <w:r w:rsidRPr="00B419CE">
        <w:t xml:space="preserve"> </w:t>
      </w:r>
      <w:proofErr w:type="spellStart"/>
      <w:r w:rsidRPr="00B419CE">
        <w:t>fortlaupande</w:t>
      </w:r>
      <w:proofErr w:type="spellEnd"/>
      <w:r w:rsidRPr="00B419CE">
        <w:t xml:space="preserve"> vurdere informasjonstryggleiken i </w:t>
      </w:r>
      <w:proofErr w:type="gramStart"/>
      <w:r w:rsidRPr="00B419CE">
        <w:t>eiga system</w:t>
      </w:r>
      <w:proofErr w:type="gramEnd"/>
      <w:r w:rsidRPr="00B419CE">
        <w:t xml:space="preserve"> på </w:t>
      </w:r>
      <w:proofErr w:type="spellStart"/>
      <w:r w:rsidRPr="00B419CE">
        <w:t>ein</w:t>
      </w:r>
      <w:proofErr w:type="spellEnd"/>
      <w:r w:rsidRPr="00B419CE">
        <w:t xml:space="preserve"> god måte.</w:t>
      </w:r>
    </w:p>
    <w:p w14:paraId="1DDAD79A" w14:textId="77777777" w:rsidR="00B419CE" w:rsidRPr="00B419CE" w:rsidRDefault="00B419CE" w:rsidP="00B419CE">
      <w:r w:rsidRPr="00B419CE">
        <w:t xml:space="preserve">Skatteetaten har ei </w:t>
      </w:r>
      <w:proofErr w:type="spellStart"/>
      <w:r w:rsidRPr="00B419CE">
        <w:t>rekkje</w:t>
      </w:r>
      <w:proofErr w:type="spellEnd"/>
      <w:r w:rsidRPr="00B419CE">
        <w:t xml:space="preserve"> </w:t>
      </w:r>
      <w:proofErr w:type="spellStart"/>
      <w:r w:rsidRPr="00B419CE">
        <w:t>pågåande</w:t>
      </w:r>
      <w:proofErr w:type="spellEnd"/>
      <w:r w:rsidRPr="00B419CE">
        <w:t xml:space="preserve"> utviklingsprosjekt. God prosjektstyring vil </w:t>
      </w:r>
      <w:proofErr w:type="spellStart"/>
      <w:r w:rsidRPr="00B419CE">
        <w:t>vere</w:t>
      </w:r>
      <w:proofErr w:type="spellEnd"/>
      <w:r w:rsidRPr="00B419CE">
        <w:t xml:space="preserve"> viktig for å sikre at prosjekta leverer i tråd med planlagt framdrift, kostnader og kvalitet.</w:t>
      </w:r>
    </w:p>
    <w:p w14:paraId="6F8DF29A" w14:textId="77777777" w:rsidR="00B419CE" w:rsidRPr="00B419CE" w:rsidRDefault="00B419CE" w:rsidP="00B419CE">
      <w:proofErr w:type="spellStart"/>
      <w:r w:rsidRPr="00B419CE">
        <w:lastRenderedPageBreak/>
        <w:t>Fleire</w:t>
      </w:r>
      <w:proofErr w:type="spellEnd"/>
      <w:r w:rsidRPr="00B419CE">
        <w:t xml:space="preserve"> viktige </w:t>
      </w:r>
      <w:proofErr w:type="spellStart"/>
      <w:r w:rsidRPr="00B419CE">
        <w:t>utviklingsoppgåver</w:t>
      </w:r>
      <w:proofErr w:type="spellEnd"/>
      <w:r w:rsidRPr="00B419CE">
        <w:t xml:space="preserve"> har </w:t>
      </w:r>
      <w:proofErr w:type="spellStart"/>
      <w:r w:rsidRPr="00B419CE">
        <w:t>ikkje</w:t>
      </w:r>
      <w:proofErr w:type="spellEnd"/>
      <w:r w:rsidRPr="00B419CE">
        <w:t xml:space="preserve"> vorte </w:t>
      </w:r>
      <w:proofErr w:type="spellStart"/>
      <w:r w:rsidRPr="00B419CE">
        <w:t>mogleg</w:t>
      </w:r>
      <w:proofErr w:type="spellEnd"/>
      <w:r w:rsidRPr="00B419CE">
        <w:t xml:space="preserve"> å prioritere parallelt med koronahandteringa, men dette er </w:t>
      </w:r>
      <w:proofErr w:type="spellStart"/>
      <w:r w:rsidRPr="00B419CE">
        <w:t>oppgåver</w:t>
      </w:r>
      <w:proofErr w:type="spellEnd"/>
      <w:r w:rsidRPr="00B419CE">
        <w:t xml:space="preserve"> som må </w:t>
      </w:r>
      <w:proofErr w:type="spellStart"/>
      <w:r w:rsidRPr="00B419CE">
        <w:t>løysast</w:t>
      </w:r>
      <w:proofErr w:type="spellEnd"/>
      <w:r w:rsidRPr="00B419CE">
        <w:t xml:space="preserve"> i åra som kjem. Det er samstundes </w:t>
      </w:r>
      <w:proofErr w:type="spellStart"/>
      <w:r w:rsidRPr="00B419CE">
        <w:t>avgjerande</w:t>
      </w:r>
      <w:proofErr w:type="spellEnd"/>
      <w:r w:rsidRPr="00B419CE">
        <w:t xml:space="preserve"> at etaten får handtert </w:t>
      </w:r>
      <w:proofErr w:type="spellStart"/>
      <w:r w:rsidRPr="00B419CE">
        <w:t>kjerneoppgåvene</w:t>
      </w:r>
      <w:proofErr w:type="spellEnd"/>
      <w:r w:rsidRPr="00B419CE">
        <w:t xml:space="preserve"> med kontroll og </w:t>
      </w:r>
      <w:proofErr w:type="spellStart"/>
      <w:r w:rsidRPr="00B419CE">
        <w:t>innkrevjing</w:t>
      </w:r>
      <w:proofErr w:type="spellEnd"/>
      <w:r w:rsidRPr="00B419CE">
        <w:t xml:space="preserve"> på </w:t>
      </w:r>
      <w:proofErr w:type="spellStart"/>
      <w:r w:rsidRPr="00B419CE">
        <w:t>ein</w:t>
      </w:r>
      <w:proofErr w:type="spellEnd"/>
      <w:r w:rsidRPr="00B419CE">
        <w:t xml:space="preserve"> god måte. Etaten skal i 2022 òg handtere krav til effektivisering, </w:t>
      </w:r>
      <w:proofErr w:type="spellStart"/>
      <w:r w:rsidRPr="00B419CE">
        <w:t>innsparingar</w:t>
      </w:r>
      <w:proofErr w:type="spellEnd"/>
      <w:r w:rsidRPr="00B419CE">
        <w:t xml:space="preserve"> og </w:t>
      </w:r>
      <w:proofErr w:type="spellStart"/>
      <w:r w:rsidRPr="00B419CE">
        <w:t>gevinstrealiseringar</w:t>
      </w:r>
      <w:proofErr w:type="spellEnd"/>
      <w:r w:rsidRPr="00B419CE">
        <w:t xml:space="preserve">. Samla sett må etaten </w:t>
      </w:r>
      <w:proofErr w:type="spellStart"/>
      <w:r w:rsidRPr="00B419CE">
        <w:t>gjere</w:t>
      </w:r>
      <w:proofErr w:type="spellEnd"/>
      <w:r w:rsidRPr="00B419CE">
        <w:t xml:space="preserve"> svært </w:t>
      </w:r>
      <w:proofErr w:type="spellStart"/>
      <w:r w:rsidRPr="00B419CE">
        <w:t>krevjande</w:t>
      </w:r>
      <w:proofErr w:type="spellEnd"/>
      <w:r w:rsidRPr="00B419CE">
        <w:t xml:space="preserve"> </w:t>
      </w:r>
      <w:proofErr w:type="spellStart"/>
      <w:r w:rsidRPr="00B419CE">
        <w:t>prioriteringar</w:t>
      </w:r>
      <w:proofErr w:type="spellEnd"/>
      <w:r w:rsidRPr="00B419CE">
        <w:t xml:space="preserve"> i 2022.</w:t>
      </w:r>
    </w:p>
    <w:p w14:paraId="33A0FEF9"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i 2022</w:t>
      </w:r>
    </w:p>
    <w:p w14:paraId="42626834" w14:textId="77777777" w:rsidR="00B419CE" w:rsidRPr="00B419CE" w:rsidRDefault="00B419CE" w:rsidP="00B419CE">
      <w:r w:rsidRPr="00B419CE">
        <w:t xml:space="preserve">Finansdepartementet </w:t>
      </w:r>
      <w:proofErr w:type="spellStart"/>
      <w:r w:rsidRPr="00B419CE">
        <w:t>fastset</w:t>
      </w:r>
      <w:proofErr w:type="spellEnd"/>
      <w:r w:rsidRPr="00B419CE">
        <w:t xml:space="preserve"> </w:t>
      </w:r>
      <w:proofErr w:type="spellStart"/>
      <w:r w:rsidRPr="00B419CE">
        <w:t>desse</w:t>
      </w:r>
      <w:proofErr w:type="spellEnd"/>
      <w:r w:rsidRPr="00B419CE">
        <w:t xml:space="preserve"> </w:t>
      </w:r>
      <w:proofErr w:type="spellStart"/>
      <w:r w:rsidRPr="00B419CE">
        <w:t>hovudmåla</w:t>
      </w:r>
      <w:proofErr w:type="spellEnd"/>
      <w:r w:rsidRPr="00B419CE">
        <w:t xml:space="preserve"> for Skatteetaten for 2022:</w:t>
      </w:r>
    </w:p>
    <w:p w14:paraId="5444733F" w14:textId="77777777" w:rsidR="00B419CE" w:rsidRPr="00B419CE" w:rsidRDefault="00B419CE" w:rsidP="00B419CE">
      <w:pPr>
        <w:pStyle w:val="Liste"/>
      </w:pPr>
      <w:r w:rsidRPr="00B419CE">
        <w:t xml:space="preserve">Dei skatte- og opplysningspliktige etterlever skatte- og </w:t>
      </w:r>
      <w:proofErr w:type="spellStart"/>
      <w:r w:rsidRPr="00B419CE">
        <w:t>avgiftsreglane</w:t>
      </w:r>
      <w:proofErr w:type="spellEnd"/>
    </w:p>
    <w:p w14:paraId="6106285A" w14:textId="77777777" w:rsidR="00B419CE" w:rsidRPr="00B419CE" w:rsidRDefault="00B419CE" w:rsidP="00B419CE">
      <w:pPr>
        <w:pStyle w:val="Liste"/>
      </w:pPr>
      <w:r w:rsidRPr="00B419CE">
        <w:t xml:space="preserve">Skatteetaten </w:t>
      </w:r>
      <w:proofErr w:type="spellStart"/>
      <w:r w:rsidRPr="00B419CE">
        <w:t>sikrar</w:t>
      </w:r>
      <w:proofErr w:type="spellEnd"/>
      <w:r w:rsidRPr="00B419CE">
        <w:t xml:space="preserve"> </w:t>
      </w:r>
      <w:proofErr w:type="spellStart"/>
      <w:r w:rsidRPr="00B419CE">
        <w:t>brukarane</w:t>
      </w:r>
      <w:proofErr w:type="spellEnd"/>
      <w:r w:rsidRPr="00B419CE">
        <w:t xml:space="preserve"> tilgang til registerdata og informasjon med god kvalitet</w:t>
      </w:r>
    </w:p>
    <w:p w14:paraId="4446F730" w14:textId="77777777" w:rsidR="00B419CE" w:rsidRPr="00B419CE" w:rsidRDefault="00B419CE" w:rsidP="00B419CE">
      <w:pPr>
        <w:pStyle w:val="Liste"/>
      </w:pPr>
      <w:r w:rsidRPr="00B419CE">
        <w:t>Samfunnet har tillit til Skatteetaten</w:t>
      </w:r>
    </w:p>
    <w:p w14:paraId="7185B4E4" w14:textId="77777777" w:rsidR="00B419CE" w:rsidRPr="00B419CE" w:rsidRDefault="00B419CE" w:rsidP="00B419CE">
      <w:proofErr w:type="spellStart"/>
      <w:r w:rsidRPr="00B419CE">
        <w:t>Underliggjande</w:t>
      </w:r>
      <w:proofErr w:type="spellEnd"/>
      <w:r w:rsidRPr="00B419CE">
        <w:t xml:space="preserve"> </w:t>
      </w:r>
      <w:proofErr w:type="spellStart"/>
      <w:r w:rsidRPr="00B419CE">
        <w:t>effektindikatorar</w:t>
      </w:r>
      <w:proofErr w:type="spellEnd"/>
      <w:r w:rsidRPr="00B419CE">
        <w:t xml:space="preserve">, </w:t>
      </w:r>
      <w:proofErr w:type="spellStart"/>
      <w:r w:rsidRPr="00B419CE">
        <w:t>styringsparametrar</w:t>
      </w:r>
      <w:proofErr w:type="spellEnd"/>
      <w:r w:rsidRPr="00B419CE">
        <w:t xml:space="preserve"> og </w:t>
      </w:r>
      <w:proofErr w:type="spellStart"/>
      <w:r w:rsidRPr="00B419CE">
        <w:t>forklaringsvariablar</w:t>
      </w:r>
      <w:proofErr w:type="spellEnd"/>
      <w:r w:rsidRPr="00B419CE">
        <w:t xml:space="preserve"> vert fastsette i styringsdialogen mellom Finansdepartementet og Skatteetaten i samband med utforminga av tildelingsbrev til etaten for 2022. Departementet </w:t>
      </w:r>
      <w:proofErr w:type="spellStart"/>
      <w:r w:rsidRPr="00B419CE">
        <w:t>ventar</w:t>
      </w:r>
      <w:proofErr w:type="spellEnd"/>
      <w:r w:rsidRPr="00B419CE">
        <w:t xml:space="preserve"> at resultata i 2022 samla sett skal </w:t>
      </w:r>
      <w:proofErr w:type="spellStart"/>
      <w:r w:rsidRPr="00B419CE">
        <w:t>vere</w:t>
      </w:r>
      <w:proofErr w:type="spellEnd"/>
      <w:r w:rsidRPr="00B419CE">
        <w:t xml:space="preserve"> like gode som i 2020. Samstundes ser departementet at etterarbeid etter koronatiltaka og </w:t>
      </w:r>
      <w:proofErr w:type="spellStart"/>
      <w:r w:rsidRPr="00B419CE">
        <w:t>vanskelege</w:t>
      </w:r>
      <w:proofErr w:type="spellEnd"/>
      <w:r w:rsidRPr="00B419CE">
        <w:t xml:space="preserve"> </w:t>
      </w:r>
      <w:proofErr w:type="spellStart"/>
      <w:r w:rsidRPr="00B419CE">
        <w:t>prioriteringar</w:t>
      </w:r>
      <w:proofErr w:type="spellEnd"/>
      <w:r w:rsidRPr="00B419CE">
        <w:t xml:space="preserve"> elles i etaten, gjev risiko for </w:t>
      </w:r>
      <w:proofErr w:type="spellStart"/>
      <w:r w:rsidRPr="00B419CE">
        <w:t>noko</w:t>
      </w:r>
      <w:proofErr w:type="spellEnd"/>
      <w:r w:rsidRPr="00B419CE">
        <w:t xml:space="preserve"> </w:t>
      </w:r>
      <w:proofErr w:type="spellStart"/>
      <w:r w:rsidRPr="00B419CE">
        <w:t>lågare</w:t>
      </w:r>
      <w:proofErr w:type="spellEnd"/>
      <w:r w:rsidRPr="00B419CE">
        <w:t xml:space="preserve"> måloppnåing i 2022. I resultatvurderinga vil departementet </w:t>
      </w:r>
      <w:proofErr w:type="spellStart"/>
      <w:r w:rsidRPr="00B419CE">
        <w:t>leggje</w:t>
      </w:r>
      <w:proofErr w:type="spellEnd"/>
      <w:r w:rsidRPr="00B419CE">
        <w:t xml:space="preserve"> vekt på heilskapen i </w:t>
      </w:r>
      <w:proofErr w:type="spellStart"/>
      <w:r w:rsidRPr="00B419CE">
        <w:t>verksemda</w:t>
      </w:r>
      <w:proofErr w:type="spellEnd"/>
      <w:r w:rsidRPr="00B419CE">
        <w:t>.</w:t>
      </w:r>
    </w:p>
    <w:p w14:paraId="31798178" w14:textId="77777777" w:rsidR="00B419CE" w:rsidRPr="00B419CE" w:rsidRDefault="00B419CE" w:rsidP="00B419CE">
      <w:r w:rsidRPr="00B419CE">
        <w:t xml:space="preserve">Skatteetaten arbeider jamt med å løyse </w:t>
      </w:r>
      <w:proofErr w:type="spellStart"/>
      <w:r w:rsidRPr="00B419CE">
        <w:t>oppgåvene</w:t>
      </w:r>
      <w:proofErr w:type="spellEnd"/>
      <w:r w:rsidRPr="00B419CE">
        <w:t xml:space="preserve"> sine betre. I det </w:t>
      </w:r>
      <w:proofErr w:type="spellStart"/>
      <w:r w:rsidRPr="00B419CE">
        <w:t>daglege</w:t>
      </w:r>
      <w:proofErr w:type="spellEnd"/>
      <w:r w:rsidRPr="00B419CE">
        <w:t xml:space="preserve"> arbeidet er det </w:t>
      </w:r>
      <w:proofErr w:type="spellStart"/>
      <w:r w:rsidRPr="00B419CE">
        <w:t>naudsynt</w:t>
      </w:r>
      <w:proofErr w:type="spellEnd"/>
      <w:r w:rsidRPr="00B419CE">
        <w:t xml:space="preserve"> at etaten veg kvalitet opp mot effektivitet.</w:t>
      </w:r>
    </w:p>
    <w:p w14:paraId="1D68AF23" w14:textId="77777777" w:rsidR="00B419CE" w:rsidRPr="00B419CE" w:rsidRDefault="00B419CE" w:rsidP="00B419CE">
      <w:pPr>
        <w:pStyle w:val="avsnitt-tittel"/>
      </w:pPr>
      <w:r w:rsidRPr="00B419CE">
        <w:t xml:space="preserve">Viktige </w:t>
      </w:r>
      <w:proofErr w:type="spellStart"/>
      <w:r w:rsidRPr="00B419CE">
        <w:t>prioriteringar</w:t>
      </w:r>
      <w:proofErr w:type="spellEnd"/>
      <w:r w:rsidRPr="00B419CE">
        <w:t xml:space="preserve"> i 2022 vert:</w:t>
      </w:r>
    </w:p>
    <w:p w14:paraId="5413A3AF" w14:textId="77777777" w:rsidR="00B419CE" w:rsidRPr="00B419CE" w:rsidRDefault="00B419CE" w:rsidP="00B419CE">
      <w:pPr>
        <w:pStyle w:val="avsnitt-undertittel"/>
      </w:pPr>
      <w:r w:rsidRPr="00B419CE">
        <w:t>Oppfølging av koronatiltak</w:t>
      </w:r>
    </w:p>
    <w:p w14:paraId="107B65D7" w14:textId="77777777" w:rsidR="00B419CE" w:rsidRPr="00B419CE" w:rsidRDefault="00B419CE" w:rsidP="00B419CE">
      <w:r w:rsidRPr="00B419CE">
        <w:t xml:space="preserve">For å lette situasjonen for </w:t>
      </w:r>
      <w:proofErr w:type="spellStart"/>
      <w:r w:rsidRPr="00B419CE">
        <w:t>dei</w:t>
      </w:r>
      <w:proofErr w:type="spellEnd"/>
      <w:r w:rsidRPr="00B419CE">
        <w:t xml:space="preserve"> skattepliktige under pandemien er det i tillegg til nye </w:t>
      </w:r>
      <w:proofErr w:type="spellStart"/>
      <w:r w:rsidRPr="00B419CE">
        <w:t>kompensasjonsordningar</w:t>
      </w:r>
      <w:proofErr w:type="spellEnd"/>
      <w:r w:rsidRPr="00B419CE">
        <w:t xml:space="preserve">, gjort </w:t>
      </w:r>
      <w:proofErr w:type="spellStart"/>
      <w:r w:rsidRPr="00B419CE">
        <w:t>fleire</w:t>
      </w:r>
      <w:proofErr w:type="spellEnd"/>
      <w:r w:rsidRPr="00B419CE">
        <w:t xml:space="preserve"> </w:t>
      </w:r>
      <w:proofErr w:type="spellStart"/>
      <w:r w:rsidRPr="00B419CE">
        <w:t>koronatilpassingar</w:t>
      </w:r>
      <w:proofErr w:type="spellEnd"/>
      <w:r w:rsidRPr="00B419CE">
        <w:t xml:space="preserve"> av regelverk, både for </w:t>
      </w:r>
      <w:proofErr w:type="spellStart"/>
      <w:r w:rsidRPr="00B419CE">
        <w:t>personar</w:t>
      </w:r>
      <w:proofErr w:type="spellEnd"/>
      <w:r w:rsidRPr="00B419CE">
        <w:t xml:space="preserve">, </w:t>
      </w:r>
      <w:proofErr w:type="spellStart"/>
      <w:r w:rsidRPr="00B419CE">
        <w:t>næringsdrivande</w:t>
      </w:r>
      <w:proofErr w:type="spellEnd"/>
      <w:r w:rsidRPr="00B419CE">
        <w:t xml:space="preserve"> og </w:t>
      </w:r>
      <w:proofErr w:type="spellStart"/>
      <w:r w:rsidRPr="00B419CE">
        <w:t>føretak</w:t>
      </w:r>
      <w:proofErr w:type="spellEnd"/>
      <w:r w:rsidRPr="00B419CE">
        <w:t xml:space="preserve">. Skatteetaten må ha </w:t>
      </w:r>
      <w:proofErr w:type="spellStart"/>
      <w:r w:rsidRPr="00B419CE">
        <w:t>særleg</w:t>
      </w:r>
      <w:proofErr w:type="spellEnd"/>
      <w:r w:rsidRPr="00B419CE">
        <w:t xml:space="preserve"> </w:t>
      </w:r>
      <w:proofErr w:type="spellStart"/>
      <w:r w:rsidRPr="00B419CE">
        <w:t>merksemd</w:t>
      </w:r>
      <w:proofErr w:type="spellEnd"/>
      <w:r w:rsidRPr="00B419CE">
        <w:t xml:space="preserve"> på at </w:t>
      </w:r>
      <w:proofErr w:type="spellStart"/>
      <w:r w:rsidRPr="00B419CE">
        <w:t>regelverkstilpassingane</w:t>
      </w:r>
      <w:proofErr w:type="spellEnd"/>
      <w:r w:rsidRPr="00B419CE">
        <w:t xml:space="preserve"> vert praktiserte som </w:t>
      </w:r>
      <w:proofErr w:type="spellStart"/>
      <w:r w:rsidRPr="00B419CE">
        <w:t>føresett</w:t>
      </w:r>
      <w:proofErr w:type="spellEnd"/>
      <w:r w:rsidRPr="00B419CE">
        <w:t xml:space="preserve">. I tillegg må klager knytte til </w:t>
      </w:r>
      <w:proofErr w:type="spellStart"/>
      <w:r w:rsidRPr="00B419CE">
        <w:t>kompensasjonsordningane</w:t>
      </w:r>
      <w:proofErr w:type="spellEnd"/>
      <w:r w:rsidRPr="00B419CE">
        <w:t xml:space="preserve"> </w:t>
      </w:r>
      <w:proofErr w:type="spellStart"/>
      <w:r w:rsidRPr="00B419CE">
        <w:t>handterast</w:t>
      </w:r>
      <w:proofErr w:type="spellEnd"/>
      <w:r w:rsidRPr="00B419CE">
        <w:t xml:space="preserve">. Koronatiltaka vil òg medføre </w:t>
      </w:r>
      <w:proofErr w:type="spellStart"/>
      <w:r w:rsidRPr="00B419CE">
        <w:t>noko</w:t>
      </w:r>
      <w:proofErr w:type="spellEnd"/>
      <w:r w:rsidRPr="00B419CE">
        <w:t xml:space="preserve"> arbeid med saksbehandling, oppfølging, </w:t>
      </w:r>
      <w:proofErr w:type="spellStart"/>
      <w:r w:rsidRPr="00B419CE">
        <w:t>etterkontrollar</w:t>
      </w:r>
      <w:proofErr w:type="spellEnd"/>
      <w:r w:rsidRPr="00B419CE">
        <w:t xml:space="preserve"> og </w:t>
      </w:r>
      <w:proofErr w:type="spellStart"/>
      <w:r w:rsidRPr="00B419CE">
        <w:t>innkrevjing</w:t>
      </w:r>
      <w:proofErr w:type="spellEnd"/>
      <w:r w:rsidRPr="00B419CE">
        <w:t xml:space="preserve"> i 2022.</w:t>
      </w:r>
    </w:p>
    <w:p w14:paraId="68FEA6D8" w14:textId="77777777" w:rsidR="00B419CE" w:rsidRPr="00B419CE" w:rsidRDefault="00B419CE" w:rsidP="00B419CE">
      <w:r w:rsidRPr="00B419CE">
        <w:t xml:space="preserve">Skatteetaten har per 18. august 2021 innvilga om lag 41 000 søknader om </w:t>
      </w:r>
      <w:proofErr w:type="spellStart"/>
      <w:r w:rsidRPr="00B419CE">
        <w:t>utsetjing</w:t>
      </w:r>
      <w:proofErr w:type="spellEnd"/>
      <w:r w:rsidRPr="00B419CE">
        <w:t xml:space="preserve"> på skatte- og avgiftskrav etter skattebetalingsloven § 15-4. Utsette krav </w:t>
      </w:r>
      <w:proofErr w:type="spellStart"/>
      <w:r w:rsidRPr="00B419CE">
        <w:t>utgjer</w:t>
      </w:r>
      <w:proofErr w:type="spellEnd"/>
      <w:r w:rsidRPr="00B419CE">
        <w:t xml:space="preserve"> om lag 5,6 mrd. kroner. Ved eventuell </w:t>
      </w:r>
      <w:proofErr w:type="spellStart"/>
      <w:r w:rsidRPr="00B419CE">
        <w:t>manglande</w:t>
      </w:r>
      <w:proofErr w:type="spellEnd"/>
      <w:r w:rsidRPr="00B419CE">
        <w:t xml:space="preserve"> betaling av avdrag vil innfordringstiltaka i det alt </w:t>
      </w:r>
      <w:proofErr w:type="spellStart"/>
      <w:r w:rsidRPr="00B419CE">
        <w:t>vesentlege</w:t>
      </w:r>
      <w:proofErr w:type="spellEnd"/>
      <w:r w:rsidRPr="00B419CE">
        <w:t xml:space="preserve"> måtte </w:t>
      </w:r>
      <w:proofErr w:type="spellStart"/>
      <w:r w:rsidRPr="00B419CE">
        <w:t>gjennomførast</w:t>
      </w:r>
      <w:proofErr w:type="spellEnd"/>
      <w:r w:rsidRPr="00B419CE">
        <w:t xml:space="preserve"> i 2022 parallelt med </w:t>
      </w:r>
      <w:proofErr w:type="spellStart"/>
      <w:r w:rsidRPr="00B419CE">
        <w:t>innkrevjing</w:t>
      </w:r>
      <w:proofErr w:type="spellEnd"/>
      <w:r w:rsidRPr="00B419CE">
        <w:t xml:space="preserve"> av </w:t>
      </w:r>
      <w:proofErr w:type="spellStart"/>
      <w:r w:rsidRPr="00B419CE">
        <w:t>laupande</w:t>
      </w:r>
      <w:proofErr w:type="spellEnd"/>
      <w:r w:rsidRPr="00B419CE">
        <w:t xml:space="preserve"> </w:t>
      </w:r>
      <w:proofErr w:type="spellStart"/>
      <w:r w:rsidRPr="00B419CE">
        <w:t>terminar</w:t>
      </w:r>
      <w:proofErr w:type="spellEnd"/>
      <w:r w:rsidRPr="00B419CE">
        <w:t xml:space="preserve">. Etterslepet som </w:t>
      </w:r>
      <w:proofErr w:type="spellStart"/>
      <w:r w:rsidRPr="00B419CE">
        <w:t>følgje</w:t>
      </w:r>
      <w:proofErr w:type="spellEnd"/>
      <w:r w:rsidRPr="00B419CE">
        <w:t xml:space="preserve"> av </w:t>
      </w:r>
      <w:proofErr w:type="spellStart"/>
      <w:r w:rsidRPr="00B419CE">
        <w:t>utsetjingane</w:t>
      </w:r>
      <w:proofErr w:type="spellEnd"/>
      <w:r w:rsidRPr="00B419CE">
        <w:t xml:space="preserve"> som er </w:t>
      </w:r>
      <w:proofErr w:type="spellStart"/>
      <w:r w:rsidRPr="00B419CE">
        <w:t>gjevne</w:t>
      </w:r>
      <w:proofErr w:type="spellEnd"/>
      <w:r w:rsidRPr="00B419CE">
        <w:t xml:space="preserve">, vil i stor grad avhenge av betalingsevna hos </w:t>
      </w:r>
      <w:proofErr w:type="spellStart"/>
      <w:r w:rsidRPr="00B419CE">
        <w:t>dei</w:t>
      </w:r>
      <w:proofErr w:type="spellEnd"/>
      <w:r w:rsidRPr="00B419CE">
        <w:t xml:space="preserve"> som har fått </w:t>
      </w:r>
      <w:proofErr w:type="spellStart"/>
      <w:r w:rsidRPr="00B419CE">
        <w:t>betalingsutsetjing</w:t>
      </w:r>
      <w:proofErr w:type="spellEnd"/>
      <w:r w:rsidRPr="00B419CE">
        <w:t xml:space="preserve">. </w:t>
      </w:r>
    </w:p>
    <w:p w14:paraId="0C53A016" w14:textId="77777777" w:rsidR="00B419CE" w:rsidRPr="00B419CE" w:rsidRDefault="00B419CE" w:rsidP="00B419CE">
      <w:proofErr w:type="spellStart"/>
      <w:r w:rsidRPr="00B419CE">
        <w:t>Konsekvensar</w:t>
      </w:r>
      <w:proofErr w:type="spellEnd"/>
      <w:r w:rsidRPr="00B419CE">
        <w:t xml:space="preserve"> av tiltak i samband med koronapandemien og </w:t>
      </w:r>
      <w:proofErr w:type="spellStart"/>
      <w:r w:rsidRPr="00B419CE">
        <w:t>dei</w:t>
      </w:r>
      <w:proofErr w:type="spellEnd"/>
      <w:r w:rsidRPr="00B419CE">
        <w:t xml:space="preserve"> arbeidsmessige </w:t>
      </w:r>
      <w:proofErr w:type="spellStart"/>
      <w:r w:rsidRPr="00B419CE">
        <w:t>hindringane</w:t>
      </w:r>
      <w:proofErr w:type="spellEnd"/>
      <w:r w:rsidRPr="00B419CE">
        <w:t xml:space="preserve"> denne gav, har </w:t>
      </w:r>
      <w:proofErr w:type="spellStart"/>
      <w:r w:rsidRPr="00B419CE">
        <w:t>medverka</w:t>
      </w:r>
      <w:proofErr w:type="spellEnd"/>
      <w:r w:rsidRPr="00B419CE">
        <w:t xml:space="preserve"> til </w:t>
      </w:r>
      <w:proofErr w:type="spellStart"/>
      <w:r w:rsidRPr="00B419CE">
        <w:t>eit</w:t>
      </w:r>
      <w:proofErr w:type="spellEnd"/>
      <w:r w:rsidRPr="00B419CE">
        <w:t xml:space="preserve"> generelt etterslep på kontroll- og </w:t>
      </w:r>
      <w:proofErr w:type="spellStart"/>
      <w:r w:rsidRPr="00B419CE">
        <w:t>innkrevjingsområdet</w:t>
      </w:r>
      <w:proofErr w:type="spellEnd"/>
      <w:r w:rsidRPr="00B419CE">
        <w:t xml:space="preserve">. Det ligg </w:t>
      </w:r>
      <w:proofErr w:type="spellStart"/>
      <w:r w:rsidRPr="00B419CE">
        <w:t>difor</w:t>
      </w:r>
      <w:proofErr w:type="spellEnd"/>
      <w:r w:rsidRPr="00B419CE">
        <w:t xml:space="preserve"> i budsjettframlegget inne </w:t>
      </w:r>
      <w:proofErr w:type="spellStart"/>
      <w:r w:rsidRPr="00B419CE">
        <w:t>ein</w:t>
      </w:r>
      <w:proofErr w:type="spellEnd"/>
      <w:r w:rsidRPr="00B419CE">
        <w:t xml:space="preserve"> ettårig </w:t>
      </w:r>
      <w:proofErr w:type="spellStart"/>
      <w:r w:rsidRPr="00B419CE">
        <w:t>auke</w:t>
      </w:r>
      <w:proofErr w:type="spellEnd"/>
      <w:r w:rsidRPr="00B419CE">
        <w:t xml:space="preserve"> på 50 mill. kroner for å </w:t>
      </w:r>
      <w:proofErr w:type="spellStart"/>
      <w:r w:rsidRPr="00B419CE">
        <w:t>teke</w:t>
      </w:r>
      <w:proofErr w:type="spellEnd"/>
      <w:r w:rsidRPr="00B419CE">
        <w:t xml:space="preserve"> i vare </w:t>
      </w:r>
      <w:proofErr w:type="spellStart"/>
      <w:r w:rsidRPr="00B419CE">
        <w:t>noko</w:t>
      </w:r>
      <w:proofErr w:type="spellEnd"/>
      <w:r w:rsidRPr="00B419CE">
        <w:t xml:space="preserve"> av etterslepet som </w:t>
      </w:r>
      <w:proofErr w:type="spellStart"/>
      <w:r w:rsidRPr="00B419CE">
        <w:t>følgje</w:t>
      </w:r>
      <w:proofErr w:type="spellEnd"/>
      <w:r w:rsidRPr="00B419CE">
        <w:t xml:space="preserve"> av pandemien.</w:t>
      </w:r>
    </w:p>
    <w:p w14:paraId="7F3129E1" w14:textId="77777777" w:rsidR="00B419CE" w:rsidRPr="00B419CE" w:rsidRDefault="00B419CE" w:rsidP="00B419CE">
      <w:pPr>
        <w:pStyle w:val="avsnitt-undertittel"/>
      </w:pPr>
      <w:r w:rsidRPr="00B419CE">
        <w:lastRenderedPageBreak/>
        <w:t>Oppfølging av ny organisering</w:t>
      </w:r>
    </w:p>
    <w:p w14:paraId="1C209E4B" w14:textId="77777777" w:rsidR="00B419CE" w:rsidRPr="00B419CE" w:rsidRDefault="00B419CE" w:rsidP="00B419CE">
      <w:r w:rsidRPr="00B419CE">
        <w:t xml:space="preserve">Skatteetaten </w:t>
      </w:r>
      <w:proofErr w:type="spellStart"/>
      <w:r w:rsidRPr="00B419CE">
        <w:t>vart</w:t>
      </w:r>
      <w:proofErr w:type="spellEnd"/>
      <w:r w:rsidRPr="00B419CE">
        <w:t xml:space="preserve"> omorganisert i 2019. Etaten har òg </w:t>
      </w:r>
      <w:proofErr w:type="spellStart"/>
      <w:r w:rsidRPr="00B419CE">
        <w:t>sidan</w:t>
      </w:r>
      <w:proofErr w:type="spellEnd"/>
      <w:r w:rsidRPr="00B419CE">
        <w:t xml:space="preserve"> 2014 fått tilført </w:t>
      </w:r>
      <w:proofErr w:type="spellStart"/>
      <w:r w:rsidRPr="00B419CE">
        <w:t>fleire</w:t>
      </w:r>
      <w:proofErr w:type="spellEnd"/>
      <w:r w:rsidRPr="00B419CE">
        <w:t xml:space="preserve"> </w:t>
      </w:r>
      <w:proofErr w:type="spellStart"/>
      <w:r w:rsidRPr="00B419CE">
        <w:t>oppgåver</w:t>
      </w:r>
      <w:proofErr w:type="spellEnd"/>
      <w:r w:rsidRPr="00B419CE">
        <w:t xml:space="preserve"> på </w:t>
      </w:r>
      <w:proofErr w:type="spellStart"/>
      <w:r w:rsidRPr="00B419CE">
        <w:t>innkrevjingsområdet</w:t>
      </w:r>
      <w:proofErr w:type="spellEnd"/>
      <w:r w:rsidRPr="00B419CE">
        <w:t xml:space="preserve">. Ansvaret for </w:t>
      </w:r>
      <w:proofErr w:type="spellStart"/>
      <w:r w:rsidRPr="00B419CE">
        <w:t>skatteoppkrevjinga</w:t>
      </w:r>
      <w:proofErr w:type="spellEnd"/>
      <w:r w:rsidRPr="00B419CE">
        <w:t xml:space="preserve"> </w:t>
      </w:r>
      <w:proofErr w:type="spellStart"/>
      <w:r w:rsidRPr="00B419CE">
        <w:t>vart</w:t>
      </w:r>
      <w:proofErr w:type="spellEnd"/>
      <w:r w:rsidRPr="00B419CE">
        <w:t xml:space="preserve"> overført </w:t>
      </w:r>
      <w:proofErr w:type="spellStart"/>
      <w:r w:rsidRPr="00B419CE">
        <w:t>frå</w:t>
      </w:r>
      <w:proofErr w:type="spellEnd"/>
      <w:r w:rsidRPr="00B419CE">
        <w:t xml:space="preserve"> </w:t>
      </w:r>
      <w:proofErr w:type="spellStart"/>
      <w:r w:rsidRPr="00B419CE">
        <w:t>kommunane</w:t>
      </w:r>
      <w:proofErr w:type="spellEnd"/>
      <w:r w:rsidRPr="00B419CE">
        <w:t xml:space="preserve"> til Skatteetaten i 2020. No som den nye organiseringa har fått virke ei tid, er det viktig at etaten framover </w:t>
      </w:r>
      <w:proofErr w:type="spellStart"/>
      <w:r w:rsidRPr="00B419CE">
        <w:t>nyttar</w:t>
      </w:r>
      <w:proofErr w:type="spellEnd"/>
      <w:r w:rsidRPr="00B419CE">
        <w:t xml:space="preserve"> </w:t>
      </w:r>
      <w:proofErr w:type="spellStart"/>
      <w:r w:rsidRPr="00B419CE">
        <w:t>effektar</w:t>
      </w:r>
      <w:proofErr w:type="spellEnd"/>
      <w:r w:rsidRPr="00B419CE">
        <w:t xml:space="preserve"> og </w:t>
      </w:r>
      <w:proofErr w:type="spellStart"/>
      <w:r w:rsidRPr="00B419CE">
        <w:t>moglegheiter</w:t>
      </w:r>
      <w:proofErr w:type="spellEnd"/>
      <w:r w:rsidRPr="00B419CE">
        <w:t xml:space="preserve"> som følgjer av ny organisering og </w:t>
      </w:r>
      <w:proofErr w:type="spellStart"/>
      <w:r w:rsidRPr="00B419CE">
        <w:t>dei</w:t>
      </w:r>
      <w:proofErr w:type="spellEnd"/>
      <w:r w:rsidRPr="00B419CE">
        <w:t xml:space="preserve"> nye </w:t>
      </w:r>
      <w:proofErr w:type="spellStart"/>
      <w:r w:rsidRPr="00B419CE">
        <w:t>oppgåvene</w:t>
      </w:r>
      <w:proofErr w:type="spellEnd"/>
      <w:r w:rsidRPr="00B419CE">
        <w:t>, mellom anna gjennom å sikre god samhandling i organisasjonen.</w:t>
      </w:r>
    </w:p>
    <w:p w14:paraId="2A6558F9" w14:textId="77777777" w:rsidR="00B419CE" w:rsidRPr="00B419CE" w:rsidRDefault="00B419CE" w:rsidP="00B419CE">
      <w:pPr>
        <w:pStyle w:val="avsnitt-undertittel"/>
      </w:pPr>
      <w:r w:rsidRPr="00B419CE">
        <w:t>Informasjonstryggleik</w:t>
      </w:r>
    </w:p>
    <w:p w14:paraId="0D130501" w14:textId="77777777" w:rsidR="00B419CE" w:rsidRPr="00B419CE" w:rsidRDefault="00B419CE" w:rsidP="00B419CE">
      <w:r w:rsidRPr="00B419CE">
        <w:t xml:space="preserve">Skatteetaten har </w:t>
      </w:r>
      <w:proofErr w:type="spellStart"/>
      <w:r w:rsidRPr="00B419CE">
        <w:t>omfattande</w:t>
      </w:r>
      <w:proofErr w:type="spellEnd"/>
      <w:r w:rsidRPr="00B419CE">
        <w:t xml:space="preserve"> digitale </w:t>
      </w:r>
      <w:proofErr w:type="spellStart"/>
      <w:r w:rsidRPr="00B419CE">
        <w:t>prosessar</w:t>
      </w:r>
      <w:proofErr w:type="spellEnd"/>
      <w:r w:rsidRPr="00B419CE">
        <w:t xml:space="preserve"> og </w:t>
      </w:r>
      <w:proofErr w:type="spellStart"/>
      <w:r w:rsidRPr="00B419CE">
        <w:t>ein</w:t>
      </w:r>
      <w:proofErr w:type="spellEnd"/>
      <w:r w:rsidRPr="00B419CE">
        <w:t xml:space="preserve"> stor og kompleks IT-systemportefølje. </w:t>
      </w:r>
      <w:proofErr w:type="spellStart"/>
      <w:r w:rsidRPr="00B419CE">
        <w:t>Velfungerande</w:t>
      </w:r>
      <w:proofErr w:type="spellEnd"/>
      <w:r w:rsidRPr="00B419CE">
        <w:t xml:space="preserve"> og sikre IT-system i etaten er </w:t>
      </w:r>
      <w:proofErr w:type="spellStart"/>
      <w:r w:rsidRPr="00B419CE">
        <w:t>avgjerande</w:t>
      </w:r>
      <w:proofErr w:type="spellEnd"/>
      <w:r w:rsidRPr="00B419CE">
        <w:t xml:space="preserve"> for at etaten skal løyse sitt samfunnsoppdrag for folk og næringsliv. </w:t>
      </w:r>
      <w:proofErr w:type="spellStart"/>
      <w:r w:rsidRPr="00B419CE">
        <w:t>Ifølgje</w:t>
      </w:r>
      <w:proofErr w:type="spellEnd"/>
      <w:r w:rsidRPr="00B419CE">
        <w:t xml:space="preserve"> Norsk </w:t>
      </w:r>
      <w:proofErr w:type="spellStart"/>
      <w:r w:rsidRPr="00B419CE">
        <w:t>tryggleiksmyndigheit</w:t>
      </w:r>
      <w:proofErr w:type="spellEnd"/>
      <w:r w:rsidRPr="00B419CE">
        <w:t xml:space="preserve"> (NSM) er </w:t>
      </w:r>
      <w:r w:rsidRPr="00B419CE">
        <w:rPr>
          <w:rStyle w:val="kursiv"/>
        </w:rPr>
        <w:t>«det digitale risikobildet [er] skjerpet».</w:t>
      </w:r>
      <w:r w:rsidRPr="00B419CE">
        <w:t xml:space="preserve"> Også Skatteetatens eigne </w:t>
      </w:r>
      <w:proofErr w:type="spellStart"/>
      <w:r w:rsidRPr="00B419CE">
        <w:t>trusselvurderingar</w:t>
      </w:r>
      <w:proofErr w:type="spellEnd"/>
      <w:r w:rsidRPr="00B419CE">
        <w:t xml:space="preserve"> syner </w:t>
      </w:r>
      <w:proofErr w:type="spellStart"/>
      <w:r w:rsidRPr="00B419CE">
        <w:t>auka</w:t>
      </w:r>
      <w:proofErr w:type="spellEnd"/>
      <w:r w:rsidRPr="00B419CE">
        <w:t xml:space="preserve"> risiko for digitale trugsmål.</w:t>
      </w:r>
    </w:p>
    <w:p w14:paraId="2DB3A1D9" w14:textId="77777777" w:rsidR="00B419CE" w:rsidRPr="00B419CE" w:rsidRDefault="00B419CE" w:rsidP="00B419CE">
      <w:r w:rsidRPr="00B419CE">
        <w:t xml:space="preserve">Etaten må </w:t>
      </w:r>
      <w:proofErr w:type="spellStart"/>
      <w:r w:rsidRPr="00B419CE">
        <w:t>fortlaupande</w:t>
      </w:r>
      <w:proofErr w:type="spellEnd"/>
      <w:r w:rsidRPr="00B419CE">
        <w:t xml:space="preserve"> vurdere informasjonstryggleiken i eigne system på </w:t>
      </w:r>
      <w:proofErr w:type="spellStart"/>
      <w:r w:rsidRPr="00B419CE">
        <w:t>ein</w:t>
      </w:r>
      <w:proofErr w:type="spellEnd"/>
      <w:r w:rsidRPr="00B419CE">
        <w:t xml:space="preserve"> god og systematisk måte og </w:t>
      </w:r>
      <w:proofErr w:type="spellStart"/>
      <w:r w:rsidRPr="00B419CE">
        <w:t>setje</w:t>
      </w:r>
      <w:proofErr w:type="spellEnd"/>
      <w:r w:rsidRPr="00B419CE">
        <w:t xml:space="preserve"> i verk tiltak ved behov. Arbeid med informasjonstryggleik må </w:t>
      </w:r>
      <w:proofErr w:type="spellStart"/>
      <w:r w:rsidRPr="00B419CE">
        <w:t>vere</w:t>
      </w:r>
      <w:proofErr w:type="spellEnd"/>
      <w:r w:rsidRPr="00B419CE">
        <w:t xml:space="preserve"> </w:t>
      </w:r>
      <w:proofErr w:type="spellStart"/>
      <w:r w:rsidRPr="00B419CE">
        <w:t>ein</w:t>
      </w:r>
      <w:proofErr w:type="spellEnd"/>
      <w:r w:rsidRPr="00B419CE">
        <w:t xml:space="preserve"> integrert del av styringa i </w:t>
      </w:r>
      <w:proofErr w:type="spellStart"/>
      <w:r w:rsidRPr="00B419CE">
        <w:t>verksemda</w:t>
      </w:r>
      <w:proofErr w:type="spellEnd"/>
      <w:r w:rsidRPr="00B419CE">
        <w:t xml:space="preserve"> og basere seg på </w:t>
      </w:r>
      <w:proofErr w:type="spellStart"/>
      <w:r w:rsidRPr="00B419CE">
        <w:t>gjeldande</w:t>
      </w:r>
      <w:proofErr w:type="spellEnd"/>
      <w:r w:rsidRPr="00B419CE">
        <w:t xml:space="preserve"> </w:t>
      </w:r>
      <w:proofErr w:type="spellStart"/>
      <w:r w:rsidRPr="00B419CE">
        <w:t>reglar</w:t>
      </w:r>
      <w:proofErr w:type="spellEnd"/>
      <w:r w:rsidRPr="00B419CE">
        <w:t xml:space="preserve">, </w:t>
      </w:r>
      <w:proofErr w:type="spellStart"/>
      <w:r w:rsidRPr="00B419CE">
        <w:t>anerkjende</w:t>
      </w:r>
      <w:proofErr w:type="spellEnd"/>
      <w:r w:rsidRPr="00B419CE">
        <w:t xml:space="preserve"> </w:t>
      </w:r>
      <w:proofErr w:type="spellStart"/>
      <w:r w:rsidRPr="00B419CE">
        <w:t>standardar</w:t>
      </w:r>
      <w:proofErr w:type="spellEnd"/>
      <w:r w:rsidRPr="00B419CE">
        <w:t xml:space="preserve"> og oppdaterte </w:t>
      </w:r>
      <w:proofErr w:type="spellStart"/>
      <w:r w:rsidRPr="00B419CE">
        <w:t>vurderingar</w:t>
      </w:r>
      <w:proofErr w:type="spellEnd"/>
      <w:r w:rsidRPr="00B419CE">
        <w:t xml:space="preserve"> av trugsmåla. Det er etter kvart vorte </w:t>
      </w:r>
      <w:proofErr w:type="spellStart"/>
      <w:r w:rsidRPr="00B419CE">
        <w:t>klårare</w:t>
      </w:r>
      <w:proofErr w:type="spellEnd"/>
      <w:r w:rsidRPr="00B419CE">
        <w:t xml:space="preserve"> at </w:t>
      </w:r>
      <w:proofErr w:type="spellStart"/>
      <w:r w:rsidRPr="00B419CE">
        <w:t>ein</w:t>
      </w:r>
      <w:proofErr w:type="spellEnd"/>
      <w:r w:rsidRPr="00B419CE">
        <w:t xml:space="preserve"> er </w:t>
      </w:r>
      <w:proofErr w:type="spellStart"/>
      <w:r w:rsidRPr="00B419CE">
        <w:t>komen</w:t>
      </w:r>
      <w:proofErr w:type="spellEnd"/>
      <w:r w:rsidRPr="00B419CE">
        <w:t xml:space="preserve"> </w:t>
      </w:r>
      <w:proofErr w:type="spellStart"/>
      <w:r w:rsidRPr="00B419CE">
        <w:t>noko</w:t>
      </w:r>
      <w:proofErr w:type="spellEnd"/>
      <w:r w:rsidRPr="00B419CE">
        <w:t xml:space="preserve"> på </w:t>
      </w:r>
      <w:proofErr w:type="spellStart"/>
      <w:r w:rsidRPr="00B419CE">
        <w:t>etterskot</w:t>
      </w:r>
      <w:proofErr w:type="spellEnd"/>
      <w:r w:rsidRPr="00B419CE">
        <w:t xml:space="preserve"> med omsyn til å </w:t>
      </w:r>
      <w:proofErr w:type="spellStart"/>
      <w:r w:rsidRPr="00B419CE">
        <w:t>oppretthalde</w:t>
      </w:r>
      <w:proofErr w:type="spellEnd"/>
      <w:r w:rsidRPr="00B419CE">
        <w:t xml:space="preserve"> stabile og </w:t>
      </w:r>
      <w:proofErr w:type="spellStart"/>
      <w:r w:rsidRPr="00B419CE">
        <w:t>tilstrekkeleg</w:t>
      </w:r>
      <w:proofErr w:type="spellEnd"/>
      <w:r w:rsidRPr="00B419CE">
        <w:t xml:space="preserve"> sikre system. jf. òg NSMs </w:t>
      </w:r>
      <w:proofErr w:type="spellStart"/>
      <w:r w:rsidRPr="00B419CE">
        <w:t>ovannemnde</w:t>
      </w:r>
      <w:proofErr w:type="spellEnd"/>
      <w:r w:rsidRPr="00B419CE">
        <w:t xml:space="preserve"> </w:t>
      </w:r>
      <w:proofErr w:type="spellStart"/>
      <w:r w:rsidRPr="00B419CE">
        <w:t>åtvaring</w:t>
      </w:r>
      <w:proofErr w:type="spellEnd"/>
      <w:r w:rsidRPr="00B419CE">
        <w:t>.</w:t>
      </w:r>
    </w:p>
    <w:p w14:paraId="5F54DB4B" w14:textId="77777777" w:rsidR="00B419CE" w:rsidRPr="00B419CE" w:rsidRDefault="00B419CE" w:rsidP="00B419CE">
      <w:r w:rsidRPr="00B419CE">
        <w:t xml:space="preserve">I budsjettframlegget ligg det inne </w:t>
      </w:r>
      <w:proofErr w:type="spellStart"/>
      <w:r w:rsidRPr="00B419CE">
        <w:t>ein</w:t>
      </w:r>
      <w:proofErr w:type="spellEnd"/>
      <w:r w:rsidRPr="00B419CE">
        <w:t xml:space="preserve"> </w:t>
      </w:r>
      <w:proofErr w:type="spellStart"/>
      <w:r w:rsidRPr="00B419CE">
        <w:t>auke</w:t>
      </w:r>
      <w:proofErr w:type="spellEnd"/>
      <w:r w:rsidRPr="00B419CE">
        <w:t xml:space="preserve"> på 75 mill. kroner for å </w:t>
      </w:r>
      <w:proofErr w:type="spellStart"/>
      <w:r w:rsidRPr="00B419CE">
        <w:t>styrkje</w:t>
      </w:r>
      <w:proofErr w:type="spellEnd"/>
      <w:r w:rsidRPr="00B419CE">
        <w:t xml:space="preserve"> etaten sin IT-infrastruktur. Styrkinga som </w:t>
      </w:r>
      <w:proofErr w:type="spellStart"/>
      <w:r w:rsidRPr="00B419CE">
        <w:t>ein</w:t>
      </w:r>
      <w:proofErr w:type="spellEnd"/>
      <w:r w:rsidRPr="00B419CE">
        <w:t xml:space="preserve"> </w:t>
      </w:r>
      <w:proofErr w:type="spellStart"/>
      <w:r w:rsidRPr="00B419CE">
        <w:t>legg</w:t>
      </w:r>
      <w:proofErr w:type="spellEnd"/>
      <w:r w:rsidRPr="00B419CE">
        <w:t xml:space="preserve"> opp til at skal </w:t>
      </w:r>
      <w:proofErr w:type="spellStart"/>
      <w:r w:rsidRPr="00B419CE">
        <w:t>vere</w:t>
      </w:r>
      <w:proofErr w:type="spellEnd"/>
      <w:r w:rsidRPr="00B419CE">
        <w:t xml:space="preserve"> treårig, vil betre etaten sin evne til å verne seg mot og handtere uønskte digitale </w:t>
      </w:r>
      <w:proofErr w:type="spellStart"/>
      <w:r w:rsidRPr="00B419CE">
        <w:t>hendingar</w:t>
      </w:r>
      <w:proofErr w:type="spellEnd"/>
      <w:r w:rsidRPr="00B419CE">
        <w:t>.</w:t>
      </w:r>
    </w:p>
    <w:p w14:paraId="556DC7CD" w14:textId="77777777" w:rsidR="00B419CE" w:rsidRPr="00B419CE" w:rsidRDefault="00B419CE" w:rsidP="00B419CE">
      <w:pPr>
        <w:pStyle w:val="avsnitt-undertittel"/>
      </w:pPr>
      <w:r w:rsidRPr="00B419CE">
        <w:t>Etterleving og kontroll</w:t>
      </w:r>
    </w:p>
    <w:p w14:paraId="6F96F177" w14:textId="77777777" w:rsidR="00B419CE" w:rsidRPr="00B419CE" w:rsidRDefault="00B419CE" w:rsidP="00B419CE">
      <w:r w:rsidRPr="00B419CE">
        <w:t xml:space="preserve">Skatteetaten arbeider etter OECDs etterlevingsmetodikk. Den er risikobasert, og </w:t>
      </w:r>
      <w:proofErr w:type="spellStart"/>
      <w:r w:rsidRPr="00B419CE">
        <w:t>årsaksanalysar</w:t>
      </w:r>
      <w:proofErr w:type="spellEnd"/>
      <w:r w:rsidRPr="00B419CE">
        <w:t xml:space="preserve"> og kunnskap om framferd </w:t>
      </w:r>
      <w:proofErr w:type="spellStart"/>
      <w:r w:rsidRPr="00B419CE">
        <w:t>legg</w:t>
      </w:r>
      <w:proofErr w:type="spellEnd"/>
      <w:r w:rsidRPr="00B419CE">
        <w:t xml:space="preserve"> grunnlag for betre etterleving. Ulike </w:t>
      </w:r>
      <w:proofErr w:type="spellStart"/>
      <w:r w:rsidRPr="00B419CE">
        <w:t>verkemiddel</w:t>
      </w:r>
      <w:proofErr w:type="spellEnd"/>
      <w:r w:rsidRPr="00B419CE">
        <w:t xml:space="preserve"> som skal </w:t>
      </w:r>
      <w:proofErr w:type="spellStart"/>
      <w:r w:rsidRPr="00B419CE">
        <w:t>auke</w:t>
      </w:r>
      <w:proofErr w:type="spellEnd"/>
      <w:r w:rsidRPr="00B419CE">
        <w:t xml:space="preserve"> etterlevinga, vert sette i </w:t>
      </w:r>
      <w:proofErr w:type="spellStart"/>
      <w:r w:rsidRPr="00B419CE">
        <w:t>samanheng</w:t>
      </w:r>
      <w:proofErr w:type="spellEnd"/>
      <w:r w:rsidRPr="00B419CE">
        <w:t>. Innsats i forkant, til dømes å utnytte digitaliseringa som skjer i samfunnet (</w:t>
      </w:r>
      <w:proofErr w:type="spellStart"/>
      <w:r w:rsidRPr="00B419CE">
        <w:rPr>
          <w:rStyle w:val="kursiv"/>
        </w:rPr>
        <w:t>compliance</w:t>
      </w:r>
      <w:proofErr w:type="spellEnd"/>
      <w:r w:rsidRPr="00B419CE">
        <w:rPr>
          <w:rStyle w:val="kursiv"/>
        </w:rPr>
        <w:t xml:space="preserve"> by design</w:t>
      </w:r>
      <w:r w:rsidRPr="00B419CE">
        <w:t xml:space="preserve">), tilrettelegging av gode digitale </w:t>
      </w:r>
      <w:proofErr w:type="spellStart"/>
      <w:r w:rsidRPr="00B419CE">
        <w:t>tenester</w:t>
      </w:r>
      <w:proofErr w:type="spellEnd"/>
      <w:r w:rsidRPr="00B419CE">
        <w:t xml:space="preserve">, </w:t>
      </w:r>
      <w:proofErr w:type="spellStart"/>
      <w:r w:rsidRPr="00B419CE">
        <w:t>forenklingar</w:t>
      </w:r>
      <w:proofErr w:type="spellEnd"/>
      <w:r w:rsidRPr="00B419CE">
        <w:t xml:space="preserve">, </w:t>
      </w:r>
      <w:proofErr w:type="spellStart"/>
      <w:r w:rsidRPr="00B419CE">
        <w:t>regelverksendringar</w:t>
      </w:r>
      <w:proofErr w:type="spellEnd"/>
      <w:r w:rsidRPr="00B419CE">
        <w:t xml:space="preserve"> og god rettleiing, vil kunne hindre at feil oppstår og kan òg </w:t>
      </w:r>
      <w:proofErr w:type="spellStart"/>
      <w:r w:rsidRPr="00B419CE">
        <w:t>vere</w:t>
      </w:r>
      <w:proofErr w:type="spellEnd"/>
      <w:r w:rsidRPr="00B419CE">
        <w:t xml:space="preserve"> ressurseffektive </w:t>
      </w:r>
      <w:proofErr w:type="spellStart"/>
      <w:r w:rsidRPr="00B419CE">
        <w:t>verkemedel</w:t>
      </w:r>
      <w:proofErr w:type="spellEnd"/>
      <w:r w:rsidRPr="00B419CE">
        <w:t xml:space="preserve">. Skatteetaten arbeider </w:t>
      </w:r>
      <w:proofErr w:type="spellStart"/>
      <w:r w:rsidRPr="00B419CE">
        <w:t>kontinuerleg</w:t>
      </w:r>
      <w:proofErr w:type="spellEnd"/>
      <w:r w:rsidRPr="00B419CE">
        <w:t xml:space="preserve"> for å få skattepliktige til å handle riktig og for at </w:t>
      </w:r>
      <w:proofErr w:type="spellStart"/>
      <w:r w:rsidRPr="00B419CE">
        <w:t>dei</w:t>
      </w:r>
      <w:proofErr w:type="spellEnd"/>
      <w:r w:rsidRPr="00B419CE">
        <w:t xml:space="preserve"> som omgår regelverket, skal oppleve høgt </w:t>
      </w:r>
      <w:proofErr w:type="spellStart"/>
      <w:r w:rsidRPr="00B419CE">
        <w:t>sannsyn</w:t>
      </w:r>
      <w:proofErr w:type="spellEnd"/>
      <w:r w:rsidRPr="00B419CE">
        <w:t xml:space="preserve"> for å </w:t>
      </w:r>
      <w:proofErr w:type="spellStart"/>
      <w:r w:rsidRPr="00B419CE">
        <w:t>verte</w:t>
      </w:r>
      <w:proofErr w:type="spellEnd"/>
      <w:r w:rsidRPr="00B419CE">
        <w:t xml:space="preserve"> oppdaga, korrigert eller sanksjonert. Kontroll er </w:t>
      </w:r>
      <w:proofErr w:type="spellStart"/>
      <w:r w:rsidRPr="00B419CE">
        <w:t>eit</w:t>
      </w:r>
      <w:proofErr w:type="spellEnd"/>
      <w:r w:rsidRPr="00B419CE">
        <w:t xml:space="preserve"> </w:t>
      </w:r>
      <w:proofErr w:type="spellStart"/>
      <w:r w:rsidRPr="00B419CE">
        <w:t>avgjerande</w:t>
      </w:r>
      <w:proofErr w:type="spellEnd"/>
      <w:r w:rsidRPr="00B419CE">
        <w:t xml:space="preserve"> </w:t>
      </w:r>
      <w:proofErr w:type="spellStart"/>
      <w:r w:rsidRPr="00B419CE">
        <w:t>verkemiddel</w:t>
      </w:r>
      <w:proofErr w:type="spellEnd"/>
      <w:r w:rsidRPr="00B419CE">
        <w:t xml:space="preserve"> for å </w:t>
      </w:r>
      <w:proofErr w:type="spellStart"/>
      <w:r w:rsidRPr="00B419CE">
        <w:t>avdekkje</w:t>
      </w:r>
      <w:proofErr w:type="spellEnd"/>
      <w:r w:rsidRPr="00B419CE">
        <w:t xml:space="preserve"> uriktige og </w:t>
      </w:r>
      <w:proofErr w:type="spellStart"/>
      <w:r w:rsidRPr="00B419CE">
        <w:t>manglande</w:t>
      </w:r>
      <w:proofErr w:type="spellEnd"/>
      <w:r w:rsidRPr="00B419CE">
        <w:t xml:space="preserve"> </w:t>
      </w:r>
      <w:proofErr w:type="spellStart"/>
      <w:r w:rsidRPr="00B419CE">
        <w:t>opplysningar</w:t>
      </w:r>
      <w:proofErr w:type="spellEnd"/>
      <w:r w:rsidRPr="00B419CE">
        <w:t xml:space="preserve"> og for å </w:t>
      </w:r>
      <w:proofErr w:type="spellStart"/>
      <w:r w:rsidRPr="00B419CE">
        <w:t>byggje</w:t>
      </w:r>
      <w:proofErr w:type="spellEnd"/>
      <w:r w:rsidRPr="00B419CE">
        <w:t xml:space="preserve"> tillit i samfunnet. Skatteetaten må arbeide systematisk for at kontrollnivået skal </w:t>
      </w:r>
      <w:proofErr w:type="spellStart"/>
      <w:r w:rsidRPr="00B419CE">
        <w:t>vere</w:t>
      </w:r>
      <w:proofErr w:type="spellEnd"/>
      <w:r w:rsidRPr="00B419CE">
        <w:t xml:space="preserve"> </w:t>
      </w:r>
      <w:proofErr w:type="spellStart"/>
      <w:r w:rsidRPr="00B419CE">
        <w:t>tilstrekkeleg</w:t>
      </w:r>
      <w:proofErr w:type="spellEnd"/>
      <w:r w:rsidRPr="00B419CE">
        <w:t xml:space="preserve"> høgt og at </w:t>
      </w:r>
      <w:proofErr w:type="spellStart"/>
      <w:r w:rsidRPr="00B419CE">
        <w:t>kontrollar</w:t>
      </w:r>
      <w:proofErr w:type="spellEnd"/>
      <w:r w:rsidRPr="00B419CE">
        <w:t xml:space="preserve"> vert gjennomførte på </w:t>
      </w:r>
      <w:proofErr w:type="spellStart"/>
      <w:r w:rsidRPr="00B419CE">
        <w:t>ein</w:t>
      </w:r>
      <w:proofErr w:type="spellEnd"/>
      <w:r w:rsidRPr="00B419CE">
        <w:t xml:space="preserve"> planmessig og </w:t>
      </w:r>
      <w:proofErr w:type="spellStart"/>
      <w:r w:rsidRPr="00B419CE">
        <w:t>heilskapleg</w:t>
      </w:r>
      <w:proofErr w:type="spellEnd"/>
      <w:r w:rsidRPr="00B419CE">
        <w:t xml:space="preserve"> måte, basert på gode </w:t>
      </w:r>
      <w:proofErr w:type="spellStart"/>
      <w:r w:rsidRPr="00B419CE">
        <w:t>risikovurderingar</w:t>
      </w:r>
      <w:proofErr w:type="spellEnd"/>
      <w:r w:rsidRPr="00B419CE">
        <w:t>.</w:t>
      </w:r>
    </w:p>
    <w:p w14:paraId="0CBA54F3" w14:textId="77777777" w:rsidR="00B419CE" w:rsidRPr="00B419CE" w:rsidRDefault="00B419CE" w:rsidP="00B419CE">
      <w:pPr>
        <w:pStyle w:val="avsnitt-undertittel"/>
      </w:pPr>
      <w:r w:rsidRPr="00B419CE">
        <w:t xml:space="preserve">Internasjonalt arbeid for å </w:t>
      </w:r>
      <w:proofErr w:type="spellStart"/>
      <w:r w:rsidRPr="00B419CE">
        <w:t>tryggje</w:t>
      </w:r>
      <w:proofErr w:type="spellEnd"/>
      <w:r w:rsidRPr="00B419CE">
        <w:t xml:space="preserve"> skattegrunnlaget</w:t>
      </w:r>
    </w:p>
    <w:p w14:paraId="6359A559" w14:textId="77777777" w:rsidR="00B419CE" w:rsidRPr="00B419CE" w:rsidRDefault="00B419CE" w:rsidP="00B419CE">
      <w:r w:rsidRPr="00B419CE">
        <w:t xml:space="preserve">Skatteetaten skal </w:t>
      </w:r>
      <w:proofErr w:type="spellStart"/>
      <w:r w:rsidRPr="00B419CE">
        <w:t>leggje</w:t>
      </w:r>
      <w:proofErr w:type="spellEnd"/>
      <w:r w:rsidRPr="00B419CE">
        <w:t xml:space="preserve"> til rette for god etterleving og riktig skatt </w:t>
      </w:r>
      <w:proofErr w:type="spellStart"/>
      <w:r w:rsidRPr="00B419CE">
        <w:t>frå</w:t>
      </w:r>
      <w:proofErr w:type="spellEnd"/>
      <w:r w:rsidRPr="00B419CE">
        <w:t xml:space="preserve"> </w:t>
      </w:r>
      <w:proofErr w:type="spellStart"/>
      <w:r w:rsidRPr="00B419CE">
        <w:t>utanlandske</w:t>
      </w:r>
      <w:proofErr w:type="spellEnd"/>
      <w:r w:rsidRPr="00B419CE">
        <w:t xml:space="preserve"> </w:t>
      </w:r>
      <w:proofErr w:type="spellStart"/>
      <w:r w:rsidRPr="00B419CE">
        <w:t>aktørar</w:t>
      </w:r>
      <w:proofErr w:type="spellEnd"/>
      <w:r w:rsidRPr="00B419CE">
        <w:t xml:space="preserve"> i </w:t>
      </w:r>
      <w:proofErr w:type="spellStart"/>
      <w:r w:rsidRPr="00B419CE">
        <w:t>Noreg</w:t>
      </w:r>
      <w:proofErr w:type="spellEnd"/>
      <w:r w:rsidRPr="00B419CE">
        <w:t xml:space="preserve">, samt aktivt nytte </w:t>
      </w:r>
      <w:proofErr w:type="spellStart"/>
      <w:r w:rsidRPr="00B419CE">
        <w:t>tilgjengelege</w:t>
      </w:r>
      <w:proofErr w:type="spellEnd"/>
      <w:r w:rsidRPr="00B419CE">
        <w:t xml:space="preserve"> </w:t>
      </w:r>
      <w:proofErr w:type="spellStart"/>
      <w:r w:rsidRPr="00B419CE">
        <w:t>verkemiddel</w:t>
      </w:r>
      <w:proofErr w:type="spellEnd"/>
      <w:r w:rsidRPr="00B419CE">
        <w:t xml:space="preserve"> i arbeidet med å </w:t>
      </w:r>
      <w:proofErr w:type="spellStart"/>
      <w:r w:rsidRPr="00B419CE">
        <w:t>avdekkje</w:t>
      </w:r>
      <w:proofErr w:type="spellEnd"/>
      <w:r w:rsidRPr="00B419CE">
        <w:t xml:space="preserve"> skjulte inntekter og </w:t>
      </w:r>
      <w:proofErr w:type="spellStart"/>
      <w:r w:rsidRPr="00B419CE">
        <w:t>formuar</w:t>
      </w:r>
      <w:proofErr w:type="spellEnd"/>
      <w:r w:rsidRPr="00B419CE">
        <w:t xml:space="preserve"> i utlandet og i arbeidet med internprising i </w:t>
      </w:r>
      <w:proofErr w:type="spellStart"/>
      <w:r w:rsidRPr="00B419CE">
        <w:t>fleirnasjonale</w:t>
      </w:r>
      <w:proofErr w:type="spellEnd"/>
      <w:r w:rsidRPr="00B419CE">
        <w:t xml:space="preserve"> konsern. Skatteetaten skal </w:t>
      </w:r>
      <w:proofErr w:type="spellStart"/>
      <w:r w:rsidRPr="00B419CE">
        <w:t>halde</w:t>
      </w:r>
      <w:proofErr w:type="spellEnd"/>
      <w:r w:rsidRPr="00B419CE">
        <w:t xml:space="preserve"> fram med å arbeide med effektive </w:t>
      </w:r>
      <w:proofErr w:type="spellStart"/>
      <w:r w:rsidRPr="00B419CE">
        <w:t>løysingar</w:t>
      </w:r>
      <w:proofErr w:type="spellEnd"/>
      <w:r w:rsidRPr="00B419CE">
        <w:t xml:space="preserve"> for å nytte </w:t>
      </w:r>
      <w:proofErr w:type="spellStart"/>
      <w:r w:rsidRPr="00B419CE">
        <w:lastRenderedPageBreak/>
        <w:t>opplysningar</w:t>
      </w:r>
      <w:proofErr w:type="spellEnd"/>
      <w:r w:rsidRPr="00B419CE">
        <w:t xml:space="preserve"> etaten mottek </w:t>
      </w:r>
      <w:proofErr w:type="spellStart"/>
      <w:r w:rsidRPr="00B419CE">
        <w:t>frå</w:t>
      </w:r>
      <w:proofErr w:type="spellEnd"/>
      <w:r w:rsidRPr="00B419CE">
        <w:t xml:space="preserve"> andre land, og arbeide for å </w:t>
      </w:r>
      <w:proofErr w:type="spellStart"/>
      <w:r w:rsidRPr="00B419CE">
        <w:t>auke</w:t>
      </w:r>
      <w:proofErr w:type="spellEnd"/>
      <w:r w:rsidRPr="00B419CE">
        <w:t xml:space="preserve"> kvaliteten på </w:t>
      </w:r>
      <w:proofErr w:type="spellStart"/>
      <w:r w:rsidRPr="00B419CE">
        <w:t>desse</w:t>
      </w:r>
      <w:proofErr w:type="spellEnd"/>
      <w:r w:rsidRPr="00B419CE">
        <w:t xml:space="preserve"> </w:t>
      </w:r>
      <w:proofErr w:type="spellStart"/>
      <w:r w:rsidRPr="00B419CE">
        <w:t>opplysingane</w:t>
      </w:r>
      <w:proofErr w:type="spellEnd"/>
      <w:r w:rsidRPr="00B419CE">
        <w:t xml:space="preserve">. Etaten skal òg </w:t>
      </w:r>
      <w:proofErr w:type="spellStart"/>
      <w:r w:rsidRPr="00B419CE">
        <w:t>følgje</w:t>
      </w:r>
      <w:proofErr w:type="spellEnd"/>
      <w:r w:rsidRPr="00B419CE">
        <w:t xml:space="preserve"> med på nye internasjonale </w:t>
      </w:r>
      <w:proofErr w:type="spellStart"/>
      <w:r w:rsidRPr="00B419CE">
        <w:t>standardar</w:t>
      </w:r>
      <w:proofErr w:type="spellEnd"/>
      <w:r w:rsidRPr="00B419CE">
        <w:t xml:space="preserve"> som vert utvikla og vurdere korleis </w:t>
      </w:r>
      <w:proofErr w:type="spellStart"/>
      <w:r w:rsidRPr="00B419CE">
        <w:t>desse</w:t>
      </w:r>
      <w:proofErr w:type="spellEnd"/>
      <w:r w:rsidRPr="00B419CE">
        <w:t xml:space="preserve"> kan brukast i </w:t>
      </w:r>
      <w:proofErr w:type="spellStart"/>
      <w:r w:rsidRPr="00B419CE">
        <w:t>oppgåveløysinga</w:t>
      </w:r>
      <w:proofErr w:type="spellEnd"/>
      <w:r w:rsidRPr="00B419CE">
        <w:t xml:space="preserve">. Etaten skal gjennom samarbeid i internasjonale fora </w:t>
      </w:r>
      <w:proofErr w:type="spellStart"/>
      <w:r w:rsidRPr="00B419CE">
        <w:t>leggje</w:t>
      </w:r>
      <w:proofErr w:type="spellEnd"/>
      <w:r w:rsidRPr="00B419CE">
        <w:t xml:space="preserve"> vekt på </w:t>
      </w:r>
      <w:proofErr w:type="spellStart"/>
      <w:r w:rsidRPr="00B419CE">
        <w:t>openheit</w:t>
      </w:r>
      <w:proofErr w:type="spellEnd"/>
      <w:r w:rsidRPr="00B419CE">
        <w:t xml:space="preserve">, til dømes om </w:t>
      </w:r>
      <w:proofErr w:type="spellStart"/>
      <w:r w:rsidRPr="00B419CE">
        <w:t>eigarskap</w:t>
      </w:r>
      <w:proofErr w:type="spellEnd"/>
      <w:r w:rsidRPr="00B419CE">
        <w:t xml:space="preserve">, for å redusere risikoen for at inntekter og formue vert </w:t>
      </w:r>
      <w:proofErr w:type="spellStart"/>
      <w:r w:rsidRPr="00B419CE">
        <w:t>haldne</w:t>
      </w:r>
      <w:proofErr w:type="spellEnd"/>
      <w:r w:rsidRPr="00B419CE">
        <w:t xml:space="preserve"> skjult for skattlegging. Skatteetaten må ha </w:t>
      </w:r>
      <w:proofErr w:type="spellStart"/>
      <w:r w:rsidRPr="00B419CE">
        <w:t>høg</w:t>
      </w:r>
      <w:proofErr w:type="spellEnd"/>
      <w:r w:rsidRPr="00B419CE">
        <w:t xml:space="preserve"> </w:t>
      </w:r>
      <w:proofErr w:type="spellStart"/>
      <w:r w:rsidRPr="00B419CE">
        <w:t>merksemd</w:t>
      </w:r>
      <w:proofErr w:type="spellEnd"/>
      <w:r w:rsidRPr="00B419CE">
        <w:t xml:space="preserve"> på nye </w:t>
      </w:r>
      <w:proofErr w:type="spellStart"/>
      <w:r w:rsidRPr="00B419CE">
        <w:t>ordningar</w:t>
      </w:r>
      <w:proofErr w:type="spellEnd"/>
      <w:r w:rsidRPr="00B419CE">
        <w:t xml:space="preserve"> for skattlegging av </w:t>
      </w:r>
      <w:proofErr w:type="spellStart"/>
      <w:r w:rsidRPr="00B419CE">
        <w:t>transaksjonar</w:t>
      </w:r>
      <w:proofErr w:type="spellEnd"/>
      <w:r w:rsidRPr="00B419CE">
        <w:t xml:space="preserve"> over landegrensene. Etaten må i 2022 òg førebu innføring av nye </w:t>
      </w:r>
      <w:proofErr w:type="spellStart"/>
      <w:r w:rsidRPr="00B419CE">
        <w:t>skattereglar</w:t>
      </w:r>
      <w:proofErr w:type="spellEnd"/>
      <w:r w:rsidRPr="00B419CE">
        <w:t xml:space="preserve"> for store </w:t>
      </w:r>
      <w:proofErr w:type="spellStart"/>
      <w:r w:rsidRPr="00B419CE">
        <w:t>fleirnasjonale</w:t>
      </w:r>
      <w:proofErr w:type="spellEnd"/>
      <w:r w:rsidRPr="00B419CE">
        <w:t xml:space="preserve"> konsern i samsvar med internasjonal avtale om skattlegging av den digitaliserte økonomien.</w:t>
      </w:r>
    </w:p>
    <w:p w14:paraId="01293495" w14:textId="77777777" w:rsidR="00B419CE" w:rsidRPr="00B419CE" w:rsidRDefault="00B419CE" w:rsidP="00B419CE">
      <w:pPr>
        <w:pStyle w:val="avsnitt-undertittel"/>
      </w:pPr>
      <w:r w:rsidRPr="00B419CE">
        <w:t>Tiltak mot arbeidslivskriminalitet</w:t>
      </w:r>
    </w:p>
    <w:p w14:paraId="24D2E52A" w14:textId="77777777" w:rsidR="00B419CE" w:rsidRPr="00B419CE" w:rsidRDefault="00B419CE" w:rsidP="00B419CE">
      <w:r w:rsidRPr="00B419CE">
        <w:t xml:space="preserve">Regjeringa la i 2021 fram </w:t>
      </w:r>
      <w:proofErr w:type="spellStart"/>
      <w:r w:rsidRPr="00B419CE">
        <w:t>ein</w:t>
      </w:r>
      <w:proofErr w:type="spellEnd"/>
      <w:r w:rsidRPr="00B419CE">
        <w:t xml:space="preserve"> revidert strategi mot arbeidslivskriminalitet. I strategien er </w:t>
      </w:r>
      <w:proofErr w:type="spellStart"/>
      <w:r w:rsidRPr="00B419CE">
        <w:t>førebygging</w:t>
      </w:r>
      <w:proofErr w:type="spellEnd"/>
      <w:r w:rsidRPr="00B419CE">
        <w:t xml:space="preserve">, kunnskap og betre identitetsforvaltning framheva som viktige område. Tiltaka gjeld område under </w:t>
      </w:r>
      <w:proofErr w:type="spellStart"/>
      <w:r w:rsidRPr="00B419CE">
        <w:t>fleire</w:t>
      </w:r>
      <w:proofErr w:type="spellEnd"/>
      <w:r w:rsidRPr="00B419CE">
        <w:t xml:space="preserve"> departement.</w:t>
      </w:r>
    </w:p>
    <w:p w14:paraId="49AE361A" w14:textId="77777777" w:rsidR="00B419CE" w:rsidRPr="00B419CE" w:rsidRDefault="00B419CE" w:rsidP="00B419CE">
      <w:proofErr w:type="spellStart"/>
      <w:r w:rsidRPr="00B419CE">
        <w:t>Ein</w:t>
      </w:r>
      <w:proofErr w:type="spellEnd"/>
      <w:r w:rsidRPr="00B419CE">
        <w:t xml:space="preserve"> sentral del i strategien er òg betre koordinering mellom </w:t>
      </w:r>
      <w:proofErr w:type="spellStart"/>
      <w:r w:rsidRPr="00B419CE">
        <w:t>etatane</w:t>
      </w:r>
      <w:proofErr w:type="spellEnd"/>
      <w:r w:rsidRPr="00B419CE">
        <w:t xml:space="preserve"> slik at </w:t>
      </w:r>
      <w:proofErr w:type="spellStart"/>
      <w:r w:rsidRPr="00B419CE">
        <w:t>deira</w:t>
      </w:r>
      <w:proofErr w:type="spellEnd"/>
      <w:r w:rsidRPr="00B419CE">
        <w:t xml:space="preserve"> sams innsats vert så slagkraftig og effektiv som </w:t>
      </w:r>
      <w:proofErr w:type="spellStart"/>
      <w:r w:rsidRPr="00B419CE">
        <w:t>mogleg</w:t>
      </w:r>
      <w:proofErr w:type="spellEnd"/>
      <w:r w:rsidRPr="00B419CE">
        <w:t xml:space="preserve">. I 2022 vil arbeidet med å </w:t>
      </w:r>
      <w:proofErr w:type="spellStart"/>
      <w:r w:rsidRPr="00B419CE">
        <w:t>byggje</w:t>
      </w:r>
      <w:proofErr w:type="spellEnd"/>
      <w:r w:rsidRPr="00B419CE">
        <w:t xml:space="preserve"> kunnskap om arbeidslivskriminalitet og </w:t>
      </w:r>
      <w:proofErr w:type="spellStart"/>
      <w:r w:rsidRPr="00B419CE">
        <w:t>effektar</w:t>
      </w:r>
      <w:proofErr w:type="spellEnd"/>
      <w:r w:rsidRPr="00B419CE">
        <w:t xml:space="preserve"> for å prioritere og </w:t>
      </w:r>
      <w:proofErr w:type="spellStart"/>
      <w:r w:rsidRPr="00B419CE">
        <w:t>målrette</w:t>
      </w:r>
      <w:proofErr w:type="spellEnd"/>
      <w:r w:rsidRPr="00B419CE">
        <w:t xml:space="preserve"> tiltak, </w:t>
      </w:r>
      <w:proofErr w:type="spellStart"/>
      <w:r w:rsidRPr="00B419CE">
        <w:t>halde</w:t>
      </w:r>
      <w:proofErr w:type="spellEnd"/>
      <w:r w:rsidRPr="00B419CE">
        <w:t xml:space="preserve"> fram. Departementa vil arbeide </w:t>
      </w:r>
      <w:proofErr w:type="spellStart"/>
      <w:r w:rsidRPr="00B419CE">
        <w:t>vidare</w:t>
      </w:r>
      <w:proofErr w:type="spellEnd"/>
      <w:r w:rsidRPr="00B419CE">
        <w:t xml:space="preserve"> med å </w:t>
      </w:r>
      <w:proofErr w:type="spellStart"/>
      <w:r w:rsidRPr="00B419CE">
        <w:t>gje</w:t>
      </w:r>
      <w:proofErr w:type="spellEnd"/>
      <w:r w:rsidRPr="00B419CE">
        <w:t xml:space="preserve"> </w:t>
      </w:r>
      <w:proofErr w:type="spellStart"/>
      <w:r w:rsidRPr="00B419CE">
        <w:t>etatane</w:t>
      </w:r>
      <w:proofErr w:type="spellEnd"/>
      <w:r w:rsidRPr="00B419CE">
        <w:t xml:space="preserve"> betre høve til å dele og stille </w:t>
      </w:r>
      <w:proofErr w:type="spellStart"/>
      <w:r w:rsidRPr="00B419CE">
        <w:t>saman</w:t>
      </w:r>
      <w:proofErr w:type="spellEnd"/>
      <w:r w:rsidRPr="00B419CE">
        <w:t xml:space="preserve"> informasjon. For 2022 vil Skatteetaten, </w:t>
      </w:r>
      <w:proofErr w:type="spellStart"/>
      <w:r w:rsidRPr="00B419CE">
        <w:t>saman</w:t>
      </w:r>
      <w:proofErr w:type="spellEnd"/>
      <w:r w:rsidRPr="00B419CE">
        <w:t xml:space="preserve"> med andre </w:t>
      </w:r>
      <w:proofErr w:type="spellStart"/>
      <w:r w:rsidRPr="00B419CE">
        <w:t>etatar</w:t>
      </w:r>
      <w:proofErr w:type="spellEnd"/>
      <w:r w:rsidRPr="00B419CE">
        <w:t xml:space="preserve">, prioritere arbeidet med å redusere handlingsrommet for å drive med arbeidslivskriminalitet. Dei vil hindre at kriminelle får oppdrag, ved å hjelpe </w:t>
      </w:r>
      <w:proofErr w:type="spellStart"/>
      <w:r w:rsidRPr="00B419CE">
        <w:t>oppdragsgjevarar</w:t>
      </w:r>
      <w:proofErr w:type="spellEnd"/>
      <w:r w:rsidRPr="00B419CE">
        <w:t xml:space="preserve"> og </w:t>
      </w:r>
      <w:proofErr w:type="spellStart"/>
      <w:r w:rsidRPr="00B419CE">
        <w:t>forbrukarar</w:t>
      </w:r>
      <w:proofErr w:type="spellEnd"/>
      <w:r w:rsidRPr="00B419CE">
        <w:t xml:space="preserve"> til å </w:t>
      </w:r>
      <w:proofErr w:type="spellStart"/>
      <w:r w:rsidRPr="00B419CE">
        <w:t>velje</w:t>
      </w:r>
      <w:proofErr w:type="spellEnd"/>
      <w:r w:rsidRPr="00B419CE">
        <w:t xml:space="preserve"> seriøse </w:t>
      </w:r>
      <w:proofErr w:type="spellStart"/>
      <w:r w:rsidRPr="00B419CE">
        <w:t>leverandørar</w:t>
      </w:r>
      <w:proofErr w:type="spellEnd"/>
      <w:r w:rsidRPr="00B419CE">
        <w:t xml:space="preserve">, blant anna gjennom informasjon, samarbeid og bruk av </w:t>
      </w:r>
      <w:proofErr w:type="spellStart"/>
      <w:r w:rsidRPr="00B419CE">
        <w:t>skatteattestar</w:t>
      </w:r>
      <w:proofErr w:type="spellEnd"/>
      <w:r w:rsidRPr="00B419CE">
        <w:t xml:space="preserve">. Dei vil prioritere målretta tiltak for å sikre riktig skattlegging av </w:t>
      </w:r>
      <w:proofErr w:type="spellStart"/>
      <w:r w:rsidRPr="00B419CE">
        <w:t>utanlandske</w:t>
      </w:r>
      <w:proofErr w:type="spellEnd"/>
      <w:r w:rsidRPr="00B419CE">
        <w:t xml:space="preserve"> </w:t>
      </w:r>
      <w:proofErr w:type="spellStart"/>
      <w:r w:rsidRPr="00B419CE">
        <w:t>arbeidstakarar</w:t>
      </w:r>
      <w:proofErr w:type="spellEnd"/>
      <w:r w:rsidRPr="00B419CE">
        <w:t xml:space="preserve">, betre identitetsforvaltning og for å </w:t>
      </w:r>
      <w:proofErr w:type="spellStart"/>
      <w:r w:rsidRPr="00B419CE">
        <w:t>førebyggje</w:t>
      </w:r>
      <w:proofErr w:type="spellEnd"/>
      <w:r w:rsidRPr="00B419CE">
        <w:t xml:space="preserve"> at </w:t>
      </w:r>
      <w:proofErr w:type="spellStart"/>
      <w:r w:rsidRPr="00B419CE">
        <w:t>utanlandske</w:t>
      </w:r>
      <w:proofErr w:type="spellEnd"/>
      <w:r w:rsidRPr="00B419CE">
        <w:t xml:space="preserve"> </w:t>
      </w:r>
      <w:proofErr w:type="spellStart"/>
      <w:r w:rsidRPr="00B419CE">
        <w:t>arbeidstakarar</w:t>
      </w:r>
      <w:proofErr w:type="spellEnd"/>
      <w:r w:rsidRPr="00B419CE">
        <w:t xml:space="preserve"> vert utnytta. </w:t>
      </w:r>
      <w:proofErr w:type="spellStart"/>
      <w:r w:rsidRPr="00B419CE">
        <w:t>Etatane</w:t>
      </w:r>
      <w:proofErr w:type="spellEnd"/>
      <w:r w:rsidRPr="00B419CE">
        <w:t xml:space="preserve"> vil prioritere å stoppe </w:t>
      </w:r>
      <w:proofErr w:type="spellStart"/>
      <w:r w:rsidRPr="00B419CE">
        <w:t>alvorleg</w:t>
      </w:r>
      <w:proofErr w:type="spellEnd"/>
      <w:r w:rsidRPr="00B419CE">
        <w:t xml:space="preserve"> arbeidslivskriminalitet gjennom </w:t>
      </w:r>
      <w:proofErr w:type="spellStart"/>
      <w:r w:rsidRPr="00B419CE">
        <w:t>kontrollverksemd</w:t>
      </w:r>
      <w:proofErr w:type="spellEnd"/>
      <w:r w:rsidRPr="00B419CE">
        <w:t xml:space="preserve"> og andre tiltak. </w:t>
      </w:r>
      <w:proofErr w:type="spellStart"/>
      <w:r w:rsidRPr="00B419CE">
        <w:t>Desse</w:t>
      </w:r>
      <w:proofErr w:type="spellEnd"/>
      <w:r w:rsidRPr="00B419CE">
        <w:t xml:space="preserve"> </w:t>
      </w:r>
      <w:proofErr w:type="spellStart"/>
      <w:r w:rsidRPr="00B419CE">
        <w:t>prioriteringane</w:t>
      </w:r>
      <w:proofErr w:type="spellEnd"/>
      <w:r w:rsidRPr="00B419CE">
        <w:t xml:space="preserve"> vil </w:t>
      </w:r>
      <w:proofErr w:type="spellStart"/>
      <w:r w:rsidRPr="00B419CE">
        <w:t>ein</w:t>
      </w:r>
      <w:proofErr w:type="spellEnd"/>
      <w:r w:rsidRPr="00B419CE">
        <w:t xml:space="preserve"> arbeide med </w:t>
      </w:r>
      <w:proofErr w:type="spellStart"/>
      <w:r w:rsidRPr="00B419CE">
        <w:t>tverretatleg</w:t>
      </w:r>
      <w:proofErr w:type="spellEnd"/>
      <w:r w:rsidRPr="00B419CE">
        <w:t xml:space="preserve">, i </w:t>
      </w:r>
      <w:proofErr w:type="spellStart"/>
      <w:r w:rsidRPr="00B419CE">
        <w:t>arbeidslivskriminalitetssentera</w:t>
      </w:r>
      <w:proofErr w:type="spellEnd"/>
      <w:r w:rsidRPr="00B419CE">
        <w:t xml:space="preserve"> (a-</w:t>
      </w:r>
      <w:proofErr w:type="spellStart"/>
      <w:r w:rsidRPr="00B419CE">
        <w:t>krimsentera</w:t>
      </w:r>
      <w:proofErr w:type="spellEnd"/>
      <w:r w:rsidRPr="00B419CE">
        <w:t xml:space="preserve">), og i Skatteetaten, der overføringa av arbeidsgjevarkontrollen </w:t>
      </w:r>
      <w:proofErr w:type="spellStart"/>
      <w:r w:rsidRPr="00B419CE">
        <w:t>frå</w:t>
      </w:r>
      <w:proofErr w:type="spellEnd"/>
      <w:r w:rsidRPr="00B419CE">
        <w:t xml:space="preserve"> </w:t>
      </w:r>
      <w:proofErr w:type="spellStart"/>
      <w:r w:rsidRPr="00B419CE">
        <w:t>kommunane</w:t>
      </w:r>
      <w:proofErr w:type="spellEnd"/>
      <w:r w:rsidRPr="00B419CE">
        <w:t xml:space="preserve"> vil </w:t>
      </w:r>
      <w:proofErr w:type="spellStart"/>
      <w:r w:rsidRPr="00B419CE">
        <w:t>innebere</w:t>
      </w:r>
      <w:proofErr w:type="spellEnd"/>
      <w:r w:rsidRPr="00B419CE">
        <w:t xml:space="preserve"> ei styrking av innsatsen.</w:t>
      </w:r>
    </w:p>
    <w:p w14:paraId="3B5E717A" w14:textId="77777777" w:rsidR="00B419CE" w:rsidRPr="00B419CE" w:rsidRDefault="00B419CE" w:rsidP="00B419CE">
      <w:pPr>
        <w:pStyle w:val="avsnitt-undertittel"/>
      </w:pPr>
      <w:r w:rsidRPr="00B419CE">
        <w:t>Dialogbasert skattemelding (Sirius)</w:t>
      </w:r>
    </w:p>
    <w:p w14:paraId="31343860" w14:textId="77777777" w:rsidR="00B419CE" w:rsidRPr="00B419CE" w:rsidRDefault="00B419CE" w:rsidP="00B419CE">
      <w:r w:rsidRPr="00B419CE">
        <w:t xml:space="preserve">Sirius er </w:t>
      </w:r>
      <w:proofErr w:type="spellStart"/>
      <w:r w:rsidRPr="00B419CE">
        <w:t>eit</w:t>
      </w:r>
      <w:proofErr w:type="spellEnd"/>
      <w:r w:rsidRPr="00B419CE">
        <w:t xml:space="preserve"> prosjekt for utvikling og innføring av ei ny dialogbasert støtte til skattepliktige si </w:t>
      </w:r>
      <w:proofErr w:type="spellStart"/>
      <w:r w:rsidRPr="00B419CE">
        <w:t>eigenfastsetjing</w:t>
      </w:r>
      <w:proofErr w:type="spellEnd"/>
      <w:r w:rsidRPr="00B419CE">
        <w:t xml:space="preserve">. Prosjektet skal bidra til </w:t>
      </w:r>
      <w:proofErr w:type="spellStart"/>
      <w:r w:rsidRPr="00B419CE">
        <w:t>ein</w:t>
      </w:r>
      <w:proofErr w:type="spellEnd"/>
      <w:r w:rsidRPr="00B419CE">
        <w:t xml:space="preserve"> </w:t>
      </w:r>
      <w:proofErr w:type="spellStart"/>
      <w:r w:rsidRPr="00B419CE">
        <w:t>heilskapleg</w:t>
      </w:r>
      <w:proofErr w:type="spellEnd"/>
      <w:r w:rsidRPr="00B419CE">
        <w:t xml:space="preserve"> skattleggingsprosess overfor skattepliktige, med </w:t>
      </w:r>
      <w:proofErr w:type="spellStart"/>
      <w:r w:rsidRPr="00B419CE">
        <w:t>samanhengande</w:t>
      </w:r>
      <w:proofErr w:type="spellEnd"/>
      <w:r w:rsidRPr="00B419CE">
        <w:t xml:space="preserve"> og </w:t>
      </w:r>
      <w:proofErr w:type="spellStart"/>
      <w:r w:rsidRPr="00B419CE">
        <w:t>einsarta</w:t>
      </w:r>
      <w:proofErr w:type="spellEnd"/>
      <w:r w:rsidRPr="00B419CE">
        <w:t xml:space="preserve"> </w:t>
      </w:r>
      <w:proofErr w:type="spellStart"/>
      <w:r w:rsidRPr="00B419CE">
        <w:t>prosessar</w:t>
      </w:r>
      <w:proofErr w:type="spellEnd"/>
      <w:r w:rsidRPr="00B419CE">
        <w:t xml:space="preserve"> for </w:t>
      </w:r>
      <w:proofErr w:type="spellStart"/>
      <w:r w:rsidRPr="00B419CE">
        <w:t>forskot</w:t>
      </w:r>
      <w:proofErr w:type="spellEnd"/>
      <w:r w:rsidRPr="00B419CE">
        <w:t xml:space="preserve">, </w:t>
      </w:r>
      <w:proofErr w:type="spellStart"/>
      <w:r w:rsidRPr="00B419CE">
        <w:t>fastsetjing</w:t>
      </w:r>
      <w:proofErr w:type="spellEnd"/>
      <w:r w:rsidRPr="00B419CE">
        <w:t xml:space="preserve"> og </w:t>
      </w:r>
      <w:proofErr w:type="spellStart"/>
      <w:r w:rsidRPr="00B419CE">
        <w:t>skatteoppgjer</w:t>
      </w:r>
      <w:proofErr w:type="spellEnd"/>
      <w:r w:rsidRPr="00B419CE">
        <w:t xml:space="preserve">. For </w:t>
      </w:r>
      <w:proofErr w:type="spellStart"/>
      <w:r w:rsidRPr="00B419CE">
        <w:t>næringsdrivande</w:t>
      </w:r>
      <w:proofErr w:type="spellEnd"/>
      <w:r w:rsidRPr="00B419CE">
        <w:t xml:space="preserve"> skal prosjektet </w:t>
      </w:r>
      <w:proofErr w:type="spellStart"/>
      <w:r w:rsidRPr="00B419CE">
        <w:t>gje</w:t>
      </w:r>
      <w:proofErr w:type="spellEnd"/>
      <w:r w:rsidRPr="00B419CE">
        <w:t xml:space="preserve"> grunnlag for betre og </w:t>
      </w:r>
      <w:proofErr w:type="spellStart"/>
      <w:r w:rsidRPr="00B419CE">
        <w:t>enklare</w:t>
      </w:r>
      <w:proofErr w:type="spellEnd"/>
      <w:r w:rsidRPr="00B419CE">
        <w:t xml:space="preserve"> integrasjon mellom bokførings- og </w:t>
      </w:r>
      <w:proofErr w:type="spellStart"/>
      <w:r w:rsidRPr="00B419CE">
        <w:t>rekneskapssystema</w:t>
      </w:r>
      <w:proofErr w:type="spellEnd"/>
      <w:r w:rsidRPr="00B419CE">
        <w:t xml:space="preserve"> </w:t>
      </w:r>
      <w:proofErr w:type="spellStart"/>
      <w:r w:rsidRPr="00B419CE">
        <w:t>deira</w:t>
      </w:r>
      <w:proofErr w:type="spellEnd"/>
      <w:r w:rsidRPr="00B419CE">
        <w:t xml:space="preserve"> og system i etaten for behandling av </w:t>
      </w:r>
      <w:proofErr w:type="spellStart"/>
      <w:r w:rsidRPr="00B419CE">
        <w:t>næringsoppgåver</w:t>
      </w:r>
      <w:proofErr w:type="spellEnd"/>
      <w:r w:rsidRPr="00B419CE">
        <w:t>.</w:t>
      </w:r>
    </w:p>
    <w:p w14:paraId="3B6399A9" w14:textId="77777777" w:rsidR="00B419CE" w:rsidRPr="00B419CE" w:rsidRDefault="00B419CE" w:rsidP="00B419CE">
      <w:r w:rsidRPr="00B419CE">
        <w:t xml:space="preserve">I 2022 skal </w:t>
      </w:r>
      <w:proofErr w:type="spellStart"/>
      <w:r w:rsidRPr="00B419CE">
        <w:t>ein</w:t>
      </w:r>
      <w:proofErr w:type="spellEnd"/>
      <w:r w:rsidRPr="00B419CE">
        <w:t xml:space="preserve"> ferdigstille dialogbasert skattemelding for </w:t>
      </w:r>
      <w:proofErr w:type="spellStart"/>
      <w:r w:rsidRPr="00B419CE">
        <w:t>lønstakarar</w:t>
      </w:r>
      <w:proofErr w:type="spellEnd"/>
      <w:r w:rsidRPr="00B419CE">
        <w:t xml:space="preserve"> og </w:t>
      </w:r>
      <w:proofErr w:type="spellStart"/>
      <w:r w:rsidRPr="00B419CE">
        <w:t>pensjonistar</w:t>
      </w:r>
      <w:proofErr w:type="spellEnd"/>
      <w:r w:rsidRPr="00B419CE">
        <w:t xml:space="preserve"> med </w:t>
      </w:r>
      <w:proofErr w:type="spellStart"/>
      <w:r w:rsidRPr="00B419CE">
        <w:t>hovudvekt</w:t>
      </w:r>
      <w:proofErr w:type="spellEnd"/>
      <w:r w:rsidRPr="00B419CE">
        <w:t xml:space="preserve"> på særgrupper og utlandsforhold. I 2022 skal prosjektet òg nytte </w:t>
      </w:r>
      <w:proofErr w:type="spellStart"/>
      <w:r w:rsidRPr="00B419CE">
        <w:t>røynsler</w:t>
      </w:r>
      <w:proofErr w:type="spellEnd"/>
      <w:r w:rsidRPr="00B419CE">
        <w:t xml:space="preserve"> </w:t>
      </w:r>
      <w:proofErr w:type="spellStart"/>
      <w:r w:rsidRPr="00B419CE">
        <w:t>frå</w:t>
      </w:r>
      <w:proofErr w:type="spellEnd"/>
      <w:r w:rsidRPr="00B419CE">
        <w:t xml:space="preserve"> 2021 til å utvikle </w:t>
      </w:r>
      <w:proofErr w:type="gramStart"/>
      <w:r w:rsidRPr="00B419CE">
        <w:t>ei ny dialogbasert skattemelding</w:t>
      </w:r>
      <w:proofErr w:type="gramEnd"/>
      <w:r w:rsidRPr="00B419CE">
        <w:t xml:space="preserve"> for </w:t>
      </w:r>
      <w:proofErr w:type="spellStart"/>
      <w:r w:rsidRPr="00B419CE">
        <w:t>næringsdrivande</w:t>
      </w:r>
      <w:proofErr w:type="spellEnd"/>
      <w:r w:rsidRPr="00B419CE">
        <w:t>.</w:t>
      </w:r>
    </w:p>
    <w:p w14:paraId="770AB99D" w14:textId="77777777" w:rsidR="00B419CE" w:rsidRPr="00B419CE" w:rsidRDefault="00B419CE" w:rsidP="00B419CE">
      <w:r w:rsidRPr="00B419CE">
        <w:t>Prosjektet starta i 2018 og er planlagt ferdigstilt i 2024. Prosjektet har ei kostnadsramme (P85) på 772,8 mill. 2022-kroner. For 2022 er det sett av 111,9 mill. kroner til prosjektet.</w:t>
      </w:r>
    </w:p>
    <w:p w14:paraId="717FB857" w14:textId="77777777" w:rsidR="00B419CE" w:rsidRPr="00B419CE" w:rsidRDefault="00B419CE" w:rsidP="00B419CE">
      <w:pPr>
        <w:pStyle w:val="avsnitt-undertittel"/>
      </w:pPr>
      <w:r w:rsidRPr="00B419CE">
        <w:lastRenderedPageBreak/>
        <w:t xml:space="preserve">Nytt IT-system for </w:t>
      </w:r>
      <w:proofErr w:type="spellStart"/>
      <w:r w:rsidRPr="00B419CE">
        <w:t>meirverdiavgift</w:t>
      </w:r>
      <w:proofErr w:type="spellEnd"/>
      <w:r w:rsidRPr="00B419CE">
        <w:t xml:space="preserve"> (Memo)</w:t>
      </w:r>
    </w:p>
    <w:p w14:paraId="4BCFC8A2" w14:textId="77777777" w:rsidR="00B419CE" w:rsidRPr="00B419CE" w:rsidRDefault="00B419CE" w:rsidP="00B419CE">
      <w:r w:rsidRPr="00B419CE">
        <w:t xml:space="preserve">Memo er </w:t>
      </w:r>
      <w:proofErr w:type="spellStart"/>
      <w:r w:rsidRPr="00B419CE">
        <w:t>eit</w:t>
      </w:r>
      <w:proofErr w:type="spellEnd"/>
      <w:r w:rsidRPr="00B419CE">
        <w:t xml:space="preserve"> prosjekt for utvikling av </w:t>
      </w:r>
      <w:proofErr w:type="spellStart"/>
      <w:r w:rsidRPr="00B419CE">
        <w:t>eit</w:t>
      </w:r>
      <w:proofErr w:type="spellEnd"/>
      <w:r w:rsidRPr="00B419CE">
        <w:t xml:space="preserve"> nytt IT-system for </w:t>
      </w:r>
      <w:proofErr w:type="spellStart"/>
      <w:r w:rsidRPr="00B419CE">
        <w:t>meirverdiavgift</w:t>
      </w:r>
      <w:proofErr w:type="spellEnd"/>
      <w:r w:rsidRPr="00B419CE">
        <w:t xml:space="preserve"> for å </w:t>
      </w:r>
      <w:proofErr w:type="spellStart"/>
      <w:r w:rsidRPr="00B419CE">
        <w:t>auke</w:t>
      </w:r>
      <w:proofErr w:type="spellEnd"/>
      <w:r w:rsidRPr="00B419CE">
        <w:t xml:space="preserve"> kvaliteten på </w:t>
      </w:r>
      <w:proofErr w:type="spellStart"/>
      <w:r w:rsidRPr="00B419CE">
        <w:t>meirverdiavgiftsforvaltninga</w:t>
      </w:r>
      <w:proofErr w:type="spellEnd"/>
      <w:r w:rsidRPr="00B419CE">
        <w:t xml:space="preserve">. Tiltaket vil </w:t>
      </w:r>
      <w:proofErr w:type="spellStart"/>
      <w:r w:rsidRPr="00B419CE">
        <w:t>gje</w:t>
      </w:r>
      <w:proofErr w:type="spellEnd"/>
      <w:r w:rsidRPr="00B419CE">
        <w:t xml:space="preserve"> ei modernisert IT-plattform for registrering i </w:t>
      </w:r>
      <w:proofErr w:type="spellStart"/>
      <w:r w:rsidRPr="00B419CE">
        <w:t>meirverdiavgiftsregisteret</w:t>
      </w:r>
      <w:proofErr w:type="spellEnd"/>
      <w:r w:rsidRPr="00B419CE">
        <w:t xml:space="preserve">, mottak og behandling av </w:t>
      </w:r>
      <w:proofErr w:type="spellStart"/>
      <w:r w:rsidRPr="00B419CE">
        <w:t>skattemeldinga</w:t>
      </w:r>
      <w:proofErr w:type="spellEnd"/>
      <w:r w:rsidRPr="00B419CE">
        <w:t xml:space="preserve"> for mva., dialog med </w:t>
      </w:r>
      <w:proofErr w:type="spellStart"/>
      <w:r w:rsidRPr="00B419CE">
        <w:t>dei</w:t>
      </w:r>
      <w:proofErr w:type="spellEnd"/>
      <w:r w:rsidRPr="00B419CE">
        <w:t xml:space="preserve"> skattepliktige og anna saksbehandling i samband med </w:t>
      </w:r>
      <w:proofErr w:type="spellStart"/>
      <w:r w:rsidRPr="00B419CE">
        <w:t>meirverdiavgift</w:t>
      </w:r>
      <w:proofErr w:type="spellEnd"/>
      <w:r w:rsidRPr="00B419CE">
        <w:t xml:space="preserve">. Målet er </w:t>
      </w:r>
      <w:proofErr w:type="spellStart"/>
      <w:r w:rsidRPr="00B419CE">
        <w:t>auka</w:t>
      </w:r>
      <w:proofErr w:type="spellEnd"/>
      <w:r w:rsidRPr="00B419CE">
        <w:t xml:space="preserve"> etterleving av regelverket, sikring av </w:t>
      </w:r>
      <w:proofErr w:type="spellStart"/>
      <w:r w:rsidRPr="00B419CE">
        <w:t>meirverdiavgiftsprovenyet</w:t>
      </w:r>
      <w:proofErr w:type="spellEnd"/>
      <w:r w:rsidRPr="00B419CE">
        <w:t xml:space="preserve"> og </w:t>
      </w:r>
      <w:proofErr w:type="spellStart"/>
      <w:r w:rsidRPr="00B419CE">
        <w:t>meir</w:t>
      </w:r>
      <w:proofErr w:type="spellEnd"/>
      <w:r w:rsidRPr="00B419CE">
        <w:t xml:space="preserve"> effektive </w:t>
      </w:r>
      <w:proofErr w:type="spellStart"/>
      <w:r w:rsidRPr="00B419CE">
        <w:t>løysingar</w:t>
      </w:r>
      <w:proofErr w:type="spellEnd"/>
      <w:r w:rsidRPr="00B419CE">
        <w:t xml:space="preserve"> og </w:t>
      </w:r>
      <w:proofErr w:type="spellStart"/>
      <w:r w:rsidRPr="00B419CE">
        <w:t>arbeidsprosessar</w:t>
      </w:r>
      <w:proofErr w:type="spellEnd"/>
      <w:r w:rsidRPr="00B419CE">
        <w:t xml:space="preserve"> for næringslivet og Skatteetaten. Etter å ha utvikla og lansert </w:t>
      </w:r>
      <w:proofErr w:type="spellStart"/>
      <w:r w:rsidRPr="00B419CE">
        <w:t>ein</w:t>
      </w:r>
      <w:proofErr w:type="spellEnd"/>
      <w:r w:rsidRPr="00B419CE">
        <w:t xml:space="preserve"> ny portal for </w:t>
      </w:r>
      <w:proofErr w:type="spellStart"/>
      <w:r w:rsidRPr="00B419CE">
        <w:t>mva</w:t>
      </w:r>
      <w:proofErr w:type="spellEnd"/>
      <w:r w:rsidRPr="00B419CE">
        <w:t xml:space="preserve">-registrering, arbeider </w:t>
      </w:r>
      <w:proofErr w:type="spellStart"/>
      <w:r w:rsidRPr="00B419CE">
        <w:t>ein</w:t>
      </w:r>
      <w:proofErr w:type="spellEnd"/>
      <w:r w:rsidRPr="00B419CE">
        <w:t xml:space="preserve"> i prosjektet i 2021 og </w:t>
      </w:r>
      <w:proofErr w:type="spellStart"/>
      <w:r w:rsidRPr="00B419CE">
        <w:t>vidare</w:t>
      </w:r>
      <w:proofErr w:type="spellEnd"/>
      <w:r w:rsidRPr="00B419CE">
        <w:t xml:space="preserve"> i 2022 med utvikling av ny skattemelding for mva.</w:t>
      </w:r>
    </w:p>
    <w:p w14:paraId="7D50BF65" w14:textId="77777777" w:rsidR="00B419CE" w:rsidRPr="00B419CE" w:rsidRDefault="00B419CE" w:rsidP="00B419CE">
      <w:r w:rsidRPr="00B419CE">
        <w:t xml:space="preserve">Prosjektet starta i 2019 og er planlagt ferdigstilt i 2023. Som opplyst i </w:t>
      </w:r>
      <w:proofErr w:type="spellStart"/>
      <w:r w:rsidRPr="00B419CE">
        <w:t>Prop</w:t>
      </w:r>
      <w:proofErr w:type="spellEnd"/>
      <w:r w:rsidRPr="00B419CE">
        <w:t xml:space="preserve">. 1 S (2020–2021) for Finansdepartementet, har prosjektet i 2020 </w:t>
      </w:r>
      <w:proofErr w:type="spellStart"/>
      <w:r w:rsidRPr="00B419CE">
        <w:t>avgjeve</w:t>
      </w:r>
      <w:proofErr w:type="spellEnd"/>
      <w:r w:rsidRPr="00B419CE">
        <w:t xml:space="preserve"> </w:t>
      </w:r>
      <w:proofErr w:type="spellStart"/>
      <w:r w:rsidRPr="00B419CE">
        <w:t>delar</w:t>
      </w:r>
      <w:proofErr w:type="spellEnd"/>
      <w:r w:rsidRPr="00B419CE">
        <w:t xml:space="preserve"> av prosjektleiinga og </w:t>
      </w:r>
      <w:proofErr w:type="spellStart"/>
      <w:r w:rsidRPr="00B419CE">
        <w:t>utviklingsressursane</w:t>
      </w:r>
      <w:proofErr w:type="spellEnd"/>
      <w:r w:rsidRPr="00B419CE">
        <w:t xml:space="preserve"> til å arbeide med </w:t>
      </w:r>
      <w:proofErr w:type="spellStart"/>
      <w:r w:rsidRPr="00B419CE">
        <w:t>kompensasjonsordningar</w:t>
      </w:r>
      <w:proofErr w:type="spellEnd"/>
      <w:r w:rsidRPr="00B419CE">
        <w:t xml:space="preserve"> ifm. </w:t>
      </w:r>
      <w:proofErr w:type="spellStart"/>
      <w:r w:rsidRPr="00B419CE">
        <w:t>virusutbrotet</w:t>
      </w:r>
      <w:proofErr w:type="spellEnd"/>
      <w:r w:rsidRPr="00B419CE">
        <w:t xml:space="preserve">. Det vart der opplyst om at dette kunne </w:t>
      </w:r>
      <w:proofErr w:type="spellStart"/>
      <w:r w:rsidRPr="00B419CE">
        <w:t>påverke</w:t>
      </w:r>
      <w:proofErr w:type="spellEnd"/>
      <w:r w:rsidRPr="00B419CE">
        <w:t xml:space="preserve"> framdrifta i prosjektet. Prosjektet har òg i </w:t>
      </w:r>
      <w:proofErr w:type="spellStart"/>
      <w:r w:rsidRPr="00B419CE">
        <w:t>periodar</w:t>
      </w:r>
      <w:proofErr w:type="spellEnd"/>
      <w:r w:rsidRPr="00B419CE">
        <w:t xml:space="preserve"> hatt </w:t>
      </w:r>
      <w:proofErr w:type="spellStart"/>
      <w:r w:rsidRPr="00B419CE">
        <w:t>noko</w:t>
      </w:r>
      <w:proofErr w:type="spellEnd"/>
      <w:r w:rsidRPr="00B419CE">
        <w:t xml:space="preserve"> </w:t>
      </w:r>
      <w:proofErr w:type="spellStart"/>
      <w:r w:rsidRPr="00B419CE">
        <w:t>lågare</w:t>
      </w:r>
      <w:proofErr w:type="spellEnd"/>
      <w:r w:rsidRPr="00B419CE">
        <w:t xml:space="preserve"> produktivitet enn </w:t>
      </w:r>
      <w:proofErr w:type="spellStart"/>
      <w:r w:rsidRPr="00B419CE">
        <w:t>opprinneleg</w:t>
      </w:r>
      <w:proofErr w:type="spellEnd"/>
      <w:r w:rsidRPr="00B419CE">
        <w:t xml:space="preserve"> lagt til grunn. Det er våren 2021 gjennomført </w:t>
      </w:r>
      <w:proofErr w:type="spellStart"/>
      <w:r w:rsidRPr="00B419CE">
        <w:t>ein</w:t>
      </w:r>
      <w:proofErr w:type="spellEnd"/>
      <w:r w:rsidRPr="00B419CE">
        <w:t xml:space="preserve"> ny </w:t>
      </w:r>
      <w:proofErr w:type="spellStart"/>
      <w:r w:rsidRPr="00B419CE">
        <w:t>uvisseanalyse</w:t>
      </w:r>
      <w:proofErr w:type="spellEnd"/>
      <w:r w:rsidRPr="00B419CE">
        <w:t xml:space="preserve"> av prosjektet, og som viser </w:t>
      </w:r>
      <w:proofErr w:type="spellStart"/>
      <w:r w:rsidRPr="00B419CE">
        <w:t>auka</w:t>
      </w:r>
      <w:proofErr w:type="spellEnd"/>
      <w:r w:rsidRPr="00B419CE">
        <w:t xml:space="preserve"> risiko for at prosjektet må </w:t>
      </w:r>
      <w:proofErr w:type="spellStart"/>
      <w:r w:rsidRPr="00B419CE">
        <w:t>forlengjast</w:t>
      </w:r>
      <w:proofErr w:type="spellEnd"/>
      <w:r w:rsidRPr="00B419CE">
        <w:t xml:space="preserve"> og at kostnadsramma </w:t>
      </w:r>
      <w:proofErr w:type="spellStart"/>
      <w:r w:rsidRPr="00B419CE">
        <w:t>ikkje</w:t>
      </w:r>
      <w:proofErr w:type="spellEnd"/>
      <w:r w:rsidRPr="00B419CE">
        <w:t xml:space="preserve"> er </w:t>
      </w:r>
      <w:proofErr w:type="spellStart"/>
      <w:r w:rsidRPr="00B419CE">
        <w:t>tilstrekkeleg</w:t>
      </w:r>
      <w:proofErr w:type="spellEnd"/>
      <w:r w:rsidRPr="00B419CE">
        <w:t xml:space="preserve">. Prosjektet har ei kostnadsramme på 646,6 mill. 2022-kroner. Det vert førebels lagt til grunn at prosjektet kan </w:t>
      </w:r>
      <w:proofErr w:type="spellStart"/>
      <w:r w:rsidRPr="00B419CE">
        <w:t>gjennomførast</w:t>
      </w:r>
      <w:proofErr w:type="spellEnd"/>
      <w:r w:rsidRPr="00B419CE">
        <w:t xml:space="preserve"> </w:t>
      </w:r>
      <w:proofErr w:type="spellStart"/>
      <w:r w:rsidRPr="00B419CE">
        <w:t>innanfor</w:t>
      </w:r>
      <w:proofErr w:type="spellEnd"/>
      <w:r w:rsidRPr="00B419CE">
        <w:t xml:space="preserve"> </w:t>
      </w:r>
      <w:proofErr w:type="spellStart"/>
      <w:r w:rsidRPr="00B419CE">
        <w:t>gjeldande</w:t>
      </w:r>
      <w:proofErr w:type="spellEnd"/>
      <w:r w:rsidRPr="00B419CE">
        <w:t xml:space="preserve"> kostnadsramme. Finansdepartementet vil i samråd med ekstern </w:t>
      </w:r>
      <w:proofErr w:type="spellStart"/>
      <w:r w:rsidRPr="00B419CE">
        <w:t>kvalitetssikrar</w:t>
      </w:r>
      <w:proofErr w:type="spellEnd"/>
      <w:r w:rsidRPr="00B419CE">
        <w:t xml:space="preserve"> </w:t>
      </w:r>
      <w:proofErr w:type="spellStart"/>
      <w:r w:rsidRPr="00B419CE">
        <w:t>gjere</w:t>
      </w:r>
      <w:proofErr w:type="spellEnd"/>
      <w:r w:rsidRPr="00B419CE">
        <w:t xml:space="preserve"> ei </w:t>
      </w:r>
      <w:proofErr w:type="spellStart"/>
      <w:r w:rsidRPr="00B419CE">
        <w:t>nærmare</w:t>
      </w:r>
      <w:proofErr w:type="spellEnd"/>
      <w:r w:rsidRPr="00B419CE">
        <w:t xml:space="preserve"> vurdering av prosjektet. </w:t>
      </w:r>
      <w:proofErr w:type="spellStart"/>
      <w:r w:rsidRPr="00B419CE">
        <w:t>Ein</w:t>
      </w:r>
      <w:proofErr w:type="spellEnd"/>
      <w:r w:rsidRPr="00B419CE">
        <w:t xml:space="preserve"> vil </w:t>
      </w:r>
      <w:proofErr w:type="spellStart"/>
      <w:r w:rsidRPr="00B419CE">
        <w:t>kome</w:t>
      </w:r>
      <w:proofErr w:type="spellEnd"/>
      <w:r w:rsidRPr="00B419CE">
        <w:t xml:space="preserve"> tilbake til Stortinget om </w:t>
      </w:r>
      <w:proofErr w:type="spellStart"/>
      <w:r w:rsidRPr="00B419CE">
        <w:t>vidare</w:t>
      </w:r>
      <w:proofErr w:type="spellEnd"/>
      <w:r w:rsidRPr="00B419CE">
        <w:t xml:space="preserve"> oppfølging av </w:t>
      </w:r>
      <w:proofErr w:type="spellStart"/>
      <w:r w:rsidRPr="00B419CE">
        <w:t>desse</w:t>
      </w:r>
      <w:proofErr w:type="spellEnd"/>
      <w:r w:rsidRPr="00B419CE">
        <w:t xml:space="preserve"> forholda. For 2022 er det sett av 167,2 mill. kroner til prosjektet.</w:t>
      </w:r>
    </w:p>
    <w:p w14:paraId="1DCB9003" w14:textId="77777777" w:rsidR="00B419CE" w:rsidRPr="00B419CE" w:rsidRDefault="00B419CE" w:rsidP="00B419CE">
      <w:pPr>
        <w:pStyle w:val="avsnitt-undertittel"/>
      </w:pPr>
      <w:r w:rsidRPr="00B419CE">
        <w:t xml:space="preserve">Betre </w:t>
      </w:r>
      <w:proofErr w:type="spellStart"/>
      <w:r w:rsidRPr="00B419CE">
        <w:t>identitetsforvalting</w:t>
      </w:r>
      <w:proofErr w:type="spellEnd"/>
    </w:p>
    <w:p w14:paraId="2560828E" w14:textId="77777777" w:rsidR="00B419CE" w:rsidRPr="00B419CE" w:rsidRDefault="00B419CE" w:rsidP="00B419CE">
      <w:proofErr w:type="spellStart"/>
      <w:r w:rsidRPr="00B419CE">
        <w:t>Fleire</w:t>
      </w:r>
      <w:proofErr w:type="spellEnd"/>
      <w:r w:rsidRPr="00B419CE">
        <w:t xml:space="preserve"> </w:t>
      </w:r>
      <w:proofErr w:type="spellStart"/>
      <w:r w:rsidRPr="00B419CE">
        <w:t>etatar</w:t>
      </w:r>
      <w:proofErr w:type="spellEnd"/>
      <w:r w:rsidRPr="00B419CE">
        <w:t xml:space="preserve"> har </w:t>
      </w:r>
      <w:proofErr w:type="spellStart"/>
      <w:r w:rsidRPr="00B419CE">
        <w:t>oppgåver</w:t>
      </w:r>
      <w:proofErr w:type="spellEnd"/>
      <w:r w:rsidRPr="00B419CE">
        <w:t xml:space="preserve"> som påverkar </w:t>
      </w:r>
      <w:proofErr w:type="spellStart"/>
      <w:r w:rsidRPr="00B419CE">
        <w:t>identitetsforvaltinga</w:t>
      </w:r>
      <w:proofErr w:type="spellEnd"/>
      <w:r w:rsidRPr="00B419CE">
        <w:t xml:space="preserve"> i </w:t>
      </w:r>
      <w:proofErr w:type="spellStart"/>
      <w:r w:rsidRPr="00B419CE">
        <w:t>Noreg</w:t>
      </w:r>
      <w:proofErr w:type="spellEnd"/>
      <w:r w:rsidRPr="00B419CE">
        <w:t xml:space="preserve">. Skatteetaten skal i 2022 </w:t>
      </w:r>
      <w:proofErr w:type="spellStart"/>
      <w:r w:rsidRPr="00B419CE">
        <w:t>halde</w:t>
      </w:r>
      <w:proofErr w:type="spellEnd"/>
      <w:r w:rsidRPr="00B419CE">
        <w:t xml:space="preserve"> fram arbeidet i den </w:t>
      </w:r>
      <w:proofErr w:type="spellStart"/>
      <w:r w:rsidRPr="00B419CE">
        <w:t>tverrfaglege</w:t>
      </w:r>
      <w:proofErr w:type="spellEnd"/>
      <w:r w:rsidRPr="00B419CE">
        <w:t xml:space="preserve">, </w:t>
      </w:r>
      <w:proofErr w:type="spellStart"/>
      <w:r w:rsidRPr="00B419CE">
        <w:t>rådgjevande</w:t>
      </w:r>
      <w:proofErr w:type="spellEnd"/>
      <w:r w:rsidRPr="00B419CE">
        <w:t xml:space="preserve"> gruppa for betre </w:t>
      </w:r>
      <w:proofErr w:type="spellStart"/>
      <w:r w:rsidRPr="00B419CE">
        <w:t>identitetsforvalting</w:t>
      </w:r>
      <w:proofErr w:type="spellEnd"/>
      <w:r w:rsidRPr="00B419CE">
        <w:t xml:space="preserve"> (</w:t>
      </w:r>
      <w:proofErr w:type="spellStart"/>
      <w:r w:rsidRPr="00B419CE">
        <w:t>KoID</w:t>
      </w:r>
      <w:proofErr w:type="spellEnd"/>
      <w:r w:rsidRPr="00B419CE">
        <w:t xml:space="preserve">). </w:t>
      </w:r>
      <w:proofErr w:type="spellStart"/>
      <w:r w:rsidRPr="00B419CE">
        <w:t>Hovudføremålet</w:t>
      </w:r>
      <w:proofErr w:type="spellEnd"/>
      <w:r w:rsidRPr="00B419CE">
        <w:t xml:space="preserve"> med gruppa er å bidra til ei styrkt </w:t>
      </w:r>
      <w:proofErr w:type="spellStart"/>
      <w:r w:rsidRPr="00B419CE">
        <w:t>identitetsforvalting</w:t>
      </w:r>
      <w:proofErr w:type="spellEnd"/>
      <w:r w:rsidRPr="00B419CE">
        <w:t xml:space="preserve"> i </w:t>
      </w:r>
      <w:proofErr w:type="spellStart"/>
      <w:r w:rsidRPr="00B419CE">
        <w:t>Noreg</w:t>
      </w:r>
      <w:proofErr w:type="spellEnd"/>
      <w:r w:rsidRPr="00B419CE">
        <w:t xml:space="preserve"> og at innsatsen på området </w:t>
      </w:r>
      <w:proofErr w:type="spellStart"/>
      <w:r w:rsidRPr="00B419CE">
        <w:t>frå</w:t>
      </w:r>
      <w:proofErr w:type="spellEnd"/>
      <w:r w:rsidRPr="00B419CE">
        <w:t xml:space="preserve"> </w:t>
      </w:r>
      <w:proofErr w:type="spellStart"/>
      <w:r w:rsidRPr="00B419CE">
        <w:t>dei</w:t>
      </w:r>
      <w:proofErr w:type="spellEnd"/>
      <w:r w:rsidRPr="00B419CE">
        <w:t xml:space="preserve"> fem </w:t>
      </w:r>
      <w:proofErr w:type="spellStart"/>
      <w:r w:rsidRPr="00B419CE">
        <w:t>etatane</w:t>
      </w:r>
      <w:proofErr w:type="spellEnd"/>
      <w:r w:rsidRPr="00B419CE">
        <w:t xml:space="preserve"> vert </w:t>
      </w:r>
      <w:proofErr w:type="spellStart"/>
      <w:r w:rsidRPr="00B419CE">
        <w:t>meir</w:t>
      </w:r>
      <w:proofErr w:type="spellEnd"/>
      <w:r w:rsidRPr="00B419CE">
        <w:t xml:space="preserve"> </w:t>
      </w:r>
      <w:proofErr w:type="spellStart"/>
      <w:r w:rsidRPr="00B419CE">
        <w:t>heilskapleg</w:t>
      </w:r>
      <w:proofErr w:type="spellEnd"/>
      <w:r w:rsidRPr="00B419CE">
        <w:t xml:space="preserve"> og koordinert. </w:t>
      </w:r>
      <w:proofErr w:type="spellStart"/>
      <w:r w:rsidRPr="00B419CE">
        <w:t>KoID</w:t>
      </w:r>
      <w:proofErr w:type="spellEnd"/>
      <w:r w:rsidRPr="00B419CE">
        <w:t xml:space="preserve"> har felles, overordna mål som </w:t>
      </w:r>
      <w:proofErr w:type="spellStart"/>
      <w:r w:rsidRPr="00B419CE">
        <w:t>partane</w:t>
      </w:r>
      <w:proofErr w:type="spellEnd"/>
      <w:r w:rsidRPr="00B419CE">
        <w:t xml:space="preserve"> arbeider målretta mot. Gruppa vil òg samarbeide med andre sentrale </w:t>
      </w:r>
      <w:proofErr w:type="spellStart"/>
      <w:r w:rsidRPr="00B419CE">
        <w:t>aktørar</w:t>
      </w:r>
      <w:proofErr w:type="spellEnd"/>
      <w:r w:rsidRPr="00B419CE">
        <w:t xml:space="preserve"> som Finans </w:t>
      </w:r>
      <w:proofErr w:type="spellStart"/>
      <w:r w:rsidRPr="00B419CE">
        <w:t>Noreg</w:t>
      </w:r>
      <w:proofErr w:type="spellEnd"/>
      <w:r w:rsidRPr="00B419CE">
        <w:t xml:space="preserve">, Nasjonalt ID-senter og </w:t>
      </w:r>
      <w:proofErr w:type="spellStart"/>
      <w:r w:rsidRPr="00B419CE">
        <w:t>Brønnøysundregistera</w:t>
      </w:r>
      <w:proofErr w:type="spellEnd"/>
      <w:r w:rsidRPr="00B419CE">
        <w:t>. Skatteetatens innsats held fram i 2022.</w:t>
      </w:r>
    </w:p>
    <w:p w14:paraId="027D55A9" w14:textId="77777777" w:rsidR="00B419CE" w:rsidRPr="00B419CE" w:rsidRDefault="00B419CE" w:rsidP="00B419CE">
      <w:proofErr w:type="spellStart"/>
      <w:r w:rsidRPr="00B419CE">
        <w:t>Personopplysningane</w:t>
      </w:r>
      <w:proofErr w:type="spellEnd"/>
      <w:r w:rsidRPr="00B419CE">
        <w:t xml:space="preserve"> i Folkeregisteret vert nytta når andre </w:t>
      </w:r>
      <w:proofErr w:type="spellStart"/>
      <w:r w:rsidRPr="00B419CE">
        <w:t>instansar</w:t>
      </w:r>
      <w:proofErr w:type="spellEnd"/>
      <w:r w:rsidRPr="00B419CE">
        <w:t xml:space="preserve"> skal </w:t>
      </w:r>
      <w:proofErr w:type="spellStart"/>
      <w:r w:rsidRPr="00B419CE">
        <w:t>utferde</w:t>
      </w:r>
      <w:proofErr w:type="spellEnd"/>
      <w:r w:rsidRPr="00B419CE">
        <w:t xml:space="preserve"> dokument som pass, bankkort og </w:t>
      </w:r>
      <w:proofErr w:type="spellStart"/>
      <w:r w:rsidRPr="00B419CE">
        <w:t>førarkort</w:t>
      </w:r>
      <w:proofErr w:type="spellEnd"/>
      <w:r w:rsidRPr="00B419CE">
        <w:t xml:space="preserve"> og når </w:t>
      </w:r>
      <w:proofErr w:type="spellStart"/>
      <w:r w:rsidRPr="00B419CE">
        <w:t>verksemder</w:t>
      </w:r>
      <w:proofErr w:type="spellEnd"/>
      <w:r w:rsidRPr="00B419CE">
        <w:t xml:space="preserve"> yter </w:t>
      </w:r>
      <w:proofErr w:type="spellStart"/>
      <w:r w:rsidRPr="00B419CE">
        <w:t>tenester</w:t>
      </w:r>
      <w:proofErr w:type="spellEnd"/>
      <w:r w:rsidRPr="00B419CE">
        <w:t xml:space="preserve"> til registrerte </w:t>
      </w:r>
      <w:proofErr w:type="spellStart"/>
      <w:r w:rsidRPr="00B419CE">
        <w:t>personar</w:t>
      </w:r>
      <w:proofErr w:type="spellEnd"/>
      <w:r w:rsidRPr="00B419CE">
        <w:t xml:space="preserve">. Folkeregisteret viser om identiteten til personen er kontrollert eller </w:t>
      </w:r>
      <w:proofErr w:type="spellStart"/>
      <w:r w:rsidRPr="00B419CE">
        <w:t>ikkje</w:t>
      </w:r>
      <w:proofErr w:type="spellEnd"/>
      <w:r w:rsidRPr="00B419CE">
        <w:t xml:space="preserve">. Skatteetaten skal </w:t>
      </w:r>
      <w:proofErr w:type="spellStart"/>
      <w:r w:rsidRPr="00B419CE">
        <w:t>framleis</w:t>
      </w:r>
      <w:proofErr w:type="spellEnd"/>
      <w:r w:rsidRPr="00B419CE">
        <w:t xml:space="preserve"> arbeide med å </w:t>
      </w:r>
      <w:proofErr w:type="spellStart"/>
      <w:r w:rsidRPr="00B419CE">
        <w:t>bevisstgjere</w:t>
      </w:r>
      <w:proofErr w:type="spellEnd"/>
      <w:r w:rsidRPr="00B419CE">
        <w:t xml:space="preserve"> </w:t>
      </w:r>
      <w:proofErr w:type="spellStart"/>
      <w:r w:rsidRPr="00B419CE">
        <w:t>brukarane</w:t>
      </w:r>
      <w:proofErr w:type="spellEnd"/>
      <w:r w:rsidRPr="00B419CE">
        <w:t xml:space="preserve"> av Folkeregisteret om at </w:t>
      </w:r>
      <w:proofErr w:type="spellStart"/>
      <w:r w:rsidRPr="00B419CE">
        <w:t>dei</w:t>
      </w:r>
      <w:proofErr w:type="spellEnd"/>
      <w:r w:rsidRPr="00B419CE">
        <w:t xml:space="preserve"> sjølve må vurdere om </w:t>
      </w:r>
      <w:proofErr w:type="spellStart"/>
      <w:r w:rsidRPr="00B419CE">
        <w:t>dei</w:t>
      </w:r>
      <w:proofErr w:type="spellEnd"/>
      <w:r w:rsidRPr="00B419CE">
        <w:t xml:space="preserve"> har behov for å nytte slike </w:t>
      </w:r>
      <w:proofErr w:type="spellStart"/>
      <w:r w:rsidRPr="00B419CE">
        <w:t>opplysningar</w:t>
      </w:r>
      <w:proofErr w:type="spellEnd"/>
      <w:r w:rsidRPr="00B419CE">
        <w:t xml:space="preserve"> på </w:t>
      </w:r>
      <w:proofErr w:type="spellStart"/>
      <w:r w:rsidRPr="00B419CE">
        <w:t>deira</w:t>
      </w:r>
      <w:proofErr w:type="spellEnd"/>
      <w:r w:rsidRPr="00B419CE">
        <w:t xml:space="preserve"> ansvarsområde. Slik kan </w:t>
      </w:r>
      <w:proofErr w:type="spellStart"/>
      <w:r w:rsidRPr="00B419CE">
        <w:t>brukarar</w:t>
      </w:r>
      <w:proofErr w:type="spellEnd"/>
      <w:r w:rsidRPr="00B419CE">
        <w:t xml:space="preserve"> av Folkeregisteret </w:t>
      </w:r>
      <w:proofErr w:type="spellStart"/>
      <w:r w:rsidRPr="00B419CE">
        <w:t>avgjere</w:t>
      </w:r>
      <w:proofErr w:type="spellEnd"/>
      <w:r w:rsidRPr="00B419CE">
        <w:t xml:space="preserve"> om identiteten er trygg nok for </w:t>
      </w:r>
      <w:proofErr w:type="spellStart"/>
      <w:r w:rsidRPr="00B419CE">
        <w:t>deira</w:t>
      </w:r>
      <w:proofErr w:type="spellEnd"/>
      <w:r w:rsidRPr="00B419CE">
        <w:t xml:space="preserve"> bruk.</w:t>
      </w:r>
    </w:p>
    <w:p w14:paraId="1D4BE03B" w14:textId="77777777" w:rsidR="00B419CE" w:rsidRPr="00B419CE" w:rsidRDefault="00B419CE" w:rsidP="00B419CE">
      <w:pPr>
        <w:pStyle w:val="avsnitt-under-undertittel"/>
      </w:pPr>
      <w:r w:rsidRPr="00B419CE">
        <w:t>Etablering av Unik i Folkeregisteret</w:t>
      </w:r>
    </w:p>
    <w:p w14:paraId="02E5F4E2" w14:textId="77777777" w:rsidR="00B419CE" w:rsidRPr="00B419CE" w:rsidRDefault="00B419CE" w:rsidP="00B419CE">
      <w:r w:rsidRPr="00B419CE">
        <w:t xml:space="preserve">Skatteetaten har etter lov om folkeregistrering høve til å registrere om </w:t>
      </w:r>
      <w:proofErr w:type="spellStart"/>
      <w:r w:rsidRPr="00B419CE">
        <w:t>ein</w:t>
      </w:r>
      <w:proofErr w:type="spellEnd"/>
      <w:r w:rsidRPr="00B419CE">
        <w:t xml:space="preserve"> identitet er unik. Fødsels- og d-nummer vert nytta i nær sagt alle digitale </w:t>
      </w:r>
      <w:proofErr w:type="spellStart"/>
      <w:r w:rsidRPr="00B419CE">
        <w:t>prosessar</w:t>
      </w:r>
      <w:proofErr w:type="spellEnd"/>
      <w:r w:rsidRPr="00B419CE">
        <w:t xml:space="preserve"> i samfunnet for å </w:t>
      </w:r>
      <w:r w:rsidRPr="00B419CE">
        <w:lastRenderedPageBreak/>
        <w:t xml:space="preserve">identifisere </w:t>
      </w:r>
      <w:proofErr w:type="spellStart"/>
      <w:r w:rsidRPr="00B419CE">
        <w:t>ein</w:t>
      </w:r>
      <w:proofErr w:type="spellEnd"/>
      <w:r w:rsidRPr="00B419CE">
        <w:t xml:space="preserve"> </w:t>
      </w:r>
      <w:proofErr w:type="spellStart"/>
      <w:r w:rsidRPr="00B419CE">
        <w:t>innbyggjar</w:t>
      </w:r>
      <w:proofErr w:type="spellEnd"/>
      <w:r w:rsidRPr="00B419CE">
        <w:t xml:space="preserve">, og </w:t>
      </w:r>
      <w:proofErr w:type="spellStart"/>
      <w:r w:rsidRPr="00B419CE">
        <w:t>skilje</w:t>
      </w:r>
      <w:proofErr w:type="spellEnd"/>
      <w:r w:rsidRPr="00B419CE">
        <w:t xml:space="preserve"> </w:t>
      </w:r>
      <w:proofErr w:type="spellStart"/>
      <w:r w:rsidRPr="00B419CE">
        <w:t>ein</w:t>
      </w:r>
      <w:proofErr w:type="spellEnd"/>
      <w:r w:rsidRPr="00B419CE">
        <w:t xml:space="preserve"> person </w:t>
      </w:r>
      <w:proofErr w:type="spellStart"/>
      <w:r w:rsidRPr="00B419CE">
        <w:t>frå</w:t>
      </w:r>
      <w:proofErr w:type="spellEnd"/>
      <w:r w:rsidRPr="00B419CE">
        <w:t xml:space="preserve"> </w:t>
      </w:r>
      <w:proofErr w:type="spellStart"/>
      <w:r w:rsidRPr="00B419CE">
        <w:t>ein</w:t>
      </w:r>
      <w:proofErr w:type="spellEnd"/>
      <w:r w:rsidRPr="00B419CE">
        <w:t xml:space="preserve"> </w:t>
      </w:r>
      <w:proofErr w:type="spellStart"/>
      <w:r w:rsidRPr="00B419CE">
        <w:t>annan</w:t>
      </w:r>
      <w:proofErr w:type="spellEnd"/>
      <w:r w:rsidRPr="00B419CE">
        <w:t xml:space="preserve">. Det å sikre at </w:t>
      </w:r>
      <w:proofErr w:type="spellStart"/>
      <w:r w:rsidRPr="00B419CE">
        <w:t>ein</w:t>
      </w:r>
      <w:proofErr w:type="spellEnd"/>
      <w:r w:rsidRPr="00B419CE">
        <w:t xml:space="preserve"> person har </w:t>
      </w:r>
      <w:proofErr w:type="spellStart"/>
      <w:r w:rsidRPr="00B419CE">
        <w:t>ein</w:t>
      </w:r>
      <w:proofErr w:type="spellEnd"/>
      <w:r w:rsidRPr="00B419CE">
        <w:t xml:space="preserve"> identitet i Norge som </w:t>
      </w:r>
      <w:proofErr w:type="spellStart"/>
      <w:r w:rsidRPr="00B419CE">
        <w:t>tenesta</w:t>
      </w:r>
      <w:proofErr w:type="spellEnd"/>
      <w:r w:rsidRPr="00B419CE">
        <w:t xml:space="preserve"> og </w:t>
      </w:r>
      <w:proofErr w:type="spellStart"/>
      <w:r w:rsidRPr="00B419CE">
        <w:t>autentiseringsmekanismar</w:t>
      </w:r>
      <w:proofErr w:type="spellEnd"/>
      <w:r w:rsidRPr="00B419CE">
        <w:t xml:space="preserve"> kan </w:t>
      </w:r>
      <w:proofErr w:type="spellStart"/>
      <w:r w:rsidRPr="00B419CE">
        <w:t>byggje</w:t>
      </w:r>
      <w:proofErr w:type="spellEnd"/>
      <w:r w:rsidRPr="00B419CE">
        <w:t xml:space="preserve"> </w:t>
      </w:r>
      <w:proofErr w:type="spellStart"/>
      <w:r w:rsidRPr="00B419CE">
        <w:t>vidare</w:t>
      </w:r>
      <w:proofErr w:type="spellEnd"/>
      <w:r w:rsidRPr="00B419CE">
        <w:t xml:space="preserve"> på, er </w:t>
      </w:r>
      <w:proofErr w:type="spellStart"/>
      <w:r w:rsidRPr="00B419CE">
        <w:t>ein</w:t>
      </w:r>
      <w:proofErr w:type="spellEnd"/>
      <w:r w:rsidRPr="00B419CE">
        <w:t xml:space="preserve"> grunnstein i identitetsforvaltninga. Tilliten til Folkeregisteret avheng av at samfunnet kan stole på at </w:t>
      </w:r>
      <w:proofErr w:type="spellStart"/>
      <w:r w:rsidRPr="00B419CE">
        <w:t>ein</w:t>
      </w:r>
      <w:proofErr w:type="spellEnd"/>
      <w:r w:rsidRPr="00B419CE">
        <w:t xml:space="preserve"> person </w:t>
      </w:r>
      <w:proofErr w:type="spellStart"/>
      <w:r w:rsidRPr="00B419CE">
        <w:t>berre</w:t>
      </w:r>
      <w:proofErr w:type="spellEnd"/>
      <w:r w:rsidRPr="00B419CE">
        <w:t xml:space="preserve"> har </w:t>
      </w:r>
      <w:proofErr w:type="spellStart"/>
      <w:r w:rsidRPr="00B419CE">
        <w:t>eitt</w:t>
      </w:r>
      <w:proofErr w:type="spellEnd"/>
      <w:r w:rsidRPr="00B419CE">
        <w:t xml:space="preserve"> fødsels- eller d-nummer, og at </w:t>
      </w:r>
      <w:proofErr w:type="spellStart"/>
      <w:r w:rsidRPr="00B419CE">
        <w:t>fleire</w:t>
      </w:r>
      <w:proofErr w:type="spellEnd"/>
      <w:r w:rsidRPr="00B419CE">
        <w:t xml:space="preserve"> </w:t>
      </w:r>
      <w:proofErr w:type="spellStart"/>
      <w:r w:rsidRPr="00B419CE">
        <w:t>personar</w:t>
      </w:r>
      <w:proofErr w:type="spellEnd"/>
      <w:r w:rsidRPr="00B419CE">
        <w:t xml:space="preserve"> </w:t>
      </w:r>
      <w:proofErr w:type="spellStart"/>
      <w:r w:rsidRPr="00B419CE">
        <w:t>ikkje</w:t>
      </w:r>
      <w:proofErr w:type="spellEnd"/>
      <w:r w:rsidRPr="00B419CE">
        <w:t xml:space="preserve"> kan nytte same fødsels- eller d-nummer. Det er behov for at </w:t>
      </w:r>
      <w:proofErr w:type="spellStart"/>
      <w:r w:rsidRPr="00B419CE">
        <w:t>personar</w:t>
      </w:r>
      <w:proofErr w:type="spellEnd"/>
      <w:r w:rsidRPr="00B419CE">
        <w:t xml:space="preserve"> som er tildelt </w:t>
      </w:r>
      <w:proofErr w:type="spellStart"/>
      <w:r w:rsidRPr="00B419CE">
        <w:t>eit</w:t>
      </w:r>
      <w:proofErr w:type="spellEnd"/>
      <w:r w:rsidRPr="00B419CE">
        <w:t xml:space="preserve"> fødsels- eller d-nummer, kan dokumentere at han eller </w:t>
      </w:r>
      <w:proofErr w:type="spellStart"/>
      <w:r w:rsidRPr="00B419CE">
        <w:t>ho</w:t>
      </w:r>
      <w:proofErr w:type="spellEnd"/>
      <w:r w:rsidRPr="00B419CE">
        <w:t xml:space="preserve"> er rettmessig </w:t>
      </w:r>
      <w:proofErr w:type="spellStart"/>
      <w:r w:rsidRPr="00B419CE">
        <w:t>eigar</w:t>
      </w:r>
      <w:proofErr w:type="spellEnd"/>
      <w:r w:rsidRPr="00B419CE">
        <w:t xml:space="preserve"> av det tildelte nummeret, både fysisk og digitalt. For å sikre at </w:t>
      </w:r>
      <w:proofErr w:type="spellStart"/>
      <w:r w:rsidRPr="00B419CE">
        <w:t>ein</w:t>
      </w:r>
      <w:proofErr w:type="spellEnd"/>
      <w:r w:rsidRPr="00B419CE">
        <w:t xml:space="preserve"> person </w:t>
      </w:r>
      <w:proofErr w:type="spellStart"/>
      <w:r w:rsidRPr="00B419CE">
        <w:t>berre</w:t>
      </w:r>
      <w:proofErr w:type="spellEnd"/>
      <w:r w:rsidRPr="00B419CE">
        <w:t xml:space="preserve"> kan ha </w:t>
      </w:r>
      <w:proofErr w:type="spellStart"/>
      <w:r w:rsidRPr="00B419CE">
        <w:t>ein</w:t>
      </w:r>
      <w:proofErr w:type="spellEnd"/>
      <w:r w:rsidRPr="00B419CE">
        <w:t xml:space="preserve"> unik identitet i Folkeregisteret, er det </w:t>
      </w:r>
      <w:proofErr w:type="spellStart"/>
      <w:r w:rsidRPr="00B419CE">
        <w:t>naudsynt</w:t>
      </w:r>
      <w:proofErr w:type="spellEnd"/>
      <w:r w:rsidRPr="00B419CE">
        <w:t xml:space="preserve"> å nytte informasjon om biometriske data </w:t>
      </w:r>
      <w:proofErr w:type="spellStart"/>
      <w:r w:rsidRPr="00B419CE">
        <w:t>frå</w:t>
      </w:r>
      <w:proofErr w:type="spellEnd"/>
      <w:r w:rsidRPr="00B419CE">
        <w:t xml:space="preserve"> register i justissektoren. Etaten skal i 2022, i samarbeid med </w:t>
      </w:r>
      <w:proofErr w:type="spellStart"/>
      <w:r w:rsidRPr="00B419CE">
        <w:t>KoID</w:t>
      </w:r>
      <w:proofErr w:type="spellEnd"/>
      <w:r w:rsidRPr="00B419CE">
        <w:t xml:space="preserve"> og relevante </w:t>
      </w:r>
      <w:proofErr w:type="spellStart"/>
      <w:r w:rsidRPr="00B419CE">
        <w:t>verksemder</w:t>
      </w:r>
      <w:proofErr w:type="spellEnd"/>
      <w:r w:rsidRPr="00B419CE">
        <w:t xml:space="preserve">, </w:t>
      </w:r>
      <w:proofErr w:type="spellStart"/>
      <w:r w:rsidRPr="00B419CE">
        <w:t>følgje</w:t>
      </w:r>
      <w:proofErr w:type="spellEnd"/>
      <w:r w:rsidRPr="00B419CE">
        <w:t xml:space="preserve"> opp </w:t>
      </w:r>
      <w:proofErr w:type="spellStart"/>
      <w:r w:rsidRPr="00B419CE">
        <w:t>aktivitetar</w:t>
      </w:r>
      <w:proofErr w:type="spellEnd"/>
      <w:r w:rsidRPr="00B419CE">
        <w:t xml:space="preserve"> som </w:t>
      </w:r>
      <w:proofErr w:type="spellStart"/>
      <w:r w:rsidRPr="00B419CE">
        <w:t>legg</w:t>
      </w:r>
      <w:proofErr w:type="spellEnd"/>
      <w:r w:rsidRPr="00B419CE">
        <w:t xml:space="preserve"> til rette for å etablere unik identitet i Folkeregisteret. Skatteetaten skal bidra i arbeidet med å utvikle det juridiske rammeverket som må </w:t>
      </w:r>
      <w:proofErr w:type="spellStart"/>
      <w:r w:rsidRPr="00B419CE">
        <w:t>etablerast</w:t>
      </w:r>
      <w:proofErr w:type="spellEnd"/>
      <w:r w:rsidRPr="00B419CE">
        <w:t xml:space="preserve"> for å ta i bruk biometri som grunnlag for etablering av status «</w:t>
      </w:r>
      <w:r w:rsidRPr="00B419CE">
        <w:rPr>
          <w:rStyle w:val="kursiv"/>
        </w:rPr>
        <w:t>unik</w:t>
      </w:r>
      <w:r w:rsidRPr="00B419CE">
        <w:t>» i Folkeregisteret.</w:t>
      </w:r>
    </w:p>
    <w:p w14:paraId="4AF0241E" w14:textId="77777777" w:rsidR="00B419CE" w:rsidRPr="00B419CE" w:rsidRDefault="00B419CE" w:rsidP="00B419CE">
      <w:pPr>
        <w:pStyle w:val="avsnitt-under-undertittel"/>
      </w:pPr>
      <w:r w:rsidRPr="00B419CE">
        <w:t>Innføring av ny personidentifikator</w:t>
      </w:r>
    </w:p>
    <w:p w14:paraId="79A67E92" w14:textId="77777777" w:rsidR="00B419CE" w:rsidRPr="00B419CE" w:rsidRDefault="00B419CE" w:rsidP="00B419CE">
      <w:r w:rsidRPr="00B419CE">
        <w:t xml:space="preserve">Kapasiteten i dagens fødselsnummer-serie er i ferd med å </w:t>
      </w:r>
      <w:proofErr w:type="spellStart"/>
      <w:r w:rsidRPr="00B419CE">
        <w:t>verte</w:t>
      </w:r>
      <w:proofErr w:type="spellEnd"/>
      <w:r w:rsidRPr="00B419CE">
        <w:t xml:space="preserve"> brukt opp. For å </w:t>
      </w:r>
      <w:proofErr w:type="spellStart"/>
      <w:r w:rsidRPr="00B419CE">
        <w:t>auke</w:t>
      </w:r>
      <w:proofErr w:type="spellEnd"/>
      <w:r w:rsidRPr="00B419CE">
        <w:t xml:space="preserve"> tilgangen på gyldige fødselsnummer og d-nummer, er det </w:t>
      </w:r>
      <w:proofErr w:type="spellStart"/>
      <w:r w:rsidRPr="00B419CE">
        <w:t>vedteke</w:t>
      </w:r>
      <w:proofErr w:type="spellEnd"/>
      <w:r w:rsidRPr="00B419CE">
        <w:t xml:space="preserve"> å ta i bruk nye </w:t>
      </w:r>
      <w:proofErr w:type="spellStart"/>
      <w:r w:rsidRPr="00B419CE">
        <w:t>nummerseriar</w:t>
      </w:r>
      <w:proofErr w:type="spellEnd"/>
      <w:r w:rsidRPr="00B419CE">
        <w:t xml:space="preserve"> </w:t>
      </w:r>
      <w:proofErr w:type="spellStart"/>
      <w:r w:rsidRPr="00B419CE">
        <w:t>frå</w:t>
      </w:r>
      <w:proofErr w:type="spellEnd"/>
      <w:r w:rsidRPr="00B419CE">
        <w:t xml:space="preserve"> 2032. Samstundes tek </w:t>
      </w:r>
      <w:proofErr w:type="spellStart"/>
      <w:r w:rsidRPr="00B419CE">
        <w:t>ein</w:t>
      </w:r>
      <w:proofErr w:type="spellEnd"/>
      <w:r w:rsidRPr="00B419CE">
        <w:t xml:space="preserve"> bort informasjon om kjønn i nummeret. </w:t>
      </w:r>
      <w:proofErr w:type="spellStart"/>
      <w:r w:rsidRPr="00B419CE">
        <w:t>Desse</w:t>
      </w:r>
      <w:proofErr w:type="spellEnd"/>
      <w:r w:rsidRPr="00B419CE">
        <w:t xml:space="preserve"> </w:t>
      </w:r>
      <w:proofErr w:type="spellStart"/>
      <w:r w:rsidRPr="00B419CE">
        <w:t>endringane</w:t>
      </w:r>
      <w:proofErr w:type="spellEnd"/>
      <w:r w:rsidRPr="00B419CE">
        <w:t xml:space="preserve"> vil ha verknader for mange </w:t>
      </w:r>
      <w:proofErr w:type="spellStart"/>
      <w:r w:rsidRPr="00B419CE">
        <w:t>verksemder</w:t>
      </w:r>
      <w:proofErr w:type="spellEnd"/>
      <w:r w:rsidRPr="00B419CE">
        <w:t xml:space="preserve">. Skatteetaten vil i 2022 </w:t>
      </w:r>
      <w:proofErr w:type="spellStart"/>
      <w:r w:rsidRPr="00B419CE">
        <w:t>halde</w:t>
      </w:r>
      <w:proofErr w:type="spellEnd"/>
      <w:r w:rsidRPr="00B419CE">
        <w:t xml:space="preserve"> fram med å førebu samfunnet på omlegginga.</w:t>
      </w:r>
    </w:p>
    <w:p w14:paraId="0352988F" w14:textId="77777777" w:rsidR="00B419CE" w:rsidRPr="00B419CE" w:rsidRDefault="00B419CE" w:rsidP="00B419CE">
      <w:pPr>
        <w:pStyle w:val="avsnitt-under-undertittel"/>
      </w:pPr>
      <w:r w:rsidRPr="00B419CE">
        <w:t>OTP og deling av data</w:t>
      </w:r>
    </w:p>
    <w:p w14:paraId="12B3609F" w14:textId="77777777" w:rsidR="00B419CE" w:rsidRPr="00B419CE" w:rsidRDefault="00B419CE" w:rsidP="00B419CE">
      <w:r w:rsidRPr="00B419CE">
        <w:t xml:space="preserve">Prosjektet obligatorisk </w:t>
      </w:r>
      <w:proofErr w:type="spellStart"/>
      <w:r w:rsidRPr="00B419CE">
        <w:t>tenestepensjon</w:t>
      </w:r>
      <w:proofErr w:type="spellEnd"/>
      <w:r w:rsidRPr="00B419CE">
        <w:t xml:space="preserve"> (OTP) og deling av data går ut på at etaten skal utvikle ei løysing for å dele </w:t>
      </w:r>
      <w:proofErr w:type="spellStart"/>
      <w:r w:rsidRPr="00B419CE">
        <w:t>dei</w:t>
      </w:r>
      <w:proofErr w:type="spellEnd"/>
      <w:r w:rsidRPr="00B419CE">
        <w:t xml:space="preserve"> </w:t>
      </w:r>
      <w:proofErr w:type="spellStart"/>
      <w:r w:rsidRPr="00B419CE">
        <w:t>opplysningar</w:t>
      </w:r>
      <w:proofErr w:type="spellEnd"/>
      <w:r w:rsidRPr="00B419CE">
        <w:t xml:space="preserve"> om inntekt og arbeidsforhold som </w:t>
      </w:r>
      <w:proofErr w:type="spellStart"/>
      <w:r w:rsidRPr="00B419CE">
        <w:t>arbeidsgjevar</w:t>
      </w:r>
      <w:proofErr w:type="spellEnd"/>
      <w:r w:rsidRPr="00B419CE">
        <w:t xml:space="preserve"> </w:t>
      </w:r>
      <w:proofErr w:type="spellStart"/>
      <w:r w:rsidRPr="00B419CE">
        <w:t>allereie</w:t>
      </w:r>
      <w:proofErr w:type="spellEnd"/>
      <w:r w:rsidRPr="00B419CE">
        <w:t xml:space="preserve"> har innrapportert i a-meldinga, med </w:t>
      </w:r>
      <w:proofErr w:type="spellStart"/>
      <w:r w:rsidRPr="00B419CE">
        <w:t>pensjonsverksemder</w:t>
      </w:r>
      <w:proofErr w:type="spellEnd"/>
      <w:r w:rsidRPr="00B419CE">
        <w:t xml:space="preserve"> slik at </w:t>
      </w:r>
      <w:proofErr w:type="spellStart"/>
      <w:r w:rsidRPr="00B419CE">
        <w:t>desse</w:t>
      </w:r>
      <w:proofErr w:type="spellEnd"/>
      <w:r w:rsidRPr="00B419CE">
        <w:t xml:space="preserve"> kan </w:t>
      </w:r>
      <w:proofErr w:type="spellStart"/>
      <w:r w:rsidRPr="00B419CE">
        <w:t>rekne</w:t>
      </w:r>
      <w:proofErr w:type="spellEnd"/>
      <w:r w:rsidRPr="00B419CE">
        <w:t xml:space="preserve"> ut rett pensjonsgrunnlag etter OTP-regelverket. Målet er betre etterleving av </w:t>
      </w:r>
      <w:proofErr w:type="spellStart"/>
      <w:r w:rsidRPr="00B419CE">
        <w:t>pensjonsforpliktingar</w:t>
      </w:r>
      <w:proofErr w:type="spellEnd"/>
      <w:r w:rsidRPr="00B419CE">
        <w:t xml:space="preserve"> </w:t>
      </w:r>
      <w:proofErr w:type="spellStart"/>
      <w:r w:rsidRPr="00B419CE">
        <w:t>frå</w:t>
      </w:r>
      <w:proofErr w:type="spellEnd"/>
      <w:r w:rsidRPr="00B419CE">
        <w:t xml:space="preserve"> </w:t>
      </w:r>
      <w:proofErr w:type="spellStart"/>
      <w:r w:rsidRPr="00B419CE">
        <w:t>arbeidsgjevarane</w:t>
      </w:r>
      <w:proofErr w:type="spellEnd"/>
      <w:r w:rsidRPr="00B419CE">
        <w:t xml:space="preserve"> og å forenkle rapporteringa av </w:t>
      </w:r>
      <w:proofErr w:type="spellStart"/>
      <w:r w:rsidRPr="00B419CE">
        <w:t>opplysningar</w:t>
      </w:r>
      <w:proofErr w:type="spellEnd"/>
      <w:r w:rsidRPr="00B419CE">
        <w:t xml:space="preserve"> </w:t>
      </w:r>
      <w:proofErr w:type="spellStart"/>
      <w:r w:rsidRPr="00B419CE">
        <w:t>frå</w:t>
      </w:r>
      <w:proofErr w:type="spellEnd"/>
      <w:r w:rsidRPr="00B419CE">
        <w:t xml:space="preserve"> næringslivet. Løysinga vil </w:t>
      </w:r>
      <w:proofErr w:type="spellStart"/>
      <w:r w:rsidRPr="00B419CE">
        <w:t>gje</w:t>
      </w:r>
      <w:proofErr w:type="spellEnd"/>
      <w:r w:rsidRPr="00B419CE">
        <w:t xml:space="preserve"> </w:t>
      </w:r>
      <w:proofErr w:type="spellStart"/>
      <w:r w:rsidRPr="00B419CE">
        <w:t>arbeidsgjevarar</w:t>
      </w:r>
      <w:proofErr w:type="spellEnd"/>
      <w:r w:rsidRPr="00B419CE">
        <w:t xml:space="preserve"> og </w:t>
      </w:r>
      <w:proofErr w:type="spellStart"/>
      <w:r w:rsidRPr="00B419CE">
        <w:t>pensjonsverksemdene</w:t>
      </w:r>
      <w:proofErr w:type="spellEnd"/>
      <w:r w:rsidRPr="00B419CE">
        <w:t xml:space="preserve"> </w:t>
      </w:r>
      <w:proofErr w:type="spellStart"/>
      <w:r w:rsidRPr="00B419CE">
        <w:t>lågare</w:t>
      </w:r>
      <w:proofErr w:type="spellEnd"/>
      <w:r w:rsidRPr="00B419CE">
        <w:t xml:space="preserve"> </w:t>
      </w:r>
      <w:proofErr w:type="spellStart"/>
      <w:r w:rsidRPr="00B419CE">
        <w:t>kostnadar</w:t>
      </w:r>
      <w:proofErr w:type="spellEnd"/>
      <w:r w:rsidRPr="00B419CE">
        <w:t xml:space="preserve">. Det er òg venta at den samla pensjonssparinga vil </w:t>
      </w:r>
      <w:proofErr w:type="spellStart"/>
      <w:r w:rsidRPr="00B419CE">
        <w:t>auke</w:t>
      </w:r>
      <w:proofErr w:type="spellEnd"/>
      <w:r w:rsidRPr="00B419CE">
        <w:t xml:space="preserve">. Løysinga vil òg </w:t>
      </w:r>
      <w:proofErr w:type="spellStart"/>
      <w:r w:rsidRPr="00B419CE">
        <w:t>gjere</w:t>
      </w:r>
      <w:proofErr w:type="spellEnd"/>
      <w:r w:rsidRPr="00B419CE">
        <w:t xml:space="preserve"> det </w:t>
      </w:r>
      <w:proofErr w:type="spellStart"/>
      <w:r w:rsidRPr="00B419CE">
        <w:t>mogleg</w:t>
      </w:r>
      <w:proofErr w:type="spellEnd"/>
      <w:r w:rsidRPr="00B419CE">
        <w:t xml:space="preserve"> for </w:t>
      </w:r>
      <w:proofErr w:type="spellStart"/>
      <w:r w:rsidRPr="00B419CE">
        <w:t>arbeidstakar</w:t>
      </w:r>
      <w:proofErr w:type="spellEnd"/>
      <w:r w:rsidRPr="00B419CE">
        <w:t xml:space="preserve"> å </w:t>
      </w:r>
      <w:proofErr w:type="spellStart"/>
      <w:r w:rsidRPr="00B419CE">
        <w:t>følgje</w:t>
      </w:r>
      <w:proofErr w:type="spellEnd"/>
      <w:r w:rsidRPr="00B419CE">
        <w:t xml:space="preserve"> med på om </w:t>
      </w:r>
      <w:proofErr w:type="spellStart"/>
      <w:r w:rsidRPr="00B419CE">
        <w:t>arbeidsgjevar</w:t>
      </w:r>
      <w:proofErr w:type="spellEnd"/>
      <w:r w:rsidRPr="00B419CE">
        <w:t xml:space="preserve"> har etablert ei pensjonsordning og hos kva for ei </w:t>
      </w:r>
      <w:proofErr w:type="spellStart"/>
      <w:r w:rsidRPr="00B419CE">
        <w:t>pensjonsverksemd</w:t>
      </w:r>
      <w:proofErr w:type="spellEnd"/>
      <w:r w:rsidRPr="00B419CE">
        <w:t xml:space="preserve">. 1. juni 2021 overtok Skatteetaten </w:t>
      </w:r>
      <w:proofErr w:type="spellStart"/>
      <w:r w:rsidRPr="00B419CE">
        <w:t>frå</w:t>
      </w:r>
      <w:proofErr w:type="spellEnd"/>
      <w:r w:rsidRPr="00B419CE">
        <w:t xml:space="preserve"> Finanstilsynet ansvaret for tilsyn med plikta </w:t>
      </w:r>
      <w:proofErr w:type="spellStart"/>
      <w:r w:rsidRPr="00B419CE">
        <w:t>arbeidsgjevarar</w:t>
      </w:r>
      <w:proofErr w:type="spellEnd"/>
      <w:r w:rsidRPr="00B419CE">
        <w:t xml:space="preserve"> har til å opprette OTP-ordning.</w:t>
      </w:r>
    </w:p>
    <w:p w14:paraId="068E6FDC" w14:textId="77777777" w:rsidR="00B419CE" w:rsidRPr="00B419CE" w:rsidRDefault="00B419CE" w:rsidP="00B419CE">
      <w:r w:rsidRPr="00B419CE">
        <w:t xml:space="preserve">I 2022 vil det </w:t>
      </w:r>
      <w:proofErr w:type="spellStart"/>
      <w:r w:rsidRPr="00B419CE">
        <w:t>verte</w:t>
      </w:r>
      <w:proofErr w:type="spellEnd"/>
      <w:r w:rsidRPr="00B419CE">
        <w:t xml:space="preserve"> arbeidd </w:t>
      </w:r>
      <w:proofErr w:type="spellStart"/>
      <w:r w:rsidRPr="00B419CE">
        <w:t>vidare</w:t>
      </w:r>
      <w:proofErr w:type="spellEnd"/>
      <w:r w:rsidRPr="00B419CE">
        <w:t xml:space="preserve"> med utvikling av ny automatisert og maskinell tilsynsløysing og oppbygging av ny kompetanse og kapasitet for å kunne utføre denne </w:t>
      </w:r>
      <w:proofErr w:type="spellStart"/>
      <w:r w:rsidRPr="00B419CE">
        <w:t>oppgåva</w:t>
      </w:r>
      <w:proofErr w:type="spellEnd"/>
      <w:r w:rsidRPr="00B419CE">
        <w:t xml:space="preserve"> på </w:t>
      </w:r>
      <w:proofErr w:type="spellStart"/>
      <w:r w:rsidRPr="00B419CE">
        <w:t>ein</w:t>
      </w:r>
      <w:proofErr w:type="spellEnd"/>
      <w:r w:rsidRPr="00B419CE">
        <w:t xml:space="preserve"> effektiv måte. </w:t>
      </w:r>
      <w:proofErr w:type="spellStart"/>
      <w:r w:rsidRPr="00B419CE">
        <w:t>Vidare</w:t>
      </w:r>
      <w:proofErr w:type="spellEnd"/>
      <w:r w:rsidRPr="00B419CE">
        <w:t xml:space="preserve"> skal etaten i 2022 arbeide </w:t>
      </w:r>
      <w:proofErr w:type="spellStart"/>
      <w:r w:rsidRPr="00B419CE">
        <w:t>vidare</w:t>
      </w:r>
      <w:proofErr w:type="spellEnd"/>
      <w:r w:rsidRPr="00B419CE">
        <w:t xml:space="preserve"> med å </w:t>
      </w:r>
      <w:proofErr w:type="spellStart"/>
      <w:r w:rsidRPr="00B419CE">
        <w:t>byggje</w:t>
      </w:r>
      <w:proofErr w:type="spellEnd"/>
      <w:r w:rsidRPr="00B419CE">
        <w:t xml:space="preserve"> opp kompetanse og kapasitet på IT- og fagsida for deling av data med </w:t>
      </w:r>
      <w:proofErr w:type="spellStart"/>
      <w:r w:rsidRPr="00B419CE">
        <w:t>offentlege</w:t>
      </w:r>
      <w:proofErr w:type="spellEnd"/>
      <w:r w:rsidRPr="00B419CE">
        <w:t xml:space="preserve"> og private </w:t>
      </w:r>
      <w:proofErr w:type="spellStart"/>
      <w:r w:rsidRPr="00B419CE">
        <w:t>verksemder</w:t>
      </w:r>
      <w:proofErr w:type="spellEnd"/>
      <w:r w:rsidRPr="00B419CE">
        <w:t xml:space="preserve">. I </w:t>
      </w:r>
      <w:proofErr w:type="spellStart"/>
      <w:r w:rsidRPr="00B419CE">
        <w:t>tilknyting</w:t>
      </w:r>
      <w:proofErr w:type="spellEnd"/>
      <w:r w:rsidRPr="00B419CE">
        <w:t xml:space="preserve"> til dette skal det </w:t>
      </w:r>
      <w:proofErr w:type="spellStart"/>
      <w:r w:rsidRPr="00B419CE">
        <w:t>etablerast</w:t>
      </w:r>
      <w:proofErr w:type="spellEnd"/>
      <w:r w:rsidRPr="00B419CE">
        <w:t xml:space="preserve"> nye IT-</w:t>
      </w:r>
      <w:proofErr w:type="spellStart"/>
      <w:r w:rsidRPr="00B419CE">
        <w:t>løysingar</w:t>
      </w:r>
      <w:proofErr w:type="spellEnd"/>
      <w:r w:rsidRPr="00B419CE">
        <w:t xml:space="preserve"> for å effektivisere arbeidet med oppfølginga av </w:t>
      </w:r>
      <w:proofErr w:type="spellStart"/>
      <w:r w:rsidRPr="00B419CE">
        <w:t>produsentar</w:t>
      </w:r>
      <w:proofErr w:type="spellEnd"/>
      <w:r w:rsidRPr="00B419CE">
        <w:t xml:space="preserve"> (</w:t>
      </w:r>
      <w:proofErr w:type="spellStart"/>
      <w:r w:rsidRPr="00B419CE">
        <w:t>dei</w:t>
      </w:r>
      <w:proofErr w:type="spellEnd"/>
      <w:r w:rsidRPr="00B419CE">
        <w:t xml:space="preserve"> som leverer data til løysinga) og </w:t>
      </w:r>
      <w:proofErr w:type="spellStart"/>
      <w:r w:rsidRPr="00B419CE">
        <w:t>konsumentar</w:t>
      </w:r>
      <w:proofErr w:type="spellEnd"/>
      <w:r w:rsidRPr="00B419CE">
        <w:t xml:space="preserve"> (</w:t>
      </w:r>
      <w:proofErr w:type="spellStart"/>
      <w:r w:rsidRPr="00B419CE">
        <w:t>brukarane</w:t>
      </w:r>
      <w:proofErr w:type="spellEnd"/>
      <w:r w:rsidRPr="00B419CE">
        <w:t xml:space="preserve">), og </w:t>
      </w:r>
      <w:proofErr w:type="spellStart"/>
      <w:r w:rsidRPr="00B419CE">
        <w:t>leggje</w:t>
      </w:r>
      <w:proofErr w:type="spellEnd"/>
      <w:r w:rsidRPr="00B419CE">
        <w:t xml:space="preserve"> til rette for </w:t>
      </w:r>
      <w:proofErr w:type="spellStart"/>
      <w:r w:rsidRPr="00B419CE">
        <w:t>auka</w:t>
      </w:r>
      <w:proofErr w:type="spellEnd"/>
      <w:r w:rsidRPr="00B419CE">
        <w:t xml:space="preserve"> grad av </w:t>
      </w:r>
      <w:proofErr w:type="spellStart"/>
      <w:r w:rsidRPr="00B419CE">
        <w:t>sjølvbetjening</w:t>
      </w:r>
      <w:proofErr w:type="spellEnd"/>
      <w:r w:rsidRPr="00B419CE">
        <w:t xml:space="preserve"> og automatisert oppfølging og </w:t>
      </w:r>
      <w:proofErr w:type="spellStart"/>
      <w:r w:rsidRPr="00B419CE">
        <w:t>overvaking</w:t>
      </w:r>
      <w:proofErr w:type="spellEnd"/>
      <w:r w:rsidRPr="00B419CE">
        <w:t xml:space="preserve"> av </w:t>
      </w:r>
      <w:proofErr w:type="spellStart"/>
      <w:r w:rsidRPr="00B419CE">
        <w:t>delingstenestene</w:t>
      </w:r>
      <w:proofErr w:type="spellEnd"/>
      <w:r w:rsidRPr="00B419CE">
        <w:t>.</w:t>
      </w:r>
    </w:p>
    <w:p w14:paraId="216608F7" w14:textId="77777777" w:rsidR="00B419CE" w:rsidRPr="00B419CE" w:rsidRDefault="00B419CE" w:rsidP="00B419CE">
      <w:r w:rsidRPr="00B419CE">
        <w:t xml:space="preserve">Prosjektet starta i 2020 og er planlagt ferdigstilt i 2022. Prosjektet har ei kostnadsramme på 137,3 mill. 2022-kroner, inkl. 11,6 mill. kroner til </w:t>
      </w:r>
      <w:proofErr w:type="spellStart"/>
      <w:r w:rsidRPr="00B419CE">
        <w:t>naudsynt</w:t>
      </w:r>
      <w:proofErr w:type="spellEnd"/>
      <w:r w:rsidRPr="00B419CE">
        <w:t xml:space="preserve"> utvikling i Arbeids- og </w:t>
      </w:r>
      <w:r w:rsidRPr="00B419CE">
        <w:lastRenderedPageBreak/>
        <w:t>velferdsetatens Aa-register. For 2022 er det sett av 40,1 mill. kroner til prosjektet. Av dette ligg 36,8 mill. kroner på kap. 1618, post 22, og 3,3 mill. kroner på Arbeids- og velferdsetatens kap. 605, post 45.</w:t>
      </w:r>
    </w:p>
    <w:p w14:paraId="6272AE7D" w14:textId="77777777" w:rsidR="00B419CE" w:rsidRPr="00B419CE" w:rsidRDefault="00B419CE" w:rsidP="00B419CE">
      <w:pPr>
        <w:pStyle w:val="avsnitt-undertittel"/>
      </w:pPr>
      <w:r w:rsidRPr="00B419CE">
        <w:t xml:space="preserve">Modernisering av </w:t>
      </w:r>
      <w:proofErr w:type="spellStart"/>
      <w:r w:rsidRPr="00B419CE">
        <w:t>innkrevjing</w:t>
      </w:r>
      <w:proofErr w:type="spellEnd"/>
    </w:p>
    <w:p w14:paraId="649CEB8B" w14:textId="77777777" w:rsidR="00B419CE" w:rsidRPr="00B419CE" w:rsidRDefault="00B419CE" w:rsidP="00B419CE">
      <w:r w:rsidRPr="00B419CE">
        <w:t xml:space="preserve">Skatteetaten er den største </w:t>
      </w:r>
      <w:proofErr w:type="spellStart"/>
      <w:r w:rsidRPr="00B419CE">
        <w:t>offentlege</w:t>
      </w:r>
      <w:proofErr w:type="spellEnd"/>
      <w:r w:rsidRPr="00B419CE">
        <w:t xml:space="preserve"> kreditoren og krev inn om lag 1 350 mrd. kroner </w:t>
      </w:r>
      <w:proofErr w:type="spellStart"/>
      <w:r w:rsidRPr="00B419CE">
        <w:t>årleg</w:t>
      </w:r>
      <w:proofErr w:type="spellEnd"/>
      <w:r w:rsidRPr="00B419CE">
        <w:t xml:space="preserve"> i </w:t>
      </w:r>
      <w:proofErr w:type="spellStart"/>
      <w:r w:rsidRPr="00B419CE">
        <w:t>skattar</w:t>
      </w:r>
      <w:proofErr w:type="spellEnd"/>
      <w:r w:rsidRPr="00B419CE">
        <w:t xml:space="preserve">, avgifter og andre </w:t>
      </w:r>
      <w:proofErr w:type="spellStart"/>
      <w:r w:rsidRPr="00B419CE">
        <w:t>offentlege</w:t>
      </w:r>
      <w:proofErr w:type="spellEnd"/>
      <w:r w:rsidRPr="00B419CE">
        <w:t xml:space="preserve"> krav. Dei </w:t>
      </w:r>
      <w:proofErr w:type="spellStart"/>
      <w:r w:rsidRPr="00B419CE">
        <w:t>seinare</w:t>
      </w:r>
      <w:proofErr w:type="spellEnd"/>
      <w:r w:rsidRPr="00B419CE">
        <w:t xml:space="preserve"> åra har Skatteetaten </w:t>
      </w:r>
      <w:proofErr w:type="spellStart"/>
      <w:r w:rsidRPr="00B419CE">
        <w:t>overteke</w:t>
      </w:r>
      <w:proofErr w:type="spellEnd"/>
      <w:r w:rsidRPr="00B419CE">
        <w:t xml:space="preserve"> </w:t>
      </w:r>
      <w:proofErr w:type="spellStart"/>
      <w:r w:rsidRPr="00B419CE">
        <w:t>fleire</w:t>
      </w:r>
      <w:proofErr w:type="spellEnd"/>
      <w:r w:rsidRPr="00B419CE">
        <w:t xml:space="preserve"> </w:t>
      </w:r>
      <w:proofErr w:type="spellStart"/>
      <w:r w:rsidRPr="00B419CE">
        <w:t>innkrevjingsoppgåver</w:t>
      </w:r>
      <w:proofErr w:type="spellEnd"/>
      <w:r w:rsidRPr="00B419CE">
        <w:t xml:space="preserve"> </w:t>
      </w:r>
      <w:proofErr w:type="spellStart"/>
      <w:r w:rsidRPr="00B419CE">
        <w:t>frå</w:t>
      </w:r>
      <w:proofErr w:type="spellEnd"/>
      <w:r w:rsidRPr="00B419CE">
        <w:t xml:space="preserve"> andre </w:t>
      </w:r>
      <w:proofErr w:type="spellStart"/>
      <w:r w:rsidRPr="00B419CE">
        <w:t>verksemder</w:t>
      </w:r>
      <w:proofErr w:type="spellEnd"/>
      <w:r w:rsidRPr="00B419CE">
        <w:t xml:space="preserve">: Statens </w:t>
      </w:r>
      <w:proofErr w:type="spellStart"/>
      <w:r w:rsidRPr="00B419CE">
        <w:t>innkrevjingssentral</w:t>
      </w:r>
      <w:proofErr w:type="spellEnd"/>
      <w:r w:rsidRPr="00B419CE">
        <w:t xml:space="preserve"> vart </w:t>
      </w:r>
      <w:proofErr w:type="spellStart"/>
      <w:r w:rsidRPr="00B419CE">
        <w:t>innlema</w:t>
      </w:r>
      <w:proofErr w:type="spellEnd"/>
      <w:r w:rsidRPr="00B419CE">
        <w:t xml:space="preserve"> i Skatteetaten i 2015, </w:t>
      </w:r>
      <w:proofErr w:type="spellStart"/>
      <w:r w:rsidRPr="00B419CE">
        <w:t>innkrevjing</w:t>
      </w:r>
      <w:proofErr w:type="spellEnd"/>
      <w:r w:rsidRPr="00B419CE">
        <w:t xml:space="preserve"> av toll, </w:t>
      </w:r>
      <w:proofErr w:type="spellStart"/>
      <w:r w:rsidRPr="00B419CE">
        <w:t>meirverdiavgift</w:t>
      </w:r>
      <w:proofErr w:type="spellEnd"/>
      <w:r w:rsidRPr="00B419CE">
        <w:t xml:space="preserve"> ved </w:t>
      </w:r>
      <w:proofErr w:type="spellStart"/>
      <w:r w:rsidRPr="00B419CE">
        <w:t>innførsle</w:t>
      </w:r>
      <w:proofErr w:type="spellEnd"/>
      <w:r w:rsidRPr="00B419CE">
        <w:t xml:space="preserve"> og særavgifter vart flytta </w:t>
      </w:r>
      <w:proofErr w:type="spellStart"/>
      <w:r w:rsidRPr="00B419CE">
        <w:t>frå</w:t>
      </w:r>
      <w:proofErr w:type="spellEnd"/>
      <w:r w:rsidRPr="00B419CE">
        <w:t xml:space="preserve"> Tolletaten i 2016 og 2017, Nav </w:t>
      </w:r>
      <w:proofErr w:type="spellStart"/>
      <w:r w:rsidRPr="00B419CE">
        <w:t>Innkrevjing</w:t>
      </w:r>
      <w:proofErr w:type="spellEnd"/>
      <w:r w:rsidRPr="00B419CE">
        <w:t xml:space="preserve"> vart </w:t>
      </w:r>
      <w:proofErr w:type="spellStart"/>
      <w:r w:rsidRPr="00B419CE">
        <w:t>innlema</w:t>
      </w:r>
      <w:proofErr w:type="spellEnd"/>
      <w:r w:rsidRPr="00B419CE">
        <w:t xml:space="preserve"> i Skatteetaten i 2018 og </w:t>
      </w:r>
      <w:proofErr w:type="spellStart"/>
      <w:r w:rsidRPr="00B419CE">
        <w:t>skatteoppkrevjarfunksjonen</w:t>
      </w:r>
      <w:proofErr w:type="spellEnd"/>
      <w:r w:rsidRPr="00B419CE">
        <w:t xml:space="preserve"> vart flytta </w:t>
      </w:r>
      <w:proofErr w:type="spellStart"/>
      <w:r w:rsidRPr="00B419CE">
        <w:t>frå</w:t>
      </w:r>
      <w:proofErr w:type="spellEnd"/>
      <w:r w:rsidRPr="00B419CE">
        <w:t xml:space="preserve"> </w:t>
      </w:r>
      <w:proofErr w:type="spellStart"/>
      <w:r w:rsidRPr="00B419CE">
        <w:t>kommunane</w:t>
      </w:r>
      <w:proofErr w:type="spellEnd"/>
      <w:r w:rsidRPr="00B419CE">
        <w:t xml:space="preserve"> i november 2020. Praktisk talt all </w:t>
      </w:r>
      <w:proofErr w:type="spellStart"/>
      <w:r w:rsidRPr="00B419CE">
        <w:t>statleg</w:t>
      </w:r>
      <w:proofErr w:type="spellEnd"/>
      <w:r w:rsidRPr="00B419CE">
        <w:t xml:space="preserve"> </w:t>
      </w:r>
      <w:proofErr w:type="spellStart"/>
      <w:r w:rsidRPr="00B419CE">
        <w:t>innkrevjing</w:t>
      </w:r>
      <w:proofErr w:type="spellEnd"/>
      <w:r w:rsidRPr="00B419CE">
        <w:t xml:space="preserve"> er </w:t>
      </w:r>
      <w:proofErr w:type="spellStart"/>
      <w:r w:rsidRPr="00B419CE">
        <w:t>no</w:t>
      </w:r>
      <w:proofErr w:type="spellEnd"/>
      <w:r w:rsidRPr="00B419CE">
        <w:t xml:space="preserve"> samla i Skatteetaten. I tillegg er etaten systemleverandør for politiet ved </w:t>
      </w:r>
      <w:proofErr w:type="spellStart"/>
      <w:r w:rsidRPr="00B419CE">
        <w:t>Alminneleg</w:t>
      </w:r>
      <w:proofErr w:type="spellEnd"/>
      <w:r w:rsidRPr="00B419CE">
        <w:t xml:space="preserve"> namsmann, både for utlegg og andre sivile </w:t>
      </w:r>
      <w:proofErr w:type="spellStart"/>
      <w:r w:rsidRPr="00B419CE">
        <w:t>gjeremål</w:t>
      </w:r>
      <w:proofErr w:type="spellEnd"/>
      <w:r w:rsidRPr="00B419CE">
        <w:t xml:space="preserve"> (gjeldsordningssaker, forliksrådssaker mv.).</w:t>
      </w:r>
    </w:p>
    <w:p w14:paraId="7305102E" w14:textId="77777777" w:rsidR="00B419CE" w:rsidRPr="00B419CE" w:rsidRDefault="00B419CE" w:rsidP="00B419CE">
      <w:r w:rsidRPr="00B419CE">
        <w:t xml:space="preserve">Skatteetaten </w:t>
      </w:r>
      <w:proofErr w:type="spellStart"/>
      <w:r w:rsidRPr="00B419CE">
        <w:t>forvaltar</w:t>
      </w:r>
      <w:proofErr w:type="spellEnd"/>
      <w:r w:rsidRPr="00B419CE">
        <w:t xml:space="preserve"> </w:t>
      </w:r>
      <w:proofErr w:type="spellStart"/>
      <w:r w:rsidRPr="00B419CE">
        <w:t>no</w:t>
      </w:r>
      <w:proofErr w:type="spellEnd"/>
      <w:r w:rsidRPr="00B419CE">
        <w:t xml:space="preserve"> </w:t>
      </w:r>
      <w:proofErr w:type="spellStart"/>
      <w:r w:rsidRPr="00B419CE">
        <w:t>ein</w:t>
      </w:r>
      <w:proofErr w:type="spellEnd"/>
      <w:r w:rsidRPr="00B419CE">
        <w:t xml:space="preserve"> </w:t>
      </w:r>
      <w:proofErr w:type="spellStart"/>
      <w:r w:rsidRPr="00B419CE">
        <w:t>omfattande</w:t>
      </w:r>
      <w:proofErr w:type="spellEnd"/>
      <w:r w:rsidRPr="00B419CE">
        <w:t xml:space="preserve"> IT-portefølje på </w:t>
      </w:r>
      <w:proofErr w:type="spellStart"/>
      <w:r w:rsidRPr="00B419CE">
        <w:t>innkrevjingsområdet</w:t>
      </w:r>
      <w:proofErr w:type="spellEnd"/>
      <w:r w:rsidRPr="00B419CE">
        <w:t xml:space="preserve"> med sju parallelle </w:t>
      </w:r>
      <w:proofErr w:type="spellStart"/>
      <w:r w:rsidRPr="00B419CE">
        <w:t>hovudsystem</w:t>
      </w:r>
      <w:proofErr w:type="spellEnd"/>
      <w:r w:rsidRPr="00B419CE">
        <w:t xml:space="preserve"> som er </w:t>
      </w:r>
      <w:proofErr w:type="spellStart"/>
      <w:r w:rsidRPr="00B419CE">
        <w:t>noko</w:t>
      </w:r>
      <w:proofErr w:type="spellEnd"/>
      <w:r w:rsidRPr="00B419CE">
        <w:t xml:space="preserve"> ulike. </w:t>
      </w:r>
      <w:proofErr w:type="spellStart"/>
      <w:r w:rsidRPr="00B419CE">
        <w:t>Fleire</w:t>
      </w:r>
      <w:proofErr w:type="spellEnd"/>
      <w:r w:rsidRPr="00B419CE">
        <w:t xml:space="preserve"> av systema er vorte overførte </w:t>
      </w:r>
      <w:proofErr w:type="spellStart"/>
      <w:r w:rsidRPr="00B419CE">
        <w:t>frå</w:t>
      </w:r>
      <w:proofErr w:type="spellEnd"/>
      <w:r w:rsidRPr="00B419CE">
        <w:t xml:space="preserve"> andre </w:t>
      </w:r>
      <w:proofErr w:type="spellStart"/>
      <w:r w:rsidRPr="00B419CE">
        <w:t>verksemder</w:t>
      </w:r>
      <w:proofErr w:type="spellEnd"/>
      <w:r w:rsidRPr="00B419CE">
        <w:t xml:space="preserve">. </w:t>
      </w:r>
      <w:proofErr w:type="spellStart"/>
      <w:r w:rsidRPr="00B419CE">
        <w:t>Innkrevjing</w:t>
      </w:r>
      <w:proofErr w:type="spellEnd"/>
      <w:r w:rsidRPr="00B419CE">
        <w:t xml:space="preserve"> av </w:t>
      </w:r>
      <w:proofErr w:type="spellStart"/>
      <w:r w:rsidRPr="00B419CE">
        <w:t>dei</w:t>
      </w:r>
      <w:proofErr w:type="spellEnd"/>
      <w:r w:rsidRPr="00B419CE">
        <w:t xml:space="preserve"> ulike </w:t>
      </w:r>
      <w:proofErr w:type="spellStart"/>
      <w:r w:rsidRPr="00B419CE">
        <w:t>kravtypane</w:t>
      </w:r>
      <w:proofErr w:type="spellEnd"/>
      <w:r w:rsidRPr="00B419CE">
        <w:t xml:space="preserve"> skjer i stor grad i parallelle </w:t>
      </w:r>
      <w:proofErr w:type="spellStart"/>
      <w:r w:rsidRPr="00B419CE">
        <w:t>prosessar</w:t>
      </w:r>
      <w:proofErr w:type="spellEnd"/>
      <w:r w:rsidRPr="00B419CE">
        <w:t xml:space="preserve">, og systema er i liten grad koordinerte på tvers av </w:t>
      </w:r>
      <w:proofErr w:type="spellStart"/>
      <w:r w:rsidRPr="00B419CE">
        <w:t>dei</w:t>
      </w:r>
      <w:proofErr w:type="spellEnd"/>
      <w:r w:rsidRPr="00B419CE">
        <w:t xml:space="preserve"> etablerte </w:t>
      </w:r>
      <w:proofErr w:type="spellStart"/>
      <w:r w:rsidRPr="00B419CE">
        <w:t>innkrevjingsmiljøa</w:t>
      </w:r>
      <w:proofErr w:type="spellEnd"/>
      <w:r w:rsidRPr="00B419CE">
        <w:t xml:space="preserve"> som er vorte </w:t>
      </w:r>
      <w:proofErr w:type="spellStart"/>
      <w:r w:rsidRPr="00B419CE">
        <w:t>innlema</w:t>
      </w:r>
      <w:proofErr w:type="spellEnd"/>
      <w:r w:rsidRPr="00B419CE">
        <w:t xml:space="preserve"> i Skatteetaten. Dette påverkar både brukaropplevinga og ressursbruken på </w:t>
      </w:r>
      <w:proofErr w:type="spellStart"/>
      <w:r w:rsidRPr="00B419CE">
        <w:t>innkrevjingsområdet</w:t>
      </w:r>
      <w:proofErr w:type="spellEnd"/>
      <w:r w:rsidRPr="00B419CE">
        <w:t xml:space="preserve"> negativt. Det er </w:t>
      </w:r>
      <w:proofErr w:type="spellStart"/>
      <w:r w:rsidRPr="00B419CE">
        <w:t>difor</w:t>
      </w:r>
      <w:proofErr w:type="spellEnd"/>
      <w:r w:rsidRPr="00B419CE">
        <w:t xml:space="preserve"> </w:t>
      </w:r>
      <w:proofErr w:type="spellStart"/>
      <w:r w:rsidRPr="00B419CE">
        <w:t>eit</w:t>
      </w:r>
      <w:proofErr w:type="spellEnd"/>
      <w:r w:rsidRPr="00B419CE">
        <w:t xml:space="preserve"> stort potensial for å effektivisere ressursbruken ved å automatisere </w:t>
      </w:r>
      <w:proofErr w:type="spellStart"/>
      <w:r w:rsidRPr="00B419CE">
        <w:t>fleire</w:t>
      </w:r>
      <w:proofErr w:type="spellEnd"/>
      <w:r w:rsidRPr="00B419CE">
        <w:t xml:space="preserve"> av dagens </w:t>
      </w:r>
      <w:proofErr w:type="spellStart"/>
      <w:r w:rsidRPr="00B419CE">
        <w:t>innkrevjingsprosessar</w:t>
      </w:r>
      <w:proofErr w:type="spellEnd"/>
      <w:r w:rsidRPr="00B419CE">
        <w:t xml:space="preserve"> som krev </w:t>
      </w:r>
      <w:proofErr w:type="spellStart"/>
      <w:r w:rsidRPr="00B419CE">
        <w:t>mykje</w:t>
      </w:r>
      <w:proofErr w:type="spellEnd"/>
      <w:r w:rsidRPr="00B419CE">
        <w:t xml:space="preserve"> manuelt arbeid. Det er òg </w:t>
      </w:r>
      <w:proofErr w:type="spellStart"/>
      <w:r w:rsidRPr="00B419CE">
        <w:t>eit</w:t>
      </w:r>
      <w:proofErr w:type="spellEnd"/>
      <w:r w:rsidRPr="00B419CE">
        <w:t xml:space="preserve"> stort potensial for </w:t>
      </w:r>
      <w:proofErr w:type="spellStart"/>
      <w:r w:rsidRPr="00B419CE">
        <w:t>meir</w:t>
      </w:r>
      <w:proofErr w:type="spellEnd"/>
      <w:r w:rsidRPr="00B419CE">
        <w:t xml:space="preserve"> brukarvennlege </w:t>
      </w:r>
      <w:proofErr w:type="spellStart"/>
      <w:r w:rsidRPr="00B419CE">
        <w:t>løysingar</w:t>
      </w:r>
      <w:proofErr w:type="spellEnd"/>
      <w:r w:rsidRPr="00B419CE">
        <w:t xml:space="preserve">. Porteføljen er òg bygd på utdatert teknologi som framover </w:t>
      </w:r>
      <w:proofErr w:type="spellStart"/>
      <w:r w:rsidRPr="00B419CE">
        <w:t>ikkje</w:t>
      </w:r>
      <w:proofErr w:type="spellEnd"/>
      <w:r w:rsidRPr="00B419CE">
        <w:t xml:space="preserve"> vil innfri krav til effektiv drift og forvaltning, endringsevne og tryggleik. Ei </w:t>
      </w:r>
      <w:proofErr w:type="spellStart"/>
      <w:r w:rsidRPr="00B419CE">
        <w:t>vidareføring</w:t>
      </w:r>
      <w:proofErr w:type="spellEnd"/>
      <w:r w:rsidRPr="00B419CE">
        <w:t xml:space="preserve"> av dagens system ville </w:t>
      </w:r>
      <w:proofErr w:type="spellStart"/>
      <w:r w:rsidRPr="00B419CE">
        <w:t>kravd</w:t>
      </w:r>
      <w:proofErr w:type="spellEnd"/>
      <w:r w:rsidRPr="00B419CE">
        <w:t xml:space="preserve"> </w:t>
      </w:r>
      <w:proofErr w:type="spellStart"/>
      <w:r w:rsidRPr="00B419CE">
        <w:t>omfattande</w:t>
      </w:r>
      <w:proofErr w:type="spellEnd"/>
      <w:r w:rsidRPr="00B419CE">
        <w:t xml:space="preserve"> </w:t>
      </w:r>
      <w:proofErr w:type="spellStart"/>
      <w:r w:rsidRPr="00B419CE">
        <w:t>investeringar</w:t>
      </w:r>
      <w:proofErr w:type="spellEnd"/>
      <w:r w:rsidRPr="00B419CE">
        <w:t xml:space="preserve">. </w:t>
      </w:r>
      <w:proofErr w:type="spellStart"/>
      <w:r w:rsidRPr="00B419CE">
        <w:t>Vidare</w:t>
      </w:r>
      <w:proofErr w:type="spellEnd"/>
      <w:r w:rsidRPr="00B419CE">
        <w:t xml:space="preserve"> er dagens regelverk på </w:t>
      </w:r>
      <w:proofErr w:type="spellStart"/>
      <w:r w:rsidRPr="00B419CE">
        <w:t>innkrevjingsområdet</w:t>
      </w:r>
      <w:proofErr w:type="spellEnd"/>
      <w:r w:rsidRPr="00B419CE">
        <w:t xml:space="preserve"> </w:t>
      </w:r>
      <w:proofErr w:type="spellStart"/>
      <w:r w:rsidRPr="00B419CE">
        <w:t>spreidd</w:t>
      </w:r>
      <w:proofErr w:type="spellEnd"/>
      <w:r w:rsidRPr="00B419CE">
        <w:t xml:space="preserve"> i </w:t>
      </w:r>
      <w:proofErr w:type="spellStart"/>
      <w:r w:rsidRPr="00B419CE">
        <w:t>fleire</w:t>
      </w:r>
      <w:proofErr w:type="spellEnd"/>
      <w:r w:rsidRPr="00B419CE">
        <w:t xml:space="preserve"> lover, tilpassa </w:t>
      </w:r>
      <w:proofErr w:type="spellStart"/>
      <w:r w:rsidRPr="00B419CE">
        <w:t>tidlegare</w:t>
      </w:r>
      <w:proofErr w:type="spellEnd"/>
      <w:r w:rsidRPr="00B419CE">
        <w:t xml:space="preserve"> organisatoriske </w:t>
      </w:r>
      <w:proofErr w:type="spellStart"/>
      <w:r w:rsidRPr="00B419CE">
        <w:t>einingar</w:t>
      </w:r>
      <w:proofErr w:type="spellEnd"/>
      <w:r w:rsidRPr="00B419CE">
        <w:t xml:space="preserve"> slik situasjonen var før </w:t>
      </w:r>
      <w:proofErr w:type="spellStart"/>
      <w:r w:rsidRPr="00B419CE">
        <w:t>oppgåvene</w:t>
      </w:r>
      <w:proofErr w:type="spellEnd"/>
      <w:r w:rsidRPr="00B419CE">
        <w:t xml:space="preserve"> vart flytta til etaten. Mangel på samordna </w:t>
      </w:r>
      <w:proofErr w:type="spellStart"/>
      <w:r w:rsidRPr="00B419CE">
        <w:t>prosessar</w:t>
      </w:r>
      <w:proofErr w:type="spellEnd"/>
      <w:r w:rsidRPr="00B419CE">
        <w:t xml:space="preserve">, deling av data og </w:t>
      </w:r>
      <w:proofErr w:type="spellStart"/>
      <w:r w:rsidRPr="00B419CE">
        <w:t>eit</w:t>
      </w:r>
      <w:proofErr w:type="spellEnd"/>
      <w:r w:rsidRPr="00B419CE">
        <w:t xml:space="preserve"> harmonisert regelverk for </w:t>
      </w:r>
      <w:proofErr w:type="spellStart"/>
      <w:r w:rsidRPr="00B419CE">
        <w:t>innkrevjingsområdet</w:t>
      </w:r>
      <w:proofErr w:type="spellEnd"/>
      <w:r w:rsidRPr="00B419CE">
        <w:t xml:space="preserve"> </w:t>
      </w:r>
      <w:proofErr w:type="spellStart"/>
      <w:r w:rsidRPr="00B419CE">
        <w:t>gjer</w:t>
      </w:r>
      <w:proofErr w:type="spellEnd"/>
      <w:r w:rsidRPr="00B419CE">
        <w:t xml:space="preserve"> at dagens </w:t>
      </w:r>
      <w:proofErr w:type="spellStart"/>
      <w:r w:rsidRPr="00B419CE">
        <w:t>løysingar</w:t>
      </w:r>
      <w:proofErr w:type="spellEnd"/>
      <w:r w:rsidRPr="00B419CE">
        <w:t xml:space="preserve"> er fragmenterte og lite brukarvennlege. Dette går utover </w:t>
      </w:r>
      <w:proofErr w:type="spellStart"/>
      <w:r w:rsidRPr="00B419CE">
        <w:t>skyldnar</w:t>
      </w:r>
      <w:proofErr w:type="spellEnd"/>
      <w:r w:rsidRPr="00B419CE">
        <w:t xml:space="preserve"> som opplever at det er </w:t>
      </w:r>
      <w:proofErr w:type="spellStart"/>
      <w:r w:rsidRPr="00B419CE">
        <w:t>vanskeleg</w:t>
      </w:r>
      <w:proofErr w:type="spellEnd"/>
      <w:r w:rsidRPr="00B419CE">
        <w:t xml:space="preserve"> å få oversikt over eigne </w:t>
      </w:r>
      <w:proofErr w:type="spellStart"/>
      <w:r w:rsidRPr="00B419CE">
        <w:t>rettar</w:t>
      </w:r>
      <w:proofErr w:type="spellEnd"/>
      <w:r w:rsidRPr="00B419CE">
        <w:t xml:space="preserve"> og </w:t>
      </w:r>
      <w:proofErr w:type="spellStart"/>
      <w:r w:rsidRPr="00B419CE">
        <w:t>pliktar</w:t>
      </w:r>
      <w:proofErr w:type="spellEnd"/>
      <w:r w:rsidRPr="00B419CE">
        <w:t xml:space="preserve">, samt </w:t>
      </w:r>
      <w:proofErr w:type="spellStart"/>
      <w:r w:rsidRPr="00B419CE">
        <w:t>gjer</w:t>
      </w:r>
      <w:proofErr w:type="spellEnd"/>
      <w:r w:rsidRPr="00B419CE">
        <w:t xml:space="preserve"> saksbehandlinga </w:t>
      </w:r>
      <w:proofErr w:type="spellStart"/>
      <w:r w:rsidRPr="00B419CE">
        <w:t>meir</w:t>
      </w:r>
      <w:proofErr w:type="spellEnd"/>
      <w:r w:rsidRPr="00B419CE">
        <w:t xml:space="preserve"> komplisert. Målet med å samle </w:t>
      </w:r>
      <w:proofErr w:type="spellStart"/>
      <w:r w:rsidRPr="00B419CE">
        <w:t>statleg</w:t>
      </w:r>
      <w:proofErr w:type="spellEnd"/>
      <w:r w:rsidRPr="00B419CE">
        <w:t xml:space="preserve"> </w:t>
      </w:r>
      <w:proofErr w:type="spellStart"/>
      <w:r w:rsidRPr="00B419CE">
        <w:t>innkrevjing</w:t>
      </w:r>
      <w:proofErr w:type="spellEnd"/>
      <w:r w:rsidRPr="00B419CE">
        <w:t xml:space="preserve"> i Skatteetaten har </w:t>
      </w:r>
      <w:proofErr w:type="spellStart"/>
      <w:r w:rsidRPr="00B419CE">
        <w:t>vore</w:t>
      </w:r>
      <w:proofErr w:type="spellEnd"/>
      <w:r w:rsidRPr="00B419CE">
        <w:t xml:space="preserve"> å oppnå ei </w:t>
      </w:r>
      <w:proofErr w:type="spellStart"/>
      <w:r w:rsidRPr="00B419CE">
        <w:t>heilskapleg</w:t>
      </w:r>
      <w:proofErr w:type="spellEnd"/>
      <w:r w:rsidRPr="00B419CE">
        <w:t xml:space="preserve"> og effektiv forvaltning av </w:t>
      </w:r>
      <w:proofErr w:type="spellStart"/>
      <w:r w:rsidRPr="00B419CE">
        <w:t>innkrevjing</w:t>
      </w:r>
      <w:proofErr w:type="spellEnd"/>
      <w:r w:rsidRPr="00B419CE">
        <w:t xml:space="preserve">. For å kunne </w:t>
      </w:r>
      <w:proofErr w:type="spellStart"/>
      <w:r w:rsidRPr="00B419CE">
        <w:t>oppretthalde</w:t>
      </w:r>
      <w:proofErr w:type="spellEnd"/>
      <w:r w:rsidRPr="00B419CE">
        <w:t xml:space="preserve"> </w:t>
      </w:r>
      <w:proofErr w:type="spellStart"/>
      <w:r w:rsidRPr="00B419CE">
        <w:t>ein</w:t>
      </w:r>
      <w:proofErr w:type="spellEnd"/>
      <w:r w:rsidRPr="00B419CE">
        <w:t xml:space="preserve"> akseptabel risiko for </w:t>
      </w:r>
      <w:proofErr w:type="spellStart"/>
      <w:r w:rsidRPr="00B419CE">
        <w:t>offentleg</w:t>
      </w:r>
      <w:proofErr w:type="spellEnd"/>
      <w:r w:rsidRPr="00B419CE">
        <w:t xml:space="preserve"> </w:t>
      </w:r>
      <w:proofErr w:type="spellStart"/>
      <w:r w:rsidRPr="00B419CE">
        <w:t>innkrevjing</w:t>
      </w:r>
      <w:proofErr w:type="spellEnd"/>
      <w:r w:rsidRPr="00B419CE">
        <w:t xml:space="preserve"> og realisere </w:t>
      </w:r>
      <w:proofErr w:type="spellStart"/>
      <w:r w:rsidRPr="00B419CE">
        <w:t>fleire</w:t>
      </w:r>
      <w:proofErr w:type="spellEnd"/>
      <w:r w:rsidRPr="00B419CE">
        <w:t xml:space="preserve"> </w:t>
      </w:r>
      <w:proofErr w:type="spellStart"/>
      <w:r w:rsidRPr="00B419CE">
        <w:t>ynskte</w:t>
      </w:r>
      <w:proofErr w:type="spellEnd"/>
      <w:r w:rsidRPr="00B419CE">
        <w:t xml:space="preserve"> </w:t>
      </w:r>
      <w:proofErr w:type="spellStart"/>
      <w:r w:rsidRPr="00B419CE">
        <w:t>effektar</w:t>
      </w:r>
      <w:proofErr w:type="spellEnd"/>
      <w:r w:rsidRPr="00B419CE">
        <w:t xml:space="preserve"> ved ei samla </w:t>
      </w:r>
      <w:proofErr w:type="spellStart"/>
      <w:r w:rsidRPr="00B419CE">
        <w:t>statleg</w:t>
      </w:r>
      <w:proofErr w:type="spellEnd"/>
      <w:r w:rsidRPr="00B419CE">
        <w:t xml:space="preserve"> </w:t>
      </w:r>
      <w:proofErr w:type="spellStart"/>
      <w:r w:rsidRPr="00B419CE">
        <w:t>innkrevjing</w:t>
      </w:r>
      <w:proofErr w:type="spellEnd"/>
      <w:r w:rsidRPr="00B419CE">
        <w:t xml:space="preserve">, er det </w:t>
      </w:r>
      <w:proofErr w:type="spellStart"/>
      <w:r w:rsidRPr="00B419CE">
        <w:t>naudsynt</w:t>
      </w:r>
      <w:proofErr w:type="spellEnd"/>
      <w:r w:rsidRPr="00B419CE">
        <w:t xml:space="preserve"> å modernisere </w:t>
      </w:r>
      <w:proofErr w:type="spellStart"/>
      <w:r w:rsidRPr="00B419CE">
        <w:t>innkrevjingsområdet</w:t>
      </w:r>
      <w:proofErr w:type="spellEnd"/>
      <w:r w:rsidRPr="00B419CE">
        <w:t xml:space="preserve">, </w:t>
      </w:r>
      <w:proofErr w:type="spellStart"/>
      <w:r w:rsidRPr="00B419CE">
        <w:t>særleg</w:t>
      </w:r>
      <w:proofErr w:type="spellEnd"/>
      <w:r w:rsidRPr="00B419CE">
        <w:t xml:space="preserve"> IT-porteføljen.</w:t>
      </w:r>
    </w:p>
    <w:p w14:paraId="244AA900" w14:textId="77777777" w:rsidR="00B419CE" w:rsidRPr="00B419CE" w:rsidRDefault="00B419CE" w:rsidP="00B419CE">
      <w:r w:rsidRPr="00B419CE">
        <w:t xml:space="preserve">Regjeringa </w:t>
      </w:r>
      <w:proofErr w:type="spellStart"/>
      <w:r w:rsidRPr="00B419CE">
        <w:t>gjer</w:t>
      </w:r>
      <w:proofErr w:type="spellEnd"/>
      <w:r w:rsidRPr="00B419CE">
        <w:t xml:space="preserve"> </w:t>
      </w:r>
      <w:proofErr w:type="spellStart"/>
      <w:r w:rsidRPr="00B419CE">
        <w:t>difor</w:t>
      </w:r>
      <w:proofErr w:type="spellEnd"/>
      <w:r w:rsidRPr="00B419CE">
        <w:t xml:space="preserve"> framlegg om å modernisere </w:t>
      </w:r>
      <w:proofErr w:type="spellStart"/>
      <w:r w:rsidRPr="00B419CE">
        <w:t>innkrevjingsområdet</w:t>
      </w:r>
      <w:proofErr w:type="spellEnd"/>
      <w:r w:rsidRPr="00B419CE">
        <w:t xml:space="preserve"> og </w:t>
      </w:r>
      <w:proofErr w:type="spellStart"/>
      <w:r w:rsidRPr="00B419CE">
        <w:t>særleg</w:t>
      </w:r>
      <w:proofErr w:type="spellEnd"/>
      <w:r w:rsidRPr="00B419CE">
        <w:t xml:space="preserve"> IT-porteføljen. Tiltaket vil </w:t>
      </w:r>
      <w:proofErr w:type="spellStart"/>
      <w:r w:rsidRPr="00B419CE">
        <w:t>leggje</w:t>
      </w:r>
      <w:proofErr w:type="spellEnd"/>
      <w:r w:rsidRPr="00B419CE">
        <w:t xml:space="preserve"> til rette for å samordne og modernisere systemporteføljen, </w:t>
      </w:r>
      <w:proofErr w:type="spellStart"/>
      <w:r w:rsidRPr="00B419CE">
        <w:t>prosessane</w:t>
      </w:r>
      <w:proofErr w:type="spellEnd"/>
      <w:r w:rsidRPr="00B419CE">
        <w:t xml:space="preserve"> og regelverket på </w:t>
      </w:r>
      <w:proofErr w:type="spellStart"/>
      <w:r w:rsidRPr="00B419CE">
        <w:t>innkrevjingsområdet</w:t>
      </w:r>
      <w:proofErr w:type="spellEnd"/>
      <w:r w:rsidRPr="00B419CE">
        <w:t xml:space="preserve">. Tiltaket vil </w:t>
      </w:r>
      <w:proofErr w:type="spellStart"/>
      <w:r w:rsidRPr="00B419CE">
        <w:t>gjere</w:t>
      </w:r>
      <w:proofErr w:type="spellEnd"/>
      <w:r w:rsidRPr="00B419CE">
        <w:t xml:space="preserve"> </w:t>
      </w:r>
      <w:proofErr w:type="spellStart"/>
      <w:r w:rsidRPr="00B419CE">
        <w:t>prosessane</w:t>
      </w:r>
      <w:proofErr w:type="spellEnd"/>
      <w:r w:rsidRPr="00B419CE">
        <w:t xml:space="preserve"> og regelverket </w:t>
      </w:r>
      <w:proofErr w:type="spellStart"/>
      <w:r w:rsidRPr="00B419CE">
        <w:t>meir</w:t>
      </w:r>
      <w:proofErr w:type="spellEnd"/>
      <w:r w:rsidRPr="00B419CE">
        <w:t xml:space="preserve"> </w:t>
      </w:r>
      <w:proofErr w:type="spellStart"/>
      <w:r w:rsidRPr="00B419CE">
        <w:t>brukarvenlege</w:t>
      </w:r>
      <w:proofErr w:type="spellEnd"/>
      <w:r w:rsidRPr="00B419CE">
        <w:t xml:space="preserve">. Programmet er ei tverrsektoriell satsing som vert foreslått gjennomført over sju år. Programmet skal starte i 2022, leia av Skatteetaten. I tillegg skal Skatteetaten samarbeide med politiet, Nav, Lånekassen og Brønnøysundregistrene om å utvikle </w:t>
      </w:r>
      <w:proofErr w:type="spellStart"/>
      <w:r w:rsidRPr="00B419CE">
        <w:t>samanhengande</w:t>
      </w:r>
      <w:proofErr w:type="spellEnd"/>
      <w:r w:rsidRPr="00B419CE">
        <w:t xml:space="preserve"> </w:t>
      </w:r>
      <w:proofErr w:type="spellStart"/>
      <w:r w:rsidRPr="00B419CE">
        <w:t>tenester</w:t>
      </w:r>
      <w:proofErr w:type="spellEnd"/>
      <w:r w:rsidRPr="00B419CE">
        <w:t xml:space="preserve">. Programmet vert foreslått gjennomført i tre steg. Steg 1 er planlagt gjennomført i 2022–2024, steg 2 i 2025–2026 og steg 3 i 2027–2028. Forventa netto nytte er </w:t>
      </w:r>
      <w:proofErr w:type="spellStart"/>
      <w:r w:rsidRPr="00B419CE">
        <w:t>utrekna</w:t>
      </w:r>
      <w:proofErr w:type="spellEnd"/>
      <w:r w:rsidRPr="00B419CE">
        <w:t xml:space="preserve"> til 4,2 mrd. kroner for heile programmet, og 3 mrd. kroner for steg 1 </w:t>
      </w:r>
      <w:r w:rsidRPr="00B419CE">
        <w:lastRenderedPageBreak/>
        <w:t xml:space="preserve">(2020-kroner). </w:t>
      </w:r>
      <w:proofErr w:type="spellStart"/>
      <w:r w:rsidRPr="00B419CE">
        <w:t>Prissett</w:t>
      </w:r>
      <w:proofErr w:type="spellEnd"/>
      <w:r w:rsidRPr="00B419CE">
        <w:t xml:space="preserve"> gevinst </w:t>
      </w:r>
      <w:proofErr w:type="spellStart"/>
      <w:r w:rsidRPr="00B419CE">
        <w:t>frå</w:t>
      </w:r>
      <w:proofErr w:type="spellEnd"/>
      <w:r w:rsidRPr="00B419CE">
        <w:t xml:space="preserve"> steg 1 er for det </w:t>
      </w:r>
      <w:proofErr w:type="spellStart"/>
      <w:r w:rsidRPr="00B419CE">
        <w:t>offentlege</w:t>
      </w:r>
      <w:proofErr w:type="spellEnd"/>
      <w:r w:rsidRPr="00B419CE">
        <w:t xml:space="preserve"> om lag 70 mill. kroner </w:t>
      </w:r>
      <w:proofErr w:type="spellStart"/>
      <w:r w:rsidRPr="00B419CE">
        <w:t>årleg</w:t>
      </w:r>
      <w:proofErr w:type="spellEnd"/>
      <w:r w:rsidRPr="00B419CE">
        <w:t xml:space="preserve">, og for næringslivet og </w:t>
      </w:r>
      <w:proofErr w:type="spellStart"/>
      <w:r w:rsidRPr="00B419CE">
        <w:t>personar</w:t>
      </w:r>
      <w:proofErr w:type="spellEnd"/>
      <w:r w:rsidRPr="00B419CE">
        <w:t xml:space="preserve"> om lag 430 mill. kroner. For programmet samla er </w:t>
      </w:r>
      <w:proofErr w:type="spellStart"/>
      <w:r w:rsidRPr="00B419CE">
        <w:t>tala</w:t>
      </w:r>
      <w:proofErr w:type="spellEnd"/>
      <w:r w:rsidRPr="00B419CE">
        <w:t xml:space="preserve"> om lag 400 mill. kroner og 550 mill. kroner. Dei </w:t>
      </w:r>
      <w:proofErr w:type="spellStart"/>
      <w:r w:rsidRPr="00B419CE">
        <w:t>prissette</w:t>
      </w:r>
      <w:proofErr w:type="spellEnd"/>
      <w:r w:rsidRPr="00B419CE">
        <w:t xml:space="preserve"> nytteverknadene består i </w:t>
      </w:r>
      <w:proofErr w:type="spellStart"/>
      <w:r w:rsidRPr="00B419CE">
        <w:t>hovudsak</w:t>
      </w:r>
      <w:proofErr w:type="spellEnd"/>
      <w:r w:rsidRPr="00B419CE">
        <w:t xml:space="preserve"> av </w:t>
      </w:r>
      <w:proofErr w:type="spellStart"/>
      <w:r w:rsidRPr="00B419CE">
        <w:t>effektiviseringsgevinstar</w:t>
      </w:r>
      <w:proofErr w:type="spellEnd"/>
      <w:r w:rsidRPr="00B419CE">
        <w:t xml:space="preserve"> (redusert ressursbruk). I samfunnsøkonomisk verdi er det forventa at </w:t>
      </w:r>
      <w:proofErr w:type="spellStart"/>
      <w:r w:rsidRPr="00B419CE">
        <w:t>dei</w:t>
      </w:r>
      <w:proofErr w:type="spellEnd"/>
      <w:r w:rsidRPr="00B419CE">
        <w:t xml:space="preserve"> </w:t>
      </w:r>
      <w:proofErr w:type="spellStart"/>
      <w:r w:rsidRPr="00B419CE">
        <w:t>ikkje-prissette</w:t>
      </w:r>
      <w:proofErr w:type="spellEnd"/>
      <w:r w:rsidRPr="00B419CE">
        <w:t xml:space="preserve"> verknadene er større enn </w:t>
      </w:r>
      <w:proofErr w:type="spellStart"/>
      <w:r w:rsidRPr="00B419CE">
        <w:t>dei</w:t>
      </w:r>
      <w:proofErr w:type="spellEnd"/>
      <w:r w:rsidRPr="00B419CE">
        <w:t xml:space="preserve"> </w:t>
      </w:r>
      <w:proofErr w:type="spellStart"/>
      <w:r w:rsidRPr="00B419CE">
        <w:t>prissette</w:t>
      </w:r>
      <w:proofErr w:type="spellEnd"/>
      <w:r w:rsidRPr="00B419CE">
        <w:t xml:space="preserve"> nytteverknadene. Forventa </w:t>
      </w:r>
      <w:proofErr w:type="spellStart"/>
      <w:r w:rsidRPr="00B419CE">
        <w:t>gevinstar</w:t>
      </w:r>
      <w:proofErr w:type="spellEnd"/>
      <w:r w:rsidRPr="00B419CE">
        <w:t xml:space="preserve"> består i betre </w:t>
      </w:r>
      <w:proofErr w:type="spellStart"/>
      <w:r w:rsidRPr="00B419CE">
        <w:t>samanhengande</w:t>
      </w:r>
      <w:proofErr w:type="spellEnd"/>
      <w:r w:rsidRPr="00B419CE">
        <w:t xml:space="preserve"> </w:t>
      </w:r>
      <w:proofErr w:type="spellStart"/>
      <w:r w:rsidRPr="00B419CE">
        <w:t>tenester</w:t>
      </w:r>
      <w:proofErr w:type="spellEnd"/>
      <w:r w:rsidRPr="00B419CE">
        <w:t xml:space="preserve"> mellom </w:t>
      </w:r>
      <w:proofErr w:type="spellStart"/>
      <w:r w:rsidRPr="00B419CE">
        <w:t>offentlege</w:t>
      </w:r>
      <w:proofErr w:type="spellEnd"/>
      <w:r w:rsidRPr="00B419CE">
        <w:t xml:space="preserve"> </w:t>
      </w:r>
      <w:proofErr w:type="spellStart"/>
      <w:r w:rsidRPr="00B419CE">
        <w:t>aktørar</w:t>
      </w:r>
      <w:proofErr w:type="spellEnd"/>
      <w:r w:rsidRPr="00B419CE">
        <w:t xml:space="preserve">, betre </w:t>
      </w:r>
      <w:proofErr w:type="spellStart"/>
      <w:r w:rsidRPr="00B419CE">
        <w:t>tenester</w:t>
      </w:r>
      <w:proofErr w:type="spellEnd"/>
      <w:r w:rsidRPr="00B419CE">
        <w:t xml:space="preserve"> for næringslivet og </w:t>
      </w:r>
      <w:proofErr w:type="spellStart"/>
      <w:r w:rsidRPr="00B419CE">
        <w:t>brukarane</w:t>
      </w:r>
      <w:proofErr w:type="spellEnd"/>
      <w:r w:rsidRPr="00B419CE">
        <w:t xml:space="preserve">, og </w:t>
      </w:r>
      <w:proofErr w:type="spellStart"/>
      <w:r w:rsidRPr="00B419CE">
        <w:t>auka</w:t>
      </w:r>
      <w:proofErr w:type="spellEnd"/>
      <w:r w:rsidRPr="00B419CE">
        <w:t xml:space="preserve"> tillit til </w:t>
      </w:r>
      <w:proofErr w:type="spellStart"/>
      <w:r w:rsidRPr="00B419CE">
        <w:t>offentleg</w:t>
      </w:r>
      <w:proofErr w:type="spellEnd"/>
      <w:r w:rsidRPr="00B419CE">
        <w:t xml:space="preserve"> </w:t>
      </w:r>
      <w:proofErr w:type="spellStart"/>
      <w:r w:rsidRPr="00B419CE">
        <w:t>innkrevjing</w:t>
      </w:r>
      <w:proofErr w:type="spellEnd"/>
      <w:r w:rsidRPr="00B419CE">
        <w:t xml:space="preserve">. Skatteetaten vil òg </w:t>
      </w:r>
      <w:proofErr w:type="spellStart"/>
      <w:r w:rsidRPr="00B419CE">
        <w:t>verte</w:t>
      </w:r>
      <w:proofErr w:type="spellEnd"/>
      <w:r w:rsidRPr="00B419CE">
        <w:t xml:space="preserve"> betre rusta til å gjennomføre samfunnsoppdraget sitt, </w:t>
      </w:r>
      <w:proofErr w:type="spellStart"/>
      <w:r w:rsidRPr="00B419CE">
        <w:t>medrekna</w:t>
      </w:r>
      <w:proofErr w:type="spellEnd"/>
      <w:r w:rsidRPr="00B419CE">
        <w:t xml:space="preserve"> å gjennomføre pålagte </w:t>
      </w:r>
      <w:proofErr w:type="spellStart"/>
      <w:r w:rsidRPr="00B419CE">
        <w:t>endringar</w:t>
      </w:r>
      <w:proofErr w:type="spellEnd"/>
      <w:r w:rsidRPr="00B419CE">
        <w:t xml:space="preserve"> </w:t>
      </w:r>
      <w:proofErr w:type="spellStart"/>
      <w:r w:rsidRPr="00B419CE">
        <w:t>raskare</w:t>
      </w:r>
      <w:proofErr w:type="spellEnd"/>
      <w:r w:rsidRPr="00B419CE">
        <w:t xml:space="preserve"> og </w:t>
      </w:r>
      <w:proofErr w:type="spellStart"/>
      <w:r w:rsidRPr="00B419CE">
        <w:t>meir</w:t>
      </w:r>
      <w:proofErr w:type="spellEnd"/>
      <w:r w:rsidRPr="00B419CE">
        <w:t xml:space="preserve"> effektivt.</w:t>
      </w:r>
    </w:p>
    <w:p w14:paraId="5F423B3E" w14:textId="77777777" w:rsidR="00B419CE" w:rsidRPr="00B419CE" w:rsidRDefault="00B419CE" w:rsidP="00B419CE">
      <w:r w:rsidRPr="00B419CE">
        <w:t xml:space="preserve">Prosjektet har våren 2021 vorte kvalitetssikra av </w:t>
      </w:r>
      <w:proofErr w:type="spellStart"/>
      <w:r w:rsidRPr="00B419CE">
        <w:t>ein</w:t>
      </w:r>
      <w:proofErr w:type="spellEnd"/>
      <w:r w:rsidRPr="00B419CE">
        <w:t xml:space="preserve"> ekstern </w:t>
      </w:r>
      <w:proofErr w:type="spellStart"/>
      <w:r w:rsidRPr="00B419CE">
        <w:t>kvalitetssikrar</w:t>
      </w:r>
      <w:proofErr w:type="spellEnd"/>
      <w:r w:rsidRPr="00B419CE">
        <w:t xml:space="preserve"> (KS2-prosess). </w:t>
      </w:r>
      <w:proofErr w:type="spellStart"/>
      <w:r w:rsidRPr="00B419CE">
        <w:t>Kvalitetssikrar</w:t>
      </w:r>
      <w:proofErr w:type="spellEnd"/>
      <w:r w:rsidRPr="00B419CE">
        <w:t xml:space="preserve"> vurderer at prosjektet med </w:t>
      </w:r>
      <w:proofErr w:type="spellStart"/>
      <w:r w:rsidRPr="00B419CE">
        <w:t>høg</w:t>
      </w:r>
      <w:proofErr w:type="spellEnd"/>
      <w:r w:rsidRPr="00B419CE">
        <w:t xml:space="preserve"> tryggleik er samfunnsøkonomisk </w:t>
      </w:r>
      <w:proofErr w:type="spellStart"/>
      <w:r w:rsidRPr="00B419CE">
        <w:t>lønsamt</w:t>
      </w:r>
      <w:proofErr w:type="spellEnd"/>
      <w:r w:rsidRPr="00B419CE">
        <w:t xml:space="preserve"> og </w:t>
      </w:r>
      <w:proofErr w:type="spellStart"/>
      <w:r w:rsidRPr="00B419CE">
        <w:t>tilstrekkeleg</w:t>
      </w:r>
      <w:proofErr w:type="spellEnd"/>
      <w:r w:rsidRPr="00B419CE">
        <w:t xml:space="preserve"> </w:t>
      </w:r>
      <w:proofErr w:type="gramStart"/>
      <w:r w:rsidRPr="00B419CE">
        <w:t>robust</w:t>
      </w:r>
      <w:proofErr w:type="gramEnd"/>
      <w:r w:rsidRPr="00B419CE">
        <w:t xml:space="preserve">, og tilrår at det blir fastsett økonomiske rammer for programmet samla og for gjennomføringa av steg 1. Regjeringa </w:t>
      </w:r>
      <w:proofErr w:type="spellStart"/>
      <w:r w:rsidRPr="00B419CE">
        <w:t>legg</w:t>
      </w:r>
      <w:proofErr w:type="spellEnd"/>
      <w:r w:rsidRPr="00B419CE">
        <w:t xml:space="preserve"> til grunn ei samla </w:t>
      </w:r>
      <w:r w:rsidRPr="00B419CE">
        <w:rPr>
          <w:rStyle w:val="kursiv"/>
        </w:rPr>
        <w:t xml:space="preserve">Design to </w:t>
      </w:r>
      <w:proofErr w:type="spellStart"/>
      <w:r w:rsidRPr="00B419CE">
        <w:rPr>
          <w:rStyle w:val="kursiv"/>
        </w:rPr>
        <w:t>cost</w:t>
      </w:r>
      <w:proofErr w:type="spellEnd"/>
      <w:r w:rsidRPr="00B419CE">
        <w:t xml:space="preserve"> (DTC)-ramme for heile programmet (steg 1–3) lik P65 på 4 341 mill. kroner inkl. mva. For steg 1 som det </w:t>
      </w:r>
      <w:proofErr w:type="spellStart"/>
      <w:r w:rsidRPr="00B419CE">
        <w:t>no</w:t>
      </w:r>
      <w:proofErr w:type="spellEnd"/>
      <w:r w:rsidRPr="00B419CE">
        <w:t xml:space="preserve"> vert gjort framlegg om, foreslår regjeringa ei kostnadsramme på 1 864 mill. kroner inkl. mva. og ei styringsramme på 1 553 mill. kroner inkl. mva. (</w:t>
      </w:r>
      <w:proofErr w:type="spellStart"/>
      <w:r w:rsidRPr="00B419CE">
        <w:t>innanfor</w:t>
      </w:r>
      <w:proofErr w:type="spellEnd"/>
      <w:r w:rsidRPr="00B419CE">
        <w:t xml:space="preserve"> samla DTC-ramme).</w:t>
      </w:r>
    </w:p>
    <w:p w14:paraId="0AE795FD" w14:textId="77777777" w:rsidR="00B419CE" w:rsidRPr="00B419CE" w:rsidRDefault="00B419CE" w:rsidP="00B419CE">
      <w:r w:rsidRPr="00B419CE">
        <w:t xml:space="preserve">For 2022 er det sett av 357,7 mill. kroner til prosjektet, fordelt på Skatteetaten (315,4 mill. kroner), politiet (18,5 mill. kroner), Nav (13,5 mill. kroner) og </w:t>
      </w:r>
      <w:proofErr w:type="spellStart"/>
      <w:r w:rsidRPr="00B419CE">
        <w:t>Brønnøysundregistera</w:t>
      </w:r>
      <w:proofErr w:type="spellEnd"/>
      <w:r w:rsidRPr="00B419CE">
        <w:t xml:space="preserve"> (10,3 mill. kroner). </w:t>
      </w:r>
      <w:proofErr w:type="spellStart"/>
      <w:r w:rsidRPr="00B419CE">
        <w:t>Midlane</w:t>
      </w:r>
      <w:proofErr w:type="spellEnd"/>
      <w:r w:rsidRPr="00B419CE">
        <w:t xml:space="preserve"> til Skatteetaten er fordelte med 10,7 mill. kroner på post 01 Driftsutgifter og 304,7 mill. kroner på post 22 Større IT-prosjekt.</w:t>
      </w:r>
    </w:p>
    <w:p w14:paraId="7171C3EE" w14:textId="77777777" w:rsidR="00B419CE" w:rsidRPr="00B419CE" w:rsidRDefault="00B419CE" w:rsidP="00B419CE">
      <w:pPr>
        <w:pStyle w:val="avsnitt-undertittel"/>
      </w:pPr>
      <w:r w:rsidRPr="00B419CE">
        <w:t>Klagesaksbehandling</w:t>
      </w:r>
    </w:p>
    <w:p w14:paraId="34766411" w14:textId="77777777" w:rsidR="00B419CE" w:rsidRPr="00B419CE" w:rsidRDefault="00B419CE" w:rsidP="00B419CE">
      <w:r w:rsidRPr="00B419CE">
        <w:t xml:space="preserve">Samla behandlingstid for klagesakene som vert sende til Skatteklagenemnda for avgjerd, er i dag for lang. Skattedirektoratet må </w:t>
      </w:r>
      <w:proofErr w:type="spellStart"/>
      <w:r w:rsidRPr="00B419CE">
        <w:t>framleis</w:t>
      </w:r>
      <w:proofErr w:type="spellEnd"/>
      <w:r w:rsidRPr="00B419CE">
        <w:t xml:space="preserve"> </w:t>
      </w:r>
      <w:proofErr w:type="spellStart"/>
      <w:r w:rsidRPr="00B419CE">
        <w:t>følgje</w:t>
      </w:r>
      <w:proofErr w:type="spellEnd"/>
      <w:r w:rsidRPr="00B419CE">
        <w:t xml:space="preserve"> opp sekretariatet for Skatteklagenemndas arbeid med å redusere </w:t>
      </w:r>
      <w:proofErr w:type="spellStart"/>
      <w:r w:rsidRPr="00B419CE">
        <w:t>restansane</w:t>
      </w:r>
      <w:proofErr w:type="spellEnd"/>
      <w:r w:rsidRPr="00B419CE">
        <w:t>.</w:t>
      </w:r>
    </w:p>
    <w:p w14:paraId="3CE9BB84" w14:textId="77777777" w:rsidR="00B419CE" w:rsidRPr="00B419CE" w:rsidRDefault="00B419CE" w:rsidP="00B419CE">
      <w:r w:rsidRPr="00B419CE">
        <w:t xml:space="preserve">Sjå </w:t>
      </w:r>
      <w:proofErr w:type="spellStart"/>
      <w:r w:rsidRPr="00B419CE">
        <w:t>nærare</w:t>
      </w:r>
      <w:proofErr w:type="spellEnd"/>
      <w:r w:rsidRPr="00B419CE">
        <w:t xml:space="preserve"> omtale om prioriterte tiltak for Skatteklagenemnda under kap. 1619 Skatteklagenemnda.</w:t>
      </w:r>
    </w:p>
    <w:p w14:paraId="6DCB7A89" w14:textId="77777777" w:rsidR="00B419CE" w:rsidRPr="00B419CE" w:rsidRDefault="00B419CE" w:rsidP="00B419CE">
      <w:pPr>
        <w:pStyle w:val="Undertittel"/>
      </w:pPr>
      <w:r w:rsidRPr="00B419CE">
        <w:t>Budsjett for 2022</w:t>
      </w:r>
    </w:p>
    <w:p w14:paraId="3228D3D4" w14:textId="77777777" w:rsidR="00B419CE" w:rsidRPr="00B419CE" w:rsidRDefault="00B419CE" w:rsidP="00B419CE">
      <w:r w:rsidRPr="00B419CE">
        <w:t xml:space="preserve">Budsjettramma for Skatteetaten er for 2022 sett til 8 231,1 mill. kroner som er 446,8 mill. kroner </w:t>
      </w:r>
      <w:proofErr w:type="spellStart"/>
      <w:r w:rsidRPr="00B419CE">
        <w:t>høgare</w:t>
      </w:r>
      <w:proofErr w:type="spellEnd"/>
      <w:r w:rsidRPr="00B419CE">
        <w:t xml:space="preserve"> enn i saldert budsjett 2021. Av </w:t>
      </w:r>
      <w:proofErr w:type="spellStart"/>
      <w:r w:rsidRPr="00B419CE">
        <w:t>auken</w:t>
      </w:r>
      <w:proofErr w:type="spellEnd"/>
      <w:r w:rsidRPr="00B419CE">
        <w:t xml:space="preserve"> gjeld om lag ¾ </w:t>
      </w:r>
      <w:proofErr w:type="spellStart"/>
      <w:r w:rsidRPr="00B419CE">
        <w:t>investeringar</w:t>
      </w:r>
      <w:proofErr w:type="spellEnd"/>
      <w:r w:rsidRPr="00B419CE">
        <w:t xml:space="preserve"> på IT-området over </w:t>
      </w:r>
      <w:proofErr w:type="spellStart"/>
      <w:r w:rsidRPr="00B419CE">
        <w:t>postane</w:t>
      </w:r>
      <w:proofErr w:type="spellEnd"/>
      <w:r w:rsidRPr="00B419CE">
        <w:t xml:space="preserve"> 22 Større IT-prosjekt og 45 Større utstyrskjøp og </w:t>
      </w:r>
      <w:proofErr w:type="spellStart"/>
      <w:r w:rsidRPr="00B419CE">
        <w:t>vedlikehald</w:t>
      </w:r>
      <w:proofErr w:type="spellEnd"/>
      <w:r w:rsidRPr="00B419CE">
        <w:t xml:space="preserve">. Løyvinga skal brukast i samsvar med </w:t>
      </w:r>
      <w:proofErr w:type="spellStart"/>
      <w:r w:rsidRPr="00B419CE">
        <w:t>dei</w:t>
      </w:r>
      <w:proofErr w:type="spellEnd"/>
      <w:r w:rsidRPr="00B419CE">
        <w:t xml:space="preserve"> mål og </w:t>
      </w:r>
      <w:proofErr w:type="spellStart"/>
      <w:r w:rsidRPr="00B419CE">
        <w:t>prioriteringar</w:t>
      </w:r>
      <w:proofErr w:type="spellEnd"/>
      <w:r w:rsidRPr="00B419CE">
        <w:t xml:space="preserve"> som er omtalte </w:t>
      </w:r>
      <w:proofErr w:type="spellStart"/>
      <w:r w:rsidRPr="00B419CE">
        <w:t>ovanfor</w:t>
      </w:r>
      <w:proofErr w:type="spellEnd"/>
      <w:r w:rsidRPr="00B419CE">
        <w:t>.</w:t>
      </w:r>
    </w:p>
    <w:p w14:paraId="635341CF" w14:textId="77777777" w:rsidR="00B419CE" w:rsidRPr="00B419CE" w:rsidRDefault="00B419CE" w:rsidP="00B419CE">
      <w:pPr>
        <w:pStyle w:val="b-post"/>
      </w:pPr>
      <w:r w:rsidRPr="00B419CE">
        <w:t>Post 01 Driftsutgifter</w:t>
      </w:r>
    </w:p>
    <w:p w14:paraId="0C107B38" w14:textId="77777777" w:rsidR="00B419CE" w:rsidRPr="00B419CE" w:rsidRDefault="00B419CE" w:rsidP="00B419CE">
      <w:r w:rsidRPr="00B419CE">
        <w:t xml:space="preserve">Posten </w:t>
      </w:r>
      <w:proofErr w:type="spellStart"/>
      <w:r w:rsidRPr="00B419CE">
        <w:t>omfattar</w:t>
      </w:r>
      <w:proofErr w:type="spellEnd"/>
      <w:r w:rsidRPr="00B419CE">
        <w:t xml:space="preserve"> mellom anna </w:t>
      </w:r>
      <w:proofErr w:type="spellStart"/>
      <w:r w:rsidRPr="00B419CE">
        <w:t>lønsutgifter</w:t>
      </w:r>
      <w:proofErr w:type="spellEnd"/>
      <w:r w:rsidRPr="00B419CE">
        <w:t xml:space="preserve">, utgifter til opplæring, utgifter til </w:t>
      </w:r>
      <w:proofErr w:type="spellStart"/>
      <w:r w:rsidRPr="00B419CE">
        <w:t>leige</w:t>
      </w:r>
      <w:proofErr w:type="spellEnd"/>
      <w:r w:rsidRPr="00B419CE">
        <w:t xml:space="preserve"> og drift av kontorlokale, reiser og kontorutstyr.</w:t>
      </w:r>
    </w:p>
    <w:p w14:paraId="6F53BEBA" w14:textId="77777777" w:rsidR="00B419CE" w:rsidRPr="00B419CE" w:rsidRDefault="00B419CE" w:rsidP="00B419CE">
      <w:r w:rsidRPr="00B419CE">
        <w:t xml:space="preserve">For 2022 er det gjort framlegg om å løyve 7 102,1 mill. kroner under post 01. Dette er </w:t>
      </w:r>
      <w:proofErr w:type="spellStart"/>
      <w:r w:rsidRPr="00B419CE">
        <w:t>ein</w:t>
      </w:r>
      <w:proofErr w:type="spellEnd"/>
      <w:r w:rsidRPr="00B419CE">
        <w:t xml:space="preserve"> nominell </w:t>
      </w:r>
      <w:proofErr w:type="spellStart"/>
      <w:r w:rsidRPr="00B419CE">
        <w:t>auke</w:t>
      </w:r>
      <w:proofErr w:type="spellEnd"/>
      <w:r w:rsidRPr="00B419CE">
        <w:t xml:space="preserve"> </w:t>
      </w:r>
      <w:proofErr w:type="spellStart"/>
      <w:r w:rsidRPr="00B419CE">
        <w:t>frå</w:t>
      </w:r>
      <w:proofErr w:type="spellEnd"/>
      <w:r w:rsidRPr="00B419CE">
        <w:t xml:space="preserve"> saldert budsjett 2021 med 56,6 mill. kroner eller 0,8 pst. Ei omlegging av ordninga med premiebetaling til Statens pensjonskasse, </w:t>
      </w:r>
      <w:proofErr w:type="spellStart"/>
      <w:r w:rsidRPr="00B419CE">
        <w:t>inneber</w:t>
      </w:r>
      <w:proofErr w:type="spellEnd"/>
      <w:r w:rsidRPr="00B419CE">
        <w:t xml:space="preserve"> </w:t>
      </w:r>
      <w:proofErr w:type="spellStart"/>
      <w:r w:rsidRPr="00B419CE">
        <w:t>åleine</w:t>
      </w:r>
      <w:proofErr w:type="spellEnd"/>
      <w:r w:rsidRPr="00B419CE">
        <w:t xml:space="preserve"> </w:t>
      </w:r>
      <w:proofErr w:type="spellStart"/>
      <w:r w:rsidRPr="00B419CE">
        <w:t>ein</w:t>
      </w:r>
      <w:proofErr w:type="spellEnd"/>
      <w:r w:rsidRPr="00B419CE">
        <w:t xml:space="preserve"> reduksjon </w:t>
      </w:r>
      <w:r w:rsidRPr="00B419CE">
        <w:lastRenderedPageBreak/>
        <w:t xml:space="preserve">med 104,0 mill. kroner. Forslaget </w:t>
      </w:r>
      <w:proofErr w:type="spellStart"/>
      <w:r w:rsidRPr="00B419CE">
        <w:t>inneber</w:t>
      </w:r>
      <w:proofErr w:type="spellEnd"/>
      <w:r w:rsidRPr="00B419CE">
        <w:t xml:space="preserve"> skjerpa krav til effektivisering, </w:t>
      </w:r>
      <w:proofErr w:type="spellStart"/>
      <w:r w:rsidRPr="00B419CE">
        <w:t>innsparingar</w:t>
      </w:r>
      <w:proofErr w:type="spellEnd"/>
      <w:r w:rsidRPr="00B419CE">
        <w:t xml:space="preserve"> og </w:t>
      </w:r>
      <w:proofErr w:type="spellStart"/>
      <w:r w:rsidRPr="00B419CE">
        <w:t>gevinstrealiseringar</w:t>
      </w:r>
      <w:proofErr w:type="spellEnd"/>
      <w:r w:rsidRPr="00B419CE">
        <w:t xml:space="preserve"> på grovt </w:t>
      </w:r>
      <w:proofErr w:type="spellStart"/>
      <w:r w:rsidRPr="00B419CE">
        <w:t>rekna</w:t>
      </w:r>
      <w:proofErr w:type="spellEnd"/>
      <w:r w:rsidRPr="00B419CE">
        <w:t xml:space="preserve"> 120 mill. kroner, </w:t>
      </w:r>
      <w:proofErr w:type="spellStart"/>
      <w:r w:rsidRPr="00B419CE">
        <w:t>medan</w:t>
      </w:r>
      <w:proofErr w:type="spellEnd"/>
      <w:r w:rsidRPr="00B419CE">
        <w:t xml:space="preserve"> justering for </w:t>
      </w:r>
      <w:proofErr w:type="spellStart"/>
      <w:r w:rsidRPr="00B419CE">
        <w:t>lønsvekst</w:t>
      </w:r>
      <w:proofErr w:type="spellEnd"/>
      <w:r w:rsidRPr="00B419CE">
        <w:t xml:space="preserve"> </w:t>
      </w:r>
      <w:proofErr w:type="spellStart"/>
      <w:r w:rsidRPr="00B419CE">
        <w:t>utgjer</w:t>
      </w:r>
      <w:proofErr w:type="spellEnd"/>
      <w:r w:rsidRPr="00B419CE">
        <w:t xml:space="preserve"> om lag 170 mill. kroner. Posten er òg </w:t>
      </w:r>
      <w:proofErr w:type="spellStart"/>
      <w:r w:rsidRPr="00B419CE">
        <w:t>auka</w:t>
      </w:r>
      <w:proofErr w:type="spellEnd"/>
      <w:r w:rsidRPr="00B419CE">
        <w:t xml:space="preserve"> med 50 mill. kroner til mellombels styrking av kontroll- og </w:t>
      </w:r>
      <w:proofErr w:type="spellStart"/>
      <w:r w:rsidRPr="00B419CE">
        <w:t>innkrevjingsområdet</w:t>
      </w:r>
      <w:proofErr w:type="spellEnd"/>
      <w:r w:rsidRPr="00B419CE">
        <w:t xml:space="preserve"> som </w:t>
      </w:r>
      <w:proofErr w:type="spellStart"/>
      <w:r w:rsidRPr="00B419CE">
        <w:t>følgje</w:t>
      </w:r>
      <w:proofErr w:type="spellEnd"/>
      <w:r w:rsidRPr="00B419CE">
        <w:t xml:space="preserve"> av pandemien og 25 mill. kroner til arbeid med informasjonstryggleik, jf. omtale </w:t>
      </w:r>
      <w:proofErr w:type="spellStart"/>
      <w:r w:rsidRPr="00B419CE">
        <w:t>ovanfor</w:t>
      </w:r>
      <w:proofErr w:type="spellEnd"/>
      <w:r w:rsidRPr="00B419CE">
        <w:t xml:space="preserve">. Samla </w:t>
      </w:r>
      <w:proofErr w:type="spellStart"/>
      <w:r w:rsidRPr="00B419CE">
        <w:t>inneber</w:t>
      </w:r>
      <w:proofErr w:type="spellEnd"/>
      <w:r w:rsidRPr="00B419CE">
        <w:t xml:space="preserve"> budsjettframlegget at bemanninga i etaten vil </w:t>
      </w:r>
      <w:proofErr w:type="spellStart"/>
      <w:r w:rsidRPr="00B419CE">
        <w:t>verte</w:t>
      </w:r>
      <w:proofErr w:type="spellEnd"/>
      <w:r w:rsidRPr="00B419CE">
        <w:t xml:space="preserve"> </w:t>
      </w:r>
      <w:proofErr w:type="spellStart"/>
      <w:r w:rsidRPr="00B419CE">
        <w:t>lågare</w:t>
      </w:r>
      <w:proofErr w:type="spellEnd"/>
      <w:r w:rsidRPr="00B419CE">
        <w:t xml:space="preserve"> i 2022 enn i 2021.</w:t>
      </w:r>
    </w:p>
    <w:p w14:paraId="7AC8C5ED" w14:textId="77777777" w:rsidR="00B419CE" w:rsidRPr="00B419CE" w:rsidRDefault="00B419CE" w:rsidP="00B419CE">
      <w:pPr>
        <w:pStyle w:val="b-post"/>
      </w:pPr>
      <w:r w:rsidRPr="00B419CE">
        <w:t>Post 21 Spesielle driftsutgifter</w:t>
      </w:r>
    </w:p>
    <w:p w14:paraId="035E05B8" w14:textId="77777777" w:rsidR="00B419CE" w:rsidRPr="00B419CE" w:rsidRDefault="00B419CE" w:rsidP="00B419CE">
      <w:r w:rsidRPr="00B419CE">
        <w:t xml:space="preserve">Posten </w:t>
      </w:r>
      <w:proofErr w:type="spellStart"/>
      <w:r w:rsidRPr="00B419CE">
        <w:t>omfattar</w:t>
      </w:r>
      <w:proofErr w:type="spellEnd"/>
      <w:r w:rsidRPr="00B419CE">
        <w:t xml:space="preserve"> utgifter til </w:t>
      </w:r>
      <w:proofErr w:type="spellStart"/>
      <w:r w:rsidRPr="00B419CE">
        <w:t>innkrevjing</w:t>
      </w:r>
      <w:proofErr w:type="spellEnd"/>
      <w:r w:rsidRPr="00B419CE">
        <w:t xml:space="preserve"> av </w:t>
      </w:r>
      <w:proofErr w:type="spellStart"/>
      <w:r w:rsidRPr="00B419CE">
        <w:t>arbeidsgjevaravgift</w:t>
      </w:r>
      <w:proofErr w:type="spellEnd"/>
      <w:r w:rsidRPr="00B419CE">
        <w:t xml:space="preserve">, skatt, trygdeavgift, </w:t>
      </w:r>
      <w:proofErr w:type="spellStart"/>
      <w:r w:rsidRPr="00B419CE">
        <w:t>meirverdiavgift</w:t>
      </w:r>
      <w:proofErr w:type="spellEnd"/>
      <w:r w:rsidRPr="00B419CE">
        <w:t xml:space="preserve">, særavgifter og petroleumsskatt m.m. Posten </w:t>
      </w:r>
      <w:proofErr w:type="spellStart"/>
      <w:r w:rsidRPr="00B419CE">
        <w:t>omfattar</w:t>
      </w:r>
      <w:proofErr w:type="spellEnd"/>
      <w:r w:rsidRPr="00B419CE">
        <w:t xml:space="preserve"> òg </w:t>
      </w:r>
      <w:proofErr w:type="spellStart"/>
      <w:r w:rsidRPr="00B419CE">
        <w:t>kostnadar</w:t>
      </w:r>
      <w:proofErr w:type="spellEnd"/>
      <w:r w:rsidRPr="00B419CE">
        <w:t xml:space="preserve"> med tvangsforretning, tinglysing, garantistilling og </w:t>
      </w:r>
      <w:proofErr w:type="spellStart"/>
      <w:r w:rsidRPr="00B419CE">
        <w:t>innkrevjing</w:t>
      </w:r>
      <w:proofErr w:type="spellEnd"/>
      <w:r w:rsidRPr="00B419CE">
        <w:t xml:space="preserve"> av barnebidrag. </w:t>
      </w:r>
      <w:proofErr w:type="spellStart"/>
      <w:r w:rsidRPr="00B419CE">
        <w:t>Vidare</w:t>
      </w:r>
      <w:proofErr w:type="spellEnd"/>
      <w:r w:rsidRPr="00B419CE">
        <w:t xml:space="preserve"> </w:t>
      </w:r>
      <w:proofErr w:type="spellStart"/>
      <w:r w:rsidRPr="00B419CE">
        <w:t>omfattar</w:t>
      </w:r>
      <w:proofErr w:type="spellEnd"/>
      <w:r w:rsidRPr="00B419CE">
        <w:t xml:space="preserve"> posten </w:t>
      </w:r>
      <w:proofErr w:type="spellStart"/>
      <w:r w:rsidRPr="00B419CE">
        <w:t>sakskostnadar</w:t>
      </w:r>
      <w:proofErr w:type="spellEnd"/>
      <w:r w:rsidRPr="00B419CE">
        <w:t xml:space="preserve"> i rettssaker som gjeld </w:t>
      </w:r>
      <w:proofErr w:type="spellStart"/>
      <w:r w:rsidRPr="00B419CE">
        <w:t>meirverdiavgift</w:t>
      </w:r>
      <w:proofErr w:type="spellEnd"/>
      <w:r w:rsidRPr="00B419CE">
        <w:t xml:space="preserve">, petroleumsskatt, særavgifter, krav </w:t>
      </w:r>
      <w:proofErr w:type="spellStart"/>
      <w:r w:rsidRPr="00B419CE">
        <w:t>frå</w:t>
      </w:r>
      <w:proofErr w:type="spellEnd"/>
      <w:r w:rsidRPr="00B419CE">
        <w:t xml:space="preserve"> </w:t>
      </w:r>
      <w:proofErr w:type="spellStart"/>
      <w:r w:rsidRPr="00B419CE">
        <w:t>statlege</w:t>
      </w:r>
      <w:proofErr w:type="spellEnd"/>
      <w:r w:rsidRPr="00B419CE">
        <w:t xml:space="preserve"> </w:t>
      </w:r>
      <w:proofErr w:type="spellStart"/>
      <w:r w:rsidRPr="00B419CE">
        <w:t>oppdragsgjevarar</w:t>
      </w:r>
      <w:proofErr w:type="spellEnd"/>
      <w:r w:rsidRPr="00B419CE">
        <w:t xml:space="preserve"> og bidrag og tilbakebetaling. For 2022 er det gjort framlegg om å løyve 264,8 mill. kroner under post 21.</w:t>
      </w:r>
    </w:p>
    <w:p w14:paraId="490E179E" w14:textId="77777777" w:rsidR="00B419CE" w:rsidRPr="00B419CE" w:rsidRDefault="00B419CE" w:rsidP="00B419CE">
      <w:pPr>
        <w:pStyle w:val="b-post"/>
      </w:pPr>
      <w:r w:rsidRPr="00B419CE">
        <w:t xml:space="preserve">Post 22 Større IT-prosjekt, kan </w:t>
      </w:r>
      <w:proofErr w:type="spellStart"/>
      <w:r w:rsidRPr="00B419CE">
        <w:t>overførast</w:t>
      </w:r>
      <w:proofErr w:type="spellEnd"/>
    </w:p>
    <w:p w14:paraId="3CACF5F2"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løyvingar</w:t>
      </w:r>
      <w:proofErr w:type="spellEnd"/>
      <w:r w:rsidRPr="00B419CE">
        <w:t xml:space="preserve"> til arbeid med dialogbasert skattemelding (Sirius), </w:t>
      </w:r>
      <w:proofErr w:type="spellStart"/>
      <w:r w:rsidRPr="00B419CE">
        <w:t>eit</w:t>
      </w:r>
      <w:proofErr w:type="spellEnd"/>
      <w:r w:rsidRPr="00B419CE">
        <w:t xml:space="preserve"> nytt IT-system for </w:t>
      </w:r>
      <w:proofErr w:type="spellStart"/>
      <w:r w:rsidRPr="00B419CE">
        <w:t>meirverdiavgift</w:t>
      </w:r>
      <w:proofErr w:type="spellEnd"/>
      <w:r w:rsidRPr="00B419CE">
        <w:t xml:space="preserve"> (Memo), OTP og deling av data. Prosjekta er </w:t>
      </w:r>
      <w:proofErr w:type="spellStart"/>
      <w:r w:rsidRPr="00B419CE">
        <w:t>nærare</w:t>
      </w:r>
      <w:proofErr w:type="spellEnd"/>
      <w:r w:rsidRPr="00B419CE">
        <w:t xml:space="preserve"> omtalte </w:t>
      </w:r>
      <w:proofErr w:type="spellStart"/>
      <w:r w:rsidRPr="00B419CE">
        <w:t>ovanfor</w:t>
      </w:r>
      <w:proofErr w:type="spellEnd"/>
      <w:r w:rsidRPr="00B419CE">
        <w:t>. For 2022 er det gjort framlegg om å løyve 616,8 mill. kroner under post 22.</w:t>
      </w:r>
    </w:p>
    <w:p w14:paraId="52640DD2" w14:textId="77777777" w:rsidR="00B419CE" w:rsidRPr="00B419CE" w:rsidRDefault="00B419CE" w:rsidP="00B419CE">
      <w:r w:rsidRPr="00B419CE">
        <w:t xml:space="preserve">For </w:t>
      </w:r>
      <w:proofErr w:type="spellStart"/>
      <w:r w:rsidRPr="00B419CE">
        <w:t>desse</w:t>
      </w:r>
      <w:proofErr w:type="spellEnd"/>
      <w:r w:rsidRPr="00B419CE">
        <w:t xml:space="preserve"> investeringsprosjekta kan det </w:t>
      </w:r>
      <w:proofErr w:type="spellStart"/>
      <w:r w:rsidRPr="00B419CE">
        <w:t>verte</w:t>
      </w:r>
      <w:proofErr w:type="spellEnd"/>
      <w:r w:rsidRPr="00B419CE">
        <w:t xml:space="preserve"> bruk for </w:t>
      </w:r>
      <w:proofErr w:type="spellStart"/>
      <w:r w:rsidRPr="00B419CE">
        <w:t>avtalar</w:t>
      </w:r>
      <w:proofErr w:type="spellEnd"/>
      <w:r w:rsidRPr="00B419CE">
        <w:t xml:space="preserve"> som går utover budsjettåret, mot dekning av </w:t>
      </w:r>
      <w:proofErr w:type="spellStart"/>
      <w:r w:rsidRPr="00B419CE">
        <w:t>seinare</w:t>
      </w:r>
      <w:proofErr w:type="spellEnd"/>
      <w:r w:rsidRPr="00B419CE">
        <w:t xml:space="preserve"> </w:t>
      </w:r>
      <w:proofErr w:type="spellStart"/>
      <w:r w:rsidRPr="00B419CE">
        <w:t>løyvingar</w:t>
      </w:r>
      <w:proofErr w:type="spellEnd"/>
      <w:r w:rsidRPr="00B419CE">
        <w:t xml:space="preserve">. Departementet ber </w:t>
      </w:r>
      <w:proofErr w:type="spellStart"/>
      <w:r w:rsidRPr="00B419CE">
        <w:t>difor</w:t>
      </w:r>
      <w:proofErr w:type="spellEnd"/>
      <w:r w:rsidRPr="00B419CE">
        <w:t xml:space="preserve"> om at Skatteetaten får fullmakt til å inngå slike </w:t>
      </w:r>
      <w:proofErr w:type="spellStart"/>
      <w:r w:rsidRPr="00B419CE">
        <w:t>avtalar</w:t>
      </w:r>
      <w:proofErr w:type="spellEnd"/>
      <w:r w:rsidRPr="00B419CE">
        <w:t xml:space="preserve"> </w:t>
      </w:r>
      <w:proofErr w:type="spellStart"/>
      <w:r w:rsidRPr="00B419CE">
        <w:t>innanfor</w:t>
      </w:r>
      <w:proofErr w:type="spellEnd"/>
      <w:r w:rsidRPr="00B419CE">
        <w:t xml:space="preserve"> </w:t>
      </w:r>
      <w:proofErr w:type="spellStart"/>
      <w:r w:rsidRPr="00B419CE">
        <w:t>dei</w:t>
      </w:r>
      <w:proofErr w:type="spellEnd"/>
      <w:r w:rsidRPr="00B419CE">
        <w:t xml:space="preserve"> kostnadsrammene som er </w:t>
      </w:r>
      <w:proofErr w:type="spellStart"/>
      <w:r w:rsidRPr="00B419CE">
        <w:t>gjevne</w:t>
      </w:r>
      <w:proofErr w:type="spellEnd"/>
      <w:r w:rsidRPr="00B419CE">
        <w:t xml:space="preserve"> </w:t>
      </w:r>
      <w:proofErr w:type="spellStart"/>
      <w:r w:rsidRPr="00B419CE">
        <w:t>ovanfor</w:t>
      </w:r>
      <w:proofErr w:type="spellEnd"/>
      <w:r w:rsidRPr="00B419CE">
        <w:t xml:space="preserve">, jf. framlegg til </w:t>
      </w:r>
      <w:proofErr w:type="spellStart"/>
      <w:r w:rsidRPr="00B419CE">
        <w:t>romartalsvedtak</w:t>
      </w:r>
      <w:proofErr w:type="spellEnd"/>
      <w:r w:rsidRPr="00B419CE">
        <w:t xml:space="preserve"> V.</w:t>
      </w:r>
    </w:p>
    <w:p w14:paraId="63730103" w14:textId="77777777" w:rsidR="00B419CE" w:rsidRPr="00B419CE" w:rsidRDefault="00B419CE" w:rsidP="00B419CE">
      <w:pPr>
        <w:pStyle w:val="b-post"/>
      </w:pPr>
      <w:r w:rsidRPr="00B419CE">
        <w:t>Post 23 Spesielle driftsutgifter, a-ordninga</w:t>
      </w:r>
    </w:p>
    <w:p w14:paraId="4DFAB41E" w14:textId="77777777" w:rsidR="00B419CE" w:rsidRPr="00B419CE" w:rsidRDefault="00B419CE" w:rsidP="00B419CE">
      <w:r w:rsidRPr="00B419CE">
        <w:t xml:space="preserve">Skatteetaten tek hand om interessene til </w:t>
      </w:r>
      <w:proofErr w:type="spellStart"/>
      <w:r w:rsidRPr="00B419CE">
        <w:t>dei</w:t>
      </w:r>
      <w:proofErr w:type="spellEnd"/>
      <w:r w:rsidRPr="00B419CE">
        <w:t xml:space="preserve"> tre </w:t>
      </w:r>
      <w:proofErr w:type="spellStart"/>
      <w:r w:rsidRPr="00B419CE">
        <w:t>samarbeidande</w:t>
      </w:r>
      <w:proofErr w:type="spellEnd"/>
      <w:r w:rsidRPr="00B419CE">
        <w:t xml:space="preserve"> </w:t>
      </w:r>
      <w:proofErr w:type="spellStart"/>
      <w:r w:rsidRPr="00B419CE">
        <w:t>etatane</w:t>
      </w:r>
      <w:proofErr w:type="spellEnd"/>
      <w:r w:rsidRPr="00B419CE">
        <w:t xml:space="preserve"> (Skatteetaten, Arbeids- og velferdsetaten og Statistisk sentralbyrå) og til </w:t>
      </w:r>
      <w:proofErr w:type="spellStart"/>
      <w:r w:rsidRPr="00B419CE">
        <w:t>dei</w:t>
      </w:r>
      <w:proofErr w:type="spellEnd"/>
      <w:r w:rsidRPr="00B419CE">
        <w:t xml:space="preserve"> opplysningspliktige i den </w:t>
      </w:r>
      <w:proofErr w:type="spellStart"/>
      <w:r w:rsidRPr="00B419CE">
        <w:t>vidare</w:t>
      </w:r>
      <w:proofErr w:type="spellEnd"/>
      <w:r w:rsidRPr="00B419CE">
        <w:t xml:space="preserve"> forvaltinga og utviklinga av a-ordninga. For 2022 er det gjort framlegg om å løyve 97,6 mill. kroner til forvaltinga av a-ordninga.</w:t>
      </w:r>
    </w:p>
    <w:p w14:paraId="25DCCF8C" w14:textId="77777777" w:rsidR="00B419CE" w:rsidRPr="00B419CE" w:rsidRDefault="00B419CE" w:rsidP="00B419CE">
      <w:pPr>
        <w:pStyle w:val="b-post"/>
      </w:pPr>
      <w:r w:rsidRPr="00B419CE">
        <w:t xml:space="preserve">Post 45 Større utstyrskjøp og </w:t>
      </w:r>
      <w:proofErr w:type="spellStart"/>
      <w:r w:rsidRPr="00B419CE">
        <w:t>vedlikehald</w:t>
      </w:r>
      <w:proofErr w:type="spellEnd"/>
      <w:r w:rsidRPr="00B419CE">
        <w:t xml:space="preserve">, kan </w:t>
      </w:r>
      <w:proofErr w:type="spellStart"/>
      <w:r w:rsidRPr="00B419CE">
        <w:t>overførast</w:t>
      </w:r>
      <w:proofErr w:type="spellEnd"/>
    </w:p>
    <w:p w14:paraId="2312EFE0" w14:textId="77777777" w:rsidR="00B419CE" w:rsidRPr="00B419CE" w:rsidRDefault="00B419CE" w:rsidP="00B419CE">
      <w:r w:rsidRPr="00B419CE">
        <w:t xml:space="preserve">Posten </w:t>
      </w:r>
      <w:proofErr w:type="spellStart"/>
      <w:r w:rsidRPr="00B419CE">
        <w:t>omfattar</w:t>
      </w:r>
      <w:proofErr w:type="spellEnd"/>
      <w:r w:rsidRPr="00B419CE">
        <w:t xml:space="preserve"> utviklingstiltak for Skatteetatens system og infrastruktur på IKT-området, </w:t>
      </w:r>
      <w:proofErr w:type="spellStart"/>
      <w:r w:rsidRPr="00B419CE">
        <w:t>medrekna</w:t>
      </w:r>
      <w:proofErr w:type="spellEnd"/>
      <w:r w:rsidRPr="00B419CE">
        <w:t xml:space="preserve"> </w:t>
      </w:r>
      <w:proofErr w:type="spellStart"/>
      <w:r w:rsidRPr="00B419CE">
        <w:t>meir</w:t>
      </w:r>
      <w:proofErr w:type="spellEnd"/>
      <w:r w:rsidRPr="00B419CE">
        <w:t xml:space="preserve"> </w:t>
      </w:r>
      <w:proofErr w:type="spellStart"/>
      <w:r w:rsidRPr="00B419CE">
        <w:t>omfattande</w:t>
      </w:r>
      <w:proofErr w:type="spellEnd"/>
      <w:r w:rsidRPr="00B419CE">
        <w:t xml:space="preserve"> </w:t>
      </w:r>
      <w:proofErr w:type="spellStart"/>
      <w:r w:rsidRPr="00B419CE">
        <w:t>oppgraderingar</w:t>
      </w:r>
      <w:proofErr w:type="spellEnd"/>
      <w:r w:rsidRPr="00B419CE">
        <w:t xml:space="preserve">, </w:t>
      </w:r>
      <w:proofErr w:type="spellStart"/>
      <w:r w:rsidRPr="00B419CE">
        <w:t>vidareutvikling</w:t>
      </w:r>
      <w:proofErr w:type="spellEnd"/>
      <w:r w:rsidRPr="00B419CE">
        <w:t xml:space="preserve"> av </w:t>
      </w:r>
      <w:proofErr w:type="spellStart"/>
      <w:r w:rsidRPr="00B419CE">
        <w:t>systemløysingar</w:t>
      </w:r>
      <w:proofErr w:type="spellEnd"/>
      <w:r w:rsidRPr="00B419CE">
        <w:t xml:space="preserve"> med </w:t>
      </w:r>
      <w:proofErr w:type="spellStart"/>
      <w:r w:rsidRPr="00B419CE">
        <w:t>meir</w:t>
      </w:r>
      <w:proofErr w:type="spellEnd"/>
      <w:r w:rsidRPr="00B419CE">
        <w:t xml:space="preserve">. For 2022 er det gjort framlegg om å løyve 143,4 mill. kroner under post 45. Auken </w:t>
      </w:r>
      <w:proofErr w:type="spellStart"/>
      <w:r w:rsidRPr="00B419CE">
        <w:t>frå</w:t>
      </w:r>
      <w:proofErr w:type="spellEnd"/>
      <w:r w:rsidRPr="00B419CE">
        <w:t xml:space="preserve"> 2021 – med nominelt 52,2 mill. kroner eller 57,2 pst. – skal </w:t>
      </w:r>
      <w:proofErr w:type="spellStart"/>
      <w:r w:rsidRPr="00B419CE">
        <w:t>særleg</w:t>
      </w:r>
      <w:proofErr w:type="spellEnd"/>
      <w:r w:rsidRPr="00B419CE">
        <w:t xml:space="preserve"> </w:t>
      </w:r>
      <w:proofErr w:type="spellStart"/>
      <w:r w:rsidRPr="00B419CE">
        <w:t>nyttast</w:t>
      </w:r>
      <w:proofErr w:type="spellEnd"/>
      <w:r w:rsidRPr="00B419CE">
        <w:t xml:space="preserve"> til å </w:t>
      </w:r>
      <w:proofErr w:type="spellStart"/>
      <w:r w:rsidRPr="00B419CE">
        <w:t>styrkje</w:t>
      </w:r>
      <w:proofErr w:type="spellEnd"/>
      <w:r w:rsidRPr="00B419CE">
        <w:t xml:space="preserve"> og sikre IT-infrastrukturen.</w:t>
      </w:r>
    </w:p>
    <w:p w14:paraId="288918D4" w14:textId="77777777" w:rsidR="00B419CE" w:rsidRPr="00B419CE" w:rsidRDefault="00B419CE" w:rsidP="00B419CE">
      <w:r w:rsidRPr="00B419CE">
        <w:t xml:space="preserve">I samband med visse kjøp og prosjekt kan det </w:t>
      </w:r>
      <w:proofErr w:type="spellStart"/>
      <w:r w:rsidRPr="00B419CE">
        <w:t>vere</w:t>
      </w:r>
      <w:proofErr w:type="spellEnd"/>
      <w:r w:rsidRPr="00B419CE">
        <w:t xml:space="preserve"> behov for å bestille for </w:t>
      </w:r>
      <w:proofErr w:type="spellStart"/>
      <w:r w:rsidRPr="00B419CE">
        <w:t>meir</w:t>
      </w:r>
      <w:proofErr w:type="spellEnd"/>
      <w:r w:rsidRPr="00B419CE">
        <w:t xml:space="preserve"> enn det som er </w:t>
      </w:r>
      <w:proofErr w:type="spellStart"/>
      <w:r w:rsidRPr="00B419CE">
        <w:t>løyvt</w:t>
      </w:r>
      <w:proofErr w:type="spellEnd"/>
      <w:r w:rsidRPr="00B419CE">
        <w:t xml:space="preserve">. </w:t>
      </w:r>
      <w:proofErr w:type="spellStart"/>
      <w:r w:rsidRPr="00B419CE">
        <w:t>Difor</w:t>
      </w:r>
      <w:proofErr w:type="spellEnd"/>
      <w:r w:rsidRPr="00B419CE">
        <w:t xml:space="preserve"> ber departementet om ei tingingsfullmakt på 40 mill. kroner, jf. framlegg til </w:t>
      </w:r>
      <w:proofErr w:type="spellStart"/>
      <w:r w:rsidRPr="00B419CE">
        <w:t>romartalsvedtak</w:t>
      </w:r>
      <w:proofErr w:type="spellEnd"/>
      <w:r w:rsidRPr="00B419CE">
        <w:t xml:space="preserve"> IV.</w:t>
      </w:r>
    </w:p>
    <w:p w14:paraId="2E8A3630" w14:textId="77777777" w:rsidR="00B419CE" w:rsidRPr="00B419CE" w:rsidRDefault="00B419CE" w:rsidP="00B419CE">
      <w:pPr>
        <w:pStyle w:val="b-post"/>
      </w:pPr>
      <w:r w:rsidRPr="00B419CE">
        <w:lastRenderedPageBreak/>
        <w:t xml:space="preserve">Post 70 </w:t>
      </w:r>
      <w:proofErr w:type="spellStart"/>
      <w:r w:rsidRPr="00B419CE">
        <w:t>Tilskot</w:t>
      </w:r>
      <w:proofErr w:type="spellEnd"/>
    </w:p>
    <w:p w14:paraId="074D999F"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tilskot</w:t>
      </w:r>
      <w:proofErr w:type="spellEnd"/>
      <w:r w:rsidRPr="00B419CE">
        <w:t xml:space="preserve"> til Senter for skatteforsking ved </w:t>
      </w:r>
      <w:proofErr w:type="spellStart"/>
      <w:r w:rsidRPr="00B419CE">
        <w:t>Noregs</w:t>
      </w:r>
      <w:proofErr w:type="spellEnd"/>
      <w:r w:rsidRPr="00B419CE">
        <w:t xml:space="preserve"> </w:t>
      </w:r>
      <w:proofErr w:type="spellStart"/>
      <w:r w:rsidRPr="00B419CE">
        <w:t>Handelshøgskule</w:t>
      </w:r>
      <w:proofErr w:type="spellEnd"/>
      <w:r w:rsidRPr="00B419CE">
        <w:t xml:space="preserve"> og til Universitetet i Oslo og Universitet i Bergen sine </w:t>
      </w:r>
      <w:proofErr w:type="spellStart"/>
      <w:r w:rsidRPr="00B419CE">
        <w:t>satsingar</w:t>
      </w:r>
      <w:proofErr w:type="spellEnd"/>
      <w:r w:rsidRPr="00B419CE">
        <w:t xml:space="preserve"> på skatterettsfaget. For 2022 er det </w:t>
      </w:r>
      <w:proofErr w:type="spellStart"/>
      <w:r w:rsidRPr="00B419CE">
        <w:t>rekna</w:t>
      </w:r>
      <w:proofErr w:type="spellEnd"/>
      <w:r w:rsidRPr="00B419CE">
        <w:t xml:space="preserve"> med </w:t>
      </w:r>
      <w:proofErr w:type="spellStart"/>
      <w:r w:rsidRPr="00B419CE">
        <w:t>høvesvis</w:t>
      </w:r>
      <w:proofErr w:type="spellEnd"/>
      <w:r w:rsidRPr="00B419CE">
        <w:t xml:space="preserve"> om lag 2,3, 1,6 og 2,5 til </w:t>
      </w:r>
      <w:proofErr w:type="spellStart"/>
      <w:r w:rsidRPr="00B419CE">
        <w:t>desse</w:t>
      </w:r>
      <w:proofErr w:type="spellEnd"/>
      <w:r w:rsidRPr="00B419CE">
        <w:t xml:space="preserve"> </w:t>
      </w:r>
      <w:proofErr w:type="spellStart"/>
      <w:r w:rsidRPr="00B419CE">
        <w:t>institusjonane</w:t>
      </w:r>
      <w:proofErr w:type="spellEnd"/>
      <w:r w:rsidRPr="00B419CE">
        <w:t>. For 2022 er det gjort framlegg om å løyve vel 6,4 mill. kroner under post 70.</w:t>
      </w:r>
    </w:p>
    <w:p w14:paraId="470B157E" w14:textId="77777777" w:rsidR="00B419CE" w:rsidRPr="00B419CE" w:rsidRDefault="00B419CE" w:rsidP="00B419CE">
      <w:pPr>
        <w:pStyle w:val="b-budkaptit"/>
      </w:pPr>
      <w:r w:rsidRPr="00B419CE">
        <w:t>Kap. 4618 Skatteetaten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253FCC4E" w14:textId="77777777" w:rsidTr="00B419CE">
        <w:trPr>
          <w:trHeight w:val="640"/>
          <w:hidden/>
        </w:trPr>
        <w:tc>
          <w:tcPr>
            <w:tcW w:w="1140" w:type="dxa"/>
            <w:shd w:val="clear" w:color="auto" w:fill="FFFFFF"/>
          </w:tcPr>
          <w:p w14:paraId="0F446D7A" w14:textId="77777777" w:rsidR="00B419CE" w:rsidRPr="00B419CE" w:rsidRDefault="00B419CE" w:rsidP="00B419CE">
            <w:pPr>
              <w:pStyle w:val="Tabellnavn"/>
            </w:pPr>
            <w:r w:rsidRPr="00B419CE">
              <w:t>KPAL</w:t>
            </w:r>
          </w:p>
        </w:tc>
        <w:tc>
          <w:tcPr>
            <w:tcW w:w="4560" w:type="dxa"/>
          </w:tcPr>
          <w:p w14:paraId="4F28879C" w14:textId="77777777" w:rsidR="00B419CE" w:rsidRPr="00B419CE" w:rsidRDefault="00B419CE" w:rsidP="00B419CE"/>
        </w:tc>
        <w:tc>
          <w:tcPr>
            <w:tcW w:w="1140" w:type="dxa"/>
          </w:tcPr>
          <w:p w14:paraId="60E73E8A" w14:textId="77777777" w:rsidR="00B419CE" w:rsidRPr="00B419CE" w:rsidRDefault="00B419CE" w:rsidP="00B419CE">
            <w:pPr>
              <w:jc w:val="right"/>
            </w:pPr>
          </w:p>
        </w:tc>
        <w:tc>
          <w:tcPr>
            <w:tcW w:w="1140" w:type="dxa"/>
          </w:tcPr>
          <w:p w14:paraId="2257304B" w14:textId="77777777" w:rsidR="00B419CE" w:rsidRPr="00B419CE" w:rsidRDefault="00B419CE" w:rsidP="00B419CE">
            <w:pPr>
              <w:jc w:val="right"/>
            </w:pPr>
          </w:p>
        </w:tc>
        <w:tc>
          <w:tcPr>
            <w:tcW w:w="1140" w:type="dxa"/>
          </w:tcPr>
          <w:p w14:paraId="05E45FE7" w14:textId="77777777" w:rsidR="00B419CE" w:rsidRPr="00B419CE" w:rsidRDefault="00B419CE" w:rsidP="00B419CE">
            <w:pPr>
              <w:jc w:val="right"/>
            </w:pPr>
            <w:r w:rsidRPr="00B419CE">
              <w:t>(i 1 000 kr)</w:t>
            </w:r>
          </w:p>
        </w:tc>
      </w:tr>
      <w:tr w:rsidR="00B419CE" w:rsidRPr="00B419CE" w14:paraId="1358C56E" w14:textId="77777777" w:rsidTr="00B419CE">
        <w:trPr>
          <w:trHeight w:val="600"/>
        </w:trPr>
        <w:tc>
          <w:tcPr>
            <w:tcW w:w="1140" w:type="dxa"/>
          </w:tcPr>
          <w:p w14:paraId="1B8D8655" w14:textId="77777777" w:rsidR="00B419CE" w:rsidRPr="00B419CE" w:rsidRDefault="00B419CE" w:rsidP="00B419CE">
            <w:r w:rsidRPr="00B419CE">
              <w:t>Post</w:t>
            </w:r>
          </w:p>
        </w:tc>
        <w:tc>
          <w:tcPr>
            <w:tcW w:w="4560" w:type="dxa"/>
          </w:tcPr>
          <w:p w14:paraId="1F6734FC" w14:textId="77777777" w:rsidR="00B419CE" w:rsidRPr="00B419CE" w:rsidRDefault="00B419CE" w:rsidP="00B419CE">
            <w:proofErr w:type="spellStart"/>
            <w:r w:rsidRPr="00B419CE">
              <w:t>Nemning</w:t>
            </w:r>
            <w:proofErr w:type="spellEnd"/>
          </w:p>
        </w:tc>
        <w:tc>
          <w:tcPr>
            <w:tcW w:w="1140" w:type="dxa"/>
          </w:tcPr>
          <w:p w14:paraId="556873AC"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232A7C4E" w14:textId="77777777" w:rsidR="00B419CE" w:rsidRPr="00B419CE" w:rsidRDefault="00B419CE" w:rsidP="00B419CE">
            <w:pPr>
              <w:jc w:val="right"/>
            </w:pPr>
            <w:r w:rsidRPr="00B419CE">
              <w:t>Saldert</w:t>
            </w:r>
            <w:r w:rsidRPr="00B419CE">
              <w:br/>
              <w:t xml:space="preserve"> budsjett 2021</w:t>
            </w:r>
          </w:p>
        </w:tc>
        <w:tc>
          <w:tcPr>
            <w:tcW w:w="1140" w:type="dxa"/>
          </w:tcPr>
          <w:p w14:paraId="2FEF889D" w14:textId="77777777" w:rsidR="00B419CE" w:rsidRPr="00B419CE" w:rsidRDefault="00B419CE" w:rsidP="00B419CE">
            <w:pPr>
              <w:jc w:val="right"/>
            </w:pPr>
            <w:r w:rsidRPr="00B419CE">
              <w:t>Forslag</w:t>
            </w:r>
            <w:r w:rsidRPr="00B419CE">
              <w:br/>
              <w:t xml:space="preserve"> 2022</w:t>
            </w:r>
          </w:p>
        </w:tc>
      </w:tr>
      <w:tr w:rsidR="00B419CE" w:rsidRPr="00B419CE" w14:paraId="73135B33" w14:textId="77777777" w:rsidTr="00B419CE">
        <w:trPr>
          <w:trHeight w:val="380"/>
        </w:trPr>
        <w:tc>
          <w:tcPr>
            <w:tcW w:w="1140" w:type="dxa"/>
          </w:tcPr>
          <w:p w14:paraId="4F9AD0FF" w14:textId="77777777" w:rsidR="00B419CE" w:rsidRPr="00B419CE" w:rsidRDefault="00B419CE" w:rsidP="00B419CE">
            <w:r w:rsidRPr="00B419CE">
              <w:t>01</w:t>
            </w:r>
          </w:p>
        </w:tc>
        <w:tc>
          <w:tcPr>
            <w:tcW w:w="4560" w:type="dxa"/>
          </w:tcPr>
          <w:p w14:paraId="01509DC8" w14:textId="77777777" w:rsidR="00B419CE" w:rsidRPr="00B419CE" w:rsidRDefault="00B419CE" w:rsidP="00B419CE">
            <w:r w:rsidRPr="00B419CE">
              <w:t>Refunderte utleggs- og tinglysingsgebyr</w:t>
            </w:r>
          </w:p>
        </w:tc>
        <w:tc>
          <w:tcPr>
            <w:tcW w:w="1140" w:type="dxa"/>
          </w:tcPr>
          <w:p w14:paraId="0CC1BEA7" w14:textId="77777777" w:rsidR="00B419CE" w:rsidRPr="00B419CE" w:rsidRDefault="00B419CE" w:rsidP="00B419CE">
            <w:pPr>
              <w:jc w:val="right"/>
            </w:pPr>
            <w:r w:rsidRPr="00B419CE">
              <w:t>65 906</w:t>
            </w:r>
          </w:p>
        </w:tc>
        <w:tc>
          <w:tcPr>
            <w:tcW w:w="1140" w:type="dxa"/>
          </w:tcPr>
          <w:p w14:paraId="7FBBBA99" w14:textId="77777777" w:rsidR="00B419CE" w:rsidRPr="00B419CE" w:rsidRDefault="00B419CE" w:rsidP="00B419CE">
            <w:pPr>
              <w:jc w:val="right"/>
            </w:pPr>
            <w:r w:rsidRPr="00B419CE">
              <w:t>58 000</w:t>
            </w:r>
          </w:p>
        </w:tc>
        <w:tc>
          <w:tcPr>
            <w:tcW w:w="1140" w:type="dxa"/>
          </w:tcPr>
          <w:p w14:paraId="5FF2722F" w14:textId="77777777" w:rsidR="00B419CE" w:rsidRPr="00B419CE" w:rsidRDefault="00B419CE" w:rsidP="00B419CE">
            <w:pPr>
              <w:jc w:val="right"/>
            </w:pPr>
            <w:r w:rsidRPr="00B419CE">
              <w:t>37 300</w:t>
            </w:r>
          </w:p>
        </w:tc>
      </w:tr>
      <w:tr w:rsidR="00B419CE" w:rsidRPr="00B419CE" w14:paraId="76F2A52A" w14:textId="77777777" w:rsidTr="00B419CE">
        <w:trPr>
          <w:trHeight w:val="380"/>
        </w:trPr>
        <w:tc>
          <w:tcPr>
            <w:tcW w:w="1140" w:type="dxa"/>
          </w:tcPr>
          <w:p w14:paraId="489EA378" w14:textId="77777777" w:rsidR="00B419CE" w:rsidRPr="00B419CE" w:rsidRDefault="00B419CE" w:rsidP="00B419CE">
            <w:r w:rsidRPr="00B419CE">
              <w:t>03</w:t>
            </w:r>
          </w:p>
        </w:tc>
        <w:tc>
          <w:tcPr>
            <w:tcW w:w="4560" w:type="dxa"/>
          </w:tcPr>
          <w:p w14:paraId="08F21AD3" w14:textId="77777777" w:rsidR="00B419CE" w:rsidRPr="00B419CE" w:rsidRDefault="00B419CE" w:rsidP="00B419CE">
            <w:r w:rsidRPr="00B419CE">
              <w:t>Andre inntekter</w:t>
            </w:r>
          </w:p>
        </w:tc>
        <w:tc>
          <w:tcPr>
            <w:tcW w:w="1140" w:type="dxa"/>
          </w:tcPr>
          <w:p w14:paraId="4AFBB72A" w14:textId="77777777" w:rsidR="00B419CE" w:rsidRPr="00B419CE" w:rsidRDefault="00B419CE" w:rsidP="00B419CE">
            <w:pPr>
              <w:jc w:val="right"/>
            </w:pPr>
            <w:r w:rsidRPr="00B419CE">
              <w:t>59 204</w:t>
            </w:r>
          </w:p>
        </w:tc>
        <w:tc>
          <w:tcPr>
            <w:tcW w:w="1140" w:type="dxa"/>
          </w:tcPr>
          <w:p w14:paraId="35AEAE09" w14:textId="77777777" w:rsidR="00B419CE" w:rsidRPr="00B419CE" w:rsidRDefault="00B419CE" w:rsidP="00B419CE">
            <w:pPr>
              <w:jc w:val="right"/>
            </w:pPr>
          </w:p>
        </w:tc>
        <w:tc>
          <w:tcPr>
            <w:tcW w:w="1140" w:type="dxa"/>
          </w:tcPr>
          <w:p w14:paraId="095758B4" w14:textId="77777777" w:rsidR="00B419CE" w:rsidRPr="00B419CE" w:rsidRDefault="00B419CE" w:rsidP="00B419CE">
            <w:pPr>
              <w:jc w:val="right"/>
            </w:pPr>
            <w:r w:rsidRPr="00B419CE">
              <w:t>6 300</w:t>
            </w:r>
          </w:p>
        </w:tc>
      </w:tr>
      <w:tr w:rsidR="00B419CE" w:rsidRPr="00B419CE" w14:paraId="54F10510" w14:textId="77777777" w:rsidTr="00B419CE">
        <w:trPr>
          <w:trHeight w:val="380"/>
        </w:trPr>
        <w:tc>
          <w:tcPr>
            <w:tcW w:w="1140" w:type="dxa"/>
          </w:tcPr>
          <w:p w14:paraId="55B729CD" w14:textId="77777777" w:rsidR="00B419CE" w:rsidRPr="00B419CE" w:rsidRDefault="00B419CE" w:rsidP="00B419CE">
            <w:r w:rsidRPr="00B419CE">
              <w:t>05</w:t>
            </w:r>
          </w:p>
        </w:tc>
        <w:tc>
          <w:tcPr>
            <w:tcW w:w="4560" w:type="dxa"/>
          </w:tcPr>
          <w:p w14:paraId="6ECB8CE3" w14:textId="77777777" w:rsidR="00B419CE" w:rsidRPr="00B419CE" w:rsidRDefault="00B419CE" w:rsidP="00B419CE">
            <w:r w:rsidRPr="00B419CE">
              <w:t xml:space="preserve">Gebyr for </w:t>
            </w:r>
            <w:proofErr w:type="spellStart"/>
            <w:r w:rsidRPr="00B419CE">
              <w:t>utleggsforretningar</w:t>
            </w:r>
            <w:proofErr w:type="spellEnd"/>
          </w:p>
        </w:tc>
        <w:tc>
          <w:tcPr>
            <w:tcW w:w="1140" w:type="dxa"/>
          </w:tcPr>
          <w:p w14:paraId="11E8E47E" w14:textId="77777777" w:rsidR="00B419CE" w:rsidRPr="00B419CE" w:rsidRDefault="00B419CE" w:rsidP="00B419CE">
            <w:pPr>
              <w:jc w:val="right"/>
            </w:pPr>
            <w:r w:rsidRPr="00B419CE">
              <w:t>40 532</w:t>
            </w:r>
          </w:p>
        </w:tc>
        <w:tc>
          <w:tcPr>
            <w:tcW w:w="1140" w:type="dxa"/>
          </w:tcPr>
          <w:p w14:paraId="2E926B59" w14:textId="77777777" w:rsidR="00B419CE" w:rsidRPr="00B419CE" w:rsidRDefault="00B419CE" w:rsidP="00B419CE">
            <w:pPr>
              <w:jc w:val="right"/>
            </w:pPr>
            <w:r w:rsidRPr="00B419CE">
              <w:t>123 500</w:t>
            </w:r>
          </w:p>
        </w:tc>
        <w:tc>
          <w:tcPr>
            <w:tcW w:w="1140" w:type="dxa"/>
          </w:tcPr>
          <w:p w14:paraId="422D0A4D" w14:textId="77777777" w:rsidR="00B419CE" w:rsidRPr="00B419CE" w:rsidRDefault="00B419CE" w:rsidP="00B419CE">
            <w:pPr>
              <w:jc w:val="right"/>
            </w:pPr>
            <w:r w:rsidRPr="00B419CE">
              <w:t>107 800</w:t>
            </w:r>
          </w:p>
        </w:tc>
      </w:tr>
      <w:tr w:rsidR="00B419CE" w:rsidRPr="00B419CE" w14:paraId="42561804" w14:textId="77777777" w:rsidTr="00B419CE">
        <w:trPr>
          <w:trHeight w:val="380"/>
        </w:trPr>
        <w:tc>
          <w:tcPr>
            <w:tcW w:w="1140" w:type="dxa"/>
          </w:tcPr>
          <w:p w14:paraId="3D5C0F87" w14:textId="77777777" w:rsidR="00B419CE" w:rsidRPr="00B419CE" w:rsidRDefault="00B419CE" w:rsidP="00B419CE">
            <w:r w:rsidRPr="00B419CE">
              <w:t>07</w:t>
            </w:r>
          </w:p>
        </w:tc>
        <w:tc>
          <w:tcPr>
            <w:tcW w:w="4560" w:type="dxa"/>
          </w:tcPr>
          <w:p w14:paraId="0FCC8A48" w14:textId="77777777" w:rsidR="00B419CE" w:rsidRPr="00B419CE" w:rsidRDefault="00B419CE" w:rsidP="00B419CE">
            <w:r w:rsidRPr="00B419CE">
              <w:t xml:space="preserve">Gebyr for </w:t>
            </w:r>
            <w:proofErr w:type="spellStart"/>
            <w:r w:rsidRPr="00B419CE">
              <w:t>bindande</w:t>
            </w:r>
            <w:proofErr w:type="spellEnd"/>
            <w:r w:rsidRPr="00B419CE">
              <w:t xml:space="preserve"> førehandsfråsegner</w:t>
            </w:r>
          </w:p>
        </w:tc>
        <w:tc>
          <w:tcPr>
            <w:tcW w:w="1140" w:type="dxa"/>
          </w:tcPr>
          <w:p w14:paraId="34E1B6A3" w14:textId="77777777" w:rsidR="00B419CE" w:rsidRPr="00B419CE" w:rsidRDefault="00B419CE" w:rsidP="00B419CE">
            <w:pPr>
              <w:jc w:val="right"/>
            </w:pPr>
            <w:r w:rsidRPr="00B419CE">
              <w:t>4 797</w:t>
            </w:r>
          </w:p>
        </w:tc>
        <w:tc>
          <w:tcPr>
            <w:tcW w:w="1140" w:type="dxa"/>
          </w:tcPr>
          <w:p w14:paraId="522853D2" w14:textId="77777777" w:rsidR="00B419CE" w:rsidRPr="00B419CE" w:rsidRDefault="00B419CE" w:rsidP="00B419CE">
            <w:pPr>
              <w:jc w:val="right"/>
            </w:pPr>
            <w:r w:rsidRPr="00B419CE">
              <w:t>3 500</w:t>
            </w:r>
          </w:p>
        </w:tc>
        <w:tc>
          <w:tcPr>
            <w:tcW w:w="1140" w:type="dxa"/>
          </w:tcPr>
          <w:p w14:paraId="70247980" w14:textId="77777777" w:rsidR="00B419CE" w:rsidRPr="00B419CE" w:rsidRDefault="00B419CE" w:rsidP="00B419CE">
            <w:pPr>
              <w:jc w:val="right"/>
            </w:pPr>
            <w:r w:rsidRPr="00B419CE">
              <w:t>4 500</w:t>
            </w:r>
          </w:p>
        </w:tc>
      </w:tr>
      <w:tr w:rsidR="00B419CE" w:rsidRPr="00B419CE" w14:paraId="5C62F9EE" w14:textId="77777777" w:rsidTr="00B419CE">
        <w:trPr>
          <w:trHeight w:val="380"/>
        </w:trPr>
        <w:tc>
          <w:tcPr>
            <w:tcW w:w="1140" w:type="dxa"/>
          </w:tcPr>
          <w:p w14:paraId="7BE4164F" w14:textId="77777777" w:rsidR="00B419CE" w:rsidRPr="00B419CE" w:rsidRDefault="00B419CE" w:rsidP="00B419CE">
            <w:r w:rsidRPr="00B419CE">
              <w:t>11</w:t>
            </w:r>
          </w:p>
        </w:tc>
        <w:tc>
          <w:tcPr>
            <w:tcW w:w="4560" w:type="dxa"/>
          </w:tcPr>
          <w:p w14:paraId="7838D220" w14:textId="77777777" w:rsidR="00B419CE" w:rsidRPr="00B419CE" w:rsidRDefault="00B419CE" w:rsidP="00B419CE">
            <w:r w:rsidRPr="00B419CE">
              <w:t xml:space="preserve">Gebyr på </w:t>
            </w:r>
            <w:proofErr w:type="spellStart"/>
            <w:r w:rsidRPr="00B419CE">
              <w:t>kredittdeklarasjonar</w:t>
            </w:r>
            <w:proofErr w:type="spellEnd"/>
          </w:p>
        </w:tc>
        <w:tc>
          <w:tcPr>
            <w:tcW w:w="1140" w:type="dxa"/>
          </w:tcPr>
          <w:p w14:paraId="36E21887" w14:textId="77777777" w:rsidR="00B419CE" w:rsidRPr="00B419CE" w:rsidRDefault="00B419CE" w:rsidP="00B419CE">
            <w:pPr>
              <w:jc w:val="right"/>
            </w:pPr>
            <w:r w:rsidRPr="00B419CE">
              <w:t>2 818</w:t>
            </w:r>
          </w:p>
        </w:tc>
        <w:tc>
          <w:tcPr>
            <w:tcW w:w="1140" w:type="dxa"/>
          </w:tcPr>
          <w:p w14:paraId="1AD3B31C" w14:textId="77777777" w:rsidR="00B419CE" w:rsidRPr="00B419CE" w:rsidRDefault="00B419CE" w:rsidP="00B419CE">
            <w:pPr>
              <w:jc w:val="right"/>
            </w:pPr>
            <w:r w:rsidRPr="00B419CE">
              <w:t>3 596</w:t>
            </w:r>
          </w:p>
        </w:tc>
        <w:tc>
          <w:tcPr>
            <w:tcW w:w="1140" w:type="dxa"/>
          </w:tcPr>
          <w:p w14:paraId="468AF843" w14:textId="77777777" w:rsidR="00B419CE" w:rsidRPr="00B419CE" w:rsidRDefault="00B419CE" w:rsidP="00B419CE">
            <w:pPr>
              <w:jc w:val="right"/>
            </w:pPr>
            <w:r w:rsidRPr="00B419CE">
              <w:t>3 000</w:t>
            </w:r>
          </w:p>
        </w:tc>
      </w:tr>
      <w:tr w:rsidR="00B419CE" w:rsidRPr="00B419CE" w14:paraId="5DDA841A" w14:textId="77777777" w:rsidTr="00B419CE">
        <w:trPr>
          <w:trHeight w:val="380"/>
        </w:trPr>
        <w:tc>
          <w:tcPr>
            <w:tcW w:w="1140" w:type="dxa"/>
          </w:tcPr>
          <w:p w14:paraId="5C1B0643" w14:textId="77777777" w:rsidR="00B419CE" w:rsidRPr="00B419CE" w:rsidRDefault="00B419CE" w:rsidP="00B419CE">
            <w:r w:rsidRPr="00B419CE">
              <w:t>85</w:t>
            </w:r>
          </w:p>
        </w:tc>
        <w:tc>
          <w:tcPr>
            <w:tcW w:w="4560" w:type="dxa"/>
          </w:tcPr>
          <w:p w14:paraId="13CC1A46" w14:textId="77777777" w:rsidR="00B419CE" w:rsidRPr="00B419CE" w:rsidRDefault="00B419CE" w:rsidP="00B419CE">
            <w:r w:rsidRPr="00B419CE">
              <w:t>Inngått på tapsførte lån m.m.</w:t>
            </w:r>
          </w:p>
        </w:tc>
        <w:tc>
          <w:tcPr>
            <w:tcW w:w="1140" w:type="dxa"/>
          </w:tcPr>
          <w:p w14:paraId="1818B26B" w14:textId="77777777" w:rsidR="00B419CE" w:rsidRPr="00B419CE" w:rsidRDefault="00B419CE" w:rsidP="00B419CE">
            <w:pPr>
              <w:jc w:val="right"/>
            </w:pPr>
            <w:r w:rsidRPr="00B419CE">
              <w:t>228 939</w:t>
            </w:r>
          </w:p>
        </w:tc>
        <w:tc>
          <w:tcPr>
            <w:tcW w:w="1140" w:type="dxa"/>
          </w:tcPr>
          <w:p w14:paraId="06817530" w14:textId="77777777" w:rsidR="00B419CE" w:rsidRPr="00B419CE" w:rsidRDefault="00B419CE" w:rsidP="00B419CE">
            <w:pPr>
              <w:jc w:val="right"/>
            </w:pPr>
            <w:r w:rsidRPr="00B419CE">
              <w:t>240 000</w:t>
            </w:r>
          </w:p>
        </w:tc>
        <w:tc>
          <w:tcPr>
            <w:tcW w:w="1140" w:type="dxa"/>
          </w:tcPr>
          <w:p w14:paraId="2F795C66" w14:textId="77777777" w:rsidR="00B419CE" w:rsidRPr="00B419CE" w:rsidRDefault="00B419CE" w:rsidP="00B419CE">
            <w:pPr>
              <w:jc w:val="right"/>
            </w:pPr>
            <w:r w:rsidRPr="00B419CE">
              <w:t>240 000</w:t>
            </w:r>
          </w:p>
        </w:tc>
      </w:tr>
      <w:tr w:rsidR="00B419CE" w:rsidRPr="00B419CE" w14:paraId="6791F65D" w14:textId="77777777" w:rsidTr="00B419CE">
        <w:trPr>
          <w:trHeight w:val="380"/>
        </w:trPr>
        <w:tc>
          <w:tcPr>
            <w:tcW w:w="1140" w:type="dxa"/>
          </w:tcPr>
          <w:p w14:paraId="230ACB7D" w14:textId="77777777" w:rsidR="00B419CE" w:rsidRPr="00B419CE" w:rsidRDefault="00B419CE" w:rsidP="00B419CE">
            <w:r w:rsidRPr="00B419CE">
              <w:t>86</w:t>
            </w:r>
          </w:p>
        </w:tc>
        <w:tc>
          <w:tcPr>
            <w:tcW w:w="4560" w:type="dxa"/>
          </w:tcPr>
          <w:p w14:paraId="702D3F6B" w14:textId="77777777" w:rsidR="00B419CE" w:rsidRPr="00B419CE" w:rsidRDefault="00B419CE" w:rsidP="00B419CE">
            <w:r w:rsidRPr="00B419CE">
              <w:t xml:space="preserve">Bøter, </w:t>
            </w:r>
            <w:proofErr w:type="spellStart"/>
            <w:r w:rsidRPr="00B419CE">
              <w:t>inndragingar</w:t>
            </w:r>
            <w:proofErr w:type="spellEnd"/>
            <w:r w:rsidRPr="00B419CE">
              <w:t xml:space="preserve"> m.m.</w:t>
            </w:r>
          </w:p>
        </w:tc>
        <w:tc>
          <w:tcPr>
            <w:tcW w:w="1140" w:type="dxa"/>
          </w:tcPr>
          <w:p w14:paraId="12E6D0E1" w14:textId="77777777" w:rsidR="00B419CE" w:rsidRPr="00B419CE" w:rsidRDefault="00B419CE" w:rsidP="00B419CE">
            <w:pPr>
              <w:jc w:val="right"/>
            </w:pPr>
            <w:r w:rsidRPr="00B419CE">
              <w:t>1 537 645</w:t>
            </w:r>
          </w:p>
        </w:tc>
        <w:tc>
          <w:tcPr>
            <w:tcW w:w="1140" w:type="dxa"/>
          </w:tcPr>
          <w:p w14:paraId="3BE7F585" w14:textId="77777777" w:rsidR="00B419CE" w:rsidRPr="00B419CE" w:rsidRDefault="00B419CE" w:rsidP="00B419CE">
            <w:pPr>
              <w:jc w:val="right"/>
            </w:pPr>
            <w:r w:rsidRPr="00B419CE">
              <w:t>1 630 000</w:t>
            </w:r>
          </w:p>
        </w:tc>
        <w:tc>
          <w:tcPr>
            <w:tcW w:w="1140" w:type="dxa"/>
          </w:tcPr>
          <w:p w14:paraId="4CC2C87B" w14:textId="77777777" w:rsidR="00B419CE" w:rsidRPr="00B419CE" w:rsidRDefault="00B419CE" w:rsidP="00B419CE">
            <w:pPr>
              <w:jc w:val="right"/>
            </w:pPr>
            <w:r w:rsidRPr="00B419CE">
              <w:t>1 853 000</w:t>
            </w:r>
          </w:p>
        </w:tc>
      </w:tr>
      <w:tr w:rsidR="00B419CE" w:rsidRPr="00B419CE" w14:paraId="1A70F162" w14:textId="77777777" w:rsidTr="00B419CE">
        <w:trPr>
          <w:trHeight w:val="380"/>
        </w:trPr>
        <w:tc>
          <w:tcPr>
            <w:tcW w:w="1140" w:type="dxa"/>
          </w:tcPr>
          <w:p w14:paraId="65A54C43" w14:textId="77777777" w:rsidR="00B419CE" w:rsidRPr="00B419CE" w:rsidRDefault="00B419CE" w:rsidP="00B419CE">
            <w:r w:rsidRPr="00B419CE">
              <w:t>87</w:t>
            </w:r>
          </w:p>
        </w:tc>
        <w:tc>
          <w:tcPr>
            <w:tcW w:w="4560" w:type="dxa"/>
          </w:tcPr>
          <w:p w14:paraId="116B978F" w14:textId="77777777" w:rsidR="00B419CE" w:rsidRPr="00B419CE" w:rsidRDefault="00B419CE" w:rsidP="00B419CE">
            <w:proofErr w:type="spellStart"/>
            <w:r w:rsidRPr="00B419CE">
              <w:t>Trafikantsanksjonar</w:t>
            </w:r>
            <w:proofErr w:type="spellEnd"/>
          </w:p>
        </w:tc>
        <w:tc>
          <w:tcPr>
            <w:tcW w:w="1140" w:type="dxa"/>
          </w:tcPr>
          <w:p w14:paraId="67A20E08" w14:textId="77777777" w:rsidR="00B419CE" w:rsidRPr="00B419CE" w:rsidRDefault="00B419CE" w:rsidP="00B419CE">
            <w:pPr>
              <w:jc w:val="right"/>
            </w:pPr>
            <w:r w:rsidRPr="00B419CE">
              <w:t>61 997</w:t>
            </w:r>
          </w:p>
        </w:tc>
        <w:tc>
          <w:tcPr>
            <w:tcW w:w="1140" w:type="dxa"/>
          </w:tcPr>
          <w:p w14:paraId="4F0134E1" w14:textId="77777777" w:rsidR="00B419CE" w:rsidRPr="00B419CE" w:rsidRDefault="00B419CE" w:rsidP="00B419CE">
            <w:pPr>
              <w:jc w:val="right"/>
            </w:pPr>
            <w:r w:rsidRPr="00B419CE">
              <w:t>60 000</w:t>
            </w:r>
          </w:p>
        </w:tc>
        <w:tc>
          <w:tcPr>
            <w:tcW w:w="1140" w:type="dxa"/>
          </w:tcPr>
          <w:p w14:paraId="7C566BC2" w14:textId="77777777" w:rsidR="00B419CE" w:rsidRPr="00B419CE" w:rsidRDefault="00B419CE" w:rsidP="00B419CE">
            <w:pPr>
              <w:jc w:val="right"/>
            </w:pPr>
            <w:r w:rsidRPr="00B419CE">
              <w:t>60 000</w:t>
            </w:r>
          </w:p>
        </w:tc>
      </w:tr>
      <w:tr w:rsidR="00B419CE" w:rsidRPr="00B419CE" w14:paraId="0D904EFA" w14:textId="77777777" w:rsidTr="00B419CE">
        <w:trPr>
          <w:trHeight w:val="380"/>
        </w:trPr>
        <w:tc>
          <w:tcPr>
            <w:tcW w:w="1140" w:type="dxa"/>
          </w:tcPr>
          <w:p w14:paraId="79E8F279" w14:textId="77777777" w:rsidR="00B419CE" w:rsidRPr="00B419CE" w:rsidRDefault="00B419CE" w:rsidP="00B419CE">
            <w:r w:rsidRPr="00B419CE">
              <w:t>88</w:t>
            </w:r>
          </w:p>
        </w:tc>
        <w:tc>
          <w:tcPr>
            <w:tcW w:w="4560" w:type="dxa"/>
          </w:tcPr>
          <w:p w14:paraId="78AAFCCC" w14:textId="77777777" w:rsidR="00B419CE" w:rsidRPr="00B419CE" w:rsidRDefault="00B419CE" w:rsidP="00B419CE">
            <w:r w:rsidRPr="00B419CE">
              <w:t xml:space="preserve">Forseinkingsgebyr, </w:t>
            </w:r>
            <w:proofErr w:type="spellStart"/>
            <w:r w:rsidRPr="00B419CE">
              <w:t>Rekneskapsregisteret</w:t>
            </w:r>
            <w:proofErr w:type="spellEnd"/>
          </w:p>
        </w:tc>
        <w:tc>
          <w:tcPr>
            <w:tcW w:w="1140" w:type="dxa"/>
          </w:tcPr>
          <w:p w14:paraId="52B10D3A" w14:textId="77777777" w:rsidR="00B419CE" w:rsidRPr="00B419CE" w:rsidRDefault="00B419CE" w:rsidP="00B419CE">
            <w:pPr>
              <w:jc w:val="right"/>
            </w:pPr>
            <w:r w:rsidRPr="00B419CE">
              <w:t>203 701</w:t>
            </w:r>
          </w:p>
        </w:tc>
        <w:tc>
          <w:tcPr>
            <w:tcW w:w="1140" w:type="dxa"/>
          </w:tcPr>
          <w:p w14:paraId="6D55524B" w14:textId="77777777" w:rsidR="00B419CE" w:rsidRPr="00B419CE" w:rsidRDefault="00B419CE" w:rsidP="00B419CE">
            <w:pPr>
              <w:jc w:val="right"/>
            </w:pPr>
            <w:r w:rsidRPr="00B419CE">
              <w:t>230 000</w:t>
            </w:r>
          </w:p>
        </w:tc>
        <w:tc>
          <w:tcPr>
            <w:tcW w:w="1140" w:type="dxa"/>
          </w:tcPr>
          <w:p w14:paraId="7D42FA7B" w14:textId="77777777" w:rsidR="00B419CE" w:rsidRPr="00B419CE" w:rsidRDefault="00B419CE" w:rsidP="00B419CE">
            <w:pPr>
              <w:jc w:val="right"/>
            </w:pPr>
            <w:r w:rsidRPr="00B419CE">
              <w:t>230 000</w:t>
            </w:r>
          </w:p>
        </w:tc>
      </w:tr>
      <w:tr w:rsidR="00B419CE" w:rsidRPr="00B419CE" w14:paraId="7FCCCED6" w14:textId="77777777" w:rsidTr="00B419CE">
        <w:trPr>
          <w:trHeight w:val="380"/>
        </w:trPr>
        <w:tc>
          <w:tcPr>
            <w:tcW w:w="1140" w:type="dxa"/>
          </w:tcPr>
          <w:p w14:paraId="74327DE5" w14:textId="77777777" w:rsidR="00B419CE" w:rsidRPr="00B419CE" w:rsidRDefault="00B419CE" w:rsidP="00B419CE">
            <w:r w:rsidRPr="00B419CE">
              <w:t>89</w:t>
            </w:r>
          </w:p>
        </w:tc>
        <w:tc>
          <w:tcPr>
            <w:tcW w:w="4560" w:type="dxa"/>
          </w:tcPr>
          <w:p w14:paraId="5014B96B" w14:textId="77777777" w:rsidR="00B419CE" w:rsidRPr="00B419CE" w:rsidRDefault="00B419CE" w:rsidP="00B419CE">
            <w:r w:rsidRPr="00B419CE">
              <w:t xml:space="preserve">Gebyr for </w:t>
            </w:r>
            <w:proofErr w:type="spellStart"/>
            <w:r w:rsidRPr="00B419CE">
              <w:t>regelbrot</w:t>
            </w:r>
            <w:proofErr w:type="spellEnd"/>
          </w:p>
        </w:tc>
        <w:tc>
          <w:tcPr>
            <w:tcW w:w="1140" w:type="dxa"/>
          </w:tcPr>
          <w:p w14:paraId="461A2832" w14:textId="77777777" w:rsidR="00B419CE" w:rsidRPr="00B419CE" w:rsidRDefault="00B419CE" w:rsidP="00B419CE">
            <w:pPr>
              <w:jc w:val="right"/>
            </w:pPr>
            <w:r w:rsidRPr="00B419CE">
              <w:t>6 141</w:t>
            </w:r>
          </w:p>
        </w:tc>
        <w:tc>
          <w:tcPr>
            <w:tcW w:w="1140" w:type="dxa"/>
          </w:tcPr>
          <w:p w14:paraId="7484D656" w14:textId="77777777" w:rsidR="00B419CE" w:rsidRPr="00B419CE" w:rsidRDefault="00B419CE" w:rsidP="00B419CE">
            <w:pPr>
              <w:jc w:val="right"/>
            </w:pPr>
            <w:r w:rsidRPr="00B419CE">
              <w:t>5 500</w:t>
            </w:r>
          </w:p>
        </w:tc>
        <w:tc>
          <w:tcPr>
            <w:tcW w:w="1140" w:type="dxa"/>
          </w:tcPr>
          <w:p w14:paraId="271F88B8" w14:textId="77777777" w:rsidR="00B419CE" w:rsidRPr="00B419CE" w:rsidRDefault="00B419CE" w:rsidP="00B419CE">
            <w:pPr>
              <w:jc w:val="right"/>
            </w:pPr>
            <w:r w:rsidRPr="00B419CE">
              <w:t>6 100</w:t>
            </w:r>
          </w:p>
        </w:tc>
      </w:tr>
      <w:tr w:rsidR="00B419CE" w:rsidRPr="00B419CE" w14:paraId="0986C17F" w14:textId="77777777" w:rsidTr="00B419CE">
        <w:trPr>
          <w:trHeight w:val="380"/>
        </w:trPr>
        <w:tc>
          <w:tcPr>
            <w:tcW w:w="1140" w:type="dxa"/>
          </w:tcPr>
          <w:p w14:paraId="6F27D955" w14:textId="77777777" w:rsidR="00B419CE" w:rsidRPr="00B419CE" w:rsidRDefault="00B419CE" w:rsidP="00B419CE"/>
        </w:tc>
        <w:tc>
          <w:tcPr>
            <w:tcW w:w="4560" w:type="dxa"/>
          </w:tcPr>
          <w:p w14:paraId="66C979CD" w14:textId="77777777" w:rsidR="00B419CE" w:rsidRPr="00B419CE" w:rsidRDefault="00B419CE" w:rsidP="00B419CE">
            <w:r w:rsidRPr="00B419CE">
              <w:t>Sum kap. 4618</w:t>
            </w:r>
          </w:p>
        </w:tc>
        <w:tc>
          <w:tcPr>
            <w:tcW w:w="1140" w:type="dxa"/>
          </w:tcPr>
          <w:p w14:paraId="5A52AB47" w14:textId="77777777" w:rsidR="00B419CE" w:rsidRPr="00B419CE" w:rsidRDefault="00B419CE" w:rsidP="00B419CE">
            <w:pPr>
              <w:jc w:val="right"/>
            </w:pPr>
            <w:r w:rsidRPr="00B419CE">
              <w:t>2 211 680</w:t>
            </w:r>
          </w:p>
        </w:tc>
        <w:tc>
          <w:tcPr>
            <w:tcW w:w="1140" w:type="dxa"/>
          </w:tcPr>
          <w:p w14:paraId="30819BA9" w14:textId="77777777" w:rsidR="00B419CE" w:rsidRPr="00B419CE" w:rsidRDefault="00B419CE" w:rsidP="00B419CE">
            <w:pPr>
              <w:jc w:val="right"/>
            </w:pPr>
            <w:r w:rsidRPr="00B419CE">
              <w:t>2 354 096</w:t>
            </w:r>
          </w:p>
        </w:tc>
        <w:tc>
          <w:tcPr>
            <w:tcW w:w="1140" w:type="dxa"/>
          </w:tcPr>
          <w:p w14:paraId="773D6634" w14:textId="77777777" w:rsidR="00B419CE" w:rsidRPr="00B419CE" w:rsidRDefault="00B419CE" w:rsidP="00B419CE">
            <w:pPr>
              <w:jc w:val="right"/>
            </w:pPr>
            <w:r w:rsidRPr="00B419CE">
              <w:t>2 548 000</w:t>
            </w:r>
          </w:p>
        </w:tc>
      </w:tr>
    </w:tbl>
    <w:p w14:paraId="11B9C822" w14:textId="77777777" w:rsidR="00B419CE" w:rsidRPr="00B419CE" w:rsidRDefault="00B419CE" w:rsidP="00B419CE">
      <w:r w:rsidRPr="00B419CE">
        <w:t xml:space="preserve">Inntektene på kap. 4618, </w:t>
      </w:r>
      <w:proofErr w:type="spellStart"/>
      <w:r w:rsidRPr="00B419CE">
        <w:t>postane</w:t>
      </w:r>
      <w:proofErr w:type="spellEnd"/>
      <w:r w:rsidRPr="00B419CE">
        <w:t xml:space="preserve"> 85–88, er jamt over </w:t>
      </w:r>
      <w:proofErr w:type="spellStart"/>
      <w:r w:rsidRPr="00B419CE">
        <w:t>vanskelege</w:t>
      </w:r>
      <w:proofErr w:type="spellEnd"/>
      <w:r w:rsidRPr="00B419CE">
        <w:t xml:space="preserve"> å budsjettere. </w:t>
      </w:r>
      <w:proofErr w:type="spellStart"/>
      <w:r w:rsidRPr="00B419CE">
        <w:t>Hovudgrunnen</w:t>
      </w:r>
      <w:proofErr w:type="spellEnd"/>
      <w:r w:rsidRPr="00B419CE">
        <w:t xml:space="preserve"> er at krava vert </w:t>
      </w:r>
      <w:proofErr w:type="spellStart"/>
      <w:r w:rsidRPr="00B419CE">
        <w:t>ilagde</w:t>
      </w:r>
      <w:proofErr w:type="spellEnd"/>
      <w:r w:rsidRPr="00B419CE">
        <w:t xml:space="preserve"> av andre. Også inntektene på </w:t>
      </w:r>
      <w:proofErr w:type="spellStart"/>
      <w:r w:rsidRPr="00B419CE">
        <w:t>nokre</w:t>
      </w:r>
      <w:proofErr w:type="spellEnd"/>
      <w:r w:rsidRPr="00B419CE">
        <w:t xml:space="preserve"> av </w:t>
      </w:r>
      <w:proofErr w:type="spellStart"/>
      <w:r w:rsidRPr="00B419CE">
        <w:t>dei</w:t>
      </w:r>
      <w:proofErr w:type="spellEnd"/>
      <w:r w:rsidRPr="00B419CE">
        <w:t xml:space="preserve"> andre </w:t>
      </w:r>
      <w:proofErr w:type="spellStart"/>
      <w:r w:rsidRPr="00B419CE">
        <w:t>postane</w:t>
      </w:r>
      <w:proofErr w:type="spellEnd"/>
      <w:r w:rsidRPr="00B419CE">
        <w:t xml:space="preserve"> på kapittelet vert </w:t>
      </w:r>
      <w:proofErr w:type="spellStart"/>
      <w:r w:rsidRPr="00B419CE">
        <w:t>monaleg</w:t>
      </w:r>
      <w:proofErr w:type="spellEnd"/>
      <w:r w:rsidRPr="00B419CE">
        <w:t xml:space="preserve"> </w:t>
      </w:r>
      <w:proofErr w:type="spellStart"/>
      <w:r w:rsidRPr="00B419CE">
        <w:t>påverka</w:t>
      </w:r>
      <w:proofErr w:type="spellEnd"/>
      <w:r w:rsidRPr="00B419CE">
        <w:t xml:space="preserve"> av forhold </w:t>
      </w:r>
      <w:proofErr w:type="spellStart"/>
      <w:r w:rsidRPr="00B419CE">
        <w:t>utanfor</w:t>
      </w:r>
      <w:proofErr w:type="spellEnd"/>
      <w:r w:rsidRPr="00B419CE">
        <w:t xml:space="preserve"> etaten.</w:t>
      </w:r>
    </w:p>
    <w:p w14:paraId="1F3F6D29" w14:textId="77777777" w:rsidR="00B419CE" w:rsidRPr="00B419CE" w:rsidRDefault="00B419CE" w:rsidP="00B419CE">
      <w:pPr>
        <w:pStyle w:val="b-post"/>
      </w:pPr>
      <w:r w:rsidRPr="00B419CE">
        <w:t>Post 01 Refunderte utleggs- og tinglysingsgebyr</w:t>
      </w:r>
    </w:p>
    <w:p w14:paraId="5F4B8932" w14:textId="77777777" w:rsidR="00B419CE" w:rsidRPr="00B419CE" w:rsidRDefault="00B419CE" w:rsidP="00B419CE">
      <w:r w:rsidRPr="00B419CE">
        <w:t xml:space="preserve">Posten </w:t>
      </w:r>
      <w:proofErr w:type="spellStart"/>
      <w:r w:rsidRPr="00B419CE">
        <w:t>omfattar</w:t>
      </w:r>
      <w:proofErr w:type="spellEnd"/>
      <w:r w:rsidRPr="00B419CE">
        <w:t xml:space="preserve"> refusjon av gebyr ved </w:t>
      </w:r>
      <w:proofErr w:type="spellStart"/>
      <w:r w:rsidRPr="00B419CE">
        <w:t>utleggsforretningar</w:t>
      </w:r>
      <w:proofErr w:type="spellEnd"/>
      <w:r w:rsidRPr="00B419CE">
        <w:t xml:space="preserve"> som vert utførte av Skatteetaten og </w:t>
      </w:r>
      <w:proofErr w:type="spellStart"/>
      <w:r w:rsidRPr="00B419CE">
        <w:t>dei</w:t>
      </w:r>
      <w:proofErr w:type="spellEnd"/>
      <w:r w:rsidRPr="00B419CE">
        <w:t xml:space="preserve"> </w:t>
      </w:r>
      <w:proofErr w:type="spellStart"/>
      <w:r w:rsidRPr="00B419CE">
        <w:t>alminnelege</w:t>
      </w:r>
      <w:proofErr w:type="spellEnd"/>
      <w:r w:rsidRPr="00B419CE">
        <w:t xml:space="preserve"> namsmennene, jf. kap. 1618, post 21. Inntektene framover på denne posten gjeld </w:t>
      </w:r>
      <w:proofErr w:type="spellStart"/>
      <w:r w:rsidRPr="00B419CE">
        <w:t>innfordringar</w:t>
      </w:r>
      <w:proofErr w:type="spellEnd"/>
      <w:r w:rsidRPr="00B419CE">
        <w:t xml:space="preserve"> som vart sette i gang før 1.11.2020. Kor mange slike som står att etter 2021, er svært usikkert.</w:t>
      </w:r>
    </w:p>
    <w:p w14:paraId="6FDB320E" w14:textId="77777777" w:rsidR="00B419CE" w:rsidRPr="00B419CE" w:rsidRDefault="00B419CE" w:rsidP="00B419CE">
      <w:pPr>
        <w:pStyle w:val="b-post"/>
      </w:pPr>
      <w:r w:rsidRPr="00B419CE">
        <w:lastRenderedPageBreak/>
        <w:t>Post 03 Andre inntekter</w:t>
      </w:r>
    </w:p>
    <w:p w14:paraId="471C3CB2" w14:textId="77777777" w:rsidR="00B419CE" w:rsidRPr="00B419CE" w:rsidRDefault="00B419CE" w:rsidP="00B419CE">
      <w:r w:rsidRPr="00B419CE">
        <w:t xml:space="preserve">Posten omfatta til og med 2020 mellom anna </w:t>
      </w:r>
      <w:proofErr w:type="spellStart"/>
      <w:r w:rsidRPr="00B419CE">
        <w:t>refusjonar</w:t>
      </w:r>
      <w:proofErr w:type="spellEnd"/>
      <w:r w:rsidRPr="00B419CE">
        <w:t xml:space="preserve"> for </w:t>
      </w:r>
      <w:proofErr w:type="spellStart"/>
      <w:r w:rsidRPr="00B419CE">
        <w:t>datatenester</w:t>
      </w:r>
      <w:proofErr w:type="spellEnd"/>
      <w:r w:rsidRPr="00B419CE">
        <w:t xml:space="preserve"> som vart utførte for andre </w:t>
      </w:r>
      <w:proofErr w:type="spellStart"/>
      <w:r w:rsidRPr="00B419CE">
        <w:t>statlege</w:t>
      </w:r>
      <w:proofErr w:type="spellEnd"/>
      <w:r w:rsidRPr="00B419CE">
        <w:t xml:space="preserve"> </w:t>
      </w:r>
      <w:proofErr w:type="spellStart"/>
      <w:r w:rsidRPr="00B419CE">
        <w:t>verksemder</w:t>
      </w:r>
      <w:proofErr w:type="spellEnd"/>
      <w:r w:rsidRPr="00B419CE">
        <w:t xml:space="preserve">, gebyr for </w:t>
      </w:r>
      <w:proofErr w:type="spellStart"/>
      <w:r w:rsidRPr="00B419CE">
        <w:t>folkeregisteropplysningar</w:t>
      </w:r>
      <w:proofErr w:type="spellEnd"/>
      <w:r w:rsidRPr="00B419CE">
        <w:t xml:space="preserve"> og </w:t>
      </w:r>
      <w:proofErr w:type="spellStart"/>
      <w:r w:rsidRPr="00B419CE">
        <w:t>nokre</w:t>
      </w:r>
      <w:proofErr w:type="spellEnd"/>
      <w:r w:rsidRPr="00B419CE">
        <w:t xml:space="preserve"> andre </w:t>
      </w:r>
      <w:proofErr w:type="spellStart"/>
      <w:r w:rsidRPr="00B419CE">
        <w:t>refusjonar</w:t>
      </w:r>
      <w:proofErr w:type="spellEnd"/>
      <w:r w:rsidRPr="00B419CE">
        <w:t xml:space="preserve">. Etter at det er gjort </w:t>
      </w:r>
      <w:proofErr w:type="spellStart"/>
      <w:r w:rsidRPr="00B419CE">
        <w:t>eit</w:t>
      </w:r>
      <w:proofErr w:type="spellEnd"/>
      <w:r w:rsidRPr="00B419CE">
        <w:t xml:space="preserve"> nytt unntak </w:t>
      </w:r>
      <w:proofErr w:type="spellStart"/>
      <w:r w:rsidRPr="00B419CE">
        <w:t>frå</w:t>
      </w:r>
      <w:proofErr w:type="spellEnd"/>
      <w:r w:rsidRPr="00B419CE">
        <w:t xml:space="preserve"> bruttoprinsippet i statsbudsjettet, vert slike </w:t>
      </w:r>
      <w:proofErr w:type="spellStart"/>
      <w:r w:rsidRPr="00B419CE">
        <w:t>refusjonar</w:t>
      </w:r>
      <w:proofErr w:type="spellEnd"/>
      <w:r w:rsidRPr="00B419CE">
        <w:t xml:space="preserve"> posterte på </w:t>
      </w:r>
      <w:proofErr w:type="spellStart"/>
      <w:r w:rsidRPr="00B419CE">
        <w:t>ein</w:t>
      </w:r>
      <w:proofErr w:type="spellEnd"/>
      <w:r w:rsidRPr="00B419CE">
        <w:t xml:space="preserve"> utgiftspost – her kap. 1618, post 01. Som gjort greie for i </w:t>
      </w:r>
      <w:proofErr w:type="spellStart"/>
      <w:r w:rsidRPr="00B419CE">
        <w:t>Prop</w:t>
      </w:r>
      <w:proofErr w:type="spellEnd"/>
      <w:r w:rsidRPr="00B419CE">
        <w:t xml:space="preserve">. 195 S (2020–2021) </w:t>
      </w:r>
      <w:r w:rsidRPr="00B419CE">
        <w:rPr>
          <w:rStyle w:val="kursiv"/>
        </w:rPr>
        <w:t>Tilleggsbevilgninger og omprioriteringer i statsbudsjettet 2021</w:t>
      </w:r>
      <w:r w:rsidRPr="00B419CE">
        <w:t xml:space="preserve">, har </w:t>
      </w:r>
      <w:proofErr w:type="spellStart"/>
      <w:r w:rsidRPr="00B419CE">
        <w:t>ein</w:t>
      </w:r>
      <w:proofErr w:type="spellEnd"/>
      <w:r w:rsidRPr="00B419CE">
        <w:t xml:space="preserve"> </w:t>
      </w:r>
      <w:proofErr w:type="spellStart"/>
      <w:r w:rsidRPr="00B419CE">
        <w:t>seinare</w:t>
      </w:r>
      <w:proofErr w:type="spellEnd"/>
      <w:r w:rsidRPr="00B419CE">
        <w:t xml:space="preserve"> </w:t>
      </w:r>
      <w:proofErr w:type="spellStart"/>
      <w:r w:rsidRPr="00B419CE">
        <w:t>kome</w:t>
      </w:r>
      <w:proofErr w:type="spellEnd"/>
      <w:r w:rsidRPr="00B419CE">
        <w:t xml:space="preserve"> fram til at somme av </w:t>
      </w:r>
      <w:proofErr w:type="spellStart"/>
      <w:r w:rsidRPr="00B419CE">
        <w:t>dei</w:t>
      </w:r>
      <w:proofErr w:type="spellEnd"/>
      <w:r w:rsidRPr="00B419CE">
        <w:t xml:space="preserve"> inntektene som vart posterte på post 03, likevel </w:t>
      </w:r>
      <w:proofErr w:type="spellStart"/>
      <w:r w:rsidRPr="00B419CE">
        <w:t>ikkje</w:t>
      </w:r>
      <w:proofErr w:type="spellEnd"/>
      <w:r w:rsidRPr="00B419CE">
        <w:t xml:space="preserve"> kan </w:t>
      </w:r>
      <w:proofErr w:type="spellStart"/>
      <w:r w:rsidRPr="00B419CE">
        <w:t>reknast</w:t>
      </w:r>
      <w:proofErr w:type="spellEnd"/>
      <w:r w:rsidRPr="00B419CE">
        <w:t xml:space="preserve"> som </w:t>
      </w:r>
      <w:proofErr w:type="spellStart"/>
      <w:r w:rsidRPr="00B419CE">
        <w:t>refusjonar</w:t>
      </w:r>
      <w:proofErr w:type="spellEnd"/>
      <w:r w:rsidRPr="00B419CE">
        <w:t xml:space="preserve">. Dette </w:t>
      </w:r>
      <w:proofErr w:type="spellStart"/>
      <w:r w:rsidRPr="00B419CE">
        <w:t>gjeld</w:t>
      </w:r>
      <w:proofErr w:type="spellEnd"/>
      <w:r w:rsidRPr="00B419CE">
        <w:t xml:space="preserve"> mellom anna </w:t>
      </w:r>
      <w:proofErr w:type="spellStart"/>
      <w:r w:rsidRPr="00B419CE">
        <w:t>nokre</w:t>
      </w:r>
      <w:proofErr w:type="spellEnd"/>
      <w:r w:rsidRPr="00B419CE">
        <w:t xml:space="preserve"> </w:t>
      </w:r>
      <w:proofErr w:type="spellStart"/>
      <w:r w:rsidRPr="00B419CE">
        <w:t>salsinntekter</w:t>
      </w:r>
      <w:proofErr w:type="spellEnd"/>
      <w:r w:rsidRPr="00B419CE">
        <w:t xml:space="preserve"> og </w:t>
      </w:r>
      <w:proofErr w:type="spellStart"/>
      <w:r w:rsidRPr="00B419CE">
        <w:t>tilskot</w:t>
      </w:r>
      <w:proofErr w:type="spellEnd"/>
      <w:r w:rsidRPr="00B419CE">
        <w:t xml:space="preserve">. For 2022 </w:t>
      </w:r>
      <w:proofErr w:type="spellStart"/>
      <w:r w:rsidRPr="00B419CE">
        <w:t>reknar</w:t>
      </w:r>
      <w:proofErr w:type="spellEnd"/>
      <w:r w:rsidRPr="00B419CE">
        <w:t xml:space="preserve"> </w:t>
      </w:r>
      <w:proofErr w:type="spellStart"/>
      <w:r w:rsidRPr="00B419CE">
        <w:t>ein</w:t>
      </w:r>
      <w:proofErr w:type="spellEnd"/>
      <w:r w:rsidRPr="00B419CE">
        <w:t xml:space="preserve"> med 6,3 mill. kroner i slike inntekter.</w:t>
      </w:r>
    </w:p>
    <w:p w14:paraId="21514B03" w14:textId="77777777" w:rsidR="00B419CE" w:rsidRPr="00B419CE" w:rsidRDefault="00B419CE" w:rsidP="00B419CE">
      <w:pPr>
        <w:pStyle w:val="b-post"/>
      </w:pPr>
      <w:r w:rsidRPr="00B419CE">
        <w:t xml:space="preserve">Post 05 Gebyr for </w:t>
      </w:r>
      <w:proofErr w:type="spellStart"/>
      <w:r w:rsidRPr="00B419CE">
        <w:t>utleggsforretningar</w:t>
      </w:r>
      <w:proofErr w:type="spellEnd"/>
    </w:p>
    <w:p w14:paraId="46B77D78" w14:textId="77777777" w:rsidR="00B419CE" w:rsidRPr="00B419CE" w:rsidRDefault="00B419CE" w:rsidP="00B419CE">
      <w:r w:rsidRPr="00B419CE">
        <w:t xml:space="preserve">Posten </w:t>
      </w:r>
      <w:proofErr w:type="spellStart"/>
      <w:r w:rsidRPr="00B419CE">
        <w:t>omfattar</w:t>
      </w:r>
      <w:proofErr w:type="spellEnd"/>
      <w:r w:rsidRPr="00B419CE">
        <w:t xml:space="preserve"> gebyrinntekter </w:t>
      </w:r>
      <w:proofErr w:type="spellStart"/>
      <w:r w:rsidRPr="00B419CE">
        <w:t>frå</w:t>
      </w:r>
      <w:proofErr w:type="spellEnd"/>
      <w:r w:rsidRPr="00B419CE">
        <w:t xml:space="preserve"> </w:t>
      </w:r>
      <w:proofErr w:type="spellStart"/>
      <w:r w:rsidRPr="00B419CE">
        <w:t>utleggsforretningar</w:t>
      </w:r>
      <w:proofErr w:type="spellEnd"/>
      <w:r w:rsidRPr="00B419CE">
        <w:t xml:space="preserve"> som Skatteetaten utfører sjølve. Dei </w:t>
      </w:r>
      <w:proofErr w:type="spellStart"/>
      <w:r w:rsidRPr="00B419CE">
        <w:t>klårt</w:t>
      </w:r>
      <w:proofErr w:type="spellEnd"/>
      <w:r w:rsidRPr="00B419CE">
        <w:t xml:space="preserve"> </w:t>
      </w:r>
      <w:proofErr w:type="spellStart"/>
      <w:r w:rsidRPr="00B419CE">
        <w:t>høgare</w:t>
      </w:r>
      <w:proofErr w:type="spellEnd"/>
      <w:r w:rsidRPr="00B419CE">
        <w:t xml:space="preserve"> inntektene her etter 2020 kjem </w:t>
      </w:r>
      <w:proofErr w:type="spellStart"/>
      <w:r w:rsidRPr="00B419CE">
        <w:t>særleg</w:t>
      </w:r>
      <w:proofErr w:type="spellEnd"/>
      <w:r w:rsidRPr="00B419CE">
        <w:t xml:space="preserve"> av at gebyrinntekter som </w:t>
      </w:r>
      <w:proofErr w:type="spellStart"/>
      <w:r w:rsidRPr="00B419CE">
        <w:t>kommunane</w:t>
      </w:r>
      <w:proofErr w:type="spellEnd"/>
      <w:r w:rsidRPr="00B419CE">
        <w:t xml:space="preserve"> </w:t>
      </w:r>
      <w:proofErr w:type="spellStart"/>
      <w:r w:rsidRPr="00B419CE">
        <w:t>tidlegare</w:t>
      </w:r>
      <w:proofErr w:type="spellEnd"/>
      <w:r w:rsidRPr="00B419CE">
        <w:t xml:space="preserve"> hadde i kraft av særnamsmannkompetanse, etter overføringa av </w:t>
      </w:r>
      <w:proofErr w:type="spellStart"/>
      <w:r w:rsidRPr="00B419CE">
        <w:t>skatteinnkrevjinga</w:t>
      </w:r>
      <w:proofErr w:type="spellEnd"/>
      <w:r w:rsidRPr="00B419CE">
        <w:t xml:space="preserve"> til staten vert inntektsførte hos Skatteetaten. Verknaden av </w:t>
      </w:r>
      <w:proofErr w:type="spellStart"/>
      <w:r w:rsidRPr="00B419CE">
        <w:t>lågare</w:t>
      </w:r>
      <w:proofErr w:type="spellEnd"/>
      <w:r w:rsidRPr="00B419CE">
        <w:t xml:space="preserve"> utleggsgebyr er innarbeidd.</w:t>
      </w:r>
    </w:p>
    <w:p w14:paraId="08553419" w14:textId="77777777" w:rsidR="00B419CE" w:rsidRPr="00B419CE" w:rsidRDefault="00B419CE" w:rsidP="00B419CE">
      <w:pPr>
        <w:pStyle w:val="b-post"/>
      </w:pPr>
      <w:r w:rsidRPr="00B419CE">
        <w:t xml:space="preserve">Post 07 Gebyr for </w:t>
      </w:r>
      <w:proofErr w:type="spellStart"/>
      <w:r w:rsidRPr="00B419CE">
        <w:t>bindande</w:t>
      </w:r>
      <w:proofErr w:type="spellEnd"/>
      <w:r w:rsidRPr="00B419CE">
        <w:t xml:space="preserve"> førehandsfråsegner</w:t>
      </w:r>
    </w:p>
    <w:p w14:paraId="47BC4BD8" w14:textId="77777777" w:rsidR="00B419CE" w:rsidRPr="00B419CE" w:rsidRDefault="00B419CE" w:rsidP="00B419CE">
      <w:r w:rsidRPr="00B419CE">
        <w:t xml:space="preserve">Posten </w:t>
      </w:r>
      <w:proofErr w:type="spellStart"/>
      <w:r w:rsidRPr="00B419CE">
        <w:t>omfattar</w:t>
      </w:r>
      <w:proofErr w:type="spellEnd"/>
      <w:r w:rsidRPr="00B419CE">
        <w:t xml:space="preserve"> inntekter </w:t>
      </w:r>
      <w:proofErr w:type="spellStart"/>
      <w:r w:rsidRPr="00B419CE">
        <w:t>frå</w:t>
      </w:r>
      <w:proofErr w:type="spellEnd"/>
      <w:r w:rsidRPr="00B419CE">
        <w:t xml:space="preserve"> gebyr for </w:t>
      </w:r>
      <w:proofErr w:type="spellStart"/>
      <w:r w:rsidRPr="00B419CE">
        <w:t>bindande</w:t>
      </w:r>
      <w:proofErr w:type="spellEnd"/>
      <w:r w:rsidRPr="00B419CE">
        <w:t xml:space="preserve"> førehandsfråsegner </w:t>
      </w:r>
      <w:proofErr w:type="spellStart"/>
      <w:r w:rsidRPr="00B419CE">
        <w:t>frå</w:t>
      </w:r>
      <w:proofErr w:type="spellEnd"/>
      <w:r w:rsidRPr="00B419CE">
        <w:t xml:space="preserve"> Skatteetaten.</w:t>
      </w:r>
    </w:p>
    <w:p w14:paraId="1DB6701E" w14:textId="77777777" w:rsidR="00B419CE" w:rsidRPr="00B419CE" w:rsidRDefault="00B419CE" w:rsidP="00B419CE">
      <w:pPr>
        <w:pStyle w:val="b-post"/>
      </w:pPr>
      <w:r w:rsidRPr="00B419CE">
        <w:t xml:space="preserve">Post 11 Gebyr på </w:t>
      </w:r>
      <w:proofErr w:type="spellStart"/>
      <w:r w:rsidRPr="00B419CE">
        <w:t>kredittdeklarasjonar</w:t>
      </w:r>
      <w:proofErr w:type="spellEnd"/>
    </w:p>
    <w:p w14:paraId="7AF7EFC8" w14:textId="77777777" w:rsidR="00B419CE" w:rsidRPr="00B419CE" w:rsidRDefault="00B419CE" w:rsidP="00B419CE">
      <w:r w:rsidRPr="00B419CE">
        <w:t xml:space="preserve">Ved innførsel er </w:t>
      </w:r>
      <w:proofErr w:type="spellStart"/>
      <w:r w:rsidRPr="00B419CE">
        <w:t>hovudregelen</w:t>
      </w:r>
      <w:proofErr w:type="spellEnd"/>
      <w:r w:rsidRPr="00B419CE">
        <w:t xml:space="preserve"> at toll og avgifter skal betalast ved grensepasseringa. Etter tollkredittordninga kan </w:t>
      </w:r>
      <w:proofErr w:type="spellStart"/>
      <w:r w:rsidRPr="00B419CE">
        <w:t>godkjende</w:t>
      </w:r>
      <w:proofErr w:type="spellEnd"/>
      <w:r w:rsidRPr="00B419CE">
        <w:t xml:space="preserve"> </w:t>
      </w:r>
      <w:proofErr w:type="spellStart"/>
      <w:r w:rsidRPr="00B419CE">
        <w:t>importørar</w:t>
      </w:r>
      <w:proofErr w:type="spellEnd"/>
      <w:r w:rsidRPr="00B419CE">
        <w:t xml:space="preserve"> få kreditt slik at </w:t>
      </w:r>
      <w:proofErr w:type="spellStart"/>
      <w:r w:rsidRPr="00B419CE">
        <w:t>deklarasjonar</w:t>
      </w:r>
      <w:proofErr w:type="spellEnd"/>
      <w:r w:rsidRPr="00B419CE">
        <w:t xml:space="preserve"> for </w:t>
      </w:r>
      <w:proofErr w:type="spellStart"/>
      <w:r w:rsidRPr="00B419CE">
        <w:t>ein</w:t>
      </w:r>
      <w:proofErr w:type="spellEnd"/>
      <w:r w:rsidRPr="00B419CE">
        <w:t xml:space="preserve"> </w:t>
      </w:r>
      <w:proofErr w:type="spellStart"/>
      <w:r w:rsidRPr="00B419CE">
        <w:t>kalendermånad</w:t>
      </w:r>
      <w:proofErr w:type="spellEnd"/>
      <w:r w:rsidRPr="00B419CE">
        <w:t xml:space="preserve"> kan samlast og betalast den 18. i </w:t>
      </w:r>
      <w:proofErr w:type="spellStart"/>
      <w:r w:rsidRPr="00B419CE">
        <w:t>månaden</w:t>
      </w:r>
      <w:proofErr w:type="spellEnd"/>
      <w:r w:rsidRPr="00B419CE">
        <w:t xml:space="preserve"> etter. I </w:t>
      </w:r>
      <w:proofErr w:type="spellStart"/>
      <w:r w:rsidRPr="00B419CE">
        <w:t>månader</w:t>
      </w:r>
      <w:proofErr w:type="spellEnd"/>
      <w:r w:rsidRPr="00B419CE">
        <w:t xml:space="preserve"> der </w:t>
      </w:r>
      <w:proofErr w:type="spellStart"/>
      <w:r w:rsidRPr="00B419CE">
        <w:t>ein</w:t>
      </w:r>
      <w:proofErr w:type="spellEnd"/>
      <w:r w:rsidRPr="00B419CE">
        <w:t xml:space="preserve"> importør har brukt tollkredittordninga, vil han få </w:t>
      </w:r>
      <w:proofErr w:type="spellStart"/>
      <w:r w:rsidRPr="00B419CE">
        <w:t>eit</w:t>
      </w:r>
      <w:proofErr w:type="spellEnd"/>
      <w:r w:rsidRPr="00B419CE">
        <w:t xml:space="preserve"> gebyr på 100 kroner. Samla gebyrinntekter svarer til </w:t>
      </w:r>
      <w:proofErr w:type="spellStart"/>
      <w:r w:rsidRPr="00B419CE">
        <w:t>dei</w:t>
      </w:r>
      <w:proofErr w:type="spellEnd"/>
      <w:r w:rsidRPr="00B419CE">
        <w:t xml:space="preserve"> </w:t>
      </w:r>
      <w:proofErr w:type="spellStart"/>
      <w:r w:rsidRPr="00B419CE">
        <w:t>kostnadane</w:t>
      </w:r>
      <w:proofErr w:type="spellEnd"/>
      <w:r w:rsidRPr="00B419CE">
        <w:t xml:space="preserve"> som Skatteetaten har med tollkredittordninga. Kostnadsgrunnlaget </w:t>
      </w:r>
      <w:proofErr w:type="spellStart"/>
      <w:r w:rsidRPr="00B419CE">
        <w:t>vart</w:t>
      </w:r>
      <w:proofErr w:type="spellEnd"/>
      <w:r w:rsidRPr="00B419CE">
        <w:t xml:space="preserve"> gjennomgått i 2020 og vurdert å samsvare bra med gebyrnivået.</w:t>
      </w:r>
    </w:p>
    <w:p w14:paraId="14B6D767" w14:textId="77777777" w:rsidR="00B419CE" w:rsidRPr="00B419CE" w:rsidRDefault="00B419CE" w:rsidP="00B419CE">
      <w:pPr>
        <w:pStyle w:val="b-post"/>
      </w:pPr>
      <w:r w:rsidRPr="00B419CE">
        <w:t>Post 85 Inngått på tapsførte lån m.m.</w:t>
      </w:r>
    </w:p>
    <w:p w14:paraId="457234C1" w14:textId="77777777" w:rsidR="00B419CE" w:rsidRPr="00B419CE" w:rsidRDefault="00B419CE" w:rsidP="00B419CE">
      <w:r w:rsidRPr="00B419CE">
        <w:t xml:space="preserve">Posten </w:t>
      </w:r>
      <w:proofErr w:type="spellStart"/>
      <w:r w:rsidRPr="00B419CE">
        <w:t>omfattar</w:t>
      </w:r>
      <w:proofErr w:type="spellEnd"/>
      <w:r w:rsidRPr="00B419CE">
        <w:t xml:space="preserve"> inntekter </w:t>
      </w:r>
      <w:proofErr w:type="spellStart"/>
      <w:r w:rsidRPr="00B419CE">
        <w:t>frå</w:t>
      </w:r>
      <w:proofErr w:type="spellEnd"/>
      <w:r w:rsidRPr="00B419CE">
        <w:t xml:space="preserve"> </w:t>
      </w:r>
      <w:proofErr w:type="spellStart"/>
      <w:r w:rsidRPr="00B419CE">
        <w:t>innkrevjing</w:t>
      </w:r>
      <w:proofErr w:type="spellEnd"/>
      <w:r w:rsidRPr="00B419CE">
        <w:t xml:space="preserve"> av </w:t>
      </w:r>
      <w:proofErr w:type="spellStart"/>
      <w:r w:rsidRPr="00B419CE">
        <w:t>misleghaldne</w:t>
      </w:r>
      <w:proofErr w:type="spellEnd"/>
      <w:r w:rsidRPr="00B419CE">
        <w:t xml:space="preserve"> lån som er tapsførte i Statens lånekasse for utdanning og i Husbanken.</w:t>
      </w:r>
    </w:p>
    <w:p w14:paraId="495E9BA4" w14:textId="77777777" w:rsidR="00B419CE" w:rsidRPr="00B419CE" w:rsidRDefault="00B419CE" w:rsidP="00B419CE">
      <w:pPr>
        <w:pStyle w:val="b-post"/>
      </w:pPr>
      <w:r w:rsidRPr="00B419CE">
        <w:t xml:space="preserve">Post 86 Bøter, </w:t>
      </w:r>
      <w:proofErr w:type="spellStart"/>
      <w:r w:rsidRPr="00B419CE">
        <w:t>inndragingar</w:t>
      </w:r>
      <w:proofErr w:type="spellEnd"/>
      <w:r w:rsidRPr="00B419CE">
        <w:t xml:space="preserve"> m.m.</w:t>
      </w:r>
    </w:p>
    <w:p w14:paraId="4D85C003" w14:textId="77777777" w:rsidR="00B419CE" w:rsidRPr="00B419CE" w:rsidRDefault="00B419CE" w:rsidP="00B419CE">
      <w:r w:rsidRPr="00B419CE">
        <w:t xml:space="preserve">Posten </w:t>
      </w:r>
      <w:proofErr w:type="spellStart"/>
      <w:r w:rsidRPr="00B419CE">
        <w:t>omfattar</w:t>
      </w:r>
      <w:proofErr w:type="spellEnd"/>
      <w:r w:rsidRPr="00B419CE">
        <w:t xml:space="preserve"> inntekter </w:t>
      </w:r>
      <w:proofErr w:type="spellStart"/>
      <w:r w:rsidRPr="00B419CE">
        <w:t>frå</w:t>
      </w:r>
      <w:proofErr w:type="spellEnd"/>
      <w:r w:rsidRPr="00B419CE">
        <w:t xml:space="preserve"> bøter (forenkla </w:t>
      </w:r>
      <w:proofErr w:type="spellStart"/>
      <w:r w:rsidRPr="00B419CE">
        <w:t>førelegg</w:t>
      </w:r>
      <w:proofErr w:type="spellEnd"/>
      <w:r w:rsidRPr="00B419CE">
        <w:t xml:space="preserve">, </w:t>
      </w:r>
      <w:proofErr w:type="spellStart"/>
      <w:r w:rsidRPr="00B419CE">
        <w:t>vanlege</w:t>
      </w:r>
      <w:proofErr w:type="spellEnd"/>
      <w:r w:rsidRPr="00B419CE">
        <w:t xml:space="preserve"> </w:t>
      </w:r>
      <w:proofErr w:type="spellStart"/>
      <w:r w:rsidRPr="00B419CE">
        <w:t>førelegg</w:t>
      </w:r>
      <w:proofErr w:type="spellEnd"/>
      <w:r w:rsidRPr="00B419CE">
        <w:t xml:space="preserve"> og bøter som er </w:t>
      </w:r>
      <w:proofErr w:type="spellStart"/>
      <w:r w:rsidRPr="00B419CE">
        <w:t>ilagde</w:t>
      </w:r>
      <w:proofErr w:type="spellEnd"/>
      <w:r w:rsidRPr="00B419CE">
        <w:t xml:space="preserve"> ved dom), </w:t>
      </w:r>
      <w:proofErr w:type="spellStart"/>
      <w:r w:rsidRPr="00B419CE">
        <w:t>inndragingar</w:t>
      </w:r>
      <w:proofErr w:type="spellEnd"/>
      <w:r w:rsidRPr="00B419CE">
        <w:t xml:space="preserve"> og </w:t>
      </w:r>
      <w:proofErr w:type="spellStart"/>
      <w:r w:rsidRPr="00B419CE">
        <w:t>sakskostnadar</w:t>
      </w:r>
      <w:proofErr w:type="spellEnd"/>
      <w:r w:rsidRPr="00B419CE">
        <w:t xml:space="preserve">. At framlegget for 2022 er vel 220 mill. </w:t>
      </w:r>
      <w:proofErr w:type="spellStart"/>
      <w:r w:rsidRPr="00B419CE">
        <w:t>høgare</w:t>
      </w:r>
      <w:proofErr w:type="spellEnd"/>
      <w:r w:rsidRPr="00B419CE">
        <w:t xml:space="preserve"> enn saldert budsjett 2021, heng mellom anna </w:t>
      </w:r>
      <w:proofErr w:type="spellStart"/>
      <w:r w:rsidRPr="00B419CE">
        <w:t>saman</w:t>
      </w:r>
      <w:proofErr w:type="spellEnd"/>
      <w:r w:rsidRPr="00B419CE">
        <w:t xml:space="preserve"> med planar om nivå- og </w:t>
      </w:r>
      <w:proofErr w:type="spellStart"/>
      <w:r w:rsidRPr="00B419CE">
        <w:t>prisjusteringar</w:t>
      </w:r>
      <w:proofErr w:type="spellEnd"/>
      <w:r w:rsidRPr="00B419CE">
        <w:t xml:space="preserve"> av </w:t>
      </w:r>
      <w:proofErr w:type="spellStart"/>
      <w:r w:rsidRPr="00B419CE">
        <w:t>ein</w:t>
      </w:r>
      <w:proofErr w:type="spellEnd"/>
      <w:r w:rsidRPr="00B419CE">
        <w:t xml:space="preserve"> del forenkla </w:t>
      </w:r>
      <w:proofErr w:type="spellStart"/>
      <w:r w:rsidRPr="00B419CE">
        <w:t>førelegg</w:t>
      </w:r>
      <w:proofErr w:type="spellEnd"/>
      <w:r w:rsidRPr="00B419CE">
        <w:t xml:space="preserve"> og betre utnytting av </w:t>
      </w:r>
      <w:proofErr w:type="spellStart"/>
      <w:r w:rsidRPr="00B419CE">
        <w:t>fotoboksar</w:t>
      </w:r>
      <w:proofErr w:type="spellEnd"/>
      <w:r w:rsidRPr="00B419CE">
        <w:t>.</w:t>
      </w:r>
    </w:p>
    <w:p w14:paraId="1F242056" w14:textId="77777777" w:rsidR="00B419CE" w:rsidRPr="00B419CE" w:rsidRDefault="00B419CE" w:rsidP="00B419CE">
      <w:pPr>
        <w:pStyle w:val="b-post"/>
      </w:pPr>
      <w:r w:rsidRPr="00B419CE">
        <w:lastRenderedPageBreak/>
        <w:t xml:space="preserve">Post 87 </w:t>
      </w:r>
      <w:proofErr w:type="spellStart"/>
      <w:r w:rsidRPr="00B419CE">
        <w:t>Trafikantsanksjonar</w:t>
      </w:r>
      <w:proofErr w:type="spellEnd"/>
    </w:p>
    <w:p w14:paraId="47F956A3" w14:textId="77777777" w:rsidR="00B419CE" w:rsidRPr="00B419CE" w:rsidRDefault="00B419CE" w:rsidP="00B419CE">
      <w:r w:rsidRPr="00B419CE">
        <w:t xml:space="preserve">Posten </w:t>
      </w:r>
      <w:proofErr w:type="spellStart"/>
      <w:r w:rsidRPr="00B419CE">
        <w:t>omfattar</w:t>
      </w:r>
      <w:proofErr w:type="spellEnd"/>
      <w:r w:rsidRPr="00B419CE">
        <w:t xml:space="preserve"> inntekter </w:t>
      </w:r>
      <w:proofErr w:type="spellStart"/>
      <w:r w:rsidRPr="00B419CE">
        <w:t>frå</w:t>
      </w:r>
      <w:proofErr w:type="spellEnd"/>
      <w:r w:rsidRPr="00B419CE">
        <w:t xml:space="preserve"> trafikkgebyr, parkeringsgebyr og overlastgebyr, utferda av politiet og Statens vegvesen.</w:t>
      </w:r>
    </w:p>
    <w:p w14:paraId="437D8B6C" w14:textId="77777777" w:rsidR="00B419CE" w:rsidRPr="00B419CE" w:rsidRDefault="00B419CE" w:rsidP="00B419CE">
      <w:pPr>
        <w:pStyle w:val="b-post"/>
      </w:pPr>
      <w:r w:rsidRPr="00B419CE">
        <w:t xml:space="preserve">Post 88 Forseinkingsgebyr, </w:t>
      </w:r>
      <w:proofErr w:type="spellStart"/>
      <w:r w:rsidRPr="00B419CE">
        <w:t>Rekneskapsregisteret</w:t>
      </w:r>
      <w:proofErr w:type="spellEnd"/>
    </w:p>
    <w:p w14:paraId="425A90C4" w14:textId="77777777" w:rsidR="00B419CE" w:rsidRPr="00B419CE" w:rsidRDefault="00B419CE" w:rsidP="00B419CE">
      <w:r w:rsidRPr="00B419CE">
        <w:t xml:space="preserve">Posten </w:t>
      </w:r>
      <w:proofErr w:type="spellStart"/>
      <w:r w:rsidRPr="00B419CE">
        <w:t>omfattar</w:t>
      </w:r>
      <w:proofErr w:type="spellEnd"/>
      <w:r w:rsidRPr="00B419CE">
        <w:t xml:space="preserve"> innbetaling av forseinkingsgebyr, </w:t>
      </w:r>
      <w:proofErr w:type="spellStart"/>
      <w:r w:rsidRPr="00B419CE">
        <w:t>ilagde</w:t>
      </w:r>
      <w:proofErr w:type="spellEnd"/>
      <w:r w:rsidRPr="00B419CE">
        <w:t xml:space="preserve"> av </w:t>
      </w:r>
      <w:proofErr w:type="spellStart"/>
      <w:r w:rsidRPr="00B419CE">
        <w:t>Rekneskapsregisteret</w:t>
      </w:r>
      <w:proofErr w:type="spellEnd"/>
      <w:r w:rsidRPr="00B419CE">
        <w:t>.</w:t>
      </w:r>
    </w:p>
    <w:p w14:paraId="27708393" w14:textId="77777777" w:rsidR="00B419CE" w:rsidRPr="00B419CE" w:rsidRDefault="00B419CE" w:rsidP="00B419CE">
      <w:pPr>
        <w:pStyle w:val="b-post"/>
      </w:pPr>
      <w:r w:rsidRPr="00B419CE">
        <w:t xml:space="preserve">Post 89 Gebyr for </w:t>
      </w:r>
      <w:proofErr w:type="spellStart"/>
      <w:r w:rsidRPr="00B419CE">
        <w:t>regelbrot</w:t>
      </w:r>
      <w:proofErr w:type="spellEnd"/>
    </w:p>
    <w:p w14:paraId="2274661C" w14:textId="77777777" w:rsidR="00B419CE" w:rsidRPr="00B419CE" w:rsidRDefault="00B419CE" w:rsidP="00B419CE">
      <w:r w:rsidRPr="00B419CE">
        <w:t xml:space="preserve">Posten </w:t>
      </w:r>
      <w:proofErr w:type="spellStart"/>
      <w:r w:rsidRPr="00B419CE">
        <w:t>omfattar</w:t>
      </w:r>
      <w:proofErr w:type="spellEnd"/>
      <w:r w:rsidRPr="00B419CE">
        <w:t xml:space="preserve"> inntekter </w:t>
      </w:r>
      <w:proofErr w:type="spellStart"/>
      <w:r w:rsidRPr="00B419CE">
        <w:t>frå</w:t>
      </w:r>
      <w:proofErr w:type="spellEnd"/>
      <w:r w:rsidRPr="00B419CE">
        <w:t xml:space="preserve"> gebyr for </w:t>
      </w:r>
      <w:proofErr w:type="spellStart"/>
      <w:r w:rsidRPr="00B419CE">
        <w:t>regelbrot</w:t>
      </w:r>
      <w:proofErr w:type="spellEnd"/>
      <w:r w:rsidRPr="00B419CE">
        <w:t xml:space="preserve"> som kan </w:t>
      </w:r>
      <w:proofErr w:type="spellStart"/>
      <w:r w:rsidRPr="00B419CE">
        <w:t>ileggjast</w:t>
      </w:r>
      <w:proofErr w:type="spellEnd"/>
      <w:r w:rsidRPr="00B419CE">
        <w:t xml:space="preserve"> </w:t>
      </w:r>
      <w:proofErr w:type="spellStart"/>
      <w:r w:rsidRPr="00B419CE">
        <w:t>arbeidsgjevarar</w:t>
      </w:r>
      <w:proofErr w:type="spellEnd"/>
      <w:r w:rsidRPr="00B419CE">
        <w:t xml:space="preserve"> som </w:t>
      </w:r>
      <w:proofErr w:type="spellStart"/>
      <w:r w:rsidRPr="00B419CE">
        <w:t>ikkje</w:t>
      </w:r>
      <w:proofErr w:type="spellEnd"/>
      <w:r w:rsidRPr="00B419CE">
        <w:t xml:space="preserve"> kan </w:t>
      </w:r>
      <w:proofErr w:type="spellStart"/>
      <w:r w:rsidRPr="00B419CE">
        <w:t>leggje</w:t>
      </w:r>
      <w:proofErr w:type="spellEnd"/>
      <w:r w:rsidRPr="00B419CE">
        <w:t xml:space="preserve"> fram ei oppdatert personalliste.</w:t>
      </w:r>
    </w:p>
    <w:p w14:paraId="667E137D" w14:textId="77777777" w:rsidR="00B419CE" w:rsidRPr="00B419CE" w:rsidRDefault="00B419CE" w:rsidP="00B419CE">
      <w:pPr>
        <w:pStyle w:val="avsnitt-undertittel"/>
      </w:pPr>
      <w:proofErr w:type="spellStart"/>
      <w:r w:rsidRPr="00B419CE">
        <w:t>Tilsegnsordninga</w:t>
      </w:r>
      <w:proofErr w:type="spellEnd"/>
      <w:r w:rsidRPr="00B419CE">
        <w:t xml:space="preserve"> ved oppfølging av konkursbu</w:t>
      </w:r>
    </w:p>
    <w:p w14:paraId="0DBEA204" w14:textId="77777777" w:rsidR="00B419CE" w:rsidRPr="00B419CE" w:rsidRDefault="00B419CE" w:rsidP="00B419CE">
      <w:r w:rsidRPr="00B419CE">
        <w:t xml:space="preserve">For å sikre og </w:t>
      </w:r>
      <w:proofErr w:type="spellStart"/>
      <w:r w:rsidRPr="00B419CE">
        <w:t>følgje</w:t>
      </w:r>
      <w:proofErr w:type="spellEnd"/>
      <w:r w:rsidRPr="00B419CE">
        <w:t xml:space="preserve"> opp krav i konkursbu som ledd i det </w:t>
      </w:r>
      <w:proofErr w:type="spellStart"/>
      <w:r w:rsidRPr="00B419CE">
        <w:t>offentlege</w:t>
      </w:r>
      <w:proofErr w:type="spellEnd"/>
      <w:r w:rsidRPr="00B419CE">
        <w:t xml:space="preserve"> </w:t>
      </w:r>
      <w:proofErr w:type="spellStart"/>
      <w:r w:rsidRPr="00B419CE">
        <w:t>innkrevjingsarbeidet</w:t>
      </w:r>
      <w:proofErr w:type="spellEnd"/>
      <w:r w:rsidRPr="00B419CE">
        <w:t xml:space="preserve">, vart det for både 2020 og 2021 gjeve fullmakt slik at Skatteetaten kunne </w:t>
      </w:r>
      <w:proofErr w:type="spellStart"/>
      <w:r w:rsidRPr="00B419CE">
        <w:t>gje</w:t>
      </w:r>
      <w:proofErr w:type="spellEnd"/>
      <w:r w:rsidRPr="00B419CE">
        <w:t xml:space="preserve"> nye, vilkårsbundne </w:t>
      </w:r>
      <w:proofErr w:type="spellStart"/>
      <w:r w:rsidRPr="00B419CE">
        <w:t>tilsegner</w:t>
      </w:r>
      <w:proofErr w:type="spellEnd"/>
      <w:r w:rsidRPr="00B419CE">
        <w:t xml:space="preserve"> om dekking av </w:t>
      </w:r>
      <w:proofErr w:type="spellStart"/>
      <w:r w:rsidRPr="00B419CE">
        <w:t>kostnadar</w:t>
      </w:r>
      <w:proofErr w:type="spellEnd"/>
      <w:r w:rsidRPr="00B419CE">
        <w:t xml:space="preserve"> ved </w:t>
      </w:r>
      <w:proofErr w:type="spellStart"/>
      <w:r w:rsidRPr="00B419CE">
        <w:t>vidare</w:t>
      </w:r>
      <w:proofErr w:type="spellEnd"/>
      <w:r w:rsidRPr="00B419CE">
        <w:t xml:space="preserve"> </w:t>
      </w:r>
      <w:proofErr w:type="spellStart"/>
      <w:r w:rsidRPr="00B419CE">
        <w:t>bubehandling</w:t>
      </w:r>
      <w:proofErr w:type="spellEnd"/>
      <w:r w:rsidRPr="00B419CE">
        <w:t xml:space="preserve"> for </w:t>
      </w:r>
      <w:proofErr w:type="spellStart"/>
      <w:r w:rsidRPr="00B419CE">
        <w:t>opp til</w:t>
      </w:r>
      <w:proofErr w:type="spellEnd"/>
      <w:r w:rsidRPr="00B419CE">
        <w:t xml:space="preserve"> 8 mill. kroner. Ved utgangen av 2020 </w:t>
      </w:r>
      <w:proofErr w:type="spellStart"/>
      <w:r w:rsidRPr="00B419CE">
        <w:t>låg</w:t>
      </w:r>
      <w:proofErr w:type="spellEnd"/>
      <w:r w:rsidRPr="00B419CE">
        <w:t xml:space="preserve"> det føre slike </w:t>
      </w:r>
      <w:proofErr w:type="spellStart"/>
      <w:r w:rsidRPr="00B419CE">
        <w:t>tilsegner</w:t>
      </w:r>
      <w:proofErr w:type="spellEnd"/>
      <w:r w:rsidRPr="00B419CE">
        <w:t xml:space="preserve"> for vel 5,4 mill. kroner. </w:t>
      </w:r>
      <w:proofErr w:type="spellStart"/>
      <w:r w:rsidRPr="00B419CE">
        <w:t>Tilsegnsfullmakta</w:t>
      </w:r>
      <w:proofErr w:type="spellEnd"/>
      <w:r w:rsidRPr="00B419CE">
        <w:t xml:space="preserve"> er knytt til kap. 1618 Skatteetaten, post 21 Spesielle driftsutgifter.</w:t>
      </w:r>
    </w:p>
    <w:p w14:paraId="655A33BD" w14:textId="77777777" w:rsidR="00B419CE" w:rsidRPr="00B419CE" w:rsidRDefault="00B419CE" w:rsidP="00B419CE">
      <w:r w:rsidRPr="00B419CE">
        <w:t xml:space="preserve">Dei kommunale </w:t>
      </w:r>
      <w:proofErr w:type="spellStart"/>
      <w:r w:rsidRPr="00B419CE">
        <w:t>skatteoppkrevjarane</w:t>
      </w:r>
      <w:proofErr w:type="spellEnd"/>
      <w:r w:rsidRPr="00B419CE">
        <w:t xml:space="preserve"> hadde fram til 1. november 2020 </w:t>
      </w:r>
      <w:proofErr w:type="spellStart"/>
      <w:r w:rsidRPr="00B419CE">
        <w:t>ein</w:t>
      </w:r>
      <w:proofErr w:type="spellEnd"/>
      <w:r w:rsidRPr="00B419CE">
        <w:t xml:space="preserve"> </w:t>
      </w:r>
      <w:proofErr w:type="spellStart"/>
      <w:r w:rsidRPr="00B419CE">
        <w:t>liknande</w:t>
      </w:r>
      <w:proofErr w:type="spellEnd"/>
      <w:r w:rsidRPr="00B419CE">
        <w:t xml:space="preserve"> fullmakt. Ansvaret i denne var 7,4 mill. kroner per 31. desember 2020. Staten har </w:t>
      </w:r>
      <w:proofErr w:type="spellStart"/>
      <w:r w:rsidRPr="00B419CE">
        <w:t>teke</w:t>
      </w:r>
      <w:proofErr w:type="spellEnd"/>
      <w:r w:rsidRPr="00B419CE">
        <w:t xml:space="preserve"> over dette ansvaret slik at samla ansvar for staten per 1. januar 2021 var 12,8 mill. kroner. I samband med </w:t>
      </w:r>
      <w:proofErr w:type="spellStart"/>
      <w:r w:rsidRPr="00B419CE">
        <w:t>Prop</w:t>
      </w:r>
      <w:proofErr w:type="spellEnd"/>
      <w:r w:rsidRPr="00B419CE">
        <w:t xml:space="preserve">. 195 S (2020–2021) </w:t>
      </w:r>
      <w:r w:rsidRPr="00B419CE">
        <w:rPr>
          <w:rStyle w:val="kursiv"/>
        </w:rPr>
        <w:t>Tilleggsbevilgninger og omprioriteringer i statsbudsjettet 2021</w:t>
      </w:r>
      <w:r w:rsidRPr="00B419CE">
        <w:t xml:space="preserve">, vart grensa for nye </w:t>
      </w:r>
      <w:proofErr w:type="spellStart"/>
      <w:r w:rsidRPr="00B419CE">
        <w:t>tilsegner</w:t>
      </w:r>
      <w:proofErr w:type="spellEnd"/>
      <w:r w:rsidRPr="00B419CE">
        <w:t xml:space="preserve"> i 2021 </w:t>
      </w:r>
      <w:proofErr w:type="spellStart"/>
      <w:r w:rsidRPr="00B419CE">
        <w:t>auka</w:t>
      </w:r>
      <w:proofErr w:type="spellEnd"/>
      <w:r w:rsidRPr="00B419CE">
        <w:t xml:space="preserve"> </w:t>
      </w:r>
      <w:proofErr w:type="spellStart"/>
      <w:r w:rsidRPr="00B419CE">
        <w:t>frå</w:t>
      </w:r>
      <w:proofErr w:type="spellEnd"/>
      <w:r w:rsidRPr="00B419CE">
        <w:t xml:space="preserve"> 8 til 16 mill. kroner som </w:t>
      </w:r>
      <w:proofErr w:type="spellStart"/>
      <w:r w:rsidRPr="00B419CE">
        <w:t>ein</w:t>
      </w:r>
      <w:proofErr w:type="spellEnd"/>
      <w:r w:rsidRPr="00B419CE">
        <w:t xml:space="preserve"> konsekvens av at staten </w:t>
      </w:r>
      <w:proofErr w:type="spellStart"/>
      <w:r w:rsidRPr="00B419CE">
        <w:t>no</w:t>
      </w:r>
      <w:proofErr w:type="spellEnd"/>
      <w:r w:rsidRPr="00B419CE">
        <w:t xml:space="preserve"> har </w:t>
      </w:r>
      <w:proofErr w:type="spellStart"/>
      <w:r w:rsidRPr="00B419CE">
        <w:t>eineansvar</w:t>
      </w:r>
      <w:proofErr w:type="spellEnd"/>
      <w:r w:rsidRPr="00B419CE">
        <w:t xml:space="preserve"> for å </w:t>
      </w:r>
      <w:proofErr w:type="spellStart"/>
      <w:r w:rsidRPr="00B419CE">
        <w:t>gje</w:t>
      </w:r>
      <w:proofErr w:type="spellEnd"/>
      <w:r w:rsidRPr="00B419CE">
        <w:t xml:space="preserve"> slike </w:t>
      </w:r>
      <w:proofErr w:type="spellStart"/>
      <w:r w:rsidRPr="00B419CE">
        <w:t>tilsegn</w:t>
      </w:r>
      <w:proofErr w:type="spellEnd"/>
      <w:r w:rsidRPr="00B419CE">
        <w:t>.</w:t>
      </w:r>
    </w:p>
    <w:p w14:paraId="507FD404" w14:textId="77777777" w:rsidR="00B419CE" w:rsidRPr="00B419CE" w:rsidRDefault="00B419CE" w:rsidP="00B419CE">
      <w:proofErr w:type="spellStart"/>
      <w:r w:rsidRPr="00B419CE">
        <w:t>Vanlegvis</w:t>
      </w:r>
      <w:proofErr w:type="spellEnd"/>
      <w:r w:rsidRPr="00B419CE">
        <w:t xml:space="preserve"> vert det gjeve </w:t>
      </w:r>
      <w:proofErr w:type="spellStart"/>
      <w:r w:rsidRPr="00B419CE">
        <w:t>tilsegn</w:t>
      </w:r>
      <w:proofErr w:type="spellEnd"/>
      <w:r w:rsidRPr="00B419CE">
        <w:t xml:space="preserve"> når </w:t>
      </w:r>
      <w:proofErr w:type="spellStart"/>
      <w:r w:rsidRPr="00B419CE">
        <w:t>ein</w:t>
      </w:r>
      <w:proofErr w:type="spellEnd"/>
      <w:r w:rsidRPr="00B419CE">
        <w:t xml:space="preserve"> </w:t>
      </w:r>
      <w:proofErr w:type="spellStart"/>
      <w:r w:rsidRPr="00B419CE">
        <w:t>reknar</w:t>
      </w:r>
      <w:proofErr w:type="spellEnd"/>
      <w:r w:rsidRPr="00B419CE">
        <w:t xml:space="preserve"> med at </w:t>
      </w:r>
      <w:proofErr w:type="spellStart"/>
      <w:r w:rsidRPr="00B419CE">
        <w:t>vidare</w:t>
      </w:r>
      <w:proofErr w:type="spellEnd"/>
      <w:r w:rsidRPr="00B419CE">
        <w:t xml:space="preserve"> </w:t>
      </w:r>
      <w:proofErr w:type="spellStart"/>
      <w:r w:rsidRPr="00B419CE">
        <w:t>bubehandling</w:t>
      </w:r>
      <w:proofErr w:type="spellEnd"/>
      <w:r w:rsidRPr="00B419CE">
        <w:t xml:space="preserve"> kan tilføre </w:t>
      </w:r>
      <w:proofErr w:type="spellStart"/>
      <w:r w:rsidRPr="00B419CE">
        <w:t>eit</w:t>
      </w:r>
      <w:proofErr w:type="spellEnd"/>
      <w:r w:rsidRPr="00B419CE">
        <w:t xml:space="preserve"> konkursbu aktiva, men buet </w:t>
      </w:r>
      <w:proofErr w:type="spellStart"/>
      <w:r w:rsidRPr="00B419CE">
        <w:t>ikkje</w:t>
      </w:r>
      <w:proofErr w:type="spellEnd"/>
      <w:r w:rsidRPr="00B419CE">
        <w:t xml:space="preserve"> har evne til å </w:t>
      </w:r>
      <w:proofErr w:type="spellStart"/>
      <w:r w:rsidRPr="00B419CE">
        <w:t>bere</w:t>
      </w:r>
      <w:proofErr w:type="spellEnd"/>
      <w:r w:rsidRPr="00B419CE">
        <w:t xml:space="preserve"> risikoen for </w:t>
      </w:r>
      <w:proofErr w:type="spellStart"/>
      <w:r w:rsidRPr="00B419CE">
        <w:t>kostnadane</w:t>
      </w:r>
      <w:proofErr w:type="spellEnd"/>
      <w:r w:rsidRPr="00B419CE">
        <w:t xml:space="preserve">. I </w:t>
      </w:r>
      <w:proofErr w:type="spellStart"/>
      <w:r w:rsidRPr="00B419CE">
        <w:t>særlege</w:t>
      </w:r>
      <w:proofErr w:type="spellEnd"/>
      <w:r w:rsidRPr="00B419CE">
        <w:t xml:space="preserve"> tilfelle er </w:t>
      </w:r>
      <w:proofErr w:type="spellStart"/>
      <w:r w:rsidRPr="00B419CE">
        <w:t>tilsegna</w:t>
      </w:r>
      <w:proofErr w:type="spellEnd"/>
      <w:r w:rsidRPr="00B419CE">
        <w:t xml:space="preserve"> </w:t>
      </w:r>
      <w:proofErr w:type="spellStart"/>
      <w:r w:rsidRPr="00B419CE">
        <w:t>grunngjevne</w:t>
      </w:r>
      <w:proofErr w:type="spellEnd"/>
      <w:r w:rsidRPr="00B419CE">
        <w:t xml:space="preserve"> med preventive omsyn. Det </w:t>
      </w:r>
      <w:proofErr w:type="spellStart"/>
      <w:r w:rsidRPr="00B419CE">
        <w:t>gjeld</w:t>
      </w:r>
      <w:proofErr w:type="spellEnd"/>
      <w:r w:rsidRPr="00B419CE">
        <w:t xml:space="preserve"> mellom anna når mistanke om økonomisk kriminalitet </w:t>
      </w:r>
      <w:proofErr w:type="spellStart"/>
      <w:r w:rsidRPr="00B419CE">
        <w:t>tilseier</w:t>
      </w:r>
      <w:proofErr w:type="spellEnd"/>
      <w:r w:rsidRPr="00B419CE">
        <w:t xml:space="preserve"> at konkursbuet forfølgjer saka </w:t>
      </w:r>
      <w:proofErr w:type="spellStart"/>
      <w:r w:rsidRPr="00B419CE">
        <w:t>privatrettsleg</w:t>
      </w:r>
      <w:proofErr w:type="spellEnd"/>
      <w:r w:rsidRPr="00B419CE">
        <w:t xml:space="preserve"> eller overfører saka til påtalemakta. Ordninga </w:t>
      </w:r>
      <w:proofErr w:type="spellStart"/>
      <w:r w:rsidRPr="00B419CE">
        <w:t>medverkar</w:t>
      </w:r>
      <w:proofErr w:type="spellEnd"/>
      <w:r w:rsidRPr="00B419CE">
        <w:t xml:space="preserve"> </w:t>
      </w:r>
      <w:proofErr w:type="spellStart"/>
      <w:r w:rsidRPr="00B419CE">
        <w:t>dessutan</w:t>
      </w:r>
      <w:proofErr w:type="spellEnd"/>
      <w:r w:rsidRPr="00B419CE">
        <w:t xml:space="preserve"> til å avsløre </w:t>
      </w:r>
      <w:proofErr w:type="spellStart"/>
      <w:r w:rsidRPr="00B419CE">
        <w:t>brot</w:t>
      </w:r>
      <w:proofErr w:type="spellEnd"/>
      <w:r w:rsidRPr="00B419CE">
        <w:t xml:space="preserve"> på skatte-, avgifts- og </w:t>
      </w:r>
      <w:proofErr w:type="spellStart"/>
      <w:r w:rsidRPr="00B419CE">
        <w:t>rekneskapslovgjevinga</w:t>
      </w:r>
      <w:proofErr w:type="spellEnd"/>
      <w:r w:rsidRPr="00B419CE">
        <w:t xml:space="preserve"> og </w:t>
      </w:r>
      <w:proofErr w:type="spellStart"/>
      <w:r w:rsidRPr="00B419CE">
        <w:t>motverkar</w:t>
      </w:r>
      <w:proofErr w:type="spellEnd"/>
      <w:r w:rsidRPr="00B419CE">
        <w:t xml:space="preserve"> økonomisk tapping av </w:t>
      </w:r>
      <w:proofErr w:type="spellStart"/>
      <w:r w:rsidRPr="00B419CE">
        <w:t>verksemder</w:t>
      </w:r>
      <w:proofErr w:type="spellEnd"/>
      <w:r w:rsidRPr="00B419CE">
        <w:t>.</w:t>
      </w:r>
    </w:p>
    <w:p w14:paraId="52F58F0B" w14:textId="77777777" w:rsidR="00B419CE" w:rsidRPr="00B419CE" w:rsidRDefault="00B419CE" w:rsidP="00B419CE">
      <w:proofErr w:type="spellStart"/>
      <w:r w:rsidRPr="00B419CE">
        <w:t>Føremålet</w:t>
      </w:r>
      <w:proofErr w:type="spellEnd"/>
      <w:r w:rsidRPr="00B419CE">
        <w:t xml:space="preserve"> med </w:t>
      </w:r>
      <w:proofErr w:type="spellStart"/>
      <w:r w:rsidRPr="00B419CE">
        <w:t>tilsegnsordninga</w:t>
      </w:r>
      <w:proofErr w:type="spellEnd"/>
      <w:r w:rsidRPr="00B419CE">
        <w:t xml:space="preserve"> er å tilføre skatte- og </w:t>
      </w:r>
      <w:proofErr w:type="spellStart"/>
      <w:r w:rsidRPr="00B419CE">
        <w:t>avgiftskreditorane</w:t>
      </w:r>
      <w:proofErr w:type="spellEnd"/>
      <w:r w:rsidRPr="00B419CE">
        <w:t xml:space="preserve"> </w:t>
      </w:r>
      <w:proofErr w:type="spellStart"/>
      <w:r w:rsidRPr="00B419CE">
        <w:t>verdiar</w:t>
      </w:r>
      <w:proofErr w:type="spellEnd"/>
      <w:r w:rsidRPr="00B419CE">
        <w:t xml:space="preserve"> som gjev betre dekking av skatte- og avgiftskrav som er melde i buet. Skatteetaten opplyser at skatte- og </w:t>
      </w:r>
      <w:proofErr w:type="spellStart"/>
      <w:r w:rsidRPr="00B419CE">
        <w:t>avgiftskreditorane</w:t>
      </w:r>
      <w:proofErr w:type="spellEnd"/>
      <w:r w:rsidRPr="00B419CE">
        <w:t xml:space="preserve"> får ei </w:t>
      </w:r>
      <w:proofErr w:type="spellStart"/>
      <w:r w:rsidRPr="00B419CE">
        <w:t>meirdekking</w:t>
      </w:r>
      <w:proofErr w:type="spellEnd"/>
      <w:r w:rsidRPr="00B419CE">
        <w:t xml:space="preserve"> i konkursbu der det er gjeve </w:t>
      </w:r>
      <w:proofErr w:type="spellStart"/>
      <w:r w:rsidRPr="00B419CE">
        <w:t>tilsegn</w:t>
      </w:r>
      <w:proofErr w:type="spellEnd"/>
      <w:r w:rsidRPr="00B419CE">
        <w:t xml:space="preserve"> om </w:t>
      </w:r>
      <w:proofErr w:type="spellStart"/>
      <w:r w:rsidRPr="00B419CE">
        <w:t>midlar</w:t>
      </w:r>
      <w:proofErr w:type="spellEnd"/>
      <w:r w:rsidRPr="00B419CE">
        <w:t xml:space="preserve"> til </w:t>
      </w:r>
      <w:proofErr w:type="spellStart"/>
      <w:r w:rsidRPr="00B419CE">
        <w:t>vidare</w:t>
      </w:r>
      <w:proofErr w:type="spellEnd"/>
      <w:r w:rsidRPr="00B419CE">
        <w:t xml:space="preserve"> </w:t>
      </w:r>
      <w:proofErr w:type="spellStart"/>
      <w:r w:rsidRPr="00B419CE">
        <w:t>bubehandling</w:t>
      </w:r>
      <w:proofErr w:type="spellEnd"/>
      <w:r w:rsidRPr="00B419CE">
        <w:t>.</w:t>
      </w:r>
    </w:p>
    <w:p w14:paraId="317D80EC" w14:textId="0E6C56C3" w:rsidR="00B419CE" w:rsidRDefault="00B419CE" w:rsidP="00B419CE">
      <w:r w:rsidRPr="00B419CE">
        <w:t xml:space="preserve">Finansdepartementet ser på </w:t>
      </w:r>
      <w:proofErr w:type="spellStart"/>
      <w:r w:rsidRPr="00B419CE">
        <w:t>tilsegnsordninga</w:t>
      </w:r>
      <w:proofErr w:type="spellEnd"/>
      <w:r w:rsidRPr="00B419CE">
        <w:t xml:space="preserve"> som viktig med tanke på både </w:t>
      </w:r>
      <w:proofErr w:type="spellStart"/>
      <w:r w:rsidRPr="00B419CE">
        <w:t>innkrevjing</w:t>
      </w:r>
      <w:proofErr w:type="spellEnd"/>
      <w:r w:rsidRPr="00B419CE">
        <w:t xml:space="preserve"> og allmennprevensjon. Ansvaret for å </w:t>
      </w:r>
      <w:proofErr w:type="spellStart"/>
      <w:r w:rsidRPr="00B419CE">
        <w:t>gje</w:t>
      </w:r>
      <w:proofErr w:type="spellEnd"/>
      <w:r w:rsidRPr="00B419CE">
        <w:t xml:space="preserve"> nye </w:t>
      </w:r>
      <w:proofErr w:type="spellStart"/>
      <w:r w:rsidRPr="00B419CE">
        <w:t>tilsegner</w:t>
      </w:r>
      <w:proofErr w:type="spellEnd"/>
      <w:r w:rsidRPr="00B419CE">
        <w:t xml:space="preserve"> er delegert til Skattedirektoratet. Departementet </w:t>
      </w:r>
      <w:proofErr w:type="spellStart"/>
      <w:r w:rsidRPr="00B419CE">
        <w:t>gjer</w:t>
      </w:r>
      <w:proofErr w:type="spellEnd"/>
      <w:r w:rsidRPr="00B419CE">
        <w:t xml:space="preserve"> framlegg om å </w:t>
      </w:r>
      <w:proofErr w:type="spellStart"/>
      <w:r w:rsidRPr="00B419CE">
        <w:t>vidareføre</w:t>
      </w:r>
      <w:proofErr w:type="spellEnd"/>
      <w:r w:rsidRPr="00B419CE">
        <w:t xml:space="preserve"> ordninga i 2022 ved å </w:t>
      </w:r>
      <w:proofErr w:type="spellStart"/>
      <w:r w:rsidRPr="00B419CE">
        <w:t>gje</w:t>
      </w:r>
      <w:proofErr w:type="spellEnd"/>
      <w:r w:rsidRPr="00B419CE">
        <w:t xml:space="preserve"> Skattedirektoratet fullmakt til å </w:t>
      </w:r>
      <w:proofErr w:type="spellStart"/>
      <w:r w:rsidRPr="00B419CE">
        <w:t>gje</w:t>
      </w:r>
      <w:proofErr w:type="spellEnd"/>
      <w:r w:rsidRPr="00B419CE">
        <w:t xml:space="preserve"> nye vilkårsbundne </w:t>
      </w:r>
      <w:proofErr w:type="spellStart"/>
      <w:r w:rsidRPr="00B419CE">
        <w:t>tilsegner</w:t>
      </w:r>
      <w:proofErr w:type="spellEnd"/>
      <w:r w:rsidRPr="00B419CE">
        <w:t xml:space="preserve"> om dekking av </w:t>
      </w:r>
      <w:proofErr w:type="spellStart"/>
      <w:r w:rsidRPr="00B419CE">
        <w:t>kostnadar</w:t>
      </w:r>
      <w:proofErr w:type="spellEnd"/>
      <w:r w:rsidRPr="00B419CE">
        <w:t xml:space="preserve"> ved </w:t>
      </w:r>
      <w:proofErr w:type="spellStart"/>
      <w:r w:rsidRPr="00B419CE">
        <w:t>vidare</w:t>
      </w:r>
      <w:proofErr w:type="spellEnd"/>
      <w:r w:rsidRPr="00B419CE">
        <w:t xml:space="preserve"> </w:t>
      </w:r>
      <w:proofErr w:type="spellStart"/>
      <w:r w:rsidRPr="00B419CE">
        <w:t>bubehandling</w:t>
      </w:r>
      <w:proofErr w:type="spellEnd"/>
      <w:r w:rsidRPr="00B419CE">
        <w:t xml:space="preserve"> for </w:t>
      </w:r>
      <w:proofErr w:type="spellStart"/>
      <w:r w:rsidRPr="00B419CE">
        <w:t>opp til</w:t>
      </w:r>
      <w:proofErr w:type="spellEnd"/>
      <w:r w:rsidRPr="00B419CE">
        <w:t xml:space="preserve"> 16 mill. kroner </w:t>
      </w:r>
      <w:proofErr w:type="spellStart"/>
      <w:r w:rsidRPr="00B419CE">
        <w:t>innanfor</w:t>
      </w:r>
      <w:proofErr w:type="spellEnd"/>
      <w:r w:rsidRPr="00B419CE">
        <w:t xml:space="preserve"> ei samla fullmakt for nye og gamle </w:t>
      </w:r>
      <w:proofErr w:type="spellStart"/>
      <w:r w:rsidRPr="00B419CE">
        <w:t>tilsegner</w:t>
      </w:r>
      <w:proofErr w:type="spellEnd"/>
      <w:r w:rsidRPr="00B419CE">
        <w:t xml:space="preserve"> på 44,9 mill. kroner, jf. framlegg til </w:t>
      </w:r>
      <w:proofErr w:type="spellStart"/>
      <w:r w:rsidRPr="00B419CE">
        <w:t>romartalsvedtak</w:t>
      </w:r>
      <w:proofErr w:type="spellEnd"/>
      <w:r w:rsidRPr="00B419CE">
        <w:t xml:space="preserve"> VII.</w:t>
      </w:r>
    </w:p>
    <w:p w14:paraId="6D493C5F" w14:textId="2D9DF7EE" w:rsidR="00920011" w:rsidRPr="00B419CE" w:rsidRDefault="00920011" w:rsidP="00920011">
      <w:pPr>
        <w:pStyle w:val="tabell-tittel"/>
      </w:pPr>
      <w:proofErr w:type="spellStart"/>
      <w:r w:rsidRPr="00B419CE">
        <w:lastRenderedPageBreak/>
        <w:t>Tilsegnsordninga</w:t>
      </w:r>
      <w:proofErr w:type="spellEnd"/>
      <w:r w:rsidRPr="00B419CE">
        <w:t xml:space="preserve"> ved oppfølging av konkursbu</w:t>
      </w:r>
    </w:p>
    <w:p w14:paraId="36C7B51A" w14:textId="77777777" w:rsidR="00B419CE" w:rsidRPr="00B419CE" w:rsidRDefault="00B419CE" w:rsidP="00B419CE">
      <w:pPr>
        <w:pStyle w:val="Tabellnavn"/>
      </w:pPr>
      <w:r w:rsidRPr="00B419CE">
        <w:t>02J2xt2</w:t>
      </w:r>
    </w:p>
    <w:tbl>
      <w:tblPr>
        <w:tblStyle w:val="StandardTabell"/>
        <w:tblW w:w="9200" w:type="dxa"/>
        <w:tblLayout w:type="fixed"/>
        <w:tblLook w:val="04A0" w:firstRow="1" w:lastRow="0" w:firstColumn="1" w:lastColumn="0" w:noHBand="0" w:noVBand="1"/>
      </w:tblPr>
      <w:tblGrid>
        <w:gridCol w:w="7360"/>
        <w:gridCol w:w="1840"/>
      </w:tblGrid>
      <w:tr w:rsidR="00B419CE" w:rsidRPr="00B419CE" w14:paraId="02CC3C30" w14:textId="77777777" w:rsidTr="00920011">
        <w:trPr>
          <w:trHeight w:val="360"/>
        </w:trPr>
        <w:tc>
          <w:tcPr>
            <w:tcW w:w="7360" w:type="dxa"/>
            <w:shd w:val="clear" w:color="auto" w:fill="FFFFFF"/>
          </w:tcPr>
          <w:p w14:paraId="34D152C8" w14:textId="77777777" w:rsidR="00B419CE" w:rsidRPr="00B419CE" w:rsidRDefault="00B419CE" w:rsidP="00920011"/>
        </w:tc>
        <w:tc>
          <w:tcPr>
            <w:tcW w:w="1840" w:type="dxa"/>
          </w:tcPr>
          <w:p w14:paraId="5D618F88" w14:textId="77777777" w:rsidR="00B419CE" w:rsidRPr="00B419CE" w:rsidRDefault="00B419CE" w:rsidP="00920011">
            <w:pPr>
              <w:jc w:val="right"/>
            </w:pPr>
            <w:r w:rsidRPr="00B419CE">
              <w:t>(i 1 000 kr)</w:t>
            </w:r>
          </w:p>
        </w:tc>
      </w:tr>
      <w:tr w:rsidR="00B419CE" w:rsidRPr="00B419CE" w14:paraId="5FAAB78C" w14:textId="77777777" w:rsidTr="00920011">
        <w:trPr>
          <w:trHeight w:val="360"/>
        </w:trPr>
        <w:tc>
          <w:tcPr>
            <w:tcW w:w="7360" w:type="dxa"/>
          </w:tcPr>
          <w:p w14:paraId="702DA080" w14:textId="77777777" w:rsidR="00B419CE" w:rsidRPr="00B419CE" w:rsidRDefault="00B419CE" w:rsidP="00920011"/>
        </w:tc>
        <w:tc>
          <w:tcPr>
            <w:tcW w:w="1840" w:type="dxa"/>
          </w:tcPr>
          <w:p w14:paraId="21734F02" w14:textId="77777777" w:rsidR="00B419CE" w:rsidRPr="00B419CE" w:rsidRDefault="00B419CE" w:rsidP="00920011">
            <w:pPr>
              <w:jc w:val="right"/>
            </w:pPr>
            <w:proofErr w:type="spellStart"/>
            <w:r w:rsidRPr="00B419CE">
              <w:t>Tilsegner</w:t>
            </w:r>
            <w:proofErr w:type="spellEnd"/>
          </w:p>
        </w:tc>
      </w:tr>
      <w:tr w:rsidR="00B419CE" w:rsidRPr="00B419CE" w14:paraId="73A98760" w14:textId="77777777" w:rsidTr="00920011">
        <w:trPr>
          <w:trHeight w:val="380"/>
        </w:trPr>
        <w:tc>
          <w:tcPr>
            <w:tcW w:w="7360" w:type="dxa"/>
          </w:tcPr>
          <w:p w14:paraId="33505C10" w14:textId="77777777" w:rsidR="00B419CE" w:rsidRPr="00B419CE" w:rsidRDefault="00B419CE" w:rsidP="00920011">
            <w:r w:rsidRPr="00B419CE">
              <w:t>Samla ansvar per 1. januar 2020</w:t>
            </w:r>
          </w:p>
        </w:tc>
        <w:tc>
          <w:tcPr>
            <w:tcW w:w="1840" w:type="dxa"/>
          </w:tcPr>
          <w:p w14:paraId="2CE8A25D" w14:textId="77777777" w:rsidR="00B419CE" w:rsidRPr="00B419CE" w:rsidRDefault="00B419CE" w:rsidP="00920011">
            <w:pPr>
              <w:jc w:val="right"/>
            </w:pPr>
            <w:r w:rsidRPr="00B419CE">
              <w:t>7 546</w:t>
            </w:r>
          </w:p>
        </w:tc>
      </w:tr>
      <w:tr w:rsidR="00B419CE" w:rsidRPr="00B419CE" w14:paraId="21D33128" w14:textId="77777777" w:rsidTr="00920011">
        <w:trPr>
          <w:trHeight w:val="380"/>
        </w:trPr>
        <w:tc>
          <w:tcPr>
            <w:tcW w:w="7360" w:type="dxa"/>
          </w:tcPr>
          <w:p w14:paraId="49BB538D" w14:textId="77777777" w:rsidR="00B419CE" w:rsidRPr="00B419CE" w:rsidRDefault="00B419CE" w:rsidP="00920011">
            <w:r w:rsidRPr="00B419CE">
              <w:t xml:space="preserve">Nye </w:t>
            </w:r>
            <w:proofErr w:type="spellStart"/>
            <w:r w:rsidRPr="00B419CE">
              <w:t>tilsegner</w:t>
            </w:r>
            <w:proofErr w:type="spellEnd"/>
            <w:r w:rsidRPr="00B419CE">
              <w:t xml:space="preserve"> i 2020</w:t>
            </w:r>
          </w:p>
        </w:tc>
        <w:tc>
          <w:tcPr>
            <w:tcW w:w="1840" w:type="dxa"/>
          </w:tcPr>
          <w:p w14:paraId="328134CB" w14:textId="77777777" w:rsidR="00B419CE" w:rsidRPr="00B419CE" w:rsidRDefault="00B419CE" w:rsidP="00920011">
            <w:pPr>
              <w:jc w:val="right"/>
            </w:pPr>
            <w:r w:rsidRPr="00B419CE">
              <w:t>2 792</w:t>
            </w:r>
          </w:p>
        </w:tc>
      </w:tr>
      <w:tr w:rsidR="00B419CE" w:rsidRPr="00B419CE" w14:paraId="1387E003" w14:textId="77777777" w:rsidTr="00920011">
        <w:trPr>
          <w:trHeight w:val="380"/>
        </w:trPr>
        <w:tc>
          <w:tcPr>
            <w:tcW w:w="7360" w:type="dxa"/>
          </w:tcPr>
          <w:p w14:paraId="3E11841A" w14:textId="77777777" w:rsidR="00B419CE" w:rsidRPr="00B419CE" w:rsidRDefault="00B419CE" w:rsidP="00920011">
            <w:proofErr w:type="spellStart"/>
            <w:r w:rsidRPr="00B419CE">
              <w:t>Tilsegnsreduksjonar</w:t>
            </w:r>
            <w:proofErr w:type="spellEnd"/>
            <w:r w:rsidRPr="00B419CE">
              <w:t xml:space="preserve"> som </w:t>
            </w:r>
            <w:proofErr w:type="spellStart"/>
            <w:r w:rsidRPr="00B419CE">
              <w:t>følgje</w:t>
            </w:r>
            <w:proofErr w:type="spellEnd"/>
            <w:r w:rsidRPr="00B419CE">
              <w:t xml:space="preserve"> av </w:t>
            </w:r>
            <w:proofErr w:type="spellStart"/>
            <w:r w:rsidRPr="00B419CE">
              <w:t>utbetalingar</w:t>
            </w:r>
            <w:proofErr w:type="spellEnd"/>
            <w:r w:rsidRPr="00B419CE">
              <w:t xml:space="preserve"> i </w:t>
            </w:r>
            <w:proofErr w:type="spellStart"/>
            <w:r w:rsidRPr="00B419CE">
              <w:t>ikkje</w:t>
            </w:r>
            <w:proofErr w:type="spellEnd"/>
            <w:r w:rsidRPr="00B419CE">
              <w:t>-avslutta bu</w:t>
            </w:r>
          </w:p>
        </w:tc>
        <w:tc>
          <w:tcPr>
            <w:tcW w:w="1840" w:type="dxa"/>
          </w:tcPr>
          <w:p w14:paraId="4105B89B" w14:textId="77777777" w:rsidR="00B419CE" w:rsidRPr="00B419CE" w:rsidRDefault="00B419CE" w:rsidP="00920011">
            <w:pPr>
              <w:jc w:val="right"/>
            </w:pPr>
            <w:r w:rsidRPr="00B419CE">
              <w:t>- 24</w:t>
            </w:r>
          </w:p>
        </w:tc>
      </w:tr>
      <w:tr w:rsidR="00B419CE" w:rsidRPr="00B419CE" w14:paraId="3D59C77F" w14:textId="77777777" w:rsidTr="00920011">
        <w:trPr>
          <w:trHeight w:val="380"/>
        </w:trPr>
        <w:tc>
          <w:tcPr>
            <w:tcW w:w="7360" w:type="dxa"/>
          </w:tcPr>
          <w:p w14:paraId="5EA9946D" w14:textId="77777777" w:rsidR="00B419CE" w:rsidRPr="00B419CE" w:rsidRDefault="00B419CE" w:rsidP="00920011">
            <w:r w:rsidRPr="00B419CE">
              <w:t xml:space="preserve">Differanse mellom </w:t>
            </w:r>
            <w:proofErr w:type="spellStart"/>
            <w:r w:rsidRPr="00B419CE">
              <w:t>tilsegner</w:t>
            </w:r>
            <w:proofErr w:type="spellEnd"/>
            <w:r w:rsidRPr="00B419CE">
              <w:t xml:space="preserve"> og </w:t>
            </w:r>
            <w:proofErr w:type="spellStart"/>
            <w:r w:rsidRPr="00B419CE">
              <w:t>utbetalingar</w:t>
            </w:r>
            <w:proofErr w:type="spellEnd"/>
            <w:r w:rsidRPr="00B419CE">
              <w:t xml:space="preserve"> i avslutta bu</w:t>
            </w:r>
          </w:p>
        </w:tc>
        <w:tc>
          <w:tcPr>
            <w:tcW w:w="1840" w:type="dxa"/>
          </w:tcPr>
          <w:p w14:paraId="2AB0026D" w14:textId="77777777" w:rsidR="00B419CE" w:rsidRPr="00B419CE" w:rsidRDefault="00B419CE" w:rsidP="00920011">
            <w:pPr>
              <w:jc w:val="right"/>
            </w:pPr>
            <w:r w:rsidRPr="00B419CE">
              <w:t>- 4 885</w:t>
            </w:r>
          </w:p>
        </w:tc>
      </w:tr>
      <w:tr w:rsidR="00B419CE" w:rsidRPr="00B419CE" w14:paraId="18945EF0" w14:textId="77777777" w:rsidTr="00920011">
        <w:trPr>
          <w:trHeight w:val="380"/>
        </w:trPr>
        <w:tc>
          <w:tcPr>
            <w:tcW w:w="7360" w:type="dxa"/>
          </w:tcPr>
          <w:p w14:paraId="384719F2" w14:textId="77777777" w:rsidR="00B419CE" w:rsidRPr="00B419CE" w:rsidRDefault="00B419CE" w:rsidP="00920011">
            <w:r w:rsidRPr="00B419CE">
              <w:t>Ansvar per 31. desember 2020 – påtatt av Skatteetaten</w:t>
            </w:r>
          </w:p>
        </w:tc>
        <w:tc>
          <w:tcPr>
            <w:tcW w:w="1840" w:type="dxa"/>
          </w:tcPr>
          <w:p w14:paraId="1ABB2558" w14:textId="77777777" w:rsidR="00B419CE" w:rsidRPr="00B419CE" w:rsidRDefault="00B419CE" w:rsidP="00920011">
            <w:pPr>
              <w:jc w:val="right"/>
            </w:pPr>
            <w:r w:rsidRPr="00B419CE">
              <w:t>5 429</w:t>
            </w:r>
          </w:p>
        </w:tc>
      </w:tr>
      <w:tr w:rsidR="00B419CE" w:rsidRPr="00B419CE" w14:paraId="72BDCE36" w14:textId="77777777" w:rsidTr="00920011">
        <w:trPr>
          <w:trHeight w:val="640"/>
        </w:trPr>
        <w:tc>
          <w:tcPr>
            <w:tcW w:w="7360" w:type="dxa"/>
          </w:tcPr>
          <w:p w14:paraId="0F0AD8FC" w14:textId="77777777" w:rsidR="00B419CE" w:rsidRPr="00B419CE" w:rsidRDefault="00B419CE" w:rsidP="00920011">
            <w:r w:rsidRPr="00B419CE">
              <w:t>Ansvar per 31. desember 2020, påtatt av kommunale skatteoppkrevere, overtatt av Skatteetaten</w:t>
            </w:r>
          </w:p>
        </w:tc>
        <w:tc>
          <w:tcPr>
            <w:tcW w:w="1840" w:type="dxa"/>
          </w:tcPr>
          <w:p w14:paraId="2E32ED13" w14:textId="77777777" w:rsidR="00B419CE" w:rsidRPr="00B419CE" w:rsidRDefault="00B419CE" w:rsidP="00920011">
            <w:pPr>
              <w:jc w:val="right"/>
            </w:pPr>
            <w:r w:rsidRPr="00B419CE">
              <w:t>7 400</w:t>
            </w:r>
          </w:p>
        </w:tc>
      </w:tr>
      <w:tr w:rsidR="00B419CE" w:rsidRPr="00B419CE" w14:paraId="1D81DCF3" w14:textId="77777777" w:rsidTr="00920011">
        <w:trPr>
          <w:trHeight w:val="380"/>
        </w:trPr>
        <w:tc>
          <w:tcPr>
            <w:tcW w:w="7360" w:type="dxa"/>
          </w:tcPr>
          <w:p w14:paraId="769CE56D" w14:textId="77777777" w:rsidR="00B419CE" w:rsidRPr="00B419CE" w:rsidRDefault="00B419CE" w:rsidP="00920011">
            <w:r w:rsidRPr="00B419CE">
              <w:t>Skatteetatens samla ansvar per 1. januar 2021</w:t>
            </w:r>
          </w:p>
        </w:tc>
        <w:tc>
          <w:tcPr>
            <w:tcW w:w="1840" w:type="dxa"/>
          </w:tcPr>
          <w:p w14:paraId="7C1A7184" w14:textId="77777777" w:rsidR="00B419CE" w:rsidRPr="00B419CE" w:rsidRDefault="00B419CE" w:rsidP="00920011">
            <w:pPr>
              <w:jc w:val="right"/>
            </w:pPr>
            <w:r w:rsidRPr="00B419CE">
              <w:t>12 829</w:t>
            </w:r>
          </w:p>
        </w:tc>
      </w:tr>
      <w:tr w:rsidR="00B419CE" w:rsidRPr="00B419CE" w14:paraId="2D7CA45C" w14:textId="77777777" w:rsidTr="00920011">
        <w:trPr>
          <w:trHeight w:val="380"/>
        </w:trPr>
        <w:tc>
          <w:tcPr>
            <w:tcW w:w="7360" w:type="dxa"/>
          </w:tcPr>
          <w:p w14:paraId="1A0623D5" w14:textId="77777777" w:rsidR="00B419CE" w:rsidRPr="00B419CE" w:rsidRDefault="00B419CE" w:rsidP="00920011">
            <w:r w:rsidRPr="00B419CE">
              <w:t xml:space="preserve">Fullmakt til nye </w:t>
            </w:r>
            <w:proofErr w:type="spellStart"/>
            <w:r w:rsidRPr="00B419CE">
              <w:t>tilsegner</w:t>
            </w:r>
            <w:proofErr w:type="spellEnd"/>
            <w:r w:rsidRPr="00B419CE">
              <w:t xml:space="preserve"> i 2021</w:t>
            </w:r>
          </w:p>
        </w:tc>
        <w:tc>
          <w:tcPr>
            <w:tcW w:w="1840" w:type="dxa"/>
          </w:tcPr>
          <w:p w14:paraId="789955C7" w14:textId="77777777" w:rsidR="00B419CE" w:rsidRPr="00B419CE" w:rsidRDefault="00B419CE" w:rsidP="00920011">
            <w:pPr>
              <w:jc w:val="right"/>
            </w:pPr>
            <w:r w:rsidRPr="00B419CE">
              <w:t>16 000</w:t>
            </w:r>
          </w:p>
        </w:tc>
      </w:tr>
      <w:tr w:rsidR="00B419CE" w:rsidRPr="00B419CE" w14:paraId="5F941603" w14:textId="77777777" w:rsidTr="00920011">
        <w:trPr>
          <w:trHeight w:val="380"/>
        </w:trPr>
        <w:tc>
          <w:tcPr>
            <w:tcW w:w="7360" w:type="dxa"/>
          </w:tcPr>
          <w:p w14:paraId="21BA3B02" w14:textId="77777777" w:rsidR="00B419CE" w:rsidRPr="00B419CE" w:rsidRDefault="00B419CE" w:rsidP="00920011">
            <w:r w:rsidRPr="00B419CE">
              <w:t xml:space="preserve">Framlegg til fullmakt til nye </w:t>
            </w:r>
            <w:proofErr w:type="spellStart"/>
            <w:r w:rsidRPr="00B419CE">
              <w:t>tilsegner</w:t>
            </w:r>
            <w:proofErr w:type="spellEnd"/>
            <w:r w:rsidRPr="00B419CE">
              <w:t xml:space="preserve"> i 2022</w:t>
            </w:r>
          </w:p>
        </w:tc>
        <w:tc>
          <w:tcPr>
            <w:tcW w:w="1840" w:type="dxa"/>
          </w:tcPr>
          <w:p w14:paraId="0076908D" w14:textId="77777777" w:rsidR="00B419CE" w:rsidRPr="00B419CE" w:rsidRDefault="00B419CE" w:rsidP="00920011">
            <w:pPr>
              <w:jc w:val="right"/>
            </w:pPr>
            <w:r w:rsidRPr="00B419CE">
              <w:t>16 000</w:t>
            </w:r>
          </w:p>
        </w:tc>
      </w:tr>
      <w:tr w:rsidR="00B419CE" w:rsidRPr="00B419CE" w14:paraId="0F912F92" w14:textId="77777777" w:rsidTr="00920011">
        <w:trPr>
          <w:trHeight w:val="380"/>
        </w:trPr>
        <w:tc>
          <w:tcPr>
            <w:tcW w:w="7360" w:type="dxa"/>
          </w:tcPr>
          <w:p w14:paraId="4F1D520C" w14:textId="77777777" w:rsidR="00B419CE" w:rsidRPr="00B419CE" w:rsidRDefault="00B419CE" w:rsidP="00920011">
            <w:r w:rsidRPr="00B419CE">
              <w:t xml:space="preserve">Framlegg til samla fullmakt i 2022 for nye og gamle </w:t>
            </w:r>
            <w:proofErr w:type="spellStart"/>
            <w:r w:rsidRPr="00B419CE">
              <w:t>tilsegner</w:t>
            </w:r>
            <w:proofErr w:type="spellEnd"/>
          </w:p>
        </w:tc>
        <w:tc>
          <w:tcPr>
            <w:tcW w:w="1840" w:type="dxa"/>
          </w:tcPr>
          <w:p w14:paraId="32E17D50" w14:textId="77777777" w:rsidR="00B419CE" w:rsidRPr="00B419CE" w:rsidRDefault="00B419CE" w:rsidP="00920011">
            <w:pPr>
              <w:jc w:val="right"/>
            </w:pPr>
            <w:r w:rsidRPr="00B419CE">
              <w:t>44 829</w:t>
            </w:r>
          </w:p>
        </w:tc>
      </w:tr>
    </w:tbl>
    <w:p w14:paraId="4FDAAEC8" w14:textId="77777777" w:rsidR="00B419CE" w:rsidRPr="00B419CE" w:rsidRDefault="00B419CE" w:rsidP="00B419CE">
      <w:pPr>
        <w:pStyle w:val="b-budkaptit"/>
      </w:pPr>
      <w:r w:rsidRPr="00B419CE">
        <w:t>Kap. 1619 Skatteklagenemnda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7AB9731E" w14:textId="77777777" w:rsidTr="00B419CE">
        <w:trPr>
          <w:trHeight w:val="640"/>
          <w:hidden/>
        </w:trPr>
        <w:tc>
          <w:tcPr>
            <w:tcW w:w="1140" w:type="dxa"/>
            <w:shd w:val="clear" w:color="auto" w:fill="FFFFFF"/>
          </w:tcPr>
          <w:p w14:paraId="13701815" w14:textId="77777777" w:rsidR="00B419CE" w:rsidRPr="00B419CE" w:rsidRDefault="00B419CE" w:rsidP="00B419CE">
            <w:pPr>
              <w:pStyle w:val="Tabellnavn"/>
            </w:pPr>
            <w:r w:rsidRPr="00B419CE">
              <w:t>KPAL</w:t>
            </w:r>
          </w:p>
        </w:tc>
        <w:tc>
          <w:tcPr>
            <w:tcW w:w="4560" w:type="dxa"/>
          </w:tcPr>
          <w:p w14:paraId="4E58A6E9" w14:textId="77777777" w:rsidR="00B419CE" w:rsidRPr="00B419CE" w:rsidRDefault="00B419CE" w:rsidP="00B419CE"/>
        </w:tc>
        <w:tc>
          <w:tcPr>
            <w:tcW w:w="1140" w:type="dxa"/>
          </w:tcPr>
          <w:p w14:paraId="3A0804D9" w14:textId="77777777" w:rsidR="00B419CE" w:rsidRPr="00B419CE" w:rsidRDefault="00B419CE" w:rsidP="00B419CE">
            <w:pPr>
              <w:jc w:val="right"/>
            </w:pPr>
          </w:p>
        </w:tc>
        <w:tc>
          <w:tcPr>
            <w:tcW w:w="1140" w:type="dxa"/>
          </w:tcPr>
          <w:p w14:paraId="60AEC841" w14:textId="77777777" w:rsidR="00B419CE" w:rsidRPr="00B419CE" w:rsidRDefault="00B419CE" w:rsidP="00B419CE">
            <w:pPr>
              <w:jc w:val="right"/>
            </w:pPr>
          </w:p>
        </w:tc>
        <w:tc>
          <w:tcPr>
            <w:tcW w:w="1140" w:type="dxa"/>
          </w:tcPr>
          <w:p w14:paraId="2C455422" w14:textId="77777777" w:rsidR="00B419CE" w:rsidRPr="00B419CE" w:rsidRDefault="00B419CE" w:rsidP="00B419CE">
            <w:pPr>
              <w:jc w:val="right"/>
            </w:pPr>
            <w:r w:rsidRPr="00B419CE">
              <w:t>(i 1 000 kr)</w:t>
            </w:r>
          </w:p>
        </w:tc>
      </w:tr>
      <w:tr w:rsidR="00B419CE" w:rsidRPr="00B419CE" w14:paraId="1BBA7412" w14:textId="77777777" w:rsidTr="00B419CE">
        <w:trPr>
          <w:trHeight w:val="600"/>
        </w:trPr>
        <w:tc>
          <w:tcPr>
            <w:tcW w:w="1140" w:type="dxa"/>
          </w:tcPr>
          <w:p w14:paraId="37822CC7" w14:textId="77777777" w:rsidR="00B419CE" w:rsidRPr="00B419CE" w:rsidRDefault="00B419CE" w:rsidP="00B419CE">
            <w:r w:rsidRPr="00B419CE">
              <w:t>Post</w:t>
            </w:r>
          </w:p>
        </w:tc>
        <w:tc>
          <w:tcPr>
            <w:tcW w:w="4560" w:type="dxa"/>
          </w:tcPr>
          <w:p w14:paraId="17FC90E8" w14:textId="77777777" w:rsidR="00B419CE" w:rsidRPr="00B419CE" w:rsidRDefault="00B419CE" w:rsidP="00B419CE">
            <w:proofErr w:type="spellStart"/>
            <w:r w:rsidRPr="00B419CE">
              <w:t>Nemning</w:t>
            </w:r>
            <w:proofErr w:type="spellEnd"/>
          </w:p>
        </w:tc>
        <w:tc>
          <w:tcPr>
            <w:tcW w:w="1140" w:type="dxa"/>
          </w:tcPr>
          <w:p w14:paraId="4F4FDA1D"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456F6F77" w14:textId="77777777" w:rsidR="00B419CE" w:rsidRPr="00B419CE" w:rsidRDefault="00B419CE" w:rsidP="00B419CE">
            <w:pPr>
              <w:jc w:val="right"/>
            </w:pPr>
            <w:r w:rsidRPr="00B419CE">
              <w:t>Saldert</w:t>
            </w:r>
            <w:r w:rsidRPr="00B419CE">
              <w:br/>
              <w:t xml:space="preserve"> budsjett 2021</w:t>
            </w:r>
          </w:p>
        </w:tc>
        <w:tc>
          <w:tcPr>
            <w:tcW w:w="1140" w:type="dxa"/>
          </w:tcPr>
          <w:p w14:paraId="5F13F568" w14:textId="77777777" w:rsidR="00B419CE" w:rsidRPr="00B419CE" w:rsidRDefault="00B419CE" w:rsidP="00B419CE">
            <w:pPr>
              <w:jc w:val="right"/>
            </w:pPr>
            <w:r w:rsidRPr="00B419CE">
              <w:t>Forslag</w:t>
            </w:r>
            <w:r w:rsidRPr="00B419CE">
              <w:br/>
              <w:t xml:space="preserve"> 2022</w:t>
            </w:r>
          </w:p>
        </w:tc>
      </w:tr>
      <w:tr w:rsidR="00B419CE" w:rsidRPr="00B419CE" w14:paraId="30DEBEE1" w14:textId="77777777" w:rsidTr="00B419CE">
        <w:trPr>
          <w:trHeight w:val="380"/>
        </w:trPr>
        <w:tc>
          <w:tcPr>
            <w:tcW w:w="1140" w:type="dxa"/>
          </w:tcPr>
          <w:p w14:paraId="5B038F7C" w14:textId="77777777" w:rsidR="00B419CE" w:rsidRPr="00B419CE" w:rsidRDefault="00B419CE" w:rsidP="00B419CE">
            <w:r w:rsidRPr="00B419CE">
              <w:t>01</w:t>
            </w:r>
          </w:p>
        </w:tc>
        <w:tc>
          <w:tcPr>
            <w:tcW w:w="4560" w:type="dxa"/>
          </w:tcPr>
          <w:p w14:paraId="32A463AF" w14:textId="77777777" w:rsidR="00B419CE" w:rsidRPr="00B419CE" w:rsidRDefault="00B419CE" w:rsidP="00B419CE">
            <w:r w:rsidRPr="00B419CE">
              <w:t>Driftsutgifter</w:t>
            </w:r>
          </w:p>
        </w:tc>
        <w:tc>
          <w:tcPr>
            <w:tcW w:w="1140" w:type="dxa"/>
          </w:tcPr>
          <w:p w14:paraId="67911008" w14:textId="77777777" w:rsidR="00B419CE" w:rsidRPr="00B419CE" w:rsidRDefault="00B419CE" w:rsidP="00B419CE">
            <w:pPr>
              <w:jc w:val="right"/>
            </w:pPr>
            <w:r w:rsidRPr="00B419CE">
              <w:t>66 943</w:t>
            </w:r>
          </w:p>
        </w:tc>
        <w:tc>
          <w:tcPr>
            <w:tcW w:w="1140" w:type="dxa"/>
          </w:tcPr>
          <w:p w14:paraId="4320EC7B" w14:textId="77777777" w:rsidR="00B419CE" w:rsidRPr="00B419CE" w:rsidRDefault="00B419CE" w:rsidP="00B419CE">
            <w:pPr>
              <w:jc w:val="right"/>
            </w:pPr>
            <w:r w:rsidRPr="00B419CE">
              <w:t>71 213</w:t>
            </w:r>
          </w:p>
        </w:tc>
        <w:tc>
          <w:tcPr>
            <w:tcW w:w="1140" w:type="dxa"/>
          </w:tcPr>
          <w:p w14:paraId="611D01E6" w14:textId="77777777" w:rsidR="00B419CE" w:rsidRPr="00B419CE" w:rsidRDefault="00B419CE" w:rsidP="00B419CE">
            <w:pPr>
              <w:jc w:val="right"/>
            </w:pPr>
            <w:r w:rsidRPr="00B419CE">
              <w:t>72 090</w:t>
            </w:r>
          </w:p>
        </w:tc>
      </w:tr>
      <w:tr w:rsidR="00B419CE" w:rsidRPr="00B419CE" w14:paraId="2D24FC2F" w14:textId="77777777" w:rsidTr="00B419CE">
        <w:trPr>
          <w:trHeight w:val="380"/>
        </w:trPr>
        <w:tc>
          <w:tcPr>
            <w:tcW w:w="1140" w:type="dxa"/>
          </w:tcPr>
          <w:p w14:paraId="6C4D8DE9" w14:textId="77777777" w:rsidR="00B419CE" w:rsidRPr="00B419CE" w:rsidRDefault="00B419CE" w:rsidP="00B419CE"/>
        </w:tc>
        <w:tc>
          <w:tcPr>
            <w:tcW w:w="4560" w:type="dxa"/>
          </w:tcPr>
          <w:p w14:paraId="764A0B1E" w14:textId="77777777" w:rsidR="00B419CE" w:rsidRPr="00B419CE" w:rsidRDefault="00B419CE" w:rsidP="00B419CE">
            <w:r w:rsidRPr="00B419CE">
              <w:t>Sum kap. 1619</w:t>
            </w:r>
          </w:p>
        </w:tc>
        <w:tc>
          <w:tcPr>
            <w:tcW w:w="1140" w:type="dxa"/>
          </w:tcPr>
          <w:p w14:paraId="11997842" w14:textId="77777777" w:rsidR="00B419CE" w:rsidRPr="00B419CE" w:rsidRDefault="00B419CE" w:rsidP="00B419CE">
            <w:pPr>
              <w:jc w:val="right"/>
            </w:pPr>
            <w:r w:rsidRPr="00B419CE">
              <w:t>66 943</w:t>
            </w:r>
          </w:p>
        </w:tc>
        <w:tc>
          <w:tcPr>
            <w:tcW w:w="1140" w:type="dxa"/>
          </w:tcPr>
          <w:p w14:paraId="47A74748" w14:textId="77777777" w:rsidR="00B419CE" w:rsidRPr="00B419CE" w:rsidRDefault="00B419CE" w:rsidP="00B419CE">
            <w:pPr>
              <w:jc w:val="right"/>
            </w:pPr>
            <w:r w:rsidRPr="00B419CE">
              <w:t>71 213</w:t>
            </w:r>
          </w:p>
        </w:tc>
        <w:tc>
          <w:tcPr>
            <w:tcW w:w="1140" w:type="dxa"/>
          </w:tcPr>
          <w:p w14:paraId="77665DAF" w14:textId="77777777" w:rsidR="00B419CE" w:rsidRPr="00B419CE" w:rsidRDefault="00B419CE" w:rsidP="00B419CE">
            <w:pPr>
              <w:jc w:val="right"/>
            </w:pPr>
            <w:r w:rsidRPr="00B419CE">
              <w:t>72 090</w:t>
            </w:r>
          </w:p>
        </w:tc>
      </w:tr>
    </w:tbl>
    <w:p w14:paraId="7EEB696B" w14:textId="77777777" w:rsidR="00B419CE" w:rsidRPr="00B419CE" w:rsidRDefault="00B419CE" w:rsidP="00B419CE">
      <w:pPr>
        <w:pStyle w:val="Undertittel"/>
      </w:pPr>
      <w:r w:rsidRPr="00B419CE">
        <w:t>Samfunnsoppdrag og organisering</w:t>
      </w:r>
    </w:p>
    <w:p w14:paraId="28381F9D" w14:textId="77777777" w:rsidR="00B419CE" w:rsidRPr="00B419CE" w:rsidRDefault="00B419CE" w:rsidP="00B419CE">
      <w:r w:rsidRPr="00B419CE">
        <w:t xml:space="preserve">Skatteklagenemnda </w:t>
      </w:r>
      <w:proofErr w:type="spellStart"/>
      <w:r w:rsidRPr="00B419CE">
        <w:t>behandlar</w:t>
      </w:r>
      <w:proofErr w:type="spellEnd"/>
      <w:r w:rsidRPr="00B419CE">
        <w:t xml:space="preserve"> klager som </w:t>
      </w:r>
      <w:proofErr w:type="spellStart"/>
      <w:r w:rsidRPr="00B419CE">
        <w:t>gjeld</w:t>
      </w:r>
      <w:proofErr w:type="spellEnd"/>
      <w:r w:rsidRPr="00B419CE">
        <w:t xml:space="preserve"> skatt og </w:t>
      </w:r>
      <w:proofErr w:type="spellStart"/>
      <w:r w:rsidRPr="00B419CE">
        <w:t>meirverdiavgift</w:t>
      </w:r>
      <w:proofErr w:type="spellEnd"/>
      <w:r w:rsidRPr="00B419CE">
        <w:t xml:space="preserve">. Ordninga skal bidra til rettstryggleik for </w:t>
      </w:r>
      <w:proofErr w:type="spellStart"/>
      <w:r w:rsidRPr="00B419CE">
        <w:t>dei</w:t>
      </w:r>
      <w:proofErr w:type="spellEnd"/>
      <w:r w:rsidRPr="00B419CE">
        <w:t xml:space="preserve"> skattepliktige ved at klager der vedtaka </w:t>
      </w:r>
      <w:proofErr w:type="spellStart"/>
      <w:r w:rsidRPr="00B419CE">
        <w:t>ikkje</w:t>
      </w:r>
      <w:proofErr w:type="spellEnd"/>
      <w:r w:rsidRPr="00B419CE">
        <w:t xml:space="preserve"> vert omgjorte i fyrste instans ved skattekontora, får ei ny og uavhengig behandling.</w:t>
      </w:r>
    </w:p>
    <w:p w14:paraId="0C2199B0" w14:textId="77777777" w:rsidR="00B419CE" w:rsidRPr="00B419CE" w:rsidRDefault="00B419CE" w:rsidP="00B419CE">
      <w:proofErr w:type="spellStart"/>
      <w:r w:rsidRPr="00B419CE">
        <w:t>Eit</w:t>
      </w:r>
      <w:proofErr w:type="spellEnd"/>
      <w:r w:rsidRPr="00B419CE">
        <w:t xml:space="preserve"> eige sekretariat førebur sakene for nemnda. Sekretariatet er lokalisert i Stavanger og hadde per 30. august 2020 totalt 58 tilsette. Sekretariatet er administrativt underlagt Skattedirektoratet, men er </w:t>
      </w:r>
      <w:proofErr w:type="spellStart"/>
      <w:r w:rsidRPr="00B419CE">
        <w:t>fagleg</w:t>
      </w:r>
      <w:proofErr w:type="spellEnd"/>
      <w:r w:rsidRPr="00B419CE">
        <w:t xml:space="preserve"> sjølvstendig. Det er lovfesta at Skatteklagenemnda og sekretariatet </w:t>
      </w:r>
      <w:proofErr w:type="spellStart"/>
      <w:r w:rsidRPr="00B419CE">
        <w:t>ikkje</w:t>
      </w:r>
      <w:proofErr w:type="spellEnd"/>
      <w:r w:rsidRPr="00B419CE">
        <w:t xml:space="preserve"> skal kunne </w:t>
      </w:r>
      <w:proofErr w:type="spellStart"/>
      <w:r w:rsidRPr="00B419CE">
        <w:t>instruerast</w:t>
      </w:r>
      <w:proofErr w:type="spellEnd"/>
      <w:r w:rsidRPr="00B419CE">
        <w:t xml:space="preserve"> i </w:t>
      </w:r>
      <w:proofErr w:type="spellStart"/>
      <w:r w:rsidRPr="00B419CE">
        <w:t>faglege</w:t>
      </w:r>
      <w:proofErr w:type="spellEnd"/>
      <w:r w:rsidRPr="00B419CE">
        <w:t xml:space="preserve"> spørsmål.</w:t>
      </w:r>
    </w:p>
    <w:p w14:paraId="0011ABA4" w14:textId="77777777" w:rsidR="00B419CE" w:rsidRPr="00B419CE" w:rsidRDefault="00B419CE" w:rsidP="00B419CE">
      <w:r w:rsidRPr="00B419CE">
        <w:t xml:space="preserve">Kjernen i det </w:t>
      </w:r>
      <w:proofErr w:type="spellStart"/>
      <w:r w:rsidRPr="00B419CE">
        <w:t>faglege</w:t>
      </w:r>
      <w:proofErr w:type="spellEnd"/>
      <w:r w:rsidRPr="00B419CE">
        <w:t xml:space="preserve"> </w:t>
      </w:r>
      <w:proofErr w:type="spellStart"/>
      <w:r w:rsidRPr="00B419CE">
        <w:t>sjølvstendet</w:t>
      </w:r>
      <w:proofErr w:type="spellEnd"/>
      <w:r w:rsidRPr="00B419CE">
        <w:t xml:space="preserve"> er at overordna </w:t>
      </w:r>
      <w:proofErr w:type="spellStart"/>
      <w:r w:rsidRPr="00B419CE">
        <w:t>myndigheit</w:t>
      </w:r>
      <w:proofErr w:type="spellEnd"/>
      <w:r w:rsidRPr="00B419CE">
        <w:t xml:space="preserve"> </w:t>
      </w:r>
      <w:proofErr w:type="spellStart"/>
      <w:r w:rsidRPr="00B419CE">
        <w:t>ikkje</w:t>
      </w:r>
      <w:proofErr w:type="spellEnd"/>
      <w:r w:rsidRPr="00B419CE">
        <w:t xml:space="preserve"> kan instruere organet om utfallet av enkeltsaker eller </w:t>
      </w:r>
      <w:proofErr w:type="spellStart"/>
      <w:r w:rsidRPr="00B419CE">
        <w:t>sakstypar</w:t>
      </w:r>
      <w:proofErr w:type="spellEnd"/>
      <w:r w:rsidRPr="00B419CE">
        <w:t xml:space="preserve">. Det administrative ansvaret </w:t>
      </w:r>
      <w:proofErr w:type="spellStart"/>
      <w:r w:rsidRPr="00B419CE">
        <w:t>gjer</w:t>
      </w:r>
      <w:proofErr w:type="spellEnd"/>
      <w:r w:rsidRPr="00B419CE">
        <w:t xml:space="preserve"> at det </w:t>
      </w:r>
      <w:proofErr w:type="spellStart"/>
      <w:r w:rsidRPr="00B419CE">
        <w:lastRenderedPageBreak/>
        <w:t>ansvarlege</w:t>
      </w:r>
      <w:proofErr w:type="spellEnd"/>
      <w:r w:rsidRPr="00B419CE">
        <w:t xml:space="preserve"> organet kan gå langt i å </w:t>
      </w:r>
      <w:proofErr w:type="spellStart"/>
      <w:r w:rsidRPr="00B419CE">
        <w:t>setje</w:t>
      </w:r>
      <w:proofErr w:type="spellEnd"/>
      <w:r w:rsidRPr="00B419CE">
        <w:t xml:space="preserve"> rammer for saksbehandlinga </w:t>
      </w:r>
      <w:proofErr w:type="spellStart"/>
      <w:r w:rsidRPr="00B419CE">
        <w:t>utan</w:t>
      </w:r>
      <w:proofErr w:type="spellEnd"/>
      <w:r w:rsidRPr="00B419CE">
        <w:t xml:space="preserve"> at det </w:t>
      </w:r>
      <w:proofErr w:type="spellStart"/>
      <w:r w:rsidRPr="00B419CE">
        <w:t>faglege</w:t>
      </w:r>
      <w:proofErr w:type="spellEnd"/>
      <w:r w:rsidRPr="00B419CE">
        <w:t xml:space="preserve"> </w:t>
      </w:r>
      <w:proofErr w:type="spellStart"/>
      <w:r w:rsidRPr="00B419CE">
        <w:t>sjølvstendet</w:t>
      </w:r>
      <w:proofErr w:type="spellEnd"/>
      <w:r w:rsidRPr="00B419CE">
        <w:t xml:space="preserve"> stenger for dette, jf. </w:t>
      </w:r>
      <w:proofErr w:type="spellStart"/>
      <w:r w:rsidRPr="00B419CE">
        <w:t>Prop</w:t>
      </w:r>
      <w:proofErr w:type="spellEnd"/>
      <w:r w:rsidRPr="00B419CE">
        <w:t xml:space="preserve">. 1 S (2019–2020) for Finansdepartementet. Organisering av </w:t>
      </w:r>
      <w:proofErr w:type="spellStart"/>
      <w:r w:rsidRPr="00B419CE">
        <w:t>oppgåveløysinga</w:t>
      </w:r>
      <w:proofErr w:type="spellEnd"/>
      <w:r w:rsidRPr="00B419CE">
        <w:t xml:space="preserve">, saksbehandlingstid og måloppnåing er eksempel på kva overordna organ kan </w:t>
      </w:r>
      <w:proofErr w:type="spellStart"/>
      <w:r w:rsidRPr="00B419CE">
        <w:t>gje</w:t>
      </w:r>
      <w:proofErr w:type="spellEnd"/>
      <w:r w:rsidRPr="00B419CE">
        <w:t xml:space="preserve"> </w:t>
      </w:r>
      <w:proofErr w:type="spellStart"/>
      <w:r w:rsidRPr="00B419CE">
        <w:t>føringar</w:t>
      </w:r>
      <w:proofErr w:type="spellEnd"/>
      <w:r w:rsidRPr="00B419CE">
        <w:t xml:space="preserve"> om.</w:t>
      </w:r>
    </w:p>
    <w:p w14:paraId="40F2569E" w14:textId="77777777" w:rsidR="00B419CE" w:rsidRPr="00B419CE" w:rsidRDefault="00B419CE" w:rsidP="00B419CE">
      <w:proofErr w:type="spellStart"/>
      <w:r w:rsidRPr="00B419CE">
        <w:t>Løyvingane</w:t>
      </w:r>
      <w:proofErr w:type="spellEnd"/>
      <w:r w:rsidRPr="00B419CE">
        <w:t xml:space="preserve"> til Skatteklagenemnda og sekretariatet vert </w:t>
      </w:r>
      <w:proofErr w:type="spellStart"/>
      <w:r w:rsidRPr="00B419CE">
        <w:t>frå</w:t>
      </w:r>
      <w:proofErr w:type="spellEnd"/>
      <w:r w:rsidRPr="00B419CE">
        <w:t xml:space="preserve"> og med 2020 gjort på </w:t>
      </w:r>
      <w:proofErr w:type="spellStart"/>
      <w:r w:rsidRPr="00B419CE">
        <w:t>eit</w:t>
      </w:r>
      <w:proofErr w:type="spellEnd"/>
      <w:r w:rsidRPr="00B419CE">
        <w:t xml:space="preserve"> eige </w:t>
      </w:r>
      <w:proofErr w:type="spellStart"/>
      <w:r w:rsidRPr="00B419CE">
        <w:t>budsjettkapitel</w:t>
      </w:r>
      <w:proofErr w:type="spellEnd"/>
      <w:r w:rsidRPr="00B419CE">
        <w:t xml:space="preserve">. Utgiftene til nemnda og sekretariatet vart </w:t>
      </w:r>
      <w:proofErr w:type="spellStart"/>
      <w:r w:rsidRPr="00B419CE">
        <w:t>tidlegare</w:t>
      </w:r>
      <w:proofErr w:type="spellEnd"/>
      <w:r w:rsidRPr="00B419CE">
        <w:t xml:space="preserve"> </w:t>
      </w:r>
      <w:proofErr w:type="spellStart"/>
      <w:r w:rsidRPr="00B419CE">
        <w:t>løyvt</w:t>
      </w:r>
      <w:proofErr w:type="spellEnd"/>
      <w:r w:rsidRPr="00B419CE">
        <w:t xml:space="preserve"> på kap. 1618 </w:t>
      </w:r>
      <w:r w:rsidRPr="00B419CE">
        <w:rPr>
          <w:rStyle w:val="kursiv"/>
        </w:rPr>
        <w:t>Skatteetaten</w:t>
      </w:r>
      <w:r w:rsidRPr="00B419CE">
        <w:t xml:space="preserve">, post 01 </w:t>
      </w:r>
      <w:r w:rsidRPr="00B419CE">
        <w:rPr>
          <w:rStyle w:val="kursiv"/>
        </w:rPr>
        <w:t>Driftsutgifter</w:t>
      </w:r>
      <w:r w:rsidRPr="00B419CE">
        <w:t>.</w:t>
      </w:r>
    </w:p>
    <w:p w14:paraId="2BF1D367" w14:textId="77777777" w:rsidR="00B419CE" w:rsidRPr="00B419CE" w:rsidRDefault="00B419CE" w:rsidP="00B419CE">
      <w:pPr>
        <w:pStyle w:val="Undertittel"/>
      </w:pPr>
      <w:r w:rsidRPr="00B419CE">
        <w:t>Resultat i 2020</w:t>
      </w:r>
    </w:p>
    <w:p w14:paraId="7747DC06" w14:textId="77777777" w:rsidR="00B419CE" w:rsidRPr="00B419CE" w:rsidRDefault="00B419CE" w:rsidP="00B419CE">
      <w:proofErr w:type="spellStart"/>
      <w:r w:rsidRPr="00B419CE">
        <w:t>Saksproduksjonen</w:t>
      </w:r>
      <w:proofErr w:type="spellEnd"/>
      <w:r w:rsidRPr="00B419CE">
        <w:t xml:space="preserve"> i Skatteklagenemndas sekretariatet har i 2020 </w:t>
      </w:r>
      <w:proofErr w:type="spellStart"/>
      <w:r w:rsidRPr="00B419CE">
        <w:t>vore</w:t>
      </w:r>
      <w:proofErr w:type="spellEnd"/>
      <w:r w:rsidRPr="00B419CE">
        <w:t xml:space="preserve"> negativt </w:t>
      </w:r>
      <w:proofErr w:type="spellStart"/>
      <w:r w:rsidRPr="00B419CE">
        <w:t>påverka</w:t>
      </w:r>
      <w:proofErr w:type="spellEnd"/>
      <w:r w:rsidRPr="00B419CE">
        <w:t xml:space="preserve"> av koronapandemien </w:t>
      </w:r>
      <w:proofErr w:type="spellStart"/>
      <w:r w:rsidRPr="00B419CE">
        <w:t>sidan</w:t>
      </w:r>
      <w:proofErr w:type="spellEnd"/>
      <w:r w:rsidRPr="00B419CE">
        <w:t xml:space="preserve"> heimekontor har gjort saksbehandlinga </w:t>
      </w:r>
      <w:proofErr w:type="spellStart"/>
      <w:r w:rsidRPr="00B419CE">
        <w:t>meir</w:t>
      </w:r>
      <w:proofErr w:type="spellEnd"/>
      <w:r w:rsidRPr="00B419CE">
        <w:t xml:space="preserve"> </w:t>
      </w:r>
      <w:proofErr w:type="spellStart"/>
      <w:r w:rsidRPr="00B419CE">
        <w:t>krevjande</w:t>
      </w:r>
      <w:proofErr w:type="spellEnd"/>
      <w:r w:rsidRPr="00B419CE">
        <w:t xml:space="preserve">. </w:t>
      </w:r>
      <w:proofErr w:type="spellStart"/>
      <w:r w:rsidRPr="00B419CE">
        <w:t>Restansane</w:t>
      </w:r>
      <w:proofErr w:type="spellEnd"/>
      <w:r w:rsidRPr="00B419CE">
        <w:t xml:space="preserve"> ved sekretariatet vart likevel redusert med om lag 300 saker i 2020. Totalt har 1 470 klagesaker vorte behandla i 2020. </w:t>
      </w:r>
      <w:proofErr w:type="spellStart"/>
      <w:r w:rsidRPr="00B419CE">
        <w:t>Frå</w:t>
      </w:r>
      <w:proofErr w:type="spellEnd"/>
      <w:r w:rsidRPr="00B419CE">
        <w:t xml:space="preserve"> 2018 til 2020 er det totale </w:t>
      </w:r>
      <w:proofErr w:type="spellStart"/>
      <w:r w:rsidRPr="00B419CE">
        <w:t>talet</w:t>
      </w:r>
      <w:proofErr w:type="spellEnd"/>
      <w:r w:rsidRPr="00B419CE">
        <w:t xml:space="preserve"> på ubehandla saker redusert </w:t>
      </w:r>
      <w:proofErr w:type="spellStart"/>
      <w:r w:rsidRPr="00B419CE">
        <w:t>frå</w:t>
      </w:r>
      <w:proofErr w:type="spellEnd"/>
      <w:r w:rsidRPr="00B419CE">
        <w:t xml:space="preserve"> 2 550 til 2 081. Delen ubehandla saker som er eldre enn </w:t>
      </w:r>
      <w:proofErr w:type="spellStart"/>
      <w:r w:rsidRPr="00B419CE">
        <w:t>eit</w:t>
      </w:r>
      <w:proofErr w:type="spellEnd"/>
      <w:r w:rsidRPr="00B419CE">
        <w:t xml:space="preserve"> år, er </w:t>
      </w:r>
      <w:proofErr w:type="spellStart"/>
      <w:r w:rsidRPr="00B419CE">
        <w:t>høg</w:t>
      </w:r>
      <w:proofErr w:type="spellEnd"/>
      <w:r w:rsidRPr="00B419CE">
        <w:t xml:space="preserve">, og sekretariatet har i 2020 fortsett å prioritere arbeid med å redusere </w:t>
      </w:r>
      <w:proofErr w:type="spellStart"/>
      <w:r w:rsidRPr="00B419CE">
        <w:t>dei</w:t>
      </w:r>
      <w:proofErr w:type="spellEnd"/>
      <w:r w:rsidRPr="00B419CE">
        <w:t xml:space="preserve"> eldste </w:t>
      </w:r>
      <w:proofErr w:type="spellStart"/>
      <w:r w:rsidRPr="00B419CE">
        <w:t>restansane</w:t>
      </w:r>
      <w:proofErr w:type="spellEnd"/>
      <w:r w:rsidRPr="00B419CE">
        <w:t xml:space="preserve">. Samla saksbehandlingstid for sakene som vert sende til nemnda, er </w:t>
      </w:r>
      <w:proofErr w:type="spellStart"/>
      <w:r w:rsidRPr="00B419CE">
        <w:t>framleis</w:t>
      </w:r>
      <w:proofErr w:type="spellEnd"/>
      <w:r w:rsidRPr="00B419CE">
        <w:t xml:space="preserve"> for lang.</w:t>
      </w:r>
    </w:p>
    <w:p w14:paraId="1AD0C892"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i 2022</w:t>
      </w:r>
    </w:p>
    <w:p w14:paraId="56AB3C37" w14:textId="77777777" w:rsidR="00B419CE" w:rsidRPr="00B419CE" w:rsidRDefault="00B419CE" w:rsidP="00B419CE">
      <w:r w:rsidRPr="00B419CE">
        <w:t xml:space="preserve">Finansdepartementet </w:t>
      </w:r>
      <w:proofErr w:type="spellStart"/>
      <w:r w:rsidRPr="00B419CE">
        <w:t>fastset</w:t>
      </w:r>
      <w:proofErr w:type="spellEnd"/>
      <w:r w:rsidRPr="00B419CE">
        <w:t xml:space="preserve"> </w:t>
      </w:r>
      <w:proofErr w:type="spellStart"/>
      <w:r w:rsidRPr="00B419CE">
        <w:t>følgjande</w:t>
      </w:r>
      <w:proofErr w:type="spellEnd"/>
      <w:r w:rsidRPr="00B419CE">
        <w:t xml:space="preserve"> </w:t>
      </w:r>
      <w:proofErr w:type="spellStart"/>
      <w:r w:rsidRPr="00B419CE">
        <w:t>hovudmål</w:t>
      </w:r>
      <w:proofErr w:type="spellEnd"/>
      <w:r w:rsidRPr="00B419CE">
        <w:t xml:space="preserve"> for Skatteklagenemndas sekretariat for 2022:</w:t>
      </w:r>
    </w:p>
    <w:p w14:paraId="0231E625" w14:textId="77777777" w:rsidR="00B419CE" w:rsidRPr="00B419CE" w:rsidRDefault="00B419CE" w:rsidP="00B419CE">
      <w:pPr>
        <w:pStyle w:val="Liste"/>
      </w:pPr>
      <w:r w:rsidRPr="00B419CE">
        <w:t xml:space="preserve">Saksførebuinga for Skatteklagenemnda skal </w:t>
      </w:r>
      <w:proofErr w:type="spellStart"/>
      <w:r w:rsidRPr="00B419CE">
        <w:t>vere</w:t>
      </w:r>
      <w:proofErr w:type="spellEnd"/>
      <w:r w:rsidRPr="00B419CE">
        <w:t xml:space="preserve"> effektiv og ha god kvalitet.</w:t>
      </w:r>
    </w:p>
    <w:p w14:paraId="4F56DCF4" w14:textId="77777777" w:rsidR="00B419CE" w:rsidRPr="00B419CE" w:rsidRDefault="00B419CE" w:rsidP="00B419CE">
      <w:proofErr w:type="spellStart"/>
      <w:r w:rsidRPr="00B419CE">
        <w:t>Underliggjande</w:t>
      </w:r>
      <w:proofErr w:type="spellEnd"/>
      <w:r w:rsidRPr="00B419CE">
        <w:t xml:space="preserve"> resultatkrav og </w:t>
      </w:r>
      <w:proofErr w:type="spellStart"/>
      <w:r w:rsidRPr="00B419CE">
        <w:t>styringsparametrar</w:t>
      </w:r>
      <w:proofErr w:type="spellEnd"/>
      <w:r w:rsidRPr="00B419CE">
        <w:t xml:space="preserve"> for sekretariatet vert formidla via tildelingsbrev til Skatteetaten for 2022.</w:t>
      </w:r>
    </w:p>
    <w:p w14:paraId="5267495E" w14:textId="77777777" w:rsidR="00B419CE" w:rsidRPr="00B419CE" w:rsidRDefault="00B419CE" w:rsidP="00B419CE">
      <w:pPr>
        <w:pStyle w:val="avsnitt-tittel"/>
      </w:pPr>
      <w:r w:rsidRPr="00B419CE">
        <w:t xml:space="preserve">Viktige </w:t>
      </w:r>
      <w:proofErr w:type="spellStart"/>
      <w:r w:rsidRPr="00B419CE">
        <w:t>prioriteringar</w:t>
      </w:r>
      <w:proofErr w:type="spellEnd"/>
      <w:r w:rsidRPr="00B419CE">
        <w:t xml:space="preserve"> i 2022:</w:t>
      </w:r>
    </w:p>
    <w:p w14:paraId="5F768BFD" w14:textId="77777777" w:rsidR="00B419CE" w:rsidRPr="00B419CE" w:rsidRDefault="00B419CE" w:rsidP="00B419CE">
      <w:proofErr w:type="spellStart"/>
      <w:r w:rsidRPr="00B419CE">
        <w:t>Talet</w:t>
      </w:r>
      <w:proofErr w:type="spellEnd"/>
      <w:r w:rsidRPr="00B419CE">
        <w:t xml:space="preserve"> på ubehandla saker ved Skatteklagenemndas sekretariat er </w:t>
      </w:r>
      <w:proofErr w:type="spellStart"/>
      <w:r w:rsidRPr="00B419CE">
        <w:t>framleis</w:t>
      </w:r>
      <w:proofErr w:type="spellEnd"/>
      <w:r w:rsidRPr="00B419CE">
        <w:t xml:space="preserve"> for høgt. Skatteklagenemndas sekretariat må i 2022 </w:t>
      </w:r>
      <w:proofErr w:type="spellStart"/>
      <w:r w:rsidRPr="00B419CE">
        <w:t>halde</w:t>
      </w:r>
      <w:proofErr w:type="spellEnd"/>
      <w:r w:rsidRPr="00B419CE">
        <w:t xml:space="preserve"> fram arbeidet for å effektivisere saksbehandlinga. Det er viktig å redusere </w:t>
      </w:r>
      <w:proofErr w:type="spellStart"/>
      <w:r w:rsidRPr="00B419CE">
        <w:t>talet</w:t>
      </w:r>
      <w:proofErr w:type="spellEnd"/>
      <w:r w:rsidRPr="00B419CE">
        <w:t xml:space="preserve"> på ubehandla saker og eldre </w:t>
      </w:r>
      <w:proofErr w:type="spellStart"/>
      <w:r w:rsidRPr="00B419CE">
        <w:t>restansar</w:t>
      </w:r>
      <w:proofErr w:type="spellEnd"/>
      <w:r w:rsidRPr="00B419CE">
        <w:t xml:space="preserve"> </w:t>
      </w:r>
      <w:proofErr w:type="spellStart"/>
      <w:r w:rsidRPr="00B419CE">
        <w:t>vesentleg</w:t>
      </w:r>
      <w:proofErr w:type="spellEnd"/>
      <w:r w:rsidRPr="00B419CE">
        <w:t xml:space="preserve">. For å få ei </w:t>
      </w:r>
      <w:proofErr w:type="spellStart"/>
      <w:r w:rsidRPr="00B419CE">
        <w:t>meir</w:t>
      </w:r>
      <w:proofErr w:type="spellEnd"/>
      <w:r w:rsidRPr="00B419CE">
        <w:t xml:space="preserve"> effektiv saksbehandling, må Skatteklagenemndas sekretariat </w:t>
      </w:r>
      <w:proofErr w:type="spellStart"/>
      <w:r w:rsidRPr="00B419CE">
        <w:t>gjere</w:t>
      </w:r>
      <w:proofErr w:type="spellEnd"/>
      <w:r w:rsidRPr="00B419CE">
        <w:t xml:space="preserve"> systematiske </w:t>
      </w:r>
      <w:proofErr w:type="spellStart"/>
      <w:r w:rsidRPr="00B419CE">
        <w:t>vurderingar</w:t>
      </w:r>
      <w:proofErr w:type="spellEnd"/>
      <w:r w:rsidRPr="00B419CE">
        <w:t xml:space="preserve"> av organiseringa av </w:t>
      </w:r>
      <w:proofErr w:type="spellStart"/>
      <w:r w:rsidRPr="00B419CE">
        <w:t>dei</w:t>
      </w:r>
      <w:proofErr w:type="spellEnd"/>
      <w:r w:rsidRPr="00B419CE">
        <w:t xml:space="preserve"> interne </w:t>
      </w:r>
      <w:proofErr w:type="spellStart"/>
      <w:r w:rsidRPr="00B419CE">
        <w:t>arbeidsprosessane</w:t>
      </w:r>
      <w:proofErr w:type="spellEnd"/>
      <w:r w:rsidRPr="00B419CE">
        <w:t xml:space="preserve"> og korleis fagkompetansen i sekretariatet kan </w:t>
      </w:r>
      <w:proofErr w:type="spellStart"/>
      <w:r w:rsidRPr="00B419CE">
        <w:t>verte</w:t>
      </w:r>
      <w:proofErr w:type="spellEnd"/>
      <w:r w:rsidRPr="00B419CE">
        <w:t xml:space="preserve"> utnytta best </w:t>
      </w:r>
      <w:proofErr w:type="spellStart"/>
      <w:r w:rsidRPr="00B419CE">
        <w:t>mogleg</w:t>
      </w:r>
      <w:proofErr w:type="spellEnd"/>
      <w:r w:rsidRPr="00B419CE">
        <w:t>.</w:t>
      </w:r>
    </w:p>
    <w:p w14:paraId="61E557E1" w14:textId="77777777" w:rsidR="00B419CE" w:rsidRPr="00B419CE" w:rsidRDefault="00B419CE" w:rsidP="00B419CE">
      <w:r w:rsidRPr="00B419CE">
        <w:t xml:space="preserve">Departementet vil </w:t>
      </w:r>
      <w:proofErr w:type="spellStart"/>
      <w:r w:rsidRPr="00B419CE">
        <w:t>framleis</w:t>
      </w:r>
      <w:proofErr w:type="spellEnd"/>
      <w:r w:rsidRPr="00B419CE">
        <w:t xml:space="preserve"> </w:t>
      </w:r>
      <w:proofErr w:type="spellStart"/>
      <w:r w:rsidRPr="00B419CE">
        <w:t>følgje</w:t>
      </w:r>
      <w:proofErr w:type="spellEnd"/>
      <w:r w:rsidRPr="00B419CE">
        <w:t xml:space="preserve"> opp arbeidet med å redusere saksbehandlingstida i Skatteklagenemndas sekretariat. Departementet </w:t>
      </w:r>
      <w:proofErr w:type="spellStart"/>
      <w:r w:rsidRPr="00B419CE">
        <w:t>tek</w:t>
      </w:r>
      <w:proofErr w:type="spellEnd"/>
      <w:r w:rsidRPr="00B419CE">
        <w:t xml:space="preserve"> sikte på at framlegg om </w:t>
      </w:r>
      <w:proofErr w:type="spellStart"/>
      <w:r w:rsidRPr="00B419CE">
        <w:t>regelendringar</w:t>
      </w:r>
      <w:proofErr w:type="spellEnd"/>
      <w:r w:rsidRPr="00B419CE">
        <w:t xml:space="preserve"> som kan </w:t>
      </w:r>
      <w:proofErr w:type="spellStart"/>
      <w:r w:rsidRPr="00B419CE">
        <w:t>medverke</w:t>
      </w:r>
      <w:proofErr w:type="spellEnd"/>
      <w:r w:rsidRPr="00B419CE">
        <w:t xml:space="preserve"> til å effektivisere saksbehandlingsprosessen for klager, vert sende på </w:t>
      </w:r>
      <w:proofErr w:type="spellStart"/>
      <w:r w:rsidRPr="00B419CE">
        <w:t>høyring</w:t>
      </w:r>
      <w:proofErr w:type="spellEnd"/>
      <w:r w:rsidRPr="00B419CE">
        <w:t xml:space="preserve"> </w:t>
      </w:r>
      <w:proofErr w:type="spellStart"/>
      <w:r w:rsidRPr="00B419CE">
        <w:t>hausten</w:t>
      </w:r>
      <w:proofErr w:type="spellEnd"/>
      <w:r w:rsidRPr="00B419CE">
        <w:t xml:space="preserve"> 2021.</w:t>
      </w:r>
    </w:p>
    <w:p w14:paraId="36692CF4" w14:textId="77777777" w:rsidR="00B419CE" w:rsidRPr="00B419CE" w:rsidRDefault="00B419CE" w:rsidP="00B419CE">
      <w:pPr>
        <w:pStyle w:val="Undertittel"/>
      </w:pPr>
      <w:r w:rsidRPr="00B419CE">
        <w:t>Budsjett for 2022</w:t>
      </w:r>
    </w:p>
    <w:p w14:paraId="7BEE5ACA" w14:textId="77777777" w:rsidR="00B419CE" w:rsidRPr="00B419CE" w:rsidRDefault="00B419CE" w:rsidP="00B419CE">
      <w:r w:rsidRPr="00B419CE">
        <w:t>Budsjettramma for Skatteklagenemnda er for 2022 sett til 72,1 mill. kroner.</w:t>
      </w:r>
    </w:p>
    <w:p w14:paraId="021DE289" w14:textId="77777777" w:rsidR="00B419CE" w:rsidRPr="00B419CE" w:rsidRDefault="00B419CE" w:rsidP="00B419CE">
      <w:pPr>
        <w:pStyle w:val="b-post"/>
      </w:pPr>
      <w:r w:rsidRPr="00B419CE">
        <w:lastRenderedPageBreak/>
        <w:t>Post 01 Driftsutgifter</w:t>
      </w:r>
    </w:p>
    <w:p w14:paraId="4F884BA7" w14:textId="77777777" w:rsidR="00B419CE" w:rsidRPr="00B419CE" w:rsidRDefault="00B419CE" w:rsidP="00B419CE">
      <w:r w:rsidRPr="00B419CE">
        <w:t xml:space="preserve">Posten </w:t>
      </w:r>
      <w:proofErr w:type="spellStart"/>
      <w:r w:rsidRPr="00B419CE">
        <w:t>omfattar</w:t>
      </w:r>
      <w:proofErr w:type="spellEnd"/>
      <w:r w:rsidRPr="00B419CE">
        <w:t xml:space="preserve"> </w:t>
      </w:r>
      <w:proofErr w:type="spellStart"/>
      <w:r w:rsidRPr="00B419CE">
        <w:t>løn</w:t>
      </w:r>
      <w:proofErr w:type="spellEnd"/>
      <w:r w:rsidRPr="00B419CE">
        <w:t xml:space="preserve"> til </w:t>
      </w:r>
      <w:proofErr w:type="gramStart"/>
      <w:r w:rsidRPr="00B419CE">
        <w:t>tilsette</w:t>
      </w:r>
      <w:proofErr w:type="gramEnd"/>
      <w:r w:rsidRPr="00B419CE">
        <w:t xml:space="preserve"> i Skatteklagenemndas sekretariat, </w:t>
      </w:r>
      <w:proofErr w:type="spellStart"/>
      <w:r w:rsidRPr="00B419CE">
        <w:t>godtgjering</w:t>
      </w:r>
      <w:proofErr w:type="spellEnd"/>
      <w:r w:rsidRPr="00B419CE">
        <w:t xml:space="preserve"> til </w:t>
      </w:r>
      <w:proofErr w:type="spellStart"/>
      <w:r w:rsidRPr="00B419CE">
        <w:t>nemndsmedlemane</w:t>
      </w:r>
      <w:proofErr w:type="spellEnd"/>
      <w:r w:rsidRPr="00B419CE">
        <w:t xml:space="preserve">, </w:t>
      </w:r>
      <w:proofErr w:type="spellStart"/>
      <w:r w:rsidRPr="00B419CE">
        <w:t>arbeidsgjevaravgift</w:t>
      </w:r>
      <w:proofErr w:type="spellEnd"/>
      <w:r w:rsidRPr="00B419CE">
        <w:t xml:space="preserve">, pensjon og andre personalutgifter samt enkelte andre driftsutgifter. Fordi det er Skatteetaten som har inngått dagens </w:t>
      </w:r>
      <w:proofErr w:type="spellStart"/>
      <w:r w:rsidRPr="00B419CE">
        <w:t>leigeforhold</w:t>
      </w:r>
      <w:proofErr w:type="spellEnd"/>
      <w:r w:rsidRPr="00B419CE">
        <w:t xml:space="preserve"> og Skatteklagenemnda bruker etatens IT-system, vert utgifter til </w:t>
      </w:r>
      <w:proofErr w:type="spellStart"/>
      <w:r w:rsidRPr="00B419CE">
        <w:t>eigedom</w:t>
      </w:r>
      <w:proofErr w:type="spellEnd"/>
      <w:r w:rsidRPr="00B419CE">
        <w:t>, inventar, IT-utstyr mv. dekte over kap. 1618.</w:t>
      </w:r>
    </w:p>
    <w:p w14:paraId="3ACB341E" w14:textId="77777777" w:rsidR="00B419CE" w:rsidRPr="00B419CE" w:rsidRDefault="00B419CE" w:rsidP="00B419CE">
      <w:pPr>
        <w:pStyle w:val="b-progkat"/>
      </w:pPr>
      <w:r w:rsidRPr="00B419CE">
        <w:t>Programkategori 23.30 Offisiell statistikk</w:t>
      </w:r>
    </w:p>
    <w:p w14:paraId="209B2357" w14:textId="77777777" w:rsidR="00B419CE" w:rsidRPr="00B419CE" w:rsidRDefault="00B419CE" w:rsidP="00B419CE">
      <w:pPr>
        <w:pStyle w:val="avsnitt-tittel"/>
      </w:pPr>
      <w:r w:rsidRPr="00B419CE">
        <w:t>Utgifter under programkategori 23.30</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396A2DB7" w14:textId="77777777" w:rsidTr="00B419CE">
        <w:trPr>
          <w:trHeight w:val="640"/>
          <w:hidden/>
        </w:trPr>
        <w:tc>
          <w:tcPr>
            <w:tcW w:w="1020" w:type="dxa"/>
            <w:shd w:val="clear" w:color="auto" w:fill="FFFFFF"/>
          </w:tcPr>
          <w:p w14:paraId="7AA77C2C" w14:textId="77777777" w:rsidR="00B419CE" w:rsidRPr="00B419CE" w:rsidRDefault="00B419CE" w:rsidP="00B419CE">
            <w:pPr>
              <w:pStyle w:val="Tabellnavn"/>
            </w:pPr>
            <w:r w:rsidRPr="00B419CE">
              <w:t>PIKL</w:t>
            </w:r>
          </w:p>
        </w:tc>
        <w:tc>
          <w:tcPr>
            <w:tcW w:w="4080" w:type="dxa"/>
          </w:tcPr>
          <w:p w14:paraId="06538D56" w14:textId="77777777" w:rsidR="00B419CE" w:rsidRPr="00B419CE" w:rsidRDefault="00B419CE" w:rsidP="00B419CE"/>
        </w:tc>
        <w:tc>
          <w:tcPr>
            <w:tcW w:w="1020" w:type="dxa"/>
          </w:tcPr>
          <w:p w14:paraId="4E61DEB4" w14:textId="77777777" w:rsidR="00B419CE" w:rsidRPr="00B419CE" w:rsidRDefault="00B419CE" w:rsidP="00B419CE">
            <w:pPr>
              <w:jc w:val="right"/>
            </w:pPr>
          </w:p>
        </w:tc>
        <w:tc>
          <w:tcPr>
            <w:tcW w:w="1020" w:type="dxa"/>
          </w:tcPr>
          <w:p w14:paraId="1BA97DA7" w14:textId="77777777" w:rsidR="00B419CE" w:rsidRPr="00B419CE" w:rsidRDefault="00B419CE" w:rsidP="00B419CE">
            <w:pPr>
              <w:jc w:val="right"/>
            </w:pPr>
          </w:p>
        </w:tc>
        <w:tc>
          <w:tcPr>
            <w:tcW w:w="1020" w:type="dxa"/>
          </w:tcPr>
          <w:p w14:paraId="50463679" w14:textId="77777777" w:rsidR="00B419CE" w:rsidRPr="00B419CE" w:rsidRDefault="00B419CE" w:rsidP="00B419CE">
            <w:pPr>
              <w:jc w:val="right"/>
            </w:pPr>
          </w:p>
        </w:tc>
        <w:tc>
          <w:tcPr>
            <w:tcW w:w="1020" w:type="dxa"/>
          </w:tcPr>
          <w:p w14:paraId="30A4B2C0" w14:textId="77777777" w:rsidR="00B419CE" w:rsidRPr="00B419CE" w:rsidRDefault="00B419CE" w:rsidP="00B419CE">
            <w:pPr>
              <w:jc w:val="right"/>
            </w:pPr>
            <w:r w:rsidRPr="00B419CE">
              <w:t>(i 1 000 kr)</w:t>
            </w:r>
          </w:p>
        </w:tc>
      </w:tr>
      <w:tr w:rsidR="00B419CE" w:rsidRPr="00B419CE" w14:paraId="325CF24A" w14:textId="77777777" w:rsidTr="00B419CE">
        <w:trPr>
          <w:trHeight w:val="600"/>
        </w:trPr>
        <w:tc>
          <w:tcPr>
            <w:tcW w:w="1020" w:type="dxa"/>
          </w:tcPr>
          <w:p w14:paraId="3968A7A3" w14:textId="77777777" w:rsidR="00B419CE" w:rsidRPr="00B419CE" w:rsidRDefault="00B419CE" w:rsidP="00B419CE">
            <w:r w:rsidRPr="00B419CE">
              <w:t>Kap.</w:t>
            </w:r>
          </w:p>
        </w:tc>
        <w:tc>
          <w:tcPr>
            <w:tcW w:w="4080" w:type="dxa"/>
          </w:tcPr>
          <w:p w14:paraId="7EF3F01A" w14:textId="77777777" w:rsidR="00B419CE" w:rsidRPr="00B419CE" w:rsidRDefault="00B419CE" w:rsidP="00B419CE">
            <w:proofErr w:type="spellStart"/>
            <w:r w:rsidRPr="00B419CE">
              <w:t>Nemning</w:t>
            </w:r>
            <w:proofErr w:type="spellEnd"/>
          </w:p>
        </w:tc>
        <w:tc>
          <w:tcPr>
            <w:tcW w:w="1020" w:type="dxa"/>
          </w:tcPr>
          <w:p w14:paraId="6F4F181E"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485D2EB5" w14:textId="77777777" w:rsidR="00B419CE" w:rsidRPr="00B419CE" w:rsidRDefault="00B419CE" w:rsidP="00B419CE">
            <w:pPr>
              <w:jc w:val="right"/>
            </w:pPr>
            <w:r w:rsidRPr="00B419CE">
              <w:t>Saldert</w:t>
            </w:r>
            <w:r w:rsidRPr="00B419CE">
              <w:br/>
              <w:t xml:space="preserve"> budsjett 2021</w:t>
            </w:r>
          </w:p>
        </w:tc>
        <w:tc>
          <w:tcPr>
            <w:tcW w:w="1020" w:type="dxa"/>
          </w:tcPr>
          <w:p w14:paraId="39D5C0AD" w14:textId="77777777" w:rsidR="00B419CE" w:rsidRPr="00B419CE" w:rsidRDefault="00B419CE" w:rsidP="00B419CE">
            <w:pPr>
              <w:jc w:val="right"/>
            </w:pPr>
            <w:r w:rsidRPr="00B419CE">
              <w:t>Forslag</w:t>
            </w:r>
            <w:r w:rsidRPr="00B419CE">
              <w:br/>
              <w:t xml:space="preserve"> 2022</w:t>
            </w:r>
          </w:p>
        </w:tc>
        <w:tc>
          <w:tcPr>
            <w:tcW w:w="1020" w:type="dxa"/>
          </w:tcPr>
          <w:p w14:paraId="584D8E67" w14:textId="77777777" w:rsidR="00B419CE" w:rsidRPr="00B419CE" w:rsidRDefault="00B419CE" w:rsidP="00B419CE">
            <w:pPr>
              <w:jc w:val="right"/>
            </w:pPr>
            <w:r w:rsidRPr="00B419CE">
              <w:t>Endring</w:t>
            </w:r>
            <w:r w:rsidRPr="00B419CE">
              <w:br/>
              <w:t xml:space="preserve"> i pst.</w:t>
            </w:r>
          </w:p>
        </w:tc>
      </w:tr>
      <w:tr w:rsidR="00B419CE" w:rsidRPr="00B419CE" w14:paraId="51016E4A" w14:textId="77777777" w:rsidTr="00B419CE">
        <w:trPr>
          <w:trHeight w:val="380"/>
        </w:trPr>
        <w:tc>
          <w:tcPr>
            <w:tcW w:w="1020" w:type="dxa"/>
          </w:tcPr>
          <w:p w14:paraId="32C7D7CD" w14:textId="77777777" w:rsidR="00B419CE" w:rsidRPr="00B419CE" w:rsidRDefault="00B419CE" w:rsidP="00B419CE">
            <w:r w:rsidRPr="00B419CE">
              <w:t>1620</w:t>
            </w:r>
          </w:p>
        </w:tc>
        <w:tc>
          <w:tcPr>
            <w:tcW w:w="4080" w:type="dxa"/>
          </w:tcPr>
          <w:p w14:paraId="37AEA1EC" w14:textId="77777777" w:rsidR="00B419CE" w:rsidRPr="00B419CE" w:rsidRDefault="00B419CE" w:rsidP="00B419CE">
            <w:r w:rsidRPr="00B419CE">
              <w:t>Statistisk sentralbyrå</w:t>
            </w:r>
          </w:p>
        </w:tc>
        <w:tc>
          <w:tcPr>
            <w:tcW w:w="1020" w:type="dxa"/>
          </w:tcPr>
          <w:p w14:paraId="4186BB64" w14:textId="77777777" w:rsidR="00B419CE" w:rsidRPr="00B419CE" w:rsidRDefault="00B419CE" w:rsidP="00B419CE">
            <w:pPr>
              <w:jc w:val="right"/>
            </w:pPr>
            <w:r w:rsidRPr="00B419CE">
              <w:t>888 516</w:t>
            </w:r>
          </w:p>
        </w:tc>
        <w:tc>
          <w:tcPr>
            <w:tcW w:w="1020" w:type="dxa"/>
          </w:tcPr>
          <w:p w14:paraId="68CFD14E" w14:textId="77777777" w:rsidR="00B419CE" w:rsidRPr="00B419CE" w:rsidRDefault="00B419CE" w:rsidP="00B419CE">
            <w:pPr>
              <w:jc w:val="right"/>
            </w:pPr>
            <w:r w:rsidRPr="00B419CE">
              <w:t>874 860</w:t>
            </w:r>
          </w:p>
        </w:tc>
        <w:tc>
          <w:tcPr>
            <w:tcW w:w="1020" w:type="dxa"/>
          </w:tcPr>
          <w:p w14:paraId="079D7F59" w14:textId="77777777" w:rsidR="00B419CE" w:rsidRPr="00B419CE" w:rsidRDefault="00B419CE" w:rsidP="00B419CE">
            <w:pPr>
              <w:jc w:val="right"/>
            </w:pPr>
            <w:r w:rsidRPr="00B419CE">
              <w:t>897 347</w:t>
            </w:r>
          </w:p>
        </w:tc>
        <w:tc>
          <w:tcPr>
            <w:tcW w:w="1020" w:type="dxa"/>
          </w:tcPr>
          <w:p w14:paraId="402B1CEC" w14:textId="77777777" w:rsidR="00B419CE" w:rsidRPr="00B419CE" w:rsidRDefault="00B419CE" w:rsidP="00B419CE">
            <w:pPr>
              <w:jc w:val="right"/>
            </w:pPr>
            <w:r w:rsidRPr="00B419CE">
              <w:t>2,6</w:t>
            </w:r>
          </w:p>
        </w:tc>
      </w:tr>
      <w:tr w:rsidR="00B419CE" w:rsidRPr="00B419CE" w14:paraId="2F094D78" w14:textId="77777777" w:rsidTr="00B419CE">
        <w:trPr>
          <w:trHeight w:val="380"/>
        </w:trPr>
        <w:tc>
          <w:tcPr>
            <w:tcW w:w="1020" w:type="dxa"/>
          </w:tcPr>
          <w:p w14:paraId="3EF0DD95" w14:textId="77777777" w:rsidR="00B419CE" w:rsidRPr="00B419CE" w:rsidRDefault="00B419CE" w:rsidP="00B419CE"/>
        </w:tc>
        <w:tc>
          <w:tcPr>
            <w:tcW w:w="4080" w:type="dxa"/>
          </w:tcPr>
          <w:p w14:paraId="397168A8" w14:textId="77777777" w:rsidR="00B419CE" w:rsidRPr="00B419CE" w:rsidRDefault="00B419CE" w:rsidP="00B419CE">
            <w:r w:rsidRPr="00B419CE">
              <w:t>Sum kategori 23.30</w:t>
            </w:r>
          </w:p>
        </w:tc>
        <w:tc>
          <w:tcPr>
            <w:tcW w:w="1020" w:type="dxa"/>
          </w:tcPr>
          <w:p w14:paraId="4EC8D277" w14:textId="77777777" w:rsidR="00B419CE" w:rsidRPr="00B419CE" w:rsidRDefault="00B419CE" w:rsidP="00B419CE">
            <w:pPr>
              <w:jc w:val="right"/>
            </w:pPr>
            <w:r w:rsidRPr="00B419CE">
              <w:t>888 516</w:t>
            </w:r>
          </w:p>
        </w:tc>
        <w:tc>
          <w:tcPr>
            <w:tcW w:w="1020" w:type="dxa"/>
          </w:tcPr>
          <w:p w14:paraId="093F0C7B" w14:textId="77777777" w:rsidR="00B419CE" w:rsidRPr="00B419CE" w:rsidRDefault="00B419CE" w:rsidP="00B419CE">
            <w:pPr>
              <w:jc w:val="right"/>
            </w:pPr>
            <w:r w:rsidRPr="00B419CE">
              <w:t>874 860</w:t>
            </w:r>
          </w:p>
        </w:tc>
        <w:tc>
          <w:tcPr>
            <w:tcW w:w="1020" w:type="dxa"/>
          </w:tcPr>
          <w:p w14:paraId="52CE77B7" w14:textId="77777777" w:rsidR="00B419CE" w:rsidRPr="00B419CE" w:rsidRDefault="00B419CE" w:rsidP="00B419CE">
            <w:pPr>
              <w:jc w:val="right"/>
            </w:pPr>
            <w:r w:rsidRPr="00B419CE">
              <w:t>897 347</w:t>
            </w:r>
          </w:p>
        </w:tc>
        <w:tc>
          <w:tcPr>
            <w:tcW w:w="1020" w:type="dxa"/>
          </w:tcPr>
          <w:p w14:paraId="55D387B0" w14:textId="77777777" w:rsidR="00B419CE" w:rsidRPr="00B419CE" w:rsidRDefault="00B419CE" w:rsidP="00B419CE">
            <w:pPr>
              <w:jc w:val="right"/>
            </w:pPr>
            <w:r w:rsidRPr="00B419CE">
              <w:t>2,6</w:t>
            </w:r>
          </w:p>
        </w:tc>
      </w:tr>
    </w:tbl>
    <w:p w14:paraId="12EDC8F7" w14:textId="77777777" w:rsidR="00B419CE" w:rsidRPr="00B419CE" w:rsidRDefault="00B419CE" w:rsidP="00B419CE">
      <w:pPr>
        <w:pStyle w:val="b-budkaptit"/>
      </w:pPr>
      <w:r w:rsidRPr="00B419CE">
        <w:t>Kap. 1620 Statistisk sentralbyrå</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AF90E1B" w14:textId="77777777" w:rsidTr="00B419CE">
        <w:trPr>
          <w:trHeight w:val="640"/>
          <w:hidden/>
        </w:trPr>
        <w:tc>
          <w:tcPr>
            <w:tcW w:w="1140" w:type="dxa"/>
            <w:shd w:val="clear" w:color="auto" w:fill="FFFFFF"/>
          </w:tcPr>
          <w:p w14:paraId="47437370" w14:textId="77777777" w:rsidR="00B419CE" w:rsidRPr="00B419CE" w:rsidRDefault="00B419CE" w:rsidP="00B419CE">
            <w:pPr>
              <w:pStyle w:val="Tabellnavn"/>
            </w:pPr>
            <w:r w:rsidRPr="00B419CE">
              <w:t>KPAL</w:t>
            </w:r>
          </w:p>
        </w:tc>
        <w:tc>
          <w:tcPr>
            <w:tcW w:w="4560" w:type="dxa"/>
          </w:tcPr>
          <w:p w14:paraId="01B06303" w14:textId="77777777" w:rsidR="00B419CE" w:rsidRPr="00B419CE" w:rsidRDefault="00B419CE" w:rsidP="00B419CE"/>
        </w:tc>
        <w:tc>
          <w:tcPr>
            <w:tcW w:w="1140" w:type="dxa"/>
          </w:tcPr>
          <w:p w14:paraId="66D31CF7" w14:textId="77777777" w:rsidR="00B419CE" w:rsidRPr="00B419CE" w:rsidRDefault="00B419CE" w:rsidP="00B419CE">
            <w:pPr>
              <w:jc w:val="right"/>
            </w:pPr>
          </w:p>
        </w:tc>
        <w:tc>
          <w:tcPr>
            <w:tcW w:w="1140" w:type="dxa"/>
          </w:tcPr>
          <w:p w14:paraId="4C0B1662" w14:textId="77777777" w:rsidR="00B419CE" w:rsidRPr="00B419CE" w:rsidRDefault="00B419CE" w:rsidP="00B419CE">
            <w:pPr>
              <w:jc w:val="right"/>
            </w:pPr>
          </w:p>
        </w:tc>
        <w:tc>
          <w:tcPr>
            <w:tcW w:w="1140" w:type="dxa"/>
          </w:tcPr>
          <w:p w14:paraId="60669899" w14:textId="77777777" w:rsidR="00B419CE" w:rsidRPr="00B419CE" w:rsidRDefault="00B419CE" w:rsidP="00B419CE">
            <w:pPr>
              <w:jc w:val="right"/>
            </w:pPr>
            <w:r w:rsidRPr="00B419CE">
              <w:t>(i 1 000 kr)</w:t>
            </w:r>
          </w:p>
        </w:tc>
      </w:tr>
      <w:tr w:rsidR="00B419CE" w:rsidRPr="00B419CE" w14:paraId="5CAAD837" w14:textId="77777777" w:rsidTr="00B419CE">
        <w:trPr>
          <w:trHeight w:val="600"/>
        </w:trPr>
        <w:tc>
          <w:tcPr>
            <w:tcW w:w="1140" w:type="dxa"/>
          </w:tcPr>
          <w:p w14:paraId="1F9F0A90" w14:textId="77777777" w:rsidR="00B419CE" w:rsidRPr="00B419CE" w:rsidRDefault="00B419CE" w:rsidP="00B419CE">
            <w:r w:rsidRPr="00B419CE">
              <w:t>Post</w:t>
            </w:r>
          </w:p>
        </w:tc>
        <w:tc>
          <w:tcPr>
            <w:tcW w:w="4560" w:type="dxa"/>
          </w:tcPr>
          <w:p w14:paraId="3364E73E" w14:textId="77777777" w:rsidR="00B419CE" w:rsidRPr="00B419CE" w:rsidRDefault="00B419CE" w:rsidP="00B419CE">
            <w:proofErr w:type="spellStart"/>
            <w:r w:rsidRPr="00B419CE">
              <w:t>Nemning</w:t>
            </w:r>
            <w:proofErr w:type="spellEnd"/>
          </w:p>
        </w:tc>
        <w:tc>
          <w:tcPr>
            <w:tcW w:w="1140" w:type="dxa"/>
          </w:tcPr>
          <w:p w14:paraId="41080074"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B062E31" w14:textId="77777777" w:rsidR="00B419CE" w:rsidRPr="00B419CE" w:rsidRDefault="00B419CE" w:rsidP="00B419CE">
            <w:pPr>
              <w:jc w:val="right"/>
            </w:pPr>
            <w:r w:rsidRPr="00B419CE">
              <w:t>Saldert</w:t>
            </w:r>
            <w:r w:rsidRPr="00B419CE">
              <w:br/>
              <w:t xml:space="preserve"> budsjett 2021</w:t>
            </w:r>
          </w:p>
        </w:tc>
        <w:tc>
          <w:tcPr>
            <w:tcW w:w="1140" w:type="dxa"/>
          </w:tcPr>
          <w:p w14:paraId="6726F5A6" w14:textId="77777777" w:rsidR="00B419CE" w:rsidRPr="00B419CE" w:rsidRDefault="00B419CE" w:rsidP="00B419CE">
            <w:pPr>
              <w:jc w:val="right"/>
            </w:pPr>
            <w:r w:rsidRPr="00B419CE">
              <w:t>Forslag</w:t>
            </w:r>
            <w:r w:rsidRPr="00B419CE">
              <w:br/>
              <w:t xml:space="preserve"> 2022</w:t>
            </w:r>
          </w:p>
        </w:tc>
      </w:tr>
      <w:tr w:rsidR="00B419CE" w:rsidRPr="00B419CE" w14:paraId="3239B1DE" w14:textId="77777777" w:rsidTr="00B419CE">
        <w:trPr>
          <w:trHeight w:val="380"/>
        </w:trPr>
        <w:tc>
          <w:tcPr>
            <w:tcW w:w="1140" w:type="dxa"/>
          </w:tcPr>
          <w:p w14:paraId="213599F0" w14:textId="77777777" w:rsidR="00B419CE" w:rsidRPr="00B419CE" w:rsidRDefault="00B419CE" w:rsidP="00B419CE">
            <w:r w:rsidRPr="00B419CE">
              <w:t>01</w:t>
            </w:r>
          </w:p>
        </w:tc>
        <w:tc>
          <w:tcPr>
            <w:tcW w:w="4560" w:type="dxa"/>
          </w:tcPr>
          <w:p w14:paraId="205F4B81" w14:textId="77777777" w:rsidR="00B419CE" w:rsidRPr="00B419CE" w:rsidRDefault="00B419CE" w:rsidP="00B419CE">
            <w:r w:rsidRPr="00B419CE">
              <w:t>Driftsutgifter</w:t>
            </w:r>
          </w:p>
        </w:tc>
        <w:tc>
          <w:tcPr>
            <w:tcW w:w="1140" w:type="dxa"/>
          </w:tcPr>
          <w:p w14:paraId="02E05A00" w14:textId="77777777" w:rsidR="00B419CE" w:rsidRPr="00B419CE" w:rsidRDefault="00B419CE" w:rsidP="00B419CE">
            <w:pPr>
              <w:jc w:val="right"/>
            </w:pPr>
            <w:r w:rsidRPr="00B419CE">
              <w:t>613 735</w:t>
            </w:r>
          </w:p>
        </w:tc>
        <w:tc>
          <w:tcPr>
            <w:tcW w:w="1140" w:type="dxa"/>
          </w:tcPr>
          <w:p w14:paraId="73E96613" w14:textId="77777777" w:rsidR="00B419CE" w:rsidRPr="00B419CE" w:rsidRDefault="00B419CE" w:rsidP="00B419CE">
            <w:pPr>
              <w:jc w:val="right"/>
            </w:pPr>
            <w:r w:rsidRPr="00B419CE">
              <w:t>611 820</w:t>
            </w:r>
          </w:p>
        </w:tc>
        <w:tc>
          <w:tcPr>
            <w:tcW w:w="1140" w:type="dxa"/>
          </w:tcPr>
          <w:p w14:paraId="5BFDC9F5" w14:textId="77777777" w:rsidR="00B419CE" w:rsidRPr="00B419CE" w:rsidRDefault="00B419CE" w:rsidP="00B419CE">
            <w:pPr>
              <w:jc w:val="right"/>
            </w:pPr>
            <w:r w:rsidRPr="00B419CE">
              <w:t>649 553</w:t>
            </w:r>
          </w:p>
        </w:tc>
      </w:tr>
      <w:tr w:rsidR="00B419CE" w:rsidRPr="00B419CE" w14:paraId="26BAE41C" w14:textId="77777777" w:rsidTr="00B419CE">
        <w:trPr>
          <w:trHeight w:val="380"/>
        </w:trPr>
        <w:tc>
          <w:tcPr>
            <w:tcW w:w="1140" w:type="dxa"/>
          </w:tcPr>
          <w:p w14:paraId="6A6960C5" w14:textId="77777777" w:rsidR="00B419CE" w:rsidRPr="00B419CE" w:rsidRDefault="00B419CE" w:rsidP="00B419CE">
            <w:r w:rsidRPr="00B419CE">
              <w:t>21</w:t>
            </w:r>
          </w:p>
        </w:tc>
        <w:tc>
          <w:tcPr>
            <w:tcW w:w="4560" w:type="dxa"/>
          </w:tcPr>
          <w:p w14:paraId="67B25E93" w14:textId="77777777" w:rsidR="00B419CE" w:rsidRPr="00B419CE" w:rsidRDefault="00B419CE" w:rsidP="00B419CE">
            <w:r w:rsidRPr="00B419CE">
              <w:t>Spesielle driftsutgifter</w:t>
            </w:r>
            <w:r w:rsidRPr="00B419CE">
              <w:rPr>
                <w:rStyle w:val="kursiv"/>
              </w:rPr>
              <w:t xml:space="preserve">, kan </w:t>
            </w:r>
            <w:proofErr w:type="spellStart"/>
            <w:r w:rsidRPr="00B419CE">
              <w:rPr>
                <w:rStyle w:val="kursiv"/>
              </w:rPr>
              <w:t>overførast</w:t>
            </w:r>
            <w:proofErr w:type="spellEnd"/>
          </w:p>
        </w:tc>
        <w:tc>
          <w:tcPr>
            <w:tcW w:w="1140" w:type="dxa"/>
          </w:tcPr>
          <w:p w14:paraId="40E314A7" w14:textId="77777777" w:rsidR="00B419CE" w:rsidRPr="00B419CE" w:rsidRDefault="00B419CE" w:rsidP="00B419CE">
            <w:pPr>
              <w:jc w:val="right"/>
            </w:pPr>
            <w:r w:rsidRPr="00B419CE">
              <w:t>241 768</w:t>
            </w:r>
          </w:p>
        </w:tc>
        <w:tc>
          <w:tcPr>
            <w:tcW w:w="1140" w:type="dxa"/>
          </w:tcPr>
          <w:p w14:paraId="629C300B" w14:textId="77777777" w:rsidR="00B419CE" w:rsidRPr="00B419CE" w:rsidRDefault="00B419CE" w:rsidP="00B419CE">
            <w:pPr>
              <w:jc w:val="right"/>
            </w:pPr>
            <w:r w:rsidRPr="00B419CE">
              <w:t>253 640</w:t>
            </w:r>
          </w:p>
        </w:tc>
        <w:tc>
          <w:tcPr>
            <w:tcW w:w="1140" w:type="dxa"/>
          </w:tcPr>
          <w:p w14:paraId="1CEC0CFC" w14:textId="77777777" w:rsidR="00B419CE" w:rsidRPr="00B419CE" w:rsidRDefault="00B419CE" w:rsidP="00B419CE">
            <w:pPr>
              <w:jc w:val="right"/>
            </w:pPr>
            <w:r w:rsidRPr="00B419CE">
              <w:t>244 194</w:t>
            </w:r>
          </w:p>
        </w:tc>
      </w:tr>
      <w:tr w:rsidR="00B419CE" w:rsidRPr="00B419CE" w14:paraId="39B26124" w14:textId="77777777" w:rsidTr="00B419CE">
        <w:trPr>
          <w:trHeight w:val="380"/>
        </w:trPr>
        <w:tc>
          <w:tcPr>
            <w:tcW w:w="1140" w:type="dxa"/>
          </w:tcPr>
          <w:p w14:paraId="6ACDC15D" w14:textId="77777777" w:rsidR="00B419CE" w:rsidRPr="00B419CE" w:rsidRDefault="00B419CE" w:rsidP="00B419CE">
            <w:r w:rsidRPr="00B419CE">
              <w:t>45</w:t>
            </w:r>
          </w:p>
        </w:tc>
        <w:tc>
          <w:tcPr>
            <w:tcW w:w="4560" w:type="dxa"/>
          </w:tcPr>
          <w:p w14:paraId="727FF9A7" w14:textId="77777777" w:rsidR="00B419CE" w:rsidRPr="00B419CE" w:rsidRDefault="00B419CE" w:rsidP="00B419CE">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1140" w:type="dxa"/>
          </w:tcPr>
          <w:p w14:paraId="32997906" w14:textId="77777777" w:rsidR="00B419CE" w:rsidRPr="00B419CE" w:rsidRDefault="00B419CE" w:rsidP="00B419CE">
            <w:pPr>
              <w:jc w:val="right"/>
            </w:pPr>
            <w:r w:rsidRPr="00B419CE">
              <w:t>33 013</w:t>
            </w:r>
          </w:p>
        </w:tc>
        <w:tc>
          <w:tcPr>
            <w:tcW w:w="1140" w:type="dxa"/>
          </w:tcPr>
          <w:p w14:paraId="44C4B0AC" w14:textId="77777777" w:rsidR="00B419CE" w:rsidRPr="00B419CE" w:rsidRDefault="00B419CE" w:rsidP="00B419CE">
            <w:pPr>
              <w:jc w:val="right"/>
            </w:pPr>
            <w:r w:rsidRPr="00B419CE">
              <w:t>9 400</w:t>
            </w:r>
          </w:p>
        </w:tc>
        <w:tc>
          <w:tcPr>
            <w:tcW w:w="1140" w:type="dxa"/>
          </w:tcPr>
          <w:p w14:paraId="48BA99FD" w14:textId="77777777" w:rsidR="00B419CE" w:rsidRPr="00B419CE" w:rsidRDefault="00B419CE" w:rsidP="00B419CE">
            <w:pPr>
              <w:jc w:val="right"/>
            </w:pPr>
            <w:r w:rsidRPr="00B419CE">
              <w:t>3 600</w:t>
            </w:r>
          </w:p>
        </w:tc>
      </w:tr>
      <w:tr w:rsidR="00B419CE" w:rsidRPr="00B419CE" w14:paraId="2B2DC44C" w14:textId="77777777" w:rsidTr="00B419CE">
        <w:trPr>
          <w:trHeight w:val="380"/>
        </w:trPr>
        <w:tc>
          <w:tcPr>
            <w:tcW w:w="1140" w:type="dxa"/>
          </w:tcPr>
          <w:p w14:paraId="0B4580F1" w14:textId="77777777" w:rsidR="00B419CE" w:rsidRPr="00B419CE" w:rsidRDefault="00B419CE" w:rsidP="00B419CE"/>
        </w:tc>
        <w:tc>
          <w:tcPr>
            <w:tcW w:w="4560" w:type="dxa"/>
          </w:tcPr>
          <w:p w14:paraId="04704F62" w14:textId="77777777" w:rsidR="00B419CE" w:rsidRPr="00B419CE" w:rsidRDefault="00B419CE" w:rsidP="00B419CE">
            <w:r w:rsidRPr="00B419CE">
              <w:t>Sum kap. 1620</w:t>
            </w:r>
          </w:p>
        </w:tc>
        <w:tc>
          <w:tcPr>
            <w:tcW w:w="1140" w:type="dxa"/>
          </w:tcPr>
          <w:p w14:paraId="63A20E0F" w14:textId="77777777" w:rsidR="00B419CE" w:rsidRPr="00B419CE" w:rsidRDefault="00B419CE" w:rsidP="00B419CE">
            <w:pPr>
              <w:jc w:val="right"/>
            </w:pPr>
            <w:r w:rsidRPr="00B419CE">
              <w:t>888 516</w:t>
            </w:r>
          </w:p>
        </w:tc>
        <w:tc>
          <w:tcPr>
            <w:tcW w:w="1140" w:type="dxa"/>
          </w:tcPr>
          <w:p w14:paraId="5B023CC6" w14:textId="77777777" w:rsidR="00B419CE" w:rsidRPr="00B419CE" w:rsidRDefault="00B419CE" w:rsidP="00B419CE">
            <w:pPr>
              <w:jc w:val="right"/>
            </w:pPr>
            <w:r w:rsidRPr="00B419CE">
              <w:t>874 860</w:t>
            </w:r>
          </w:p>
        </w:tc>
        <w:tc>
          <w:tcPr>
            <w:tcW w:w="1140" w:type="dxa"/>
          </w:tcPr>
          <w:p w14:paraId="7FE26446" w14:textId="77777777" w:rsidR="00B419CE" w:rsidRPr="00B419CE" w:rsidRDefault="00B419CE" w:rsidP="00B419CE">
            <w:pPr>
              <w:jc w:val="right"/>
            </w:pPr>
            <w:r w:rsidRPr="00B419CE">
              <w:t>897 347</w:t>
            </w:r>
          </w:p>
        </w:tc>
      </w:tr>
    </w:tbl>
    <w:p w14:paraId="15D05C9F" w14:textId="77777777" w:rsidR="00B419CE" w:rsidRPr="00B419CE" w:rsidRDefault="00B419CE" w:rsidP="00B419CE">
      <w:pPr>
        <w:pStyle w:val="Undertittel"/>
      </w:pPr>
      <w:r w:rsidRPr="00B419CE">
        <w:t xml:space="preserve">Samfunnsoppdrag, </w:t>
      </w:r>
      <w:proofErr w:type="spellStart"/>
      <w:r w:rsidRPr="00B419CE">
        <w:t>hovudoppgåver</w:t>
      </w:r>
      <w:proofErr w:type="spellEnd"/>
      <w:r w:rsidRPr="00B419CE">
        <w:t xml:space="preserve"> og organisering</w:t>
      </w:r>
    </w:p>
    <w:p w14:paraId="757DFE66" w14:textId="77777777" w:rsidR="00B419CE" w:rsidRPr="00B419CE" w:rsidRDefault="00B419CE" w:rsidP="00B419CE">
      <w:r w:rsidRPr="00B419CE">
        <w:t xml:space="preserve">Ny lov om offisiell statistikk og Statistisk sentralbyrå (statistikklova) tredde i kraft 1. januar 2021. Der </w:t>
      </w:r>
      <w:proofErr w:type="spellStart"/>
      <w:r w:rsidRPr="00B419CE">
        <w:t>heiter</w:t>
      </w:r>
      <w:proofErr w:type="spellEnd"/>
      <w:r w:rsidRPr="00B419CE">
        <w:t xml:space="preserve"> det at Statistisk sentralbyrå (SSB) </w:t>
      </w:r>
      <w:r w:rsidRPr="00B419CE">
        <w:rPr>
          <w:rStyle w:val="kursiv"/>
        </w:rPr>
        <w:t>«er den sentrale myndigheten for utvikling, utarbeiding og formidling av offisiell statistikk i Norge»</w:t>
      </w:r>
      <w:r w:rsidRPr="00B419CE">
        <w:t xml:space="preserve">. Offisiell statistikk gjev viktig kunnskap om korleis samfunnet er bygd opp, korleis det </w:t>
      </w:r>
      <w:proofErr w:type="spellStart"/>
      <w:r w:rsidRPr="00B419CE">
        <w:t>verkar</w:t>
      </w:r>
      <w:proofErr w:type="spellEnd"/>
      <w:r w:rsidRPr="00B419CE">
        <w:t xml:space="preserve"> og korleis det </w:t>
      </w:r>
      <w:proofErr w:type="spellStart"/>
      <w:r w:rsidRPr="00B419CE">
        <w:lastRenderedPageBreak/>
        <w:t>utviklar</w:t>
      </w:r>
      <w:proofErr w:type="spellEnd"/>
      <w:r w:rsidRPr="00B419CE">
        <w:t xml:space="preserve"> seg. Statistikk </w:t>
      </w:r>
      <w:proofErr w:type="spellStart"/>
      <w:r w:rsidRPr="00B419CE">
        <w:t>medverkar</w:t>
      </w:r>
      <w:proofErr w:type="spellEnd"/>
      <w:r w:rsidRPr="00B419CE">
        <w:t xml:space="preserve"> til allmenn </w:t>
      </w:r>
      <w:proofErr w:type="spellStart"/>
      <w:r w:rsidRPr="00B419CE">
        <w:t>folkeopplysing</w:t>
      </w:r>
      <w:proofErr w:type="spellEnd"/>
      <w:r w:rsidRPr="00B419CE">
        <w:t xml:space="preserve">, er grunnlag for analyse, forsking, planlegging og styring både for private og for styresmaktene, og </w:t>
      </w:r>
      <w:proofErr w:type="spellStart"/>
      <w:r w:rsidRPr="00B419CE">
        <w:t>legg</w:t>
      </w:r>
      <w:proofErr w:type="spellEnd"/>
      <w:r w:rsidRPr="00B419CE">
        <w:t xml:space="preserve"> til rette for </w:t>
      </w:r>
      <w:proofErr w:type="spellStart"/>
      <w:r w:rsidRPr="00B419CE">
        <w:t>eit</w:t>
      </w:r>
      <w:proofErr w:type="spellEnd"/>
      <w:r w:rsidRPr="00B419CE">
        <w:t xml:space="preserve"> opplyst </w:t>
      </w:r>
      <w:proofErr w:type="spellStart"/>
      <w:r w:rsidRPr="00B419CE">
        <w:t>offentleg</w:t>
      </w:r>
      <w:proofErr w:type="spellEnd"/>
      <w:r w:rsidRPr="00B419CE">
        <w:t xml:space="preserve"> ordskifte. Lova gjev SSB </w:t>
      </w:r>
      <w:proofErr w:type="spellStart"/>
      <w:r w:rsidRPr="00B419CE">
        <w:t>eit</w:t>
      </w:r>
      <w:proofErr w:type="spellEnd"/>
      <w:r w:rsidRPr="00B419CE">
        <w:t xml:space="preserve"> todelt samfunnsoppdrag. I tillegg til statistikk skal SSB </w:t>
      </w:r>
      <w:r w:rsidRPr="00B419CE">
        <w:rPr>
          <w:rStyle w:val="kursiv"/>
        </w:rPr>
        <w:t>«drive med forsking og analyse»,</w:t>
      </w:r>
      <w:r w:rsidRPr="00B419CE">
        <w:t xml:space="preserve"> retta mot regjeringa og sentralforvaltninga, Stortinget og </w:t>
      </w:r>
      <w:proofErr w:type="spellStart"/>
      <w:r w:rsidRPr="00B419CE">
        <w:t>partane</w:t>
      </w:r>
      <w:proofErr w:type="spellEnd"/>
      <w:r w:rsidRPr="00B419CE">
        <w:t xml:space="preserve"> i arbeidslivet.</w:t>
      </w:r>
    </w:p>
    <w:p w14:paraId="7D95898F" w14:textId="77777777" w:rsidR="00B419CE" w:rsidRPr="00B419CE" w:rsidRDefault="00B419CE" w:rsidP="00B419CE">
      <w:r w:rsidRPr="00B419CE">
        <w:t xml:space="preserve">Statistikklova slår fast at SSB er </w:t>
      </w:r>
      <w:proofErr w:type="spellStart"/>
      <w:r w:rsidRPr="00B419CE">
        <w:t>fagleg</w:t>
      </w:r>
      <w:proofErr w:type="spellEnd"/>
      <w:r w:rsidRPr="00B419CE">
        <w:t xml:space="preserve"> sjølvstendig i utføringa av </w:t>
      </w:r>
      <w:proofErr w:type="spellStart"/>
      <w:r w:rsidRPr="00B419CE">
        <w:t>oppgåvene</w:t>
      </w:r>
      <w:proofErr w:type="spellEnd"/>
      <w:r w:rsidRPr="00B419CE">
        <w:t xml:space="preserve"> </w:t>
      </w:r>
      <w:proofErr w:type="spellStart"/>
      <w:r w:rsidRPr="00B419CE">
        <w:t>verksemda</w:t>
      </w:r>
      <w:proofErr w:type="spellEnd"/>
      <w:r w:rsidRPr="00B419CE">
        <w:t xml:space="preserve"> er tillagt gjennom lova. Dette er </w:t>
      </w:r>
      <w:proofErr w:type="spellStart"/>
      <w:r w:rsidRPr="00B419CE">
        <w:t>avgjerande</w:t>
      </w:r>
      <w:proofErr w:type="spellEnd"/>
      <w:r w:rsidRPr="00B419CE">
        <w:t xml:space="preserve"> for den tillita og autoriteten offisiell statistikk må ha.</w:t>
      </w:r>
    </w:p>
    <w:p w14:paraId="6CCB328D" w14:textId="77777777" w:rsidR="00B419CE" w:rsidRPr="00B419CE" w:rsidRDefault="00B419CE" w:rsidP="00B419CE">
      <w:r w:rsidRPr="00B419CE">
        <w:t xml:space="preserve">Den nye lova gjev SSB ei sentral rolle i å samordne og kvalitetssikre den offisielle statistikkproduksjonen på tvers av </w:t>
      </w:r>
      <w:proofErr w:type="spellStart"/>
      <w:r w:rsidRPr="00B419CE">
        <w:t>offentlege</w:t>
      </w:r>
      <w:proofErr w:type="spellEnd"/>
      <w:r w:rsidRPr="00B419CE">
        <w:t xml:space="preserve"> </w:t>
      </w:r>
      <w:proofErr w:type="spellStart"/>
      <w:r w:rsidRPr="00B419CE">
        <w:t>statistikkprodusentar</w:t>
      </w:r>
      <w:proofErr w:type="spellEnd"/>
      <w:r w:rsidRPr="00B419CE">
        <w:t xml:space="preserve">. SSB har </w:t>
      </w:r>
      <w:proofErr w:type="spellStart"/>
      <w:r w:rsidRPr="00B419CE">
        <w:t>vore</w:t>
      </w:r>
      <w:proofErr w:type="spellEnd"/>
      <w:r w:rsidRPr="00B419CE">
        <w:t xml:space="preserve"> sentral i arbeidet med å etablere </w:t>
      </w:r>
      <w:proofErr w:type="spellStart"/>
      <w:r w:rsidRPr="00B419CE">
        <w:t>eit</w:t>
      </w:r>
      <w:proofErr w:type="spellEnd"/>
      <w:r w:rsidRPr="00B419CE">
        <w:t xml:space="preserve"> nasjonalt program for offisiell statistikk, mellom anna gjennom si leiing av </w:t>
      </w:r>
      <w:proofErr w:type="spellStart"/>
      <w:r w:rsidRPr="00B419CE">
        <w:t>Utvalet</w:t>
      </w:r>
      <w:proofErr w:type="spellEnd"/>
      <w:r w:rsidRPr="00B419CE">
        <w:t xml:space="preserve"> for offisiell statistikk.</w:t>
      </w:r>
    </w:p>
    <w:p w14:paraId="4A5F31F3" w14:textId="77777777" w:rsidR="00B419CE" w:rsidRPr="00B419CE" w:rsidRDefault="00B419CE" w:rsidP="00B419CE">
      <w:r w:rsidRPr="00B419CE">
        <w:t xml:space="preserve">Ved utgangen av 2020 hadde </w:t>
      </w:r>
      <w:proofErr w:type="spellStart"/>
      <w:r w:rsidRPr="00B419CE">
        <w:t>verksemda</w:t>
      </w:r>
      <w:proofErr w:type="spellEnd"/>
      <w:r w:rsidRPr="00B419CE">
        <w:t xml:space="preserve"> </w:t>
      </w:r>
      <w:proofErr w:type="spellStart"/>
      <w:r w:rsidRPr="00B419CE">
        <w:t>ein</w:t>
      </w:r>
      <w:proofErr w:type="spellEnd"/>
      <w:r w:rsidRPr="00B419CE">
        <w:t xml:space="preserve"> arbeidsstokk </w:t>
      </w:r>
      <w:proofErr w:type="spellStart"/>
      <w:r w:rsidRPr="00B419CE">
        <w:t>tilsvarande</w:t>
      </w:r>
      <w:proofErr w:type="spellEnd"/>
      <w:r w:rsidRPr="00B419CE">
        <w:t xml:space="preserve"> 758 årsverk, uendra </w:t>
      </w:r>
      <w:proofErr w:type="spellStart"/>
      <w:r w:rsidRPr="00B419CE">
        <w:t>frå</w:t>
      </w:r>
      <w:proofErr w:type="spellEnd"/>
      <w:r w:rsidRPr="00B419CE">
        <w:t xml:space="preserve"> </w:t>
      </w:r>
      <w:proofErr w:type="spellStart"/>
      <w:r w:rsidRPr="00B419CE">
        <w:t>eit</w:t>
      </w:r>
      <w:proofErr w:type="spellEnd"/>
      <w:r w:rsidRPr="00B419CE">
        <w:t xml:space="preserve"> år </w:t>
      </w:r>
      <w:proofErr w:type="spellStart"/>
      <w:r w:rsidRPr="00B419CE">
        <w:t>tidlegare</w:t>
      </w:r>
      <w:proofErr w:type="spellEnd"/>
      <w:r w:rsidRPr="00B419CE">
        <w:t xml:space="preserve">. I tillegg utgjorde </w:t>
      </w:r>
      <w:proofErr w:type="spellStart"/>
      <w:r w:rsidRPr="00B419CE">
        <w:t>intervjuarar</w:t>
      </w:r>
      <w:proofErr w:type="spellEnd"/>
      <w:r w:rsidRPr="00B419CE">
        <w:t xml:space="preserve"> 40 årsverk.</w:t>
      </w:r>
    </w:p>
    <w:p w14:paraId="410C1251" w14:textId="77777777" w:rsidR="00B419CE" w:rsidRPr="00B419CE" w:rsidRDefault="00B419CE" w:rsidP="00B419CE">
      <w:proofErr w:type="spellStart"/>
      <w:r w:rsidRPr="00B419CE">
        <w:t>Talet</w:t>
      </w:r>
      <w:proofErr w:type="spellEnd"/>
      <w:r w:rsidRPr="00B419CE">
        <w:t xml:space="preserve"> på </w:t>
      </w:r>
      <w:proofErr w:type="gramStart"/>
      <w:r w:rsidRPr="00B419CE">
        <w:t>tilsette</w:t>
      </w:r>
      <w:proofErr w:type="gramEnd"/>
      <w:r w:rsidRPr="00B419CE">
        <w:t xml:space="preserve"> i SSB er redusert </w:t>
      </w:r>
      <w:proofErr w:type="spellStart"/>
      <w:r w:rsidRPr="00B419CE">
        <w:t>frå</w:t>
      </w:r>
      <w:proofErr w:type="spellEnd"/>
      <w:r w:rsidRPr="00B419CE">
        <w:t xml:space="preserve"> over 1 000 til om lag 830 </w:t>
      </w:r>
      <w:proofErr w:type="spellStart"/>
      <w:r w:rsidRPr="00B419CE">
        <w:t>dei</w:t>
      </w:r>
      <w:proofErr w:type="spellEnd"/>
      <w:r w:rsidRPr="00B419CE">
        <w:t xml:space="preserve"> </w:t>
      </w:r>
      <w:proofErr w:type="spellStart"/>
      <w:r w:rsidRPr="00B419CE">
        <w:t>seinaste</w:t>
      </w:r>
      <w:proofErr w:type="spellEnd"/>
      <w:r w:rsidRPr="00B419CE">
        <w:t xml:space="preserve"> ti åra. Dei overordna krava til effektivisering og kostnadskutt krev at SSB framleis reduserer </w:t>
      </w:r>
      <w:proofErr w:type="spellStart"/>
      <w:r w:rsidRPr="00B419CE">
        <w:t>talet</w:t>
      </w:r>
      <w:proofErr w:type="spellEnd"/>
      <w:r w:rsidRPr="00B419CE">
        <w:t xml:space="preserve"> på </w:t>
      </w:r>
      <w:proofErr w:type="gramStart"/>
      <w:r w:rsidRPr="00B419CE">
        <w:t>tilsette</w:t>
      </w:r>
      <w:proofErr w:type="gramEnd"/>
      <w:r w:rsidRPr="00B419CE">
        <w:t>.</w:t>
      </w:r>
    </w:p>
    <w:p w14:paraId="07277B81" w14:textId="77777777" w:rsidR="00B419CE" w:rsidRPr="00B419CE" w:rsidRDefault="00B419CE" w:rsidP="00B419CE">
      <w:r w:rsidRPr="00B419CE">
        <w:t>SSB har kompetansemiljø både på Kongsvinger og i Oslo.</w:t>
      </w:r>
    </w:p>
    <w:p w14:paraId="10B9C1AF" w14:textId="77777777" w:rsidR="00B419CE" w:rsidRPr="00B419CE" w:rsidRDefault="00B419CE" w:rsidP="00B419CE">
      <w:r w:rsidRPr="00B419CE">
        <w:t xml:space="preserve">Om lag 65 pst. av </w:t>
      </w:r>
      <w:proofErr w:type="spellStart"/>
      <w:r w:rsidRPr="00B419CE">
        <w:t>dei</w:t>
      </w:r>
      <w:proofErr w:type="spellEnd"/>
      <w:r w:rsidRPr="00B419CE">
        <w:t xml:space="preserve"> tilsette i 2020 arbeidde i Oslo og 35 pst. på Kongsvinger.</w:t>
      </w:r>
    </w:p>
    <w:p w14:paraId="4148046E" w14:textId="77777777" w:rsidR="00B419CE" w:rsidRPr="00B419CE" w:rsidRDefault="00B419CE" w:rsidP="00B419CE">
      <w:r w:rsidRPr="00B419CE">
        <w:t xml:space="preserve">Finansdepartementet har </w:t>
      </w:r>
      <w:proofErr w:type="spellStart"/>
      <w:r w:rsidRPr="00B419CE">
        <w:t>oppnemnt</w:t>
      </w:r>
      <w:proofErr w:type="spellEnd"/>
      <w:r w:rsidRPr="00B419CE">
        <w:t xml:space="preserve"> </w:t>
      </w:r>
      <w:proofErr w:type="spellStart"/>
      <w:r w:rsidRPr="00B419CE">
        <w:t>Utvalet</w:t>
      </w:r>
      <w:proofErr w:type="spellEnd"/>
      <w:r w:rsidRPr="00B419CE">
        <w:t xml:space="preserve"> for offisiell statistikk. </w:t>
      </w:r>
      <w:proofErr w:type="spellStart"/>
      <w:r w:rsidRPr="00B419CE">
        <w:t>Utvalet</w:t>
      </w:r>
      <w:proofErr w:type="spellEnd"/>
      <w:r w:rsidRPr="00B419CE">
        <w:t xml:space="preserve"> er i </w:t>
      </w:r>
      <w:proofErr w:type="spellStart"/>
      <w:r w:rsidRPr="00B419CE">
        <w:t>hovudsak</w:t>
      </w:r>
      <w:proofErr w:type="spellEnd"/>
      <w:r w:rsidRPr="00B419CE">
        <w:t xml:space="preserve"> sett </w:t>
      </w:r>
      <w:proofErr w:type="spellStart"/>
      <w:r w:rsidRPr="00B419CE">
        <w:t>saman</w:t>
      </w:r>
      <w:proofErr w:type="spellEnd"/>
      <w:r w:rsidRPr="00B419CE">
        <w:t xml:space="preserve"> av </w:t>
      </w:r>
      <w:proofErr w:type="spellStart"/>
      <w:r w:rsidRPr="00B419CE">
        <w:t>statistikkprodusentar</w:t>
      </w:r>
      <w:proofErr w:type="spellEnd"/>
      <w:r w:rsidRPr="00B419CE">
        <w:t xml:space="preserve"> og </w:t>
      </w:r>
      <w:proofErr w:type="spellStart"/>
      <w:r w:rsidRPr="00B419CE">
        <w:t>eigarar</w:t>
      </w:r>
      <w:proofErr w:type="spellEnd"/>
      <w:r w:rsidRPr="00B419CE">
        <w:t xml:space="preserve"> av sentrale </w:t>
      </w:r>
      <w:proofErr w:type="spellStart"/>
      <w:r w:rsidRPr="00B419CE">
        <w:t>offentlege</w:t>
      </w:r>
      <w:proofErr w:type="spellEnd"/>
      <w:r w:rsidRPr="00B419CE">
        <w:t xml:space="preserve"> register som vert nytta til offisiell statistikk. Regjeringa </w:t>
      </w:r>
      <w:proofErr w:type="spellStart"/>
      <w:r w:rsidRPr="00B419CE">
        <w:t>vedtek</w:t>
      </w:r>
      <w:proofErr w:type="spellEnd"/>
      <w:r w:rsidRPr="00B419CE">
        <w:t xml:space="preserve"> periodiske nasjonale statistikkprogram som skal ramme inn den offisielle statistikken i </w:t>
      </w:r>
      <w:proofErr w:type="spellStart"/>
      <w:r w:rsidRPr="00B419CE">
        <w:t>Noreg</w:t>
      </w:r>
      <w:proofErr w:type="spellEnd"/>
      <w:r w:rsidRPr="00B419CE">
        <w:t xml:space="preserve">. SSB </w:t>
      </w:r>
      <w:proofErr w:type="spellStart"/>
      <w:r w:rsidRPr="00B419CE">
        <w:t>leiar</w:t>
      </w:r>
      <w:proofErr w:type="spellEnd"/>
      <w:r w:rsidRPr="00B419CE">
        <w:t xml:space="preserve"> arbeidet med programforslaga, i samråd med </w:t>
      </w:r>
      <w:proofErr w:type="spellStart"/>
      <w:r w:rsidRPr="00B419CE">
        <w:t>Utvalet</w:t>
      </w:r>
      <w:proofErr w:type="spellEnd"/>
      <w:r w:rsidRPr="00B419CE">
        <w:t xml:space="preserve"> for offisiell statistikk.</w:t>
      </w:r>
    </w:p>
    <w:p w14:paraId="02DED019" w14:textId="77777777" w:rsidR="00B419CE" w:rsidRPr="00B419CE" w:rsidRDefault="00B419CE" w:rsidP="00B419CE">
      <w:r w:rsidRPr="00B419CE">
        <w:t xml:space="preserve">Med heimel i statistikklova </w:t>
      </w:r>
      <w:proofErr w:type="spellStart"/>
      <w:r w:rsidRPr="00B419CE">
        <w:t>oppnemner</w:t>
      </w:r>
      <w:proofErr w:type="spellEnd"/>
      <w:r w:rsidRPr="00B419CE">
        <w:t xml:space="preserve"> Regjeringa </w:t>
      </w:r>
      <w:proofErr w:type="spellStart"/>
      <w:r w:rsidRPr="00B419CE">
        <w:t>representantar</w:t>
      </w:r>
      <w:proofErr w:type="spellEnd"/>
      <w:r w:rsidRPr="00B419CE">
        <w:t xml:space="preserve"> til Rådet for SSB for </w:t>
      </w:r>
      <w:proofErr w:type="spellStart"/>
      <w:r w:rsidRPr="00B419CE">
        <w:t>periodar</w:t>
      </w:r>
      <w:proofErr w:type="spellEnd"/>
      <w:r w:rsidRPr="00B419CE">
        <w:t xml:space="preserve"> av fire år. Rådet skal </w:t>
      </w:r>
      <w:proofErr w:type="spellStart"/>
      <w:r w:rsidRPr="00B419CE">
        <w:t>medverke</w:t>
      </w:r>
      <w:proofErr w:type="spellEnd"/>
      <w:r w:rsidRPr="00B419CE">
        <w:t xml:space="preserve"> til at </w:t>
      </w:r>
      <w:proofErr w:type="spellStart"/>
      <w:r w:rsidRPr="00B419CE">
        <w:t>dei</w:t>
      </w:r>
      <w:proofErr w:type="spellEnd"/>
      <w:r w:rsidRPr="00B419CE">
        <w:t xml:space="preserve"> </w:t>
      </w:r>
      <w:proofErr w:type="spellStart"/>
      <w:r w:rsidRPr="00B419CE">
        <w:t>oppgåvene</w:t>
      </w:r>
      <w:proofErr w:type="spellEnd"/>
      <w:r w:rsidRPr="00B419CE">
        <w:t xml:space="preserve"> som vert lagde til SSB, vert utførte på best </w:t>
      </w:r>
      <w:proofErr w:type="spellStart"/>
      <w:r w:rsidRPr="00B419CE">
        <w:t>mogleg</w:t>
      </w:r>
      <w:proofErr w:type="spellEnd"/>
      <w:r w:rsidRPr="00B419CE">
        <w:t xml:space="preserve"> måte. I 2021 leverte Rådet sin fyrste </w:t>
      </w:r>
      <w:proofErr w:type="spellStart"/>
      <w:r w:rsidRPr="00B419CE">
        <w:t>årlege</w:t>
      </w:r>
      <w:proofErr w:type="spellEnd"/>
      <w:r w:rsidRPr="00B419CE">
        <w:t xml:space="preserve"> rapport om SSBs </w:t>
      </w:r>
      <w:proofErr w:type="spellStart"/>
      <w:r w:rsidRPr="00B419CE">
        <w:t>verksemd</w:t>
      </w:r>
      <w:proofErr w:type="spellEnd"/>
      <w:r w:rsidRPr="00B419CE">
        <w:t xml:space="preserve">. SSB har òg </w:t>
      </w:r>
      <w:proofErr w:type="spellStart"/>
      <w:r w:rsidRPr="00B419CE">
        <w:t>rådgjevande</w:t>
      </w:r>
      <w:proofErr w:type="spellEnd"/>
      <w:r w:rsidRPr="00B419CE">
        <w:t xml:space="preserve"> </w:t>
      </w:r>
      <w:proofErr w:type="spellStart"/>
      <w:r w:rsidRPr="00B419CE">
        <w:t>utval</w:t>
      </w:r>
      <w:proofErr w:type="spellEnd"/>
      <w:r w:rsidRPr="00B419CE">
        <w:t xml:space="preserve"> og andre </w:t>
      </w:r>
      <w:proofErr w:type="spellStart"/>
      <w:r w:rsidRPr="00B419CE">
        <w:t>brukarforum</w:t>
      </w:r>
      <w:proofErr w:type="spellEnd"/>
      <w:r w:rsidRPr="00B419CE">
        <w:t xml:space="preserve"> for ei </w:t>
      </w:r>
      <w:proofErr w:type="spellStart"/>
      <w:r w:rsidRPr="00B419CE">
        <w:t>rekkje</w:t>
      </w:r>
      <w:proofErr w:type="spellEnd"/>
      <w:r w:rsidRPr="00B419CE">
        <w:t xml:space="preserve"> statistikkområde og kjem der i dialog med viktige </w:t>
      </w:r>
      <w:proofErr w:type="spellStart"/>
      <w:r w:rsidRPr="00B419CE">
        <w:t>brukarar</w:t>
      </w:r>
      <w:proofErr w:type="spellEnd"/>
      <w:r w:rsidRPr="00B419CE">
        <w:t xml:space="preserve"> av statistikken.</w:t>
      </w:r>
    </w:p>
    <w:p w14:paraId="38E20448" w14:textId="77777777" w:rsidR="00B419CE" w:rsidRPr="00B419CE" w:rsidRDefault="00B419CE" w:rsidP="00B419CE">
      <w:r w:rsidRPr="00B419CE">
        <w:t xml:space="preserve">SSB har </w:t>
      </w:r>
      <w:proofErr w:type="spellStart"/>
      <w:r w:rsidRPr="00B419CE">
        <w:t>hovudansvaret</w:t>
      </w:r>
      <w:proofErr w:type="spellEnd"/>
      <w:r w:rsidRPr="00B419CE">
        <w:t xml:space="preserve"> for </w:t>
      </w:r>
      <w:proofErr w:type="spellStart"/>
      <w:r w:rsidRPr="00B419CE">
        <w:t>Noregs</w:t>
      </w:r>
      <w:proofErr w:type="spellEnd"/>
      <w:r w:rsidRPr="00B419CE">
        <w:t xml:space="preserve"> deltaking i internasjonalt statistisk samarbeid. Dette samarbeidet er med på å heve kvaliteten på norsk statistikk og </w:t>
      </w:r>
      <w:proofErr w:type="spellStart"/>
      <w:r w:rsidRPr="00B419CE">
        <w:t>legg</w:t>
      </w:r>
      <w:proofErr w:type="spellEnd"/>
      <w:r w:rsidRPr="00B419CE">
        <w:t xml:space="preserve"> til rette for å </w:t>
      </w:r>
      <w:proofErr w:type="spellStart"/>
      <w:r w:rsidRPr="00B419CE">
        <w:t>samanlikne</w:t>
      </w:r>
      <w:proofErr w:type="spellEnd"/>
      <w:r w:rsidRPr="00B419CE">
        <w:t xml:space="preserve"> norsk og internasjonal statistikk. Samstundes legg </w:t>
      </w:r>
      <w:proofErr w:type="spellStart"/>
      <w:r w:rsidRPr="00B419CE">
        <w:t>særleg</w:t>
      </w:r>
      <w:proofErr w:type="spellEnd"/>
      <w:r w:rsidRPr="00B419CE">
        <w:t xml:space="preserve"> EØS-avtalen sterke </w:t>
      </w:r>
      <w:proofErr w:type="spellStart"/>
      <w:r w:rsidRPr="00B419CE">
        <w:t>føringar</w:t>
      </w:r>
      <w:proofErr w:type="spellEnd"/>
      <w:r w:rsidRPr="00B419CE">
        <w:t xml:space="preserve"> på den norske statistikkproduksjonen. Forordning (EU) nr. 223/2009 om europeisk statistikk </w:t>
      </w:r>
      <w:r w:rsidRPr="00B419CE">
        <w:rPr>
          <w:rStyle w:val="kursiv"/>
        </w:rPr>
        <w:t>(«Den europeiske statistikklova»)</w:t>
      </w:r>
      <w:r w:rsidRPr="00B419CE">
        <w:t xml:space="preserve"> </w:t>
      </w:r>
      <w:proofErr w:type="spellStart"/>
      <w:r w:rsidRPr="00B419CE">
        <w:t>inneheld</w:t>
      </w:r>
      <w:proofErr w:type="spellEnd"/>
      <w:r w:rsidRPr="00B419CE">
        <w:t xml:space="preserve"> </w:t>
      </w:r>
      <w:proofErr w:type="spellStart"/>
      <w:r w:rsidRPr="00B419CE">
        <w:t>retningsliner</w:t>
      </w:r>
      <w:proofErr w:type="spellEnd"/>
      <w:r w:rsidRPr="00B419CE">
        <w:t xml:space="preserve"> for å utvikle, utarbeide og formidle europeisk statistikk og er gjort </w:t>
      </w:r>
      <w:proofErr w:type="spellStart"/>
      <w:r w:rsidRPr="00B419CE">
        <w:t>gjeldande</w:t>
      </w:r>
      <w:proofErr w:type="spellEnd"/>
      <w:r w:rsidRPr="00B419CE">
        <w:t xml:space="preserve"> i norsk rett. Saman med Dei </w:t>
      </w:r>
      <w:proofErr w:type="spellStart"/>
      <w:r w:rsidRPr="00B419CE">
        <w:t>Sameinte</w:t>
      </w:r>
      <w:proofErr w:type="spellEnd"/>
      <w:r w:rsidRPr="00B419CE">
        <w:t xml:space="preserve"> </w:t>
      </w:r>
      <w:proofErr w:type="spellStart"/>
      <w:r w:rsidRPr="00B419CE">
        <w:t>Nasjonane</w:t>
      </w:r>
      <w:proofErr w:type="spellEnd"/>
      <w:r w:rsidRPr="00B419CE">
        <w:t xml:space="preserve"> sine </w:t>
      </w:r>
      <w:proofErr w:type="spellStart"/>
      <w:r w:rsidRPr="00B419CE">
        <w:t>grunnleggjande</w:t>
      </w:r>
      <w:proofErr w:type="spellEnd"/>
      <w:r w:rsidRPr="00B419CE">
        <w:t xml:space="preserve"> prinsipp for offisiell statistikk, </w:t>
      </w:r>
      <w:proofErr w:type="spellStart"/>
      <w:r w:rsidRPr="00B419CE">
        <w:t>utgjer</w:t>
      </w:r>
      <w:proofErr w:type="spellEnd"/>
      <w:r w:rsidRPr="00B419CE">
        <w:t xml:space="preserve"> </w:t>
      </w:r>
      <w:proofErr w:type="spellStart"/>
      <w:r w:rsidRPr="00B419CE">
        <w:t>desse</w:t>
      </w:r>
      <w:proofErr w:type="spellEnd"/>
      <w:r w:rsidRPr="00B419CE">
        <w:t xml:space="preserve"> </w:t>
      </w:r>
      <w:proofErr w:type="spellStart"/>
      <w:r w:rsidRPr="00B419CE">
        <w:t>retningslinene</w:t>
      </w:r>
      <w:proofErr w:type="spellEnd"/>
      <w:r w:rsidRPr="00B419CE">
        <w:t xml:space="preserve"> </w:t>
      </w:r>
      <w:proofErr w:type="spellStart"/>
      <w:r w:rsidRPr="00B419CE">
        <w:t>eit</w:t>
      </w:r>
      <w:proofErr w:type="spellEnd"/>
      <w:r w:rsidRPr="00B419CE">
        <w:t xml:space="preserve"> internasjonalt rammeverk for </w:t>
      </w:r>
      <w:proofErr w:type="spellStart"/>
      <w:r w:rsidRPr="00B419CE">
        <w:t>verksemda</w:t>
      </w:r>
      <w:proofErr w:type="spellEnd"/>
      <w:r w:rsidRPr="00B419CE">
        <w:t xml:space="preserve"> til SSB.</w:t>
      </w:r>
    </w:p>
    <w:p w14:paraId="51CB16A6" w14:textId="77777777" w:rsidR="00B419CE" w:rsidRPr="00B419CE" w:rsidRDefault="00B419CE" w:rsidP="00B419CE">
      <w:pPr>
        <w:pStyle w:val="Undertittel"/>
      </w:pPr>
      <w:r w:rsidRPr="00B419CE">
        <w:lastRenderedPageBreak/>
        <w:t>Resultat i 2020</w:t>
      </w:r>
    </w:p>
    <w:p w14:paraId="7730BCA3" w14:textId="77777777" w:rsidR="00B419CE" w:rsidRPr="00B419CE" w:rsidRDefault="00B419CE" w:rsidP="00B419CE">
      <w:r w:rsidRPr="00B419CE">
        <w:t xml:space="preserve">Statistikk av </w:t>
      </w:r>
      <w:proofErr w:type="spellStart"/>
      <w:r w:rsidRPr="00B419CE">
        <w:t>høg</w:t>
      </w:r>
      <w:proofErr w:type="spellEnd"/>
      <w:r w:rsidRPr="00B419CE">
        <w:t xml:space="preserve"> kvalitet som </w:t>
      </w:r>
      <w:proofErr w:type="spellStart"/>
      <w:r w:rsidRPr="00B419CE">
        <w:t>dekkjer</w:t>
      </w:r>
      <w:proofErr w:type="spellEnd"/>
      <w:r w:rsidRPr="00B419CE">
        <w:t xml:space="preserve"> viktige sider av samfunnet, er </w:t>
      </w:r>
      <w:proofErr w:type="spellStart"/>
      <w:r w:rsidRPr="00B419CE">
        <w:t>eit</w:t>
      </w:r>
      <w:proofErr w:type="spellEnd"/>
      <w:r w:rsidRPr="00B419CE">
        <w:t xml:space="preserve"> </w:t>
      </w:r>
      <w:proofErr w:type="spellStart"/>
      <w:r w:rsidRPr="00B419CE">
        <w:t>hovudmål</w:t>
      </w:r>
      <w:proofErr w:type="spellEnd"/>
      <w:r w:rsidRPr="00B419CE">
        <w:t xml:space="preserve"> for SSB. Det er sett kvantitative mål for viktige </w:t>
      </w:r>
      <w:proofErr w:type="spellStart"/>
      <w:r w:rsidRPr="00B419CE">
        <w:t>indikatorar</w:t>
      </w:r>
      <w:proofErr w:type="spellEnd"/>
      <w:r w:rsidRPr="00B419CE">
        <w:t xml:space="preserve"> som skal </w:t>
      </w:r>
      <w:proofErr w:type="spellStart"/>
      <w:r w:rsidRPr="00B419CE">
        <w:t>underbyggje</w:t>
      </w:r>
      <w:proofErr w:type="spellEnd"/>
      <w:r w:rsidRPr="00B419CE">
        <w:t xml:space="preserve"> SSBs arbeid med å levere relevant statistikk av </w:t>
      </w:r>
      <w:proofErr w:type="spellStart"/>
      <w:r w:rsidRPr="00B419CE">
        <w:t>høg</w:t>
      </w:r>
      <w:proofErr w:type="spellEnd"/>
      <w:r w:rsidRPr="00B419CE">
        <w:t xml:space="preserve"> kvalitet. </w:t>
      </w:r>
      <w:proofErr w:type="spellStart"/>
      <w:r w:rsidRPr="00B419CE">
        <w:t>Indikatorane</w:t>
      </w:r>
      <w:proofErr w:type="spellEnd"/>
      <w:r w:rsidRPr="00B419CE">
        <w:t xml:space="preserve"> er òg forankra i </w:t>
      </w:r>
      <w:proofErr w:type="spellStart"/>
      <w:r w:rsidRPr="00B419CE">
        <w:t>dei</w:t>
      </w:r>
      <w:proofErr w:type="spellEnd"/>
      <w:r w:rsidRPr="00B419CE">
        <w:t xml:space="preserve"> europeiske </w:t>
      </w:r>
      <w:proofErr w:type="spellStart"/>
      <w:r w:rsidRPr="00B419CE">
        <w:t>retningslinene</w:t>
      </w:r>
      <w:proofErr w:type="spellEnd"/>
      <w:r w:rsidRPr="00B419CE">
        <w:t xml:space="preserve"> for statistikk.</w:t>
      </w:r>
    </w:p>
    <w:p w14:paraId="23C1AD5B" w14:textId="77777777" w:rsidR="00B419CE" w:rsidRPr="00B419CE" w:rsidRDefault="00B419CE" w:rsidP="00B419CE">
      <w:proofErr w:type="spellStart"/>
      <w:r w:rsidRPr="00B419CE">
        <w:t>Nedanfor</w:t>
      </w:r>
      <w:proofErr w:type="spellEnd"/>
      <w:r w:rsidRPr="00B419CE">
        <w:t xml:space="preserve"> følgjer </w:t>
      </w:r>
      <w:proofErr w:type="spellStart"/>
      <w:r w:rsidRPr="00B419CE">
        <w:t>ein</w:t>
      </w:r>
      <w:proofErr w:type="spellEnd"/>
      <w:r w:rsidRPr="00B419CE">
        <w:t xml:space="preserve"> omtale av resultata for sentrale </w:t>
      </w:r>
      <w:proofErr w:type="spellStart"/>
      <w:r w:rsidRPr="00B419CE">
        <w:t>resultatindikatorar</w:t>
      </w:r>
      <w:proofErr w:type="spellEnd"/>
      <w:r w:rsidRPr="00B419CE">
        <w:t xml:space="preserve"> for statistikkproduksjonen i 2020.</w:t>
      </w:r>
    </w:p>
    <w:p w14:paraId="58244483" w14:textId="77777777" w:rsidR="00B419CE" w:rsidRPr="00B419CE" w:rsidRDefault="00B419CE" w:rsidP="00B419CE">
      <w:pPr>
        <w:pStyle w:val="avsnitt-undertittel"/>
      </w:pPr>
      <w:r w:rsidRPr="00B419CE">
        <w:t>Aktualitet</w:t>
      </w:r>
    </w:p>
    <w:p w14:paraId="0265483C" w14:textId="4F7DE78C" w:rsidR="00B419CE" w:rsidRDefault="00B419CE" w:rsidP="00B419CE">
      <w:r w:rsidRPr="00B419CE">
        <w:t xml:space="preserve">Som mål på aktualitet i statistikken </w:t>
      </w:r>
      <w:proofErr w:type="spellStart"/>
      <w:r w:rsidRPr="00B419CE">
        <w:t>nyttar</w:t>
      </w:r>
      <w:proofErr w:type="spellEnd"/>
      <w:r w:rsidRPr="00B419CE">
        <w:t xml:space="preserve"> </w:t>
      </w:r>
      <w:proofErr w:type="spellStart"/>
      <w:r w:rsidRPr="00B419CE">
        <w:t>ein</w:t>
      </w:r>
      <w:proofErr w:type="spellEnd"/>
      <w:r w:rsidRPr="00B419CE">
        <w:t xml:space="preserve"> </w:t>
      </w:r>
      <w:proofErr w:type="spellStart"/>
      <w:r w:rsidRPr="00B419CE">
        <w:t>talet</w:t>
      </w:r>
      <w:proofErr w:type="spellEnd"/>
      <w:r w:rsidRPr="00B419CE">
        <w:t xml:space="preserve"> på veker </w:t>
      </w:r>
      <w:proofErr w:type="spellStart"/>
      <w:r w:rsidRPr="00B419CE">
        <w:t>frå</w:t>
      </w:r>
      <w:proofErr w:type="spellEnd"/>
      <w:r w:rsidRPr="00B419CE">
        <w:t xml:space="preserve"> referanseperioden går ut til statistikken vert publisert. Den </w:t>
      </w:r>
      <w:proofErr w:type="spellStart"/>
      <w:r w:rsidRPr="00B419CE">
        <w:t>gjennomsnittlege</w:t>
      </w:r>
      <w:proofErr w:type="spellEnd"/>
      <w:r w:rsidRPr="00B419CE">
        <w:t xml:space="preserve"> produksjonstida for </w:t>
      </w:r>
      <w:proofErr w:type="spellStart"/>
      <w:r w:rsidRPr="00B419CE">
        <w:t>statistikkane</w:t>
      </w:r>
      <w:proofErr w:type="spellEnd"/>
      <w:r w:rsidRPr="00B419CE">
        <w:t xml:space="preserve"> var betre i 2020 enn i 2019 for alle </w:t>
      </w:r>
      <w:proofErr w:type="spellStart"/>
      <w:r w:rsidRPr="00B419CE">
        <w:t>frekvensar</w:t>
      </w:r>
      <w:proofErr w:type="spellEnd"/>
      <w:r w:rsidRPr="00B419CE">
        <w:t xml:space="preserve"> av statistikk. </w:t>
      </w:r>
      <w:proofErr w:type="spellStart"/>
      <w:r w:rsidRPr="00B419CE">
        <w:t>Særskild</w:t>
      </w:r>
      <w:proofErr w:type="spellEnd"/>
      <w:r w:rsidRPr="00B419CE">
        <w:t xml:space="preserve"> er det for </w:t>
      </w:r>
      <w:proofErr w:type="spellStart"/>
      <w:r w:rsidRPr="00B419CE">
        <w:t>årsstatistikkar</w:t>
      </w:r>
      <w:proofErr w:type="spellEnd"/>
      <w:r w:rsidRPr="00B419CE">
        <w:t xml:space="preserve"> at aktualiteten er </w:t>
      </w:r>
      <w:proofErr w:type="spellStart"/>
      <w:r w:rsidRPr="00B419CE">
        <w:t>betra</w:t>
      </w:r>
      <w:proofErr w:type="spellEnd"/>
      <w:r w:rsidRPr="00B419CE">
        <w:t xml:space="preserve">. Det følgjer etter </w:t>
      </w:r>
      <w:proofErr w:type="spellStart"/>
      <w:r w:rsidRPr="00B419CE">
        <w:t>fleire</w:t>
      </w:r>
      <w:proofErr w:type="spellEnd"/>
      <w:r w:rsidRPr="00B419CE">
        <w:t xml:space="preserve"> år med målretta effektiviseringsarbeid.</w:t>
      </w:r>
    </w:p>
    <w:p w14:paraId="2C28BD4D" w14:textId="31F30BD7" w:rsidR="00920011" w:rsidRPr="00B419CE" w:rsidRDefault="00920011" w:rsidP="00920011">
      <w:pPr>
        <w:pStyle w:val="tabell-tittel"/>
      </w:pPr>
      <w:r w:rsidRPr="00B419CE">
        <w:t xml:space="preserve">Aktualiteten til statistikken – veker </w:t>
      </w:r>
      <w:proofErr w:type="spellStart"/>
      <w:r w:rsidRPr="00B419CE">
        <w:t>frå</w:t>
      </w:r>
      <w:proofErr w:type="spellEnd"/>
      <w:r w:rsidRPr="00B419CE">
        <w:t xml:space="preserve"> utgangen av referanseperioden til publisering</w:t>
      </w:r>
    </w:p>
    <w:p w14:paraId="0290D5D4" w14:textId="77777777" w:rsidR="00B419CE" w:rsidRPr="00B419CE" w:rsidRDefault="00B419CE" w:rsidP="00B419CE">
      <w:pPr>
        <w:pStyle w:val="Tabellnavn"/>
      </w:pPr>
      <w:r w:rsidRPr="00B419CE">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19CE" w:rsidRPr="00B419CE" w14:paraId="0C5CE3AC" w14:textId="77777777" w:rsidTr="00920011">
        <w:trPr>
          <w:trHeight w:val="360"/>
        </w:trPr>
        <w:tc>
          <w:tcPr>
            <w:tcW w:w="4080" w:type="dxa"/>
            <w:shd w:val="clear" w:color="auto" w:fill="FFFFFF"/>
          </w:tcPr>
          <w:p w14:paraId="552E0AF3" w14:textId="77777777" w:rsidR="00B419CE" w:rsidRPr="00B419CE" w:rsidRDefault="00B419CE" w:rsidP="00920011"/>
        </w:tc>
        <w:tc>
          <w:tcPr>
            <w:tcW w:w="1020" w:type="dxa"/>
          </w:tcPr>
          <w:p w14:paraId="6266EBCF" w14:textId="77777777" w:rsidR="00B419CE" w:rsidRPr="00B419CE" w:rsidRDefault="00B419CE" w:rsidP="00920011">
            <w:pPr>
              <w:jc w:val="right"/>
            </w:pPr>
            <w:r w:rsidRPr="00B419CE">
              <w:t>2016</w:t>
            </w:r>
          </w:p>
        </w:tc>
        <w:tc>
          <w:tcPr>
            <w:tcW w:w="1020" w:type="dxa"/>
          </w:tcPr>
          <w:p w14:paraId="217154BE" w14:textId="77777777" w:rsidR="00B419CE" w:rsidRPr="00B419CE" w:rsidRDefault="00B419CE" w:rsidP="00920011">
            <w:pPr>
              <w:jc w:val="right"/>
            </w:pPr>
            <w:r w:rsidRPr="00B419CE">
              <w:t>2017</w:t>
            </w:r>
          </w:p>
        </w:tc>
        <w:tc>
          <w:tcPr>
            <w:tcW w:w="1020" w:type="dxa"/>
          </w:tcPr>
          <w:p w14:paraId="13CCD01F" w14:textId="77777777" w:rsidR="00B419CE" w:rsidRPr="00B419CE" w:rsidRDefault="00B419CE" w:rsidP="00920011">
            <w:pPr>
              <w:jc w:val="right"/>
            </w:pPr>
            <w:r w:rsidRPr="00B419CE">
              <w:t>2018</w:t>
            </w:r>
          </w:p>
        </w:tc>
        <w:tc>
          <w:tcPr>
            <w:tcW w:w="1020" w:type="dxa"/>
          </w:tcPr>
          <w:p w14:paraId="3358F999" w14:textId="77777777" w:rsidR="00B419CE" w:rsidRPr="00B419CE" w:rsidRDefault="00B419CE" w:rsidP="00920011">
            <w:pPr>
              <w:jc w:val="right"/>
            </w:pPr>
            <w:r w:rsidRPr="00B419CE">
              <w:t>2019</w:t>
            </w:r>
          </w:p>
        </w:tc>
        <w:tc>
          <w:tcPr>
            <w:tcW w:w="1020" w:type="dxa"/>
          </w:tcPr>
          <w:p w14:paraId="776C2F3B" w14:textId="77777777" w:rsidR="00B419CE" w:rsidRPr="00B419CE" w:rsidRDefault="00B419CE" w:rsidP="00920011">
            <w:pPr>
              <w:jc w:val="right"/>
            </w:pPr>
            <w:r w:rsidRPr="00B419CE">
              <w:t>2020</w:t>
            </w:r>
          </w:p>
        </w:tc>
      </w:tr>
      <w:tr w:rsidR="00B419CE" w:rsidRPr="00B419CE" w14:paraId="27EF683D" w14:textId="77777777" w:rsidTr="00920011">
        <w:trPr>
          <w:trHeight w:val="380"/>
        </w:trPr>
        <w:tc>
          <w:tcPr>
            <w:tcW w:w="4080" w:type="dxa"/>
          </w:tcPr>
          <w:p w14:paraId="6296ED10" w14:textId="77777777" w:rsidR="00B419CE" w:rsidRPr="00B419CE" w:rsidRDefault="00B419CE" w:rsidP="00920011">
            <w:proofErr w:type="spellStart"/>
            <w:r w:rsidRPr="00B419CE">
              <w:t>Månadsstatistikk</w:t>
            </w:r>
            <w:proofErr w:type="spellEnd"/>
          </w:p>
        </w:tc>
        <w:tc>
          <w:tcPr>
            <w:tcW w:w="1020" w:type="dxa"/>
          </w:tcPr>
          <w:p w14:paraId="531165C3" w14:textId="77777777" w:rsidR="00B419CE" w:rsidRPr="00B419CE" w:rsidRDefault="00B419CE" w:rsidP="00920011">
            <w:pPr>
              <w:jc w:val="right"/>
            </w:pPr>
            <w:r w:rsidRPr="00B419CE">
              <w:t>3,5</w:t>
            </w:r>
          </w:p>
        </w:tc>
        <w:tc>
          <w:tcPr>
            <w:tcW w:w="1020" w:type="dxa"/>
          </w:tcPr>
          <w:p w14:paraId="5D79D9B5" w14:textId="77777777" w:rsidR="00B419CE" w:rsidRPr="00B419CE" w:rsidRDefault="00B419CE" w:rsidP="00920011">
            <w:pPr>
              <w:jc w:val="right"/>
            </w:pPr>
            <w:r w:rsidRPr="00B419CE">
              <w:t>3,6</w:t>
            </w:r>
          </w:p>
        </w:tc>
        <w:tc>
          <w:tcPr>
            <w:tcW w:w="1020" w:type="dxa"/>
          </w:tcPr>
          <w:p w14:paraId="26A1D5DD" w14:textId="77777777" w:rsidR="00B419CE" w:rsidRPr="00B419CE" w:rsidRDefault="00B419CE" w:rsidP="00920011">
            <w:pPr>
              <w:jc w:val="right"/>
            </w:pPr>
            <w:r w:rsidRPr="00B419CE">
              <w:t>3,6</w:t>
            </w:r>
          </w:p>
        </w:tc>
        <w:tc>
          <w:tcPr>
            <w:tcW w:w="1020" w:type="dxa"/>
          </w:tcPr>
          <w:p w14:paraId="29964259" w14:textId="77777777" w:rsidR="00B419CE" w:rsidRPr="00B419CE" w:rsidRDefault="00B419CE" w:rsidP="00920011">
            <w:pPr>
              <w:jc w:val="right"/>
            </w:pPr>
            <w:r w:rsidRPr="00B419CE">
              <w:t>3,7</w:t>
            </w:r>
          </w:p>
        </w:tc>
        <w:tc>
          <w:tcPr>
            <w:tcW w:w="1020" w:type="dxa"/>
          </w:tcPr>
          <w:p w14:paraId="047C199E" w14:textId="77777777" w:rsidR="00B419CE" w:rsidRPr="00B419CE" w:rsidRDefault="00B419CE" w:rsidP="00920011">
            <w:pPr>
              <w:jc w:val="right"/>
            </w:pPr>
            <w:r w:rsidRPr="00B419CE">
              <w:t>3,5</w:t>
            </w:r>
          </w:p>
        </w:tc>
      </w:tr>
      <w:tr w:rsidR="00B419CE" w:rsidRPr="00B419CE" w14:paraId="7A8944F5" w14:textId="77777777" w:rsidTr="00920011">
        <w:trPr>
          <w:trHeight w:val="380"/>
        </w:trPr>
        <w:tc>
          <w:tcPr>
            <w:tcW w:w="4080" w:type="dxa"/>
          </w:tcPr>
          <w:p w14:paraId="267EBB96" w14:textId="77777777" w:rsidR="00B419CE" w:rsidRPr="00B419CE" w:rsidRDefault="00B419CE" w:rsidP="00920011">
            <w:r w:rsidRPr="00B419CE">
              <w:t>Kvartalsstatistikk</w:t>
            </w:r>
          </w:p>
        </w:tc>
        <w:tc>
          <w:tcPr>
            <w:tcW w:w="1020" w:type="dxa"/>
          </w:tcPr>
          <w:p w14:paraId="66EF31A5" w14:textId="77777777" w:rsidR="00B419CE" w:rsidRPr="00B419CE" w:rsidRDefault="00B419CE" w:rsidP="00920011">
            <w:pPr>
              <w:jc w:val="right"/>
            </w:pPr>
            <w:r w:rsidRPr="00B419CE">
              <w:t>7,7</w:t>
            </w:r>
          </w:p>
        </w:tc>
        <w:tc>
          <w:tcPr>
            <w:tcW w:w="1020" w:type="dxa"/>
          </w:tcPr>
          <w:p w14:paraId="01508413" w14:textId="77777777" w:rsidR="00B419CE" w:rsidRPr="00B419CE" w:rsidRDefault="00B419CE" w:rsidP="00920011">
            <w:pPr>
              <w:jc w:val="right"/>
            </w:pPr>
            <w:r w:rsidRPr="00B419CE">
              <w:t>8,1</w:t>
            </w:r>
          </w:p>
        </w:tc>
        <w:tc>
          <w:tcPr>
            <w:tcW w:w="1020" w:type="dxa"/>
          </w:tcPr>
          <w:p w14:paraId="08E78D6B" w14:textId="77777777" w:rsidR="00B419CE" w:rsidRPr="00B419CE" w:rsidRDefault="00B419CE" w:rsidP="00920011">
            <w:pPr>
              <w:jc w:val="right"/>
            </w:pPr>
            <w:r w:rsidRPr="00B419CE">
              <w:t>8,0</w:t>
            </w:r>
          </w:p>
        </w:tc>
        <w:tc>
          <w:tcPr>
            <w:tcW w:w="1020" w:type="dxa"/>
          </w:tcPr>
          <w:p w14:paraId="36290469" w14:textId="77777777" w:rsidR="00B419CE" w:rsidRPr="00B419CE" w:rsidRDefault="00B419CE" w:rsidP="00920011">
            <w:pPr>
              <w:jc w:val="right"/>
            </w:pPr>
            <w:r w:rsidRPr="00B419CE">
              <w:t>7,7</w:t>
            </w:r>
          </w:p>
        </w:tc>
        <w:tc>
          <w:tcPr>
            <w:tcW w:w="1020" w:type="dxa"/>
          </w:tcPr>
          <w:p w14:paraId="5E9AFA82" w14:textId="77777777" w:rsidR="00B419CE" w:rsidRPr="00B419CE" w:rsidRDefault="00B419CE" w:rsidP="00920011">
            <w:pPr>
              <w:jc w:val="right"/>
            </w:pPr>
            <w:r w:rsidRPr="00B419CE">
              <w:t>7,3</w:t>
            </w:r>
          </w:p>
        </w:tc>
      </w:tr>
      <w:tr w:rsidR="00B419CE" w:rsidRPr="00B419CE" w14:paraId="48343F65" w14:textId="77777777" w:rsidTr="00920011">
        <w:trPr>
          <w:trHeight w:val="380"/>
        </w:trPr>
        <w:tc>
          <w:tcPr>
            <w:tcW w:w="4080" w:type="dxa"/>
          </w:tcPr>
          <w:p w14:paraId="7F27753E" w14:textId="77777777" w:rsidR="00B419CE" w:rsidRPr="00B419CE" w:rsidRDefault="00B419CE" w:rsidP="00920011">
            <w:r w:rsidRPr="00B419CE">
              <w:t>Årsstatistikk</w:t>
            </w:r>
          </w:p>
        </w:tc>
        <w:tc>
          <w:tcPr>
            <w:tcW w:w="1020" w:type="dxa"/>
          </w:tcPr>
          <w:p w14:paraId="27C9D0AC" w14:textId="77777777" w:rsidR="00B419CE" w:rsidRPr="00B419CE" w:rsidRDefault="00B419CE" w:rsidP="00920011">
            <w:pPr>
              <w:jc w:val="right"/>
            </w:pPr>
            <w:r w:rsidRPr="00B419CE">
              <w:t>33,2</w:t>
            </w:r>
          </w:p>
        </w:tc>
        <w:tc>
          <w:tcPr>
            <w:tcW w:w="1020" w:type="dxa"/>
          </w:tcPr>
          <w:p w14:paraId="045727C9" w14:textId="77777777" w:rsidR="00B419CE" w:rsidRPr="00B419CE" w:rsidRDefault="00B419CE" w:rsidP="00920011">
            <w:pPr>
              <w:jc w:val="right"/>
            </w:pPr>
            <w:r w:rsidRPr="00B419CE">
              <w:t>33,1</w:t>
            </w:r>
          </w:p>
        </w:tc>
        <w:tc>
          <w:tcPr>
            <w:tcW w:w="1020" w:type="dxa"/>
          </w:tcPr>
          <w:p w14:paraId="1E9E0092" w14:textId="77777777" w:rsidR="00B419CE" w:rsidRPr="00B419CE" w:rsidRDefault="00B419CE" w:rsidP="00920011">
            <w:pPr>
              <w:jc w:val="right"/>
            </w:pPr>
            <w:r w:rsidRPr="00B419CE">
              <w:t>33,2</w:t>
            </w:r>
          </w:p>
        </w:tc>
        <w:tc>
          <w:tcPr>
            <w:tcW w:w="1020" w:type="dxa"/>
          </w:tcPr>
          <w:p w14:paraId="2E889D82" w14:textId="77777777" w:rsidR="00B419CE" w:rsidRPr="00B419CE" w:rsidRDefault="00B419CE" w:rsidP="00920011">
            <w:pPr>
              <w:jc w:val="right"/>
            </w:pPr>
            <w:r w:rsidRPr="00B419CE">
              <w:t>32,5</w:t>
            </w:r>
          </w:p>
        </w:tc>
        <w:tc>
          <w:tcPr>
            <w:tcW w:w="1020" w:type="dxa"/>
          </w:tcPr>
          <w:p w14:paraId="4A0F4E1B" w14:textId="77777777" w:rsidR="00B419CE" w:rsidRPr="00B419CE" w:rsidRDefault="00B419CE" w:rsidP="00920011">
            <w:pPr>
              <w:jc w:val="right"/>
            </w:pPr>
            <w:r w:rsidRPr="00B419CE">
              <w:t>29,9</w:t>
            </w:r>
          </w:p>
        </w:tc>
      </w:tr>
    </w:tbl>
    <w:p w14:paraId="1770DA83" w14:textId="77777777" w:rsidR="00B419CE" w:rsidRPr="00B419CE" w:rsidRDefault="00B419CE" w:rsidP="00B419CE">
      <w:pPr>
        <w:pStyle w:val="avsnitt-undertittel"/>
      </w:pPr>
      <w:proofErr w:type="spellStart"/>
      <w:r w:rsidRPr="00B419CE">
        <w:t>Punktleg</w:t>
      </w:r>
      <w:proofErr w:type="spellEnd"/>
      <w:r w:rsidRPr="00B419CE">
        <w:t xml:space="preserve"> publisering av statistikk</w:t>
      </w:r>
    </w:p>
    <w:p w14:paraId="5F7B9EBE" w14:textId="1FEC5350" w:rsidR="00B419CE" w:rsidRDefault="00B419CE" w:rsidP="00B419CE">
      <w:r w:rsidRPr="00B419CE">
        <w:t xml:space="preserve">SSB annonserer tidspunkta for publisering i </w:t>
      </w:r>
      <w:proofErr w:type="spellStart"/>
      <w:r w:rsidRPr="00B419CE">
        <w:t>ein</w:t>
      </w:r>
      <w:proofErr w:type="spellEnd"/>
      <w:r w:rsidRPr="00B419CE">
        <w:t xml:space="preserve"> publiseringskalender på nettsida ssb.no. I 2020 </w:t>
      </w:r>
      <w:proofErr w:type="spellStart"/>
      <w:r w:rsidRPr="00B419CE">
        <w:t>vart</w:t>
      </w:r>
      <w:proofErr w:type="spellEnd"/>
      <w:r w:rsidRPr="00B419CE">
        <w:t xml:space="preserve"> 97 pst. av </w:t>
      </w:r>
      <w:proofErr w:type="spellStart"/>
      <w:r w:rsidRPr="00B419CE">
        <w:t>statistikkane</w:t>
      </w:r>
      <w:proofErr w:type="spellEnd"/>
      <w:r w:rsidRPr="00B419CE">
        <w:t xml:space="preserve"> publiserte på det varsla tidspunktet.</w:t>
      </w:r>
    </w:p>
    <w:p w14:paraId="4844D61D" w14:textId="13D6FD44" w:rsidR="00920011" w:rsidRPr="00B419CE" w:rsidRDefault="00920011" w:rsidP="00920011">
      <w:pPr>
        <w:pStyle w:val="tabell-tittel"/>
      </w:pPr>
      <w:r w:rsidRPr="00B419CE">
        <w:t xml:space="preserve">Publisering av statistikk – del som </w:t>
      </w:r>
      <w:proofErr w:type="spellStart"/>
      <w:r w:rsidRPr="00B419CE">
        <w:t>vart</w:t>
      </w:r>
      <w:proofErr w:type="spellEnd"/>
      <w:r w:rsidRPr="00B419CE">
        <w:t xml:space="preserve"> publisert på varsla tidspunkt</w:t>
      </w:r>
    </w:p>
    <w:p w14:paraId="2485BFFC" w14:textId="77777777" w:rsidR="00B419CE" w:rsidRPr="00B419CE" w:rsidRDefault="00B419CE" w:rsidP="00B419CE">
      <w:pPr>
        <w:pStyle w:val="Tabellnavn"/>
      </w:pPr>
      <w:r w:rsidRPr="00B419CE">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19CE" w:rsidRPr="00B419CE" w14:paraId="17FD28FE" w14:textId="77777777" w:rsidTr="00920011">
        <w:trPr>
          <w:trHeight w:val="360"/>
        </w:trPr>
        <w:tc>
          <w:tcPr>
            <w:tcW w:w="4080" w:type="dxa"/>
            <w:shd w:val="clear" w:color="auto" w:fill="FFFFFF"/>
          </w:tcPr>
          <w:p w14:paraId="78AF432D" w14:textId="77777777" w:rsidR="00B419CE" w:rsidRPr="00B419CE" w:rsidRDefault="00B419CE" w:rsidP="00920011"/>
        </w:tc>
        <w:tc>
          <w:tcPr>
            <w:tcW w:w="1020" w:type="dxa"/>
          </w:tcPr>
          <w:p w14:paraId="76B1122D" w14:textId="77777777" w:rsidR="00B419CE" w:rsidRPr="00B419CE" w:rsidRDefault="00B419CE" w:rsidP="00920011">
            <w:pPr>
              <w:jc w:val="right"/>
            </w:pPr>
            <w:r w:rsidRPr="00B419CE">
              <w:t>2016</w:t>
            </w:r>
          </w:p>
        </w:tc>
        <w:tc>
          <w:tcPr>
            <w:tcW w:w="1020" w:type="dxa"/>
          </w:tcPr>
          <w:p w14:paraId="021339DE" w14:textId="77777777" w:rsidR="00B419CE" w:rsidRPr="00B419CE" w:rsidRDefault="00B419CE" w:rsidP="00920011">
            <w:pPr>
              <w:jc w:val="right"/>
            </w:pPr>
            <w:r w:rsidRPr="00B419CE">
              <w:t>2017</w:t>
            </w:r>
          </w:p>
        </w:tc>
        <w:tc>
          <w:tcPr>
            <w:tcW w:w="1020" w:type="dxa"/>
          </w:tcPr>
          <w:p w14:paraId="369FB451" w14:textId="77777777" w:rsidR="00B419CE" w:rsidRPr="00B419CE" w:rsidRDefault="00B419CE" w:rsidP="00920011">
            <w:pPr>
              <w:jc w:val="right"/>
            </w:pPr>
            <w:r w:rsidRPr="00B419CE">
              <w:t>2018</w:t>
            </w:r>
          </w:p>
        </w:tc>
        <w:tc>
          <w:tcPr>
            <w:tcW w:w="1020" w:type="dxa"/>
          </w:tcPr>
          <w:p w14:paraId="27D569E3" w14:textId="77777777" w:rsidR="00B419CE" w:rsidRPr="00B419CE" w:rsidRDefault="00B419CE" w:rsidP="00920011">
            <w:pPr>
              <w:jc w:val="right"/>
            </w:pPr>
            <w:r w:rsidRPr="00B419CE">
              <w:t>2019</w:t>
            </w:r>
          </w:p>
        </w:tc>
        <w:tc>
          <w:tcPr>
            <w:tcW w:w="1020" w:type="dxa"/>
          </w:tcPr>
          <w:p w14:paraId="414BE781" w14:textId="77777777" w:rsidR="00B419CE" w:rsidRPr="00B419CE" w:rsidRDefault="00B419CE" w:rsidP="00920011">
            <w:pPr>
              <w:jc w:val="right"/>
            </w:pPr>
            <w:r w:rsidRPr="00B419CE">
              <w:t>2020</w:t>
            </w:r>
          </w:p>
        </w:tc>
      </w:tr>
      <w:tr w:rsidR="00B419CE" w:rsidRPr="00B419CE" w14:paraId="6B1FA17B" w14:textId="77777777" w:rsidTr="00920011">
        <w:trPr>
          <w:trHeight w:val="380"/>
        </w:trPr>
        <w:tc>
          <w:tcPr>
            <w:tcW w:w="4080" w:type="dxa"/>
          </w:tcPr>
          <w:p w14:paraId="661A45AE" w14:textId="77777777" w:rsidR="00B419CE" w:rsidRPr="00B419CE" w:rsidRDefault="00B419CE" w:rsidP="00920011">
            <w:r w:rsidRPr="00B419CE">
              <w:t xml:space="preserve">Del av </w:t>
            </w:r>
            <w:proofErr w:type="spellStart"/>
            <w:r w:rsidRPr="00B419CE">
              <w:t>statistikkane</w:t>
            </w:r>
            <w:proofErr w:type="spellEnd"/>
            <w:r w:rsidRPr="00B419CE">
              <w:t xml:space="preserve"> som </w:t>
            </w:r>
            <w:proofErr w:type="spellStart"/>
            <w:r w:rsidRPr="00B419CE">
              <w:t>vart</w:t>
            </w:r>
            <w:proofErr w:type="spellEnd"/>
            <w:r w:rsidRPr="00B419CE">
              <w:t xml:space="preserve"> publisert på varsla tidspunkt</w:t>
            </w:r>
          </w:p>
        </w:tc>
        <w:tc>
          <w:tcPr>
            <w:tcW w:w="1020" w:type="dxa"/>
          </w:tcPr>
          <w:p w14:paraId="18F000E6" w14:textId="77777777" w:rsidR="00B419CE" w:rsidRPr="00B419CE" w:rsidRDefault="00B419CE" w:rsidP="00920011">
            <w:pPr>
              <w:jc w:val="right"/>
            </w:pPr>
            <w:r w:rsidRPr="00B419CE">
              <w:t>97</w:t>
            </w:r>
          </w:p>
        </w:tc>
        <w:tc>
          <w:tcPr>
            <w:tcW w:w="1020" w:type="dxa"/>
          </w:tcPr>
          <w:p w14:paraId="4A5F457B" w14:textId="77777777" w:rsidR="00B419CE" w:rsidRPr="00B419CE" w:rsidRDefault="00B419CE" w:rsidP="00920011">
            <w:pPr>
              <w:jc w:val="right"/>
            </w:pPr>
            <w:r w:rsidRPr="00B419CE">
              <w:t>95</w:t>
            </w:r>
          </w:p>
        </w:tc>
        <w:tc>
          <w:tcPr>
            <w:tcW w:w="1020" w:type="dxa"/>
          </w:tcPr>
          <w:p w14:paraId="43F955ED" w14:textId="77777777" w:rsidR="00B419CE" w:rsidRPr="00B419CE" w:rsidRDefault="00B419CE" w:rsidP="00920011">
            <w:pPr>
              <w:jc w:val="right"/>
            </w:pPr>
            <w:r w:rsidRPr="00B419CE">
              <w:t>90</w:t>
            </w:r>
          </w:p>
        </w:tc>
        <w:tc>
          <w:tcPr>
            <w:tcW w:w="1020" w:type="dxa"/>
          </w:tcPr>
          <w:p w14:paraId="4F62418F" w14:textId="77777777" w:rsidR="00B419CE" w:rsidRPr="00B419CE" w:rsidRDefault="00B419CE" w:rsidP="00920011">
            <w:pPr>
              <w:jc w:val="right"/>
            </w:pPr>
            <w:r w:rsidRPr="00B419CE">
              <w:t>97</w:t>
            </w:r>
          </w:p>
        </w:tc>
        <w:tc>
          <w:tcPr>
            <w:tcW w:w="1020" w:type="dxa"/>
          </w:tcPr>
          <w:p w14:paraId="0779EA56" w14:textId="77777777" w:rsidR="00B419CE" w:rsidRPr="00B419CE" w:rsidRDefault="00B419CE" w:rsidP="00920011">
            <w:pPr>
              <w:jc w:val="right"/>
            </w:pPr>
            <w:r w:rsidRPr="00B419CE">
              <w:t>97</w:t>
            </w:r>
          </w:p>
        </w:tc>
      </w:tr>
    </w:tbl>
    <w:p w14:paraId="3782ED63" w14:textId="77777777" w:rsidR="00B419CE" w:rsidRPr="00B419CE" w:rsidRDefault="00B419CE" w:rsidP="00B419CE">
      <w:pPr>
        <w:pStyle w:val="avsnitt-undertittel"/>
      </w:pPr>
      <w:r w:rsidRPr="00B419CE">
        <w:t>Svarrespons</w:t>
      </w:r>
    </w:p>
    <w:p w14:paraId="34D9B2A0" w14:textId="1F640DDF" w:rsidR="00B419CE" w:rsidRDefault="00B419CE" w:rsidP="00B419CE">
      <w:r w:rsidRPr="00B419CE">
        <w:t xml:space="preserve">For at statistikken skal </w:t>
      </w:r>
      <w:proofErr w:type="spellStart"/>
      <w:r w:rsidRPr="00B419CE">
        <w:t>halde</w:t>
      </w:r>
      <w:proofErr w:type="spellEnd"/>
      <w:r w:rsidRPr="00B419CE">
        <w:t xml:space="preserve"> </w:t>
      </w:r>
      <w:proofErr w:type="spellStart"/>
      <w:r w:rsidRPr="00B419CE">
        <w:t>høg</w:t>
      </w:r>
      <w:proofErr w:type="spellEnd"/>
      <w:r w:rsidRPr="00B419CE">
        <w:t xml:space="preserve"> kvalitet, er det viktig at </w:t>
      </w:r>
      <w:proofErr w:type="spellStart"/>
      <w:r w:rsidRPr="00B419CE">
        <w:t>ein</w:t>
      </w:r>
      <w:proofErr w:type="spellEnd"/>
      <w:r w:rsidRPr="00B419CE">
        <w:t xml:space="preserve"> så stor del av </w:t>
      </w:r>
      <w:proofErr w:type="spellStart"/>
      <w:r w:rsidRPr="00B419CE">
        <w:t>dei</w:t>
      </w:r>
      <w:proofErr w:type="spellEnd"/>
      <w:r w:rsidRPr="00B419CE">
        <w:t xml:space="preserve"> statistiske </w:t>
      </w:r>
      <w:proofErr w:type="spellStart"/>
      <w:r w:rsidRPr="00B419CE">
        <w:t>einingane</w:t>
      </w:r>
      <w:proofErr w:type="spellEnd"/>
      <w:r w:rsidRPr="00B419CE">
        <w:t xml:space="preserve"> som </w:t>
      </w:r>
      <w:proofErr w:type="spellStart"/>
      <w:r w:rsidRPr="00B419CE">
        <w:t>mogleg</w:t>
      </w:r>
      <w:proofErr w:type="spellEnd"/>
      <w:r w:rsidRPr="00B419CE">
        <w:t xml:space="preserve"> </w:t>
      </w:r>
      <w:proofErr w:type="spellStart"/>
      <w:r w:rsidRPr="00B419CE">
        <w:t>tek</w:t>
      </w:r>
      <w:proofErr w:type="spellEnd"/>
      <w:r w:rsidRPr="00B419CE">
        <w:t xml:space="preserve"> del i </w:t>
      </w:r>
      <w:proofErr w:type="spellStart"/>
      <w:r w:rsidRPr="00B419CE">
        <w:t>undersøkingane</w:t>
      </w:r>
      <w:proofErr w:type="spellEnd"/>
      <w:r w:rsidRPr="00B419CE">
        <w:t xml:space="preserve">. Statistikklova gjev SSB heimel til å bruke opplysningsplikt ved innsamling av data og eventuelt tvangsmulkt ved </w:t>
      </w:r>
      <w:proofErr w:type="spellStart"/>
      <w:r w:rsidRPr="00B419CE">
        <w:t>manglande</w:t>
      </w:r>
      <w:proofErr w:type="spellEnd"/>
      <w:r w:rsidRPr="00B419CE">
        <w:t xml:space="preserve"> levering. SSB har </w:t>
      </w:r>
      <w:proofErr w:type="spellStart"/>
      <w:r w:rsidRPr="00B419CE">
        <w:t>arbeidd</w:t>
      </w:r>
      <w:proofErr w:type="spellEnd"/>
      <w:r w:rsidRPr="00B419CE">
        <w:t xml:space="preserve"> målretta med å </w:t>
      </w:r>
      <w:proofErr w:type="spellStart"/>
      <w:r w:rsidRPr="00B419CE">
        <w:t>halde</w:t>
      </w:r>
      <w:proofErr w:type="spellEnd"/>
      <w:r w:rsidRPr="00B419CE">
        <w:t xml:space="preserve"> </w:t>
      </w:r>
      <w:proofErr w:type="spellStart"/>
      <w:r w:rsidRPr="00B419CE">
        <w:t>svarprosentane</w:t>
      </w:r>
      <w:proofErr w:type="spellEnd"/>
      <w:r w:rsidRPr="00B419CE">
        <w:t xml:space="preserve"> høge under koronapandemien, gjennom mellom anna tett samarbeid med </w:t>
      </w:r>
      <w:proofErr w:type="spellStart"/>
      <w:r w:rsidRPr="00B419CE">
        <w:t>bransjeorganisasjonane</w:t>
      </w:r>
      <w:proofErr w:type="spellEnd"/>
      <w:r w:rsidRPr="00B419CE">
        <w:t xml:space="preserve">. </w:t>
      </w:r>
      <w:r w:rsidRPr="00B419CE">
        <w:lastRenderedPageBreak/>
        <w:t xml:space="preserve">Svarresponsen for både </w:t>
      </w:r>
      <w:proofErr w:type="spellStart"/>
      <w:r w:rsidRPr="00B419CE">
        <w:t>undersøkingar</w:t>
      </w:r>
      <w:proofErr w:type="spellEnd"/>
      <w:r w:rsidRPr="00B419CE">
        <w:t xml:space="preserve"> med </w:t>
      </w:r>
      <w:proofErr w:type="spellStart"/>
      <w:r w:rsidRPr="00B419CE">
        <w:t>oppgåveplikt</w:t>
      </w:r>
      <w:proofErr w:type="spellEnd"/>
      <w:r w:rsidRPr="00B419CE">
        <w:t xml:space="preserve"> og frivillige </w:t>
      </w:r>
      <w:proofErr w:type="spellStart"/>
      <w:r w:rsidRPr="00B419CE">
        <w:t>undersøkingar</w:t>
      </w:r>
      <w:proofErr w:type="spellEnd"/>
      <w:r w:rsidRPr="00B419CE">
        <w:t xml:space="preserve"> avtok </w:t>
      </w:r>
      <w:proofErr w:type="spellStart"/>
      <w:r w:rsidRPr="00B419CE">
        <w:t>difor</w:t>
      </w:r>
      <w:proofErr w:type="spellEnd"/>
      <w:r w:rsidRPr="00B419CE">
        <w:t xml:space="preserve"> </w:t>
      </w:r>
      <w:proofErr w:type="spellStart"/>
      <w:r w:rsidRPr="00B419CE">
        <w:t>berre</w:t>
      </w:r>
      <w:proofErr w:type="spellEnd"/>
      <w:r w:rsidRPr="00B419CE">
        <w:t xml:space="preserve"> moderat i 2020.</w:t>
      </w:r>
    </w:p>
    <w:p w14:paraId="5C74EB91" w14:textId="0C7E056D" w:rsidR="00920011" w:rsidRPr="00B419CE" w:rsidRDefault="00920011" w:rsidP="00920011">
      <w:pPr>
        <w:pStyle w:val="tabell-tittel"/>
      </w:pPr>
      <w:r w:rsidRPr="00B419CE">
        <w:t xml:space="preserve">Svarrespons i </w:t>
      </w:r>
      <w:proofErr w:type="spellStart"/>
      <w:r w:rsidRPr="00B419CE">
        <w:t>undersøkingar</w:t>
      </w:r>
      <w:proofErr w:type="spellEnd"/>
      <w:r w:rsidRPr="00B419CE">
        <w:t xml:space="preserve"> </w:t>
      </w:r>
      <w:proofErr w:type="spellStart"/>
      <w:r w:rsidRPr="00B419CE">
        <w:t>frå</w:t>
      </w:r>
      <w:proofErr w:type="spellEnd"/>
      <w:r w:rsidRPr="00B419CE">
        <w:t xml:space="preserve"> SSB. Prosent</w:t>
      </w:r>
    </w:p>
    <w:p w14:paraId="1EA67ECA" w14:textId="77777777" w:rsidR="00B419CE" w:rsidRPr="00B419CE" w:rsidRDefault="00B419CE" w:rsidP="00B419CE">
      <w:pPr>
        <w:pStyle w:val="Tabellnavn"/>
      </w:pPr>
      <w:r w:rsidRPr="00B419CE">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19CE" w:rsidRPr="00B419CE" w14:paraId="6C862762" w14:textId="77777777" w:rsidTr="00920011">
        <w:trPr>
          <w:trHeight w:val="360"/>
        </w:trPr>
        <w:tc>
          <w:tcPr>
            <w:tcW w:w="4080" w:type="dxa"/>
            <w:shd w:val="clear" w:color="auto" w:fill="FFFFFF"/>
          </w:tcPr>
          <w:p w14:paraId="0CB31BA9" w14:textId="77777777" w:rsidR="00B419CE" w:rsidRPr="00B419CE" w:rsidRDefault="00B419CE" w:rsidP="00920011">
            <w:proofErr w:type="spellStart"/>
            <w:r w:rsidRPr="00B419CE">
              <w:t>Undersøkingar</w:t>
            </w:r>
            <w:proofErr w:type="spellEnd"/>
            <w:r w:rsidRPr="00B419CE">
              <w:t>:</w:t>
            </w:r>
          </w:p>
        </w:tc>
        <w:tc>
          <w:tcPr>
            <w:tcW w:w="1020" w:type="dxa"/>
          </w:tcPr>
          <w:p w14:paraId="4E38C769" w14:textId="77777777" w:rsidR="00B419CE" w:rsidRPr="00B419CE" w:rsidRDefault="00B419CE" w:rsidP="00920011">
            <w:pPr>
              <w:jc w:val="right"/>
            </w:pPr>
            <w:r w:rsidRPr="00B419CE">
              <w:t>2016</w:t>
            </w:r>
          </w:p>
        </w:tc>
        <w:tc>
          <w:tcPr>
            <w:tcW w:w="1020" w:type="dxa"/>
          </w:tcPr>
          <w:p w14:paraId="7346D6A4" w14:textId="77777777" w:rsidR="00B419CE" w:rsidRPr="00B419CE" w:rsidRDefault="00B419CE" w:rsidP="00920011">
            <w:pPr>
              <w:jc w:val="right"/>
            </w:pPr>
            <w:r w:rsidRPr="00B419CE">
              <w:t>2017</w:t>
            </w:r>
          </w:p>
        </w:tc>
        <w:tc>
          <w:tcPr>
            <w:tcW w:w="1020" w:type="dxa"/>
          </w:tcPr>
          <w:p w14:paraId="7FA54710" w14:textId="77777777" w:rsidR="00B419CE" w:rsidRPr="00B419CE" w:rsidRDefault="00B419CE" w:rsidP="00920011">
            <w:pPr>
              <w:jc w:val="right"/>
            </w:pPr>
            <w:r w:rsidRPr="00B419CE">
              <w:t>2018</w:t>
            </w:r>
          </w:p>
        </w:tc>
        <w:tc>
          <w:tcPr>
            <w:tcW w:w="1020" w:type="dxa"/>
          </w:tcPr>
          <w:p w14:paraId="02A429D3" w14:textId="77777777" w:rsidR="00B419CE" w:rsidRPr="00B419CE" w:rsidRDefault="00B419CE" w:rsidP="00920011">
            <w:pPr>
              <w:jc w:val="right"/>
            </w:pPr>
            <w:r w:rsidRPr="00B419CE">
              <w:t>2019</w:t>
            </w:r>
          </w:p>
        </w:tc>
        <w:tc>
          <w:tcPr>
            <w:tcW w:w="1020" w:type="dxa"/>
          </w:tcPr>
          <w:p w14:paraId="6EE5449D" w14:textId="77777777" w:rsidR="00B419CE" w:rsidRPr="00B419CE" w:rsidRDefault="00B419CE" w:rsidP="00920011">
            <w:pPr>
              <w:jc w:val="right"/>
            </w:pPr>
            <w:r w:rsidRPr="00B419CE">
              <w:t>2020</w:t>
            </w:r>
          </w:p>
        </w:tc>
      </w:tr>
      <w:tr w:rsidR="00B419CE" w:rsidRPr="00B419CE" w14:paraId="417F25A3" w14:textId="77777777" w:rsidTr="00920011">
        <w:trPr>
          <w:trHeight w:val="380"/>
        </w:trPr>
        <w:tc>
          <w:tcPr>
            <w:tcW w:w="4080" w:type="dxa"/>
          </w:tcPr>
          <w:p w14:paraId="71A1BE2E" w14:textId="77777777" w:rsidR="00B419CE" w:rsidRPr="00B419CE" w:rsidRDefault="00B419CE" w:rsidP="00920011">
            <w:r w:rsidRPr="00B419CE">
              <w:t xml:space="preserve">Med </w:t>
            </w:r>
            <w:proofErr w:type="spellStart"/>
            <w:r w:rsidRPr="00B419CE">
              <w:t>oppgåveplikt</w:t>
            </w:r>
            <w:proofErr w:type="spellEnd"/>
          </w:p>
        </w:tc>
        <w:tc>
          <w:tcPr>
            <w:tcW w:w="1020" w:type="dxa"/>
          </w:tcPr>
          <w:p w14:paraId="6509D3FC" w14:textId="77777777" w:rsidR="00B419CE" w:rsidRPr="00B419CE" w:rsidRDefault="00B419CE" w:rsidP="00920011">
            <w:pPr>
              <w:jc w:val="right"/>
            </w:pPr>
            <w:r w:rsidRPr="00B419CE">
              <w:t>94</w:t>
            </w:r>
          </w:p>
        </w:tc>
        <w:tc>
          <w:tcPr>
            <w:tcW w:w="1020" w:type="dxa"/>
          </w:tcPr>
          <w:p w14:paraId="45164C54" w14:textId="77777777" w:rsidR="00B419CE" w:rsidRPr="00B419CE" w:rsidRDefault="00B419CE" w:rsidP="00920011">
            <w:pPr>
              <w:jc w:val="right"/>
            </w:pPr>
            <w:r w:rsidRPr="00B419CE">
              <w:t>96</w:t>
            </w:r>
          </w:p>
        </w:tc>
        <w:tc>
          <w:tcPr>
            <w:tcW w:w="1020" w:type="dxa"/>
          </w:tcPr>
          <w:p w14:paraId="037B0DEF" w14:textId="77777777" w:rsidR="00B419CE" w:rsidRPr="00B419CE" w:rsidRDefault="00B419CE" w:rsidP="00920011">
            <w:pPr>
              <w:jc w:val="right"/>
            </w:pPr>
            <w:r w:rsidRPr="00B419CE">
              <w:t>96</w:t>
            </w:r>
          </w:p>
        </w:tc>
        <w:tc>
          <w:tcPr>
            <w:tcW w:w="1020" w:type="dxa"/>
          </w:tcPr>
          <w:p w14:paraId="22D22E04" w14:textId="77777777" w:rsidR="00B419CE" w:rsidRPr="00B419CE" w:rsidRDefault="00B419CE" w:rsidP="00920011">
            <w:pPr>
              <w:jc w:val="right"/>
            </w:pPr>
            <w:r w:rsidRPr="00B419CE">
              <w:t>96</w:t>
            </w:r>
          </w:p>
        </w:tc>
        <w:tc>
          <w:tcPr>
            <w:tcW w:w="1020" w:type="dxa"/>
          </w:tcPr>
          <w:p w14:paraId="743C1F06" w14:textId="77777777" w:rsidR="00B419CE" w:rsidRPr="00B419CE" w:rsidRDefault="00B419CE" w:rsidP="00920011">
            <w:pPr>
              <w:jc w:val="right"/>
            </w:pPr>
            <w:r w:rsidRPr="00B419CE">
              <w:t>94</w:t>
            </w:r>
          </w:p>
        </w:tc>
      </w:tr>
      <w:tr w:rsidR="00B419CE" w:rsidRPr="00B419CE" w14:paraId="08B59E3B" w14:textId="77777777" w:rsidTr="00920011">
        <w:trPr>
          <w:trHeight w:val="380"/>
        </w:trPr>
        <w:tc>
          <w:tcPr>
            <w:tcW w:w="4080" w:type="dxa"/>
          </w:tcPr>
          <w:p w14:paraId="45D3ACD1" w14:textId="77777777" w:rsidR="00B419CE" w:rsidRPr="00B419CE" w:rsidRDefault="00B419CE" w:rsidP="00920011">
            <w:r w:rsidRPr="00B419CE">
              <w:t>Frivillige</w:t>
            </w:r>
          </w:p>
        </w:tc>
        <w:tc>
          <w:tcPr>
            <w:tcW w:w="1020" w:type="dxa"/>
          </w:tcPr>
          <w:p w14:paraId="64999628" w14:textId="77777777" w:rsidR="00B419CE" w:rsidRPr="00B419CE" w:rsidRDefault="00B419CE" w:rsidP="00920011">
            <w:pPr>
              <w:jc w:val="right"/>
            </w:pPr>
            <w:r w:rsidRPr="00B419CE">
              <w:t>65</w:t>
            </w:r>
          </w:p>
        </w:tc>
        <w:tc>
          <w:tcPr>
            <w:tcW w:w="1020" w:type="dxa"/>
          </w:tcPr>
          <w:p w14:paraId="73225A44" w14:textId="77777777" w:rsidR="00B419CE" w:rsidRPr="00B419CE" w:rsidRDefault="00B419CE" w:rsidP="00920011">
            <w:pPr>
              <w:jc w:val="right"/>
            </w:pPr>
            <w:r w:rsidRPr="00B419CE">
              <w:t>54</w:t>
            </w:r>
          </w:p>
        </w:tc>
        <w:tc>
          <w:tcPr>
            <w:tcW w:w="1020" w:type="dxa"/>
          </w:tcPr>
          <w:p w14:paraId="07EDC576" w14:textId="77777777" w:rsidR="00B419CE" w:rsidRPr="00B419CE" w:rsidRDefault="00B419CE" w:rsidP="00920011">
            <w:pPr>
              <w:jc w:val="right"/>
            </w:pPr>
            <w:r w:rsidRPr="00B419CE">
              <w:t>61</w:t>
            </w:r>
          </w:p>
        </w:tc>
        <w:tc>
          <w:tcPr>
            <w:tcW w:w="1020" w:type="dxa"/>
          </w:tcPr>
          <w:p w14:paraId="47BD02EE" w14:textId="77777777" w:rsidR="00B419CE" w:rsidRPr="00B419CE" w:rsidRDefault="00B419CE" w:rsidP="00920011">
            <w:pPr>
              <w:jc w:val="right"/>
            </w:pPr>
            <w:r w:rsidRPr="00B419CE">
              <w:t>58</w:t>
            </w:r>
          </w:p>
        </w:tc>
        <w:tc>
          <w:tcPr>
            <w:tcW w:w="1020" w:type="dxa"/>
          </w:tcPr>
          <w:p w14:paraId="39262DBE" w14:textId="77777777" w:rsidR="00B419CE" w:rsidRPr="00B419CE" w:rsidRDefault="00B419CE" w:rsidP="00920011">
            <w:pPr>
              <w:jc w:val="right"/>
            </w:pPr>
            <w:r w:rsidRPr="00B419CE">
              <w:t>56</w:t>
            </w:r>
          </w:p>
        </w:tc>
      </w:tr>
    </w:tbl>
    <w:p w14:paraId="3A83E67F" w14:textId="77777777" w:rsidR="00B419CE" w:rsidRPr="00B419CE" w:rsidRDefault="00B419CE" w:rsidP="00B419CE">
      <w:pPr>
        <w:pStyle w:val="avsnitt-undertittel"/>
      </w:pPr>
      <w:proofErr w:type="spellStart"/>
      <w:r w:rsidRPr="00B419CE">
        <w:t>Oppgåvebør</w:t>
      </w:r>
      <w:proofErr w:type="spellEnd"/>
    </w:p>
    <w:p w14:paraId="712E5E4A" w14:textId="3F5E8580" w:rsidR="00B419CE" w:rsidRDefault="00B419CE" w:rsidP="00B419CE">
      <w:r w:rsidRPr="00B419CE">
        <w:t xml:space="preserve">Det er </w:t>
      </w:r>
      <w:proofErr w:type="spellStart"/>
      <w:r w:rsidRPr="00B419CE">
        <w:t>eit</w:t>
      </w:r>
      <w:proofErr w:type="spellEnd"/>
      <w:r w:rsidRPr="00B419CE">
        <w:t xml:space="preserve"> viktig mål for regjeringa å redusere </w:t>
      </w:r>
      <w:proofErr w:type="spellStart"/>
      <w:r w:rsidRPr="00B419CE">
        <w:t>oppgåvebøra</w:t>
      </w:r>
      <w:proofErr w:type="spellEnd"/>
      <w:r w:rsidRPr="00B419CE">
        <w:t xml:space="preserve"> til næringslivet. Tilrettelegging for elektronisk rapportering er </w:t>
      </w:r>
      <w:proofErr w:type="spellStart"/>
      <w:r w:rsidRPr="00B419CE">
        <w:t>eit</w:t>
      </w:r>
      <w:proofErr w:type="spellEnd"/>
      <w:r w:rsidRPr="00B419CE">
        <w:t xml:space="preserve"> viktig verktøy for å </w:t>
      </w:r>
      <w:proofErr w:type="spellStart"/>
      <w:r w:rsidRPr="00B419CE">
        <w:t>halde</w:t>
      </w:r>
      <w:proofErr w:type="spellEnd"/>
      <w:r w:rsidRPr="00B419CE">
        <w:t xml:space="preserve"> </w:t>
      </w:r>
      <w:proofErr w:type="spellStart"/>
      <w:r w:rsidRPr="00B419CE">
        <w:t>oppgåvebøra</w:t>
      </w:r>
      <w:proofErr w:type="spellEnd"/>
      <w:r w:rsidRPr="00B419CE">
        <w:t xml:space="preserve"> låg. Nær all rapporteringa til SSB skjedde elektronisk i 2020. Om lag </w:t>
      </w:r>
      <w:proofErr w:type="spellStart"/>
      <w:r w:rsidRPr="00B419CE">
        <w:t>eit</w:t>
      </w:r>
      <w:proofErr w:type="spellEnd"/>
      <w:r w:rsidRPr="00B419CE">
        <w:t xml:space="preserve"> av ti </w:t>
      </w:r>
      <w:proofErr w:type="spellStart"/>
      <w:r w:rsidRPr="00B419CE">
        <w:t>føretak</w:t>
      </w:r>
      <w:proofErr w:type="spellEnd"/>
      <w:r w:rsidRPr="00B419CE">
        <w:t xml:space="preserve"> i privat sektor rapporterer til SSB i ei eller </w:t>
      </w:r>
      <w:proofErr w:type="spellStart"/>
      <w:r w:rsidRPr="00B419CE">
        <w:t>fleire</w:t>
      </w:r>
      <w:proofErr w:type="spellEnd"/>
      <w:r w:rsidRPr="00B419CE">
        <w:t xml:space="preserve"> </w:t>
      </w:r>
      <w:proofErr w:type="spellStart"/>
      <w:r w:rsidRPr="00B419CE">
        <w:t>undersøkingar</w:t>
      </w:r>
      <w:proofErr w:type="spellEnd"/>
      <w:r w:rsidRPr="00B419CE">
        <w:t xml:space="preserve">. </w:t>
      </w:r>
      <w:proofErr w:type="spellStart"/>
      <w:r w:rsidRPr="00B419CE">
        <w:t>Oppgåvebøra</w:t>
      </w:r>
      <w:proofErr w:type="spellEnd"/>
      <w:r w:rsidRPr="00B419CE">
        <w:t xml:space="preserve"> har minka over tid, </w:t>
      </w:r>
      <w:proofErr w:type="spellStart"/>
      <w:r w:rsidRPr="00B419CE">
        <w:t>sjølv</w:t>
      </w:r>
      <w:proofErr w:type="spellEnd"/>
      <w:r w:rsidRPr="00B419CE">
        <w:t xml:space="preserve"> om større, periodevise </w:t>
      </w:r>
      <w:proofErr w:type="spellStart"/>
      <w:r w:rsidRPr="00B419CE">
        <w:t>undersøkingar</w:t>
      </w:r>
      <w:proofErr w:type="spellEnd"/>
      <w:r w:rsidRPr="00B419CE">
        <w:t xml:space="preserve"> kan </w:t>
      </w:r>
      <w:proofErr w:type="spellStart"/>
      <w:r w:rsidRPr="00B419CE">
        <w:t>gje</w:t>
      </w:r>
      <w:proofErr w:type="spellEnd"/>
      <w:r w:rsidRPr="00B419CE">
        <w:t xml:space="preserve"> store </w:t>
      </w:r>
      <w:proofErr w:type="spellStart"/>
      <w:r w:rsidRPr="00B419CE">
        <w:t>svingingar</w:t>
      </w:r>
      <w:proofErr w:type="spellEnd"/>
      <w:r w:rsidRPr="00B419CE">
        <w:t xml:space="preserve"> </w:t>
      </w:r>
      <w:proofErr w:type="spellStart"/>
      <w:r w:rsidRPr="00B419CE">
        <w:t>frå</w:t>
      </w:r>
      <w:proofErr w:type="spellEnd"/>
      <w:r w:rsidRPr="00B419CE">
        <w:t xml:space="preserve"> </w:t>
      </w:r>
      <w:proofErr w:type="spellStart"/>
      <w:r w:rsidRPr="00B419CE">
        <w:t>eit</w:t>
      </w:r>
      <w:proofErr w:type="spellEnd"/>
      <w:r w:rsidRPr="00B419CE">
        <w:t xml:space="preserve"> år til det neste.</w:t>
      </w:r>
    </w:p>
    <w:p w14:paraId="283463D5" w14:textId="7CE69E2B" w:rsidR="00920011" w:rsidRPr="00B419CE" w:rsidRDefault="00920011" w:rsidP="00920011">
      <w:pPr>
        <w:pStyle w:val="tabell-tittel"/>
      </w:pPr>
      <w:proofErr w:type="spellStart"/>
      <w:r w:rsidRPr="00B419CE">
        <w:t>Oppgåvebør</w:t>
      </w:r>
      <w:proofErr w:type="spellEnd"/>
      <w:r w:rsidRPr="00B419CE">
        <w:t xml:space="preserve"> ved rapportering til SSB. Årsverk</w:t>
      </w:r>
    </w:p>
    <w:p w14:paraId="1AE43A04" w14:textId="77777777" w:rsidR="00B419CE" w:rsidRPr="00B419CE" w:rsidRDefault="00B419CE" w:rsidP="00B419CE">
      <w:pPr>
        <w:pStyle w:val="Tabellnavn"/>
      </w:pPr>
      <w:r w:rsidRPr="00B419CE">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19CE" w:rsidRPr="00B419CE" w14:paraId="795A1873" w14:textId="77777777" w:rsidTr="00920011">
        <w:trPr>
          <w:trHeight w:val="360"/>
        </w:trPr>
        <w:tc>
          <w:tcPr>
            <w:tcW w:w="4080" w:type="dxa"/>
            <w:shd w:val="clear" w:color="auto" w:fill="FFFFFF"/>
          </w:tcPr>
          <w:p w14:paraId="62D1987F" w14:textId="77777777" w:rsidR="00B419CE" w:rsidRPr="00B419CE" w:rsidRDefault="00B419CE" w:rsidP="00920011"/>
        </w:tc>
        <w:tc>
          <w:tcPr>
            <w:tcW w:w="1020" w:type="dxa"/>
          </w:tcPr>
          <w:p w14:paraId="1DD429F0" w14:textId="77777777" w:rsidR="00B419CE" w:rsidRPr="00B419CE" w:rsidRDefault="00B419CE" w:rsidP="00920011">
            <w:pPr>
              <w:jc w:val="right"/>
            </w:pPr>
            <w:r w:rsidRPr="00B419CE">
              <w:t>2016</w:t>
            </w:r>
          </w:p>
        </w:tc>
        <w:tc>
          <w:tcPr>
            <w:tcW w:w="1020" w:type="dxa"/>
          </w:tcPr>
          <w:p w14:paraId="6F59A1F1" w14:textId="77777777" w:rsidR="00B419CE" w:rsidRPr="00B419CE" w:rsidRDefault="00B419CE" w:rsidP="00920011">
            <w:pPr>
              <w:jc w:val="right"/>
            </w:pPr>
            <w:r w:rsidRPr="00B419CE">
              <w:t>2017</w:t>
            </w:r>
          </w:p>
        </w:tc>
        <w:tc>
          <w:tcPr>
            <w:tcW w:w="1020" w:type="dxa"/>
          </w:tcPr>
          <w:p w14:paraId="5CA69EDF" w14:textId="77777777" w:rsidR="00B419CE" w:rsidRPr="00B419CE" w:rsidRDefault="00B419CE" w:rsidP="00920011">
            <w:pPr>
              <w:jc w:val="right"/>
            </w:pPr>
            <w:r w:rsidRPr="00B419CE">
              <w:t>2018</w:t>
            </w:r>
          </w:p>
        </w:tc>
        <w:tc>
          <w:tcPr>
            <w:tcW w:w="1020" w:type="dxa"/>
          </w:tcPr>
          <w:p w14:paraId="7F29C8D2" w14:textId="77777777" w:rsidR="00B419CE" w:rsidRPr="00B419CE" w:rsidRDefault="00B419CE" w:rsidP="00920011">
            <w:pPr>
              <w:jc w:val="right"/>
            </w:pPr>
            <w:r w:rsidRPr="00B419CE">
              <w:t>2019</w:t>
            </w:r>
          </w:p>
        </w:tc>
        <w:tc>
          <w:tcPr>
            <w:tcW w:w="1020" w:type="dxa"/>
          </w:tcPr>
          <w:p w14:paraId="010A0B24" w14:textId="77777777" w:rsidR="00B419CE" w:rsidRPr="00B419CE" w:rsidRDefault="00B419CE" w:rsidP="00920011">
            <w:pPr>
              <w:jc w:val="right"/>
            </w:pPr>
            <w:r w:rsidRPr="00B419CE">
              <w:t>2020</w:t>
            </w:r>
          </w:p>
        </w:tc>
      </w:tr>
      <w:tr w:rsidR="00B419CE" w:rsidRPr="00B419CE" w14:paraId="32D948B9" w14:textId="77777777" w:rsidTr="00920011">
        <w:trPr>
          <w:trHeight w:val="380"/>
        </w:trPr>
        <w:tc>
          <w:tcPr>
            <w:tcW w:w="4080" w:type="dxa"/>
          </w:tcPr>
          <w:p w14:paraId="1068F2B6" w14:textId="77777777" w:rsidR="00B419CE" w:rsidRPr="00B419CE" w:rsidRDefault="00B419CE" w:rsidP="00920011">
            <w:r w:rsidRPr="00B419CE">
              <w:t xml:space="preserve">Næringslivet i alt </w:t>
            </w:r>
          </w:p>
        </w:tc>
        <w:tc>
          <w:tcPr>
            <w:tcW w:w="1020" w:type="dxa"/>
          </w:tcPr>
          <w:p w14:paraId="2533E398" w14:textId="77777777" w:rsidR="00B419CE" w:rsidRPr="00B419CE" w:rsidRDefault="00B419CE" w:rsidP="00920011">
            <w:pPr>
              <w:jc w:val="right"/>
            </w:pPr>
            <w:r w:rsidRPr="00B419CE">
              <w:t>61</w:t>
            </w:r>
          </w:p>
        </w:tc>
        <w:tc>
          <w:tcPr>
            <w:tcW w:w="1020" w:type="dxa"/>
          </w:tcPr>
          <w:p w14:paraId="52AF0FE4" w14:textId="77777777" w:rsidR="00B419CE" w:rsidRPr="00B419CE" w:rsidRDefault="00B419CE" w:rsidP="00920011">
            <w:pPr>
              <w:jc w:val="right"/>
            </w:pPr>
            <w:r w:rsidRPr="00B419CE">
              <w:t>81</w:t>
            </w:r>
          </w:p>
        </w:tc>
        <w:tc>
          <w:tcPr>
            <w:tcW w:w="1020" w:type="dxa"/>
          </w:tcPr>
          <w:p w14:paraId="21017738" w14:textId="77777777" w:rsidR="00B419CE" w:rsidRPr="00B419CE" w:rsidRDefault="00B419CE" w:rsidP="00920011">
            <w:pPr>
              <w:jc w:val="right"/>
            </w:pPr>
            <w:r w:rsidRPr="00B419CE">
              <w:t>75</w:t>
            </w:r>
          </w:p>
        </w:tc>
        <w:tc>
          <w:tcPr>
            <w:tcW w:w="1020" w:type="dxa"/>
          </w:tcPr>
          <w:p w14:paraId="50476D91" w14:textId="77777777" w:rsidR="00B419CE" w:rsidRPr="00B419CE" w:rsidRDefault="00B419CE" w:rsidP="00920011">
            <w:pPr>
              <w:jc w:val="right"/>
            </w:pPr>
            <w:r w:rsidRPr="00B419CE">
              <w:t>73</w:t>
            </w:r>
          </w:p>
        </w:tc>
        <w:tc>
          <w:tcPr>
            <w:tcW w:w="1020" w:type="dxa"/>
          </w:tcPr>
          <w:p w14:paraId="5F4345CA" w14:textId="77777777" w:rsidR="00B419CE" w:rsidRPr="00B419CE" w:rsidRDefault="00B419CE" w:rsidP="00920011">
            <w:pPr>
              <w:jc w:val="right"/>
            </w:pPr>
            <w:r w:rsidRPr="00B419CE">
              <w:t>69</w:t>
            </w:r>
          </w:p>
        </w:tc>
      </w:tr>
      <w:tr w:rsidR="00B419CE" w:rsidRPr="00B419CE" w14:paraId="2A2B7ACF" w14:textId="77777777" w:rsidTr="00920011">
        <w:trPr>
          <w:trHeight w:val="380"/>
        </w:trPr>
        <w:tc>
          <w:tcPr>
            <w:tcW w:w="4080" w:type="dxa"/>
          </w:tcPr>
          <w:p w14:paraId="54C7C217" w14:textId="77777777" w:rsidR="00B419CE" w:rsidRPr="00B419CE" w:rsidRDefault="00B419CE" w:rsidP="00920011">
            <w:proofErr w:type="spellStart"/>
            <w:r w:rsidRPr="00B419CE">
              <w:t>Personar</w:t>
            </w:r>
            <w:proofErr w:type="spellEnd"/>
            <w:r w:rsidRPr="00B419CE">
              <w:t xml:space="preserve"> og </w:t>
            </w:r>
            <w:proofErr w:type="spellStart"/>
            <w:r w:rsidRPr="00B419CE">
              <w:t>offentlege</w:t>
            </w:r>
            <w:proofErr w:type="spellEnd"/>
            <w:r w:rsidRPr="00B419CE">
              <w:t xml:space="preserve"> </w:t>
            </w:r>
            <w:proofErr w:type="spellStart"/>
            <w:r w:rsidRPr="00B419CE">
              <w:t>institusjonar</w:t>
            </w:r>
            <w:proofErr w:type="spellEnd"/>
          </w:p>
        </w:tc>
        <w:tc>
          <w:tcPr>
            <w:tcW w:w="1020" w:type="dxa"/>
          </w:tcPr>
          <w:p w14:paraId="0E6DC0E1" w14:textId="77777777" w:rsidR="00B419CE" w:rsidRPr="00B419CE" w:rsidRDefault="00B419CE" w:rsidP="00920011">
            <w:pPr>
              <w:jc w:val="right"/>
            </w:pPr>
            <w:r w:rsidRPr="00B419CE">
              <w:t>20</w:t>
            </w:r>
          </w:p>
        </w:tc>
        <w:tc>
          <w:tcPr>
            <w:tcW w:w="1020" w:type="dxa"/>
          </w:tcPr>
          <w:p w14:paraId="238D2705" w14:textId="77777777" w:rsidR="00B419CE" w:rsidRPr="00B419CE" w:rsidRDefault="00B419CE" w:rsidP="00920011">
            <w:pPr>
              <w:jc w:val="right"/>
            </w:pPr>
            <w:r w:rsidRPr="00B419CE">
              <w:t>15</w:t>
            </w:r>
          </w:p>
        </w:tc>
        <w:tc>
          <w:tcPr>
            <w:tcW w:w="1020" w:type="dxa"/>
          </w:tcPr>
          <w:p w14:paraId="791EB5E4" w14:textId="77777777" w:rsidR="00B419CE" w:rsidRPr="00B419CE" w:rsidRDefault="00B419CE" w:rsidP="00920011">
            <w:pPr>
              <w:jc w:val="right"/>
            </w:pPr>
            <w:r w:rsidRPr="00B419CE">
              <w:t>12</w:t>
            </w:r>
          </w:p>
        </w:tc>
        <w:tc>
          <w:tcPr>
            <w:tcW w:w="1020" w:type="dxa"/>
          </w:tcPr>
          <w:p w14:paraId="2A34EC2F" w14:textId="77777777" w:rsidR="00B419CE" w:rsidRPr="00B419CE" w:rsidRDefault="00B419CE" w:rsidP="00920011">
            <w:pPr>
              <w:jc w:val="right"/>
            </w:pPr>
            <w:r w:rsidRPr="00B419CE">
              <w:t>16</w:t>
            </w:r>
          </w:p>
        </w:tc>
        <w:tc>
          <w:tcPr>
            <w:tcW w:w="1020" w:type="dxa"/>
          </w:tcPr>
          <w:p w14:paraId="4B558065" w14:textId="77777777" w:rsidR="00B419CE" w:rsidRPr="00B419CE" w:rsidRDefault="00B419CE" w:rsidP="00920011">
            <w:pPr>
              <w:jc w:val="right"/>
            </w:pPr>
            <w:r w:rsidRPr="00B419CE">
              <w:t>17</w:t>
            </w:r>
          </w:p>
        </w:tc>
      </w:tr>
    </w:tbl>
    <w:p w14:paraId="6113220D" w14:textId="77777777" w:rsidR="00B419CE" w:rsidRPr="00B419CE" w:rsidRDefault="00B419CE" w:rsidP="00B419CE">
      <w:pPr>
        <w:pStyle w:val="avsnitt-undertittel"/>
      </w:pPr>
      <w:proofErr w:type="spellStart"/>
      <w:r w:rsidRPr="00B419CE">
        <w:t>Statistikkpubliseringar</w:t>
      </w:r>
      <w:proofErr w:type="spellEnd"/>
    </w:p>
    <w:p w14:paraId="360E382C" w14:textId="40866B25" w:rsidR="00B419CE" w:rsidRDefault="00B419CE" w:rsidP="00B419CE">
      <w:r w:rsidRPr="00B419CE">
        <w:t xml:space="preserve">I 2020 </w:t>
      </w:r>
      <w:proofErr w:type="spellStart"/>
      <w:r w:rsidRPr="00B419CE">
        <w:t>vart</w:t>
      </w:r>
      <w:proofErr w:type="spellEnd"/>
      <w:r w:rsidRPr="00B419CE">
        <w:t xml:space="preserve"> det publisert 797 </w:t>
      </w:r>
      <w:proofErr w:type="spellStart"/>
      <w:r w:rsidRPr="00B419CE">
        <w:t>statistikkar</w:t>
      </w:r>
      <w:proofErr w:type="spellEnd"/>
      <w:r w:rsidRPr="00B419CE">
        <w:t xml:space="preserve"> </w:t>
      </w:r>
      <w:proofErr w:type="spellStart"/>
      <w:r w:rsidRPr="00B419CE">
        <w:t>frå</w:t>
      </w:r>
      <w:proofErr w:type="spellEnd"/>
      <w:r w:rsidRPr="00B419CE">
        <w:t xml:space="preserve"> SSB. Det var </w:t>
      </w:r>
      <w:proofErr w:type="gramStart"/>
      <w:r w:rsidRPr="00B419CE">
        <w:t>ei nedgang</w:t>
      </w:r>
      <w:proofErr w:type="gramEnd"/>
      <w:r w:rsidRPr="00B419CE">
        <w:t xml:space="preserve"> </w:t>
      </w:r>
      <w:proofErr w:type="spellStart"/>
      <w:r w:rsidRPr="00B419CE">
        <w:t>frå</w:t>
      </w:r>
      <w:proofErr w:type="spellEnd"/>
      <w:r w:rsidRPr="00B419CE">
        <w:t xml:space="preserve"> året før, sjå tabellen </w:t>
      </w:r>
      <w:proofErr w:type="spellStart"/>
      <w:r w:rsidRPr="00B419CE">
        <w:t>nedanfor</w:t>
      </w:r>
      <w:proofErr w:type="spellEnd"/>
      <w:r w:rsidRPr="00B419CE">
        <w:t xml:space="preserve">. Nedgangen her gjennom </w:t>
      </w:r>
      <w:proofErr w:type="spellStart"/>
      <w:r w:rsidRPr="00B419CE">
        <w:t>fleire</w:t>
      </w:r>
      <w:proofErr w:type="spellEnd"/>
      <w:r w:rsidRPr="00B419CE">
        <w:t xml:space="preserve"> år kjem i stor grad av at </w:t>
      </w:r>
      <w:proofErr w:type="spellStart"/>
      <w:r w:rsidRPr="00B419CE">
        <w:t>ein</w:t>
      </w:r>
      <w:proofErr w:type="spellEnd"/>
      <w:r w:rsidRPr="00B419CE">
        <w:t xml:space="preserve"> har slått </w:t>
      </w:r>
      <w:proofErr w:type="spellStart"/>
      <w:r w:rsidRPr="00B419CE">
        <w:t>saman</w:t>
      </w:r>
      <w:proofErr w:type="spellEnd"/>
      <w:r w:rsidRPr="00B419CE">
        <w:t xml:space="preserve"> </w:t>
      </w:r>
      <w:proofErr w:type="spellStart"/>
      <w:r w:rsidRPr="00B419CE">
        <w:t>statistikkar</w:t>
      </w:r>
      <w:proofErr w:type="spellEnd"/>
      <w:r w:rsidRPr="00B419CE">
        <w:t xml:space="preserve"> for å </w:t>
      </w:r>
      <w:proofErr w:type="spellStart"/>
      <w:r w:rsidRPr="00B419CE">
        <w:t>gje</w:t>
      </w:r>
      <w:proofErr w:type="spellEnd"/>
      <w:r w:rsidRPr="00B419CE">
        <w:t xml:space="preserve"> </w:t>
      </w:r>
      <w:proofErr w:type="spellStart"/>
      <w:r w:rsidRPr="00B419CE">
        <w:t>meir</w:t>
      </w:r>
      <w:proofErr w:type="spellEnd"/>
      <w:r w:rsidRPr="00B419CE">
        <w:t xml:space="preserve"> </w:t>
      </w:r>
      <w:proofErr w:type="spellStart"/>
      <w:r w:rsidRPr="00B419CE">
        <w:t>heilskaplege</w:t>
      </w:r>
      <w:proofErr w:type="spellEnd"/>
      <w:r w:rsidRPr="00B419CE">
        <w:t xml:space="preserve"> </w:t>
      </w:r>
      <w:proofErr w:type="spellStart"/>
      <w:r w:rsidRPr="00B419CE">
        <w:t>bilete</w:t>
      </w:r>
      <w:proofErr w:type="spellEnd"/>
      <w:r w:rsidRPr="00B419CE">
        <w:t xml:space="preserve"> av tema. Grunna behov for </w:t>
      </w:r>
      <w:proofErr w:type="spellStart"/>
      <w:r w:rsidRPr="00B419CE">
        <w:t>meir</w:t>
      </w:r>
      <w:proofErr w:type="spellEnd"/>
      <w:r w:rsidRPr="00B419CE">
        <w:t xml:space="preserve"> </w:t>
      </w:r>
      <w:proofErr w:type="spellStart"/>
      <w:r w:rsidRPr="00B419CE">
        <w:t>fortlaupande</w:t>
      </w:r>
      <w:proofErr w:type="spellEnd"/>
      <w:r w:rsidRPr="00B419CE">
        <w:t xml:space="preserve"> og </w:t>
      </w:r>
      <w:proofErr w:type="spellStart"/>
      <w:r w:rsidRPr="00B419CE">
        <w:t>utfyllande</w:t>
      </w:r>
      <w:proofErr w:type="spellEnd"/>
      <w:r w:rsidRPr="00B419CE">
        <w:t xml:space="preserve"> informasjon under pandemien, er det produsert </w:t>
      </w:r>
      <w:proofErr w:type="spellStart"/>
      <w:r w:rsidRPr="00B419CE">
        <w:t>nokre</w:t>
      </w:r>
      <w:proofErr w:type="spellEnd"/>
      <w:r w:rsidRPr="00B419CE">
        <w:t xml:space="preserve"> nye </w:t>
      </w:r>
      <w:proofErr w:type="spellStart"/>
      <w:r w:rsidRPr="00B419CE">
        <w:t>statistikkar</w:t>
      </w:r>
      <w:proofErr w:type="spellEnd"/>
      <w:r w:rsidRPr="00B419CE">
        <w:t xml:space="preserve">, og </w:t>
      </w:r>
      <w:proofErr w:type="spellStart"/>
      <w:r w:rsidRPr="00B419CE">
        <w:t>nokre</w:t>
      </w:r>
      <w:proofErr w:type="spellEnd"/>
      <w:r w:rsidRPr="00B419CE">
        <w:t xml:space="preserve"> sentrale </w:t>
      </w:r>
      <w:proofErr w:type="spellStart"/>
      <w:r w:rsidRPr="00B419CE">
        <w:t>statistikkar</w:t>
      </w:r>
      <w:proofErr w:type="spellEnd"/>
      <w:r w:rsidRPr="00B419CE">
        <w:t xml:space="preserve"> er publisert </w:t>
      </w:r>
      <w:proofErr w:type="spellStart"/>
      <w:r w:rsidRPr="00B419CE">
        <w:t>hyppigare</w:t>
      </w:r>
      <w:proofErr w:type="spellEnd"/>
      <w:r w:rsidRPr="00B419CE">
        <w:t xml:space="preserve"> enn </w:t>
      </w:r>
      <w:proofErr w:type="spellStart"/>
      <w:r w:rsidRPr="00B419CE">
        <w:t>tidlegare</w:t>
      </w:r>
      <w:proofErr w:type="spellEnd"/>
      <w:r w:rsidRPr="00B419CE">
        <w:t xml:space="preserve">. </w:t>
      </w:r>
      <w:proofErr w:type="spellStart"/>
      <w:r w:rsidRPr="00B419CE">
        <w:t>Desse</w:t>
      </w:r>
      <w:proofErr w:type="spellEnd"/>
      <w:r w:rsidRPr="00B419CE">
        <w:t xml:space="preserve"> er </w:t>
      </w:r>
      <w:proofErr w:type="spellStart"/>
      <w:r w:rsidRPr="00B419CE">
        <w:t>ikkje</w:t>
      </w:r>
      <w:proofErr w:type="spellEnd"/>
      <w:r w:rsidRPr="00B419CE">
        <w:t xml:space="preserve"> inkludert i tabellen </w:t>
      </w:r>
      <w:proofErr w:type="spellStart"/>
      <w:r w:rsidRPr="00B419CE">
        <w:t>nedanfor</w:t>
      </w:r>
      <w:proofErr w:type="spellEnd"/>
      <w:r w:rsidRPr="00B419CE">
        <w:t xml:space="preserve">. Det er </w:t>
      </w:r>
      <w:proofErr w:type="spellStart"/>
      <w:r w:rsidRPr="00B419CE">
        <w:t>vedteke</w:t>
      </w:r>
      <w:proofErr w:type="spellEnd"/>
      <w:r w:rsidRPr="00B419CE">
        <w:t xml:space="preserve"> </w:t>
      </w:r>
      <w:proofErr w:type="spellStart"/>
      <w:r w:rsidRPr="00B419CE">
        <w:t>eit</w:t>
      </w:r>
      <w:proofErr w:type="spellEnd"/>
      <w:r w:rsidRPr="00B419CE">
        <w:t xml:space="preserve"> nasjonalt statistikkprogram som i stor grad vil </w:t>
      </w:r>
      <w:proofErr w:type="spellStart"/>
      <w:r w:rsidRPr="00B419CE">
        <w:t>avgjere</w:t>
      </w:r>
      <w:proofErr w:type="spellEnd"/>
      <w:r w:rsidRPr="00B419CE">
        <w:t xml:space="preserve"> kva for statistikk som vert publisert framover.</w:t>
      </w:r>
    </w:p>
    <w:p w14:paraId="7FC946C0" w14:textId="67AC2B8F" w:rsidR="00920011" w:rsidRPr="00B419CE" w:rsidRDefault="00920011" w:rsidP="00920011">
      <w:pPr>
        <w:pStyle w:val="tabell-tittel"/>
      </w:pPr>
      <w:proofErr w:type="spellStart"/>
      <w:r w:rsidRPr="00B419CE">
        <w:t>Statistikkpubliseringar</w:t>
      </w:r>
      <w:proofErr w:type="spellEnd"/>
    </w:p>
    <w:p w14:paraId="5A8DB597" w14:textId="77777777" w:rsidR="00B419CE" w:rsidRPr="00B419CE" w:rsidRDefault="00B419CE" w:rsidP="00B419CE">
      <w:pPr>
        <w:pStyle w:val="Tabellnavn"/>
      </w:pPr>
      <w:r w:rsidRPr="00B419CE">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19CE" w:rsidRPr="00B419CE" w14:paraId="3B90C6A0" w14:textId="77777777" w:rsidTr="00920011">
        <w:trPr>
          <w:trHeight w:val="360"/>
        </w:trPr>
        <w:tc>
          <w:tcPr>
            <w:tcW w:w="4080" w:type="dxa"/>
            <w:shd w:val="clear" w:color="auto" w:fill="FFFFFF"/>
          </w:tcPr>
          <w:p w14:paraId="230B6DFA" w14:textId="77777777" w:rsidR="00B419CE" w:rsidRPr="00B419CE" w:rsidRDefault="00B419CE" w:rsidP="00920011"/>
        </w:tc>
        <w:tc>
          <w:tcPr>
            <w:tcW w:w="1020" w:type="dxa"/>
          </w:tcPr>
          <w:p w14:paraId="0886D356" w14:textId="77777777" w:rsidR="00B419CE" w:rsidRPr="00B419CE" w:rsidRDefault="00B419CE" w:rsidP="00920011">
            <w:pPr>
              <w:jc w:val="right"/>
            </w:pPr>
            <w:r w:rsidRPr="00B419CE">
              <w:t>2016</w:t>
            </w:r>
          </w:p>
        </w:tc>
        <w:tc>
          <w:tcPr>
            <w:tcW w:w="1020" w:type="dxa"/>
          </w:tcPr>
          <w:p w14:paraId="3766479C" w14:textId="77777777" w:rsidR="00B419CE" w:rsidRPr="00B419CE" w:rsidRDefault="00B419CE" w:rsidP="00920011">
            <w:pPr>
              <w:jc w:val="right"/>
            </w:pPr>
            <w:r w:rsidRPr="00B419CE">
              <w:t>2017</w:t>
            </w:r>
          </w:p>
        </w:tc>
        <w:tc>
          <w:tcPr>
            <w:tcW w:w="1020" w:type="dxa"/>
          </w:tcPr>
          <w:p w14:paraId="69D5FC71" w14:textId="77777777" w:rsidR="00B419CE" w:rsidRPr="00B419CE" w:rsidRDefault="00B419CE" w:rsidP="00920011">
            <w:pPr>
              <w:jc w:val="right"/>
            </w:pPr>
            <w:r w:rsidRPr="00B419CE">
              <w:t>2018</w:t>
            </w:r>
          </w:p>
        </w:tc>
        <w:tc>
          <w:tcPr>
            <w:tcW w:w="1020" w:type="dxa"/>
          </w:tcPr>
          <w:p w14:paraId="514273E9" w14:textId="77777777" w:rsidR="00B419CE" w:rsidRPr="00B419CE" w:rsidRDefault="00B419CE" w:rsidP="00920011">
            <w:pPr>
              <w:jc w:val="right"/>
            </w:pPr>
            <w:r w:rsidRPr="00B419CE">
              <w:t>2019</w:t>
            </w:r>
          </w:p>
        </w:tc>
        <w:tc>
          <w:tcPr>
            <w:tcW w:w="1020" w:type="dxa"/>
          </w:tcPr>
          <w:p w14:paraId="7D658AF5" w14:textId="77777777" w:rsidR="00B419CE" w:rsidRPr="00B419CE" w:rsidRDefault="00B419CE" w:rsidP="00920011">
            <w:pPr>
              <w:jc w:val="right"/>
            </w:pPr>
            <w:r w:rsidRPr="00B419CE">
              <w:t>2020</w:t>
            </w:r>
          </w:p>
        </w:tc>
      </w:tr>
      <w:tr w:rsidR="00B419CE" w:rsidRPr="00B419CE" w14:paraId="4B3E94FA" w14:textId="77777777" w:rsidTr="00920011">
        <w:trPr>
          <w:trHeight w:val="380"/>
        </w:trPr>
        <w:tc>
          <w:tcPr>
            <w:tcW w:w="4080" w:type="dxa"/>
          </w:tcPr>
          <w:p w14:paraId="3C20B813" w14:textId="77777777" w:rsidR="00B419CE" w:rsidRPr="00B419CE" w:rsidRDefault="00B419CE" w:rsidP="00920011">
            <w:proofErr w:type="spellStart"/>
            <w:r w:rsidRPr="00B419CE">
              <w:t>Frigjevne</w:t>
            </w:r>
            <w:proofErr w:type="spellEnd"/>
            <w:r w:rsidRPr="00B419CE">
              <w:t xml:space="preserve"> </w:t>
            </w:r>
            <w:proofErr w:type="spellStart"/>
            <w:r w:rsidRPr="00B419CE">
              <w:t>statistikkar</w:t>
            </w:r>
            <w:proofErr w:type="spellEnd"/>
          </w:p>
        </w:tc>
        <w:tc>
          <w:tcPr>
            <w:tcW w:w="1020" w:type="dxa"/>
          </w:tcPr>
          <w:p w14:paraId="4E428379" w14:textId="77777777" w:rsidR="00B419CE" w:rsidRPr="00B419CE" w:rsidRDefault="00B419CE" w:rsidP="00920011">
            <w:pPr>
              <w:jc w:val="right"/>
            </w:pPr>
            <w:r w:rsidRPr="00B419CE">
              <w:t>874</w:t>
            </w:r>
          </w:p>
        </w:tc>
        <w:tc>
          <w:tcPr>
            <w:tcW w:w="1020" w:type="dxa"/>
          </w:tcPr>
          <w:p w14:paraId="68BA993D" w14:textId="77777777" w:rsidR="00B419CE" w:rsidRPr="00B419CE" w:rsidRDefault="00B419CE" w:rsidP="00920011">
            <w:pPr>
              <w:jc w:val="right"/>
            </w:pPr>
            <w:r w:rsidRPr="00B419CE">
              <w:t>861</w:t>
            </w:r>
          </w:p>
        </w:tc>
        <w:tc>
          <w:tcPr>
            <w:tcW w:w="1020" w:type="dxa"/>
          </w:tcPr>
          <w:p w14:paraId="5995A2A8" w14:textId="77777777" w:rsidR="00B419CE" w:rsidRPr="00B419CE" w:rsidRDefault="00B419CE" w:rsidP="00920011">
            <w:pPr>
              <w:jc w:val="right"/>
            </w:pPr>
            <w:r w:rsidRPr="00B419CE">
              <w:t>814</w:t>
            </w:r>
          </w:p>
        </w:tc>
        <w:tc>
          <w:tcPr>
            <w:tcW w:w="1020" w:type="dxa"/>
          </w:tcPr>
          <w:p w14:paraId="5C8DFDA4" w14:textId="77777777" w:rsidR="00B419CE" w:rsidRPr="00B419CE" w:rsidRDefault="00B419CE" w:rsidP="00920011">
            <w:pPr>
              <w:jc w:val="right"/>
            </w:pPr>
            <w:r w:rsidRPr="00B419CE">
              <w:t>812</w:t>
            </w:r>
          </w:p>
        </w:tc>
        <w:tc>
          <w:tcPr>
            <w:tcW w:w="1020" w:type="dxa"/>
          </w:tcPr>
          <w:p w14:paraId="4E486B06" w14:textId="77777777" w:rsidR="00B419CE" w:rsidRPr="00B419CE" w:rsidRDefault="00B419CE" w:rsidP="00920011">
            <w:pPr>
              <w:jc w:val="right"/>
            </w:pPr>
            <w:r w:rsidRPr="00B419CE">
              <w:t>797</w:t>
            </w:r>
          </w:p>
        </w:tc>
      </w:tr>
    </w:tbl>
    <w:p w14:paraId="3AE625D2" w14:textId="77777777" w:rsidR="00B419CE" w:rsidRPr="00B419CE" w:rsidRDefault="00B419CE" w:rsidP="00B419CE">
      <w:r w:rsidRPr="00B419CE">
        <w:t xml:space="preserve">SSB måler òg feil i </w:t>
      </w:r>
      <w:proofErr w:type="spellStart"/>
      <w:r w:rsidRPr="00B419CE">
        <w:t>statistikkane</w:t>
      </w:r>
      <w:proofErr w:type="spellEnd"/>
      <w:r w:rsidRPr="00B419CE">
        <w:t xml:space="preserve"> sine. Det vart i 2021 avdekt </w:t>
      </w:r>
      <w:proofErr w:type="spellStart"/>
      <w:r w:rsidRPr="00B419CE">
        <w:t>ein</w:t>
      </w:r>
      <w:proofErr w:type="spellEnd"/>
      <w:r w:rsidRPr="00B419CE">
        <w:t xml:space="preserve"> </w:t>
      </w:r>
      <w:proofErr w:type="spellStart"/>
      <w:r w:rsidRPr="00B419CE">
        <w:t>alvorleg</w:t>
      </w:r>
      <w:proofErr w:type="spellEnd"/>
      <w:r w:rsidRPr="00B419CE">
        <w:t xml:space="preserve"> rapporteringsfeil i SSB sine tall for sal av marine gassoljer og autodiesel som har ført til at nasjonale utslepp av </w:t>
      </w:r>
      <w:proofErr w:type="spellStart"/>
      <w:r w:rsidRPr="00B419CE">
        <w:t>klimagassar</w:t>
      </w:r>
      <w:proofErr w:type="spellEnd"/>
      <w:r w:rsidRPr="00B419CE">
        <w:t xml:space="preserve"> har </w:t>
      </w:r>
      <w:proofErr w:type="spellStart"/>
      <w:r w:rsidRPr="00B419CE">
        <w:t>vore</w:t>
      </w:r>
      <w:proofErr w:type="spellEnd"/>
      <w:r w:rsidRPr="00B419CE">
        <w:t xml:space="preserve"> rapportert for lavt. Feilen gjeld perioden 2012–2019. SSB </w:t>
      </w:r>
      <w:proofErr w:type="spellStart"/>
      <w:r w:rsidRPr="00B419CE">
        <w:lastRenderedPageBreak/>
        <w:t>føretek</w:t>
      </w:r>
      <w:proofErr w:type="spellEnd"/>
      <w:r w:rsidRPr="00B419CE">
        <w:t xml:space="preserve"> regelmessige områdegjennomgangar av </w:t>
      </w:r>
      <w:proofErr w:type="spellStart"/>
      <w:r w:rsidRPr="00B419CE">
        <w:t>statistikkane</w:t>
      </w:r>
      <w:proofErr w:type="spellEnd"/>
      <w:r w:rsidRPr="00B419CE">
        <w:t xml:space="preserve"> sine for å </w:t>
      </w:r>
      <w:proofErr w:type="spellStart"/>
      <w:r w:rsidRPr="00B419CE">
        <w:t>avdekkje</w:t>
      </w:r>
      <w:proofErr w:type="spellEnd"/>
      <w:r w:rsidRPr="00B419CE">
        <w:t xml:space="preserve"> feil og finne </w:t>
      </w:r>
      <w:proofErr w:type="spellStart"/>
      <w:r w:rsidRPr="00B419CE">
        <w:t>moglegheiter</w:t>
      </w:r>
      <w:proofErr w:type="spellEnd"/>
      <w:r w:rsidRPr="00B419CE">
        <w:t xml:space="preserve"> for utvikling eller effektivisering av eige arbeid.</w:t>
      </w:r>
    </w:p>
    <w:p w14:paraId="2A45AB74" w14:textId="77777777" w:rsidR="00B419CE" w:rsidRPr="00B419CE" w:rsidRDefault="00B419CE" w:rsidP="00B419CE">
      <w:pPr>
        <w:pStyle w:val="avsnitt-undertittel"/>
      </w:pPr>
      <w:r w:rsidRPr="00B419CE">
        <w:t>Samla resultatvurdering</w:t>
      </w:r>
    </w:p>
    <w:p w14:paraId="4DCF4387" w14:textId="77777777" w:rsidR="00B419CE" w:rsidRPr="00B419CE" w:rsidRDefault="00B419CE" w:rsidP="00B419CE">
      <w:r w:rsidRPr="00B419CE">
        <w:t xml:space="preserve">SSBs samfunnsoppdrag er å levere statistikk, </w:t>
      </w:r>
      <w:proofErr w:type="spellStart"/>
      <w:r w:rsidRPr="00B419CE">
        <w:t>analysar</w:t>
      </w:r>
      <w:proofErr w:type="spellEnd"/>
      <w:r w:rsidRPr="00B419CE">
        <w:t xml:space="preserve"> og forsking av </w:t>
      </w:r>
      <w:proofErr w:type="spellStart"/>
      <w:r w:rsidRPr="00B419CE">
        <w:t>høg</w:t>
      </w:r>
      <w:proofErr w:type="spellEnd"/>
      <w:r w:rsidRPr="00B419CE">
        <w:t xml:space="preserve"> kvalitet til nytte for det norske samfunnet. SSB har gjennomført dette oppdraget på </w:t>
      </w:r>
      <w:proofErr w:type="spellStart"/>
      <w:r w:rsidRPr="00B419CE">
        <w:t>ein</w:t>
      </w:r>
      <w:proofErr w:type="spellEnd"/>
      <w:r w:rsidRPr="00B419CE">
        <w:t xml:space="preserve"> god måte i 2020, trass i </w:t>
      </w:r>
      <w:proofErr w:type="spellStart"/>
      <w:r w:rsidRPr="00B419CE">
        <w:t>dei</w:t>
      </w:r>
      <w:proofErr w:type="spellEnd"/>
      <w:r w:rsidRPr="00B419CE">
        <w:t xml:space="preserve"> </w:t>
      </w:r>
      <w:proofErr w:type="spellStart"/>
      <w:r w:rsidRPr="00B419CE">
        <w:t>utfordringane</w:t>
      </w:r>
      <w:proofErr w:type="spellEnd"/>
      <w:r w:rsidRPr="00B419CE">
        <w:t xml:space="preserve"> koronapandemien har gjeve. SSB har jamt over hatt </w:t>
      </w:r>
      <w:proofErr w:type="spellStart"/>
      <w:r w:rsidRPr="00B419CE">
        <w:t>eit</w:t>
      </w:r>
      <w:proofErr w:type="spellEnd"/>
      <w:r w:rsidRPr="00B419CE">
        <w:t xml:space="preserve"> resultat på line med året før, </w:t>
      </w:r>
      <w:proofErr w:type="spellStart"/>
      <w:r w:rsidRPr="00B419CE">
        <w:t>sjølv</w:t>
      </w:r>
      <w:proofErr w:type="spellEnd"/>
      <w:r w:rsidRPr="00B419CE">
        <w:t xml:space="preserve"> med </w:t>
      </w:r>
      <w:proofErr w:type="spellStart"/>
      <w:r w:rsidRPr="00B419CE">
        <w:t>mykje</w:t>
      </w:r>
      <w:proofErr w:type="spellEnd"/>
      <w:r w:rsidRPr="00B419CE">
        <w:t xml:space="preserve"> ekstra arbeid i samband med implementering av ny statistikklov. </w:t>
      </w:r>
      <w:proofErr w:type="spellStart"/>
      <w:r w:rsidRPr="00B419CE">
        <w:t>Verksemda</w:t>
      </w:r>
      <w:proofErr w:type="spellEnd"/>
      <w:r w:rsidRPr="00B419CE">
        <w:t xml:space="preserve"> må heile tida arbeide </w:t>
      </w:r>
      <w:proofErr w:type="spellStart"/>
      <w:r w:rsidRPr="00B419CE">
        <w:t>vidare</w:t>
      </w:r>
      <w:proofErr w:type="spellEnd"/>
      <w:r w:rsidRPr="00B419CE">
        <w:t xml:space="preserve"> med å betre måloppnåinga.</w:t>
      </w:r>
    </w:p>
    <w:p w14:paraId="235E6956" w14:textId="77777777" w:rsidR="00B419CE" w:rsidRPr="00B419CE" w:rsidRDefault="00B419CE" w:rsidP="00B419CE">
      <w:pPr>
        <w:pStyle w:val="Undertittel"/>
      </w:pPr>
      <w:r w:rsidRPr="00B419CE">
        <w:t xml:space="preserve">Viktige </w:t>
      </w:r>
      <w:proofErr w:type="spellStart"/>
      <w:r w:rsidRPr="00B419CE">
        <w:t>utfordringar</w:t>
      </w:r>
      <w:proofErr w:type="spellEnd"/>
    </w:p>
    <w:p w14:paraId="77FBD32B" w14:textId="77777777" w:rsidR="00B419CE" w:rsidRPr="00B419CE" w:rsidRDefault="00B419CE" w:rsidP="00B419CE">
      <w:r w:rsidRPr="00B419CE">
        <w:t xml:space="preserve">Moderne demokratiske samfunn må </w:t>
      </w:r>
      <w:proofErr w:type="spellStart"/>
      <w:r w:rsidRPr="00B419CE">
        <w:t>understøttast</w:t>
      </w:r>
      <w:proofErr w:type="spellEnd"/>
      <w:r w:rsidRPr="00B419CE">
        <w:t xml:space="preserve"> av truverdig offisiell statistikk. Det vert stadig </w:t>
      </w:r>
      <w:proofErr w:type="spellStart"/>
      <w:r w:rsidRPr="00B419CE">
        <w:t>viktigare</w:t>
      </w:r>
      <w:proofErr w:type="spellEnd"/>
      <w:r w:rsidRPr="00B419CE">
        <w:t xml:space="preserve"> med fakta som er både uavhengige og kvalitetssikra. Statistikk, forsking og analyse skal </w:t>
      </w:r>
      <w:proofErr w:type="spellStart"/>
      <w:r w:rsidRPr="00B419CE">
        <w:t>medverke</w:t>
      </w:r>
      <w:proofErr w:type="spellEnd"/>
      <w:r w:rsidRPr="00B419CE">
        <w:t xml:space="preserve"> til innsikt i samfunnsutviklinga, </w:t>
      </w:r>
      <w:proofErr w:type="spellStart"/>
      <w:r w:rsidRPr="00B419CE">
        <w:t>gje</w:t>
      </w:r>
      <w:proofErr w:type="spellEnd"/>
      <w:r w:rsidRPr="00B419CE">
        <w:t xml:space="preserve"> grunnlag for det </w:t>
      </w:r>
      <w:proofErr w:type="spellStart"/>
      <w:r w:rsidRPr="00B419CE">
        <w:t>offentlege</w:t>
      </w:r>
      <w:proofErr w:type="spellEnd"/>
      <w:r w:rsidRPr="00B419CE">
        <w:t xml:space="preserve"> ordskiftet og </w:t>
      </w:r>
      <w:proofErr w:type="spellStart"/>
      <w:r w:rsidRPr="00B419CE">
        <w:t>gjere</w:t>
      </w:r>
      <w:proofErr w:type="spellEnd"/>
      <w:r w:rsidRPr="00B419CE">
        <w:t xml:space="preserve"> det </w:t>
      </w:r>
      <w:proofErr w:type="spellStart"/>
      <w:r w:rsidRPr="00B419CE">
        <w:t>mogleg</w:t>
      </w:r>
      <w:proofErr w:type="spellEnd"/>
      <w:r w:rsidRPr="00B419CE">
        <w:t xml:space="preserve"> å ta avgjerder på informert grunnlag. Dette stiller krav til at SSB </w:t>
      </w:r>
      <w:proofErr w:type="spellStart"/>
      <w:r w:rsidRPr="00B419CE">
        <w:t>utviklar</w:t>
      </w:r>
      <w:proofErr w:type="spellEnd"/>
      <w:r w:rsidRPr="00B419CE">
        <w:t xml:space="preserve"> statistikken og </w:t>
      </w:r>
      <w:proofErr w:type="spellStart"/>
      <w:r w:rsidRPr="00B419CE">
        <w:t>analysane</w:t>
      </w:r>
      <w:proofErr w:type="spellEnd"/>
      <w:r w:rsidRPr="00B419CE">
        <w:t xml:space="preserve">, til høg aktualitet og </w:t>
      </w:r>
      <w:proofErr w:type="spellStart"/>
      <w:r w:rsidRPr="00B419CE">
        <w:t>ikkje</w:t>
      </w:r>
      <w:proofErr w:type="spellEnd"/>
      <w:r w:rsidRPr="00B419CE">
        <w:t xml:space="preserve"> minst til evna til å formidle resultat. På denne måten </w:t>
      </w:r>
      <w:proofErr w:type="spellStart"/>
      <w:r w:rsidRPr="00B419CE">
        <w:t>bidreg</w:t>
      </w:r>
      <w:proofErr w:type="spellEnd"/>
      <w:r w:rsidRPr="00B419CE">
        <w:t xml:space="preserve"> SSB òg til å </w:t>
      </w:r>
      <w:proofErr w:type="spellStart"/>
      <w:r w:rsidRPr="00B419CE">
        <w:t>motverke</w:t>
      </w:r>
      <w:proofErr w:type="spellEnd"/>
      <w:r w:rsidRPr="00B419CE">
        <w:t xml:space="preserve"> spreiing av falske </w:t>
      </w:r>
      <w:proofErr w:type="spellStart"/>
      <w:r w:rsidRPr="00B419CE">
        <w:t>nyhende</w:t>
      </w:r>
      <w:proofErr w:type="spellEnd"/>
      <w:r w:rsidRPr="00B419CE">
        <w:t xml:space="preserve">. SSB bør ha ei sentral rolle i det </w:t>
      </w:r>
      <w:proofErr w:type="spellStart"/>
      <w:r w:rsidRPr="00B419CE">
        <w:t>offentlege</w:t>
      </w:r>
      <w:proofErr w:type="spellEnd"/>
      <w:r w:rsidRPr="00B419CE">
        <w:t xml:space="preserve"> ordskiftet.</w:t>
      </w:r>
    </w:p>
    <w:p w14:paraId="12E10B0A" w14:textId="77777777" w:rsidR="00B419CE" w:rsidRPr="00B419CE" w:rsidRDefault="00B419CE" w:rsidP="00B419CE">
      <w:r w:rsidRPr="00B419CE">
        <w:t xml:space="preserve">Koronapandemien har </w:t>
      </w:r>
      <w:proofErr w:type="spellStart"/>
      <w:r w:rsidRPr="00B419CE">
        <w:t>vore</w:t>
      </w:r>
      <w:proofErr w:type="spellEnd"/>
      <w:r w:rsidRPr="00B419CE">
        <w:t xml:space="preserve"> ei </w:t>
      </w:r>
      <w:proofErr w:type="spellStart"/>
      <w:r w:rsidRPr="00B419CE">
        <w:t>særskild</w:t>
      </w:r>
      <w:proofErr w:type="spellEnd"/>
      <w:r w:rsidRPr="00B419CE">
        <w:t xml:space="preserve"> utfordring for statistikkproduksjonen, og SSB har lagt ned </w:t>
      </w:r>
      <w:proofErr w:type="spellStart"/>
      <w:r w:rsidRPr="00B419CE">
        <w:t>mykje</w:t>
      </w:r>
      <w:proofErr w:type="spellEnd"/>
      <w:r w:rsidRPr="00B419CE">
        <w:t xml:space="preserve"> arbeid i å redusere </w:t>
      </w:r>
      <w:proofErr w:type="spellStart"/>
      <w:r w:rsidRPr="00B419CE">
        <w:t>konsekvensane</w:t>
      </w:r>
      <w:proofErr w:type="spellEnd"/>
      <w:r w:rsidRPr="00B419CE">
        <w:t xml:space="preserve"> av utsett eller </w:t>
      </w:r>
      <w:proofErr w:type="spellStart"/>
      <w:r w:rsidRPr="00B419CE">
        <w:t>manglande</w:t>
      </w:r>
      <w:proofErr w:type="spellEnd"/>
      <w:r w:rsidRPr="00B419CE">
        <w:t xml:space="preserve"> innrapportering som </w:t>
      </w:r>
      <w:proofErr w:type="spellStart"/>
      <w:r w:rsidRPr="00B419CE">
        <w:t>følgje</w:t>
      </w:r>
      <w:proofErr w:type="spellEnd"/>
      <w:r w:rsidRPr="00B419CE">
        <w:t xml:space="preserve"> av pandemien. Òg i krisetid er det viktig at SSB har grunnlag for å lage god og oppdatert statistikk som </w:t>
      </w:r>
      <w:proofErr w:type="spellStart"/>
      <w:r w:rsidRPr="00B419CE">
        <w:t>klargjer</w:t>
      </w:r>
      <w:proofErr w:type="spellEnd"/>
      <w:r w:rsidRPr="00B419CE">
        <w:t xml:space="preserve"> viktige samfunnsspørsmål.</w:t>
      </w:r>
    </w:p>
    <w:p w14:paraId="5E714032" w14:textId="77777777" w:rsidR="00B419CE" w:rsidRPr="00B419CE" w:rsidRDefault="00B419CE" w:rsidP="00B419CE">
      <w:proofErr w:type="spellStart"/>
      <w:r w:rsidRPr="00B419CE">
        <w:t>Eit</w:t>
      </w:r>
      <w:proofErr w:type="spellEnd"/>
      <w:r w:rsidRPr="00B419CE">
        <w:t xml:space="preserve"> nasjonalt program for offisiell statistikk vart </w:t>
      </w:r>
      <w:proofErr w:type="spellStart"/>
      <w:r w:rsidRPr="00B419CE">
        <w:t>vedteke</w:t>
      </w:r>
      <w:proofErr w:type="spellEnd"/>
      <w:r w:rsidRPr="00B419CE">
        <w:t xml:space="preserve"> av regjeringa i 2020. SSB skal </w:t>
      </w:r>
      <w:proofErr w:type="spellStart"/>
      <w:r w:rsidRPr="00B419CE">
        <w:t>framleis</w:t>
      </w:r>
      <w:proofErr w:type="spellEnd"/>
      <w:r w:rsidRPr="00B419CE">
        <w:t xml:space="preserve"> </w:t>
      </w:r>
      <w:proofErr w:type="spellStart"/>
      <w:r w:rsidRPr="00B419CE">
        <w:t>vere</w:t>
      </w:r>
      <w:proofErr w:type="spellEnd"/>
      <w:r w:rsidRPr="00B419CE">
        <w:t xml:space="preserve"> den sentrale produsenten av offisiell statistikk og får òg ei større rolle som </w:t>
      </w:r>
      <w:proofErr w:type="spellStart"/>
      <w:r w:rsidRPr="00B419CE">
        <w:t>samordnar</w:t>
      </w:r>
      <w:proofErr w:type="spellEnd"/>
      <w:r w:rsidRPr="00B419CE">
        <w:t xml:space="preserve"> og </w:t>
      </w:r>
      <w:proofErr w:type="spellStart"/>
      <w:r w:rsidRPr="00B419CE">
        <w:t>kvalitetssikrar</w:t>
      </w:r>
      <w:proofErr w:type="spellEnd"/>
      <w:r w:rsidRPr="00B419CE">
        <w:t xml:space="preserve"> av statistikk </w:t>
      </w:r>
      <w:proofErr w:type="spellStart"/>
      <w:r w:rsidRPr="00B419CE">
        <w:t>frå</w:t>
      </w:r>
      <w:proofErr w:type="spellEnd"/>
      <w:r w:rsidRPr="00B419CE">
        <w:t xml:space="preserve"> alle </w:t>
      </w:r>
      <w:proofErr w:type="spellStart"/>
      <w:r w:rsidRPr="00B419CE">
        <w:t>myndigheiter</w:t>
      </w:r>
      <w:proofErr w:type="spellEnd"/>
      <w:r w:rsidRPr="00B419CE">
        <w:t xml:space="preserve"> som etter programmet er </w:t>
      </w:r>
      <w:proofErr w:type="spellStart"/>
      <w:r w:rsidRPr="00B419CE">
        <w:t>ansvarlege</w:t>
      </w:r>
      <w:proofErr w:type="spellEnd"/>
      <w:r w:rsidRPr="00B419CE">
        <w:t xml:space="preserve"> for offisiell statistikk. Statistikk som vert omfatta av programmet, må møte krava til kvalitet som er felte ned i både norsk og europeisk regelverk, og </w:t>
      </w:r>
      <w:proofErr w:type="gramStart"/>
      <w:r w:rsidRPr="00B419CE">
        <w:t>ei rapport</w:t>
      </w:r>
      <w:proofErr w:type="gramEnd"/>
      <w:r w:rsidRPr="00B419CE">
        <w:t xml:space="preserve"> om kvaliteten på offisiell statistikk skal produserast </w:t>
      </w:r>
      <w:proofErr w:type="spellStart"/>
      <w:r w:rsidRPr="00B419CE">
        <w:t>årleg</w:t>
      </w:r>
      <w:proofErr w:type="spellEnd"/>
      <w:r w:rsidRPr="00B419CE">
        <w:t>.</w:t>
      </w:r>
    </w:p>
    <w:p w14:paraId="39B89588" w14:textId="77777777" w:rsidR="00B419CE" w:rsidRPr="00B419CE" w:rsidRDefault="00B419CE" w:rsidP="00B419CE">
      <w:proofErr w:type="spellStart"/>
      <w:r w:rsidRPr="00B419CE">
        <w:t>Forventingane</w:t>
      </w:r>
      <w:proofErr w:type="spellEnd"/>
      <w:r w:rsidRPr="00B419CE">
        <w:t xml:space="preserve"> til digitale </w:t>
      </w:r>
      <w:proofErr w:type="spellStart"/>
      <w:r w:rsidRPr="00B419CE">
        <w:t>tenester</w:t>
      </w:r>
      <w:proofErr w:type="spellEnd"/>
      <w:r w:rsidRPr="00B419CE">
        <w:t xml:space="preserve"> vert stadig større, </w:t>
      </w:r>
      <w:proofErr w:type="spellStart"/>
      <w:r w:rsidRPr="00B419CE">
        <w:t>endringar</w:t>
      </w:r>
      <w:proofErr w:type="spellEnd"/>
      <w:r w:rsidRPr="00B419CE">
        <w:t xml:space="preserve"> skjer </w:t>
      </w:r>
      <w:proofErr w:type="spellStart"/>
      <w:r w:rsidRPr="00B419CE">
        <w:t>raskare</w:t>
      </w:r>
      <w:proofErr w:type="spellEnd"/>
      <w:r w:rsidRPr="00B419CE">
        <w:t xml:space="preserve"> og det er krav til at data vert gjort </w:t>
      </w:r>
      <w:proofErr w:type="spellStart"/>
      <w:r w:rsidRPr="00B419CE">
        <w:t>tilgjengeleg</w:t>
      </w:r>
      <w:proofErr w:type="spellEnd"/>
      <w:r w:rsidRPr="00B419CE">
        <w:t xml:space="preserve"> raskt og er </w:t>
      </w:r>
      <w:proofErr w:type="spellStart"/>
      <w:r w:rsidRPr="00B419CE">
        <w:t>meir</w:t>
      </w:r>
      <w:proofErr w:type="spellEnd"/>
      <w:r w:rsidRPr="00B419CE">
        <w:t xml:space="preserve"> tilpassa </w:t>
      </w:r>
      <w:proofErr w:type="spellStart"/>
      <w:r w:rsidRPr="00B419CE">
        <w:t>brukarane</w:t>
      </w:r>
      <w:proofErr w:type="spellEnd"/>
      <w:r w:rsidRPr="00B419CE">
        <w:t xml:space="preserve">. Veksten i </w:t>
      </w:r>
      <w:proofErr w:type="spellStart"/>
      <w:r w:rsidRPr="00B419CE">
        <w:t>datamengda</w:t>
      </w:r>
      <w:proofErr w:type="spellEnd"/>
      <w:r w:rsidRPr="00B419CE">
        <w:t xml:space="preserve"> vil </w:t>
      </w:r>
      <w:proofErr w:type="spellStart"/>
      <w:r w:rsidRPr="00B419CE">
        <w:t>truleg</w:t>
      </w:r>
      <w:proofErr w:type="spellEnd"/>
      <w:r w:rsidRPr="00B419CE">
        <w:t xml:space="preserve"> gå </w:t>
      </w:r>
      <w:proofErr w:type="spellStart"/>
      <w:r w:rsidRPr="00B419CE">
        <w:t>endå</w:t>
      </w:r>
      <w:proofErr w:type="spellEnd"/>
      <w:r w:rsidRPr="00B419CE">
        <w:t xml:space="preserve"> </w:t>
      </w:r>
      <w:proofErr w:type="spellStart"/>
      <w:r w:rsidRPr="00B419CE">
        <w:t>raskare</w:t>
      </w:r>
      <w:proofErr w:type="spellEnd"/>
      <w:r w:rsidRPr="00B419CE">
        <w:t xml:space="preserve"> framover og </w:t>
      </w:r>
      <w:proofErr w:type="spellStart"/>
      <w:r w:rsidRPr="00B419CE">
        <w:t>gjer</w:t>
      </w:r>
      <w:proofErr w:type="spellEnd"/>
      <w:r w:rsidRPr="00B419CE">
        <w:t xml:space="preserve"> det </w:t>
      </w:r>
      <w:proofErr w:type="spellStart"/>
      <w:r w:rsidRPr="00B419CE">
        <w:t>mogleg</w:t>
      </w:r>
      <w:proofErr w:type="spellEnd"/>
      <w:r w:rsidRPr="00B419CE">
        <w:t xml:space="preserve"> å skape ny innsikt. Nye teknologiske </w:t>
      </w:r>
      <w:proofErr w:type="spellStart"/>
      <w:r w:rsidRPr="00B419CE">
        <w:t>løysingar</w:t>
      </w:r>
      <w:proofErr w:type="spellEnd"/>
      <w:r w:rsidRPr="00B419CE">
        <w:t xml:space="preserve"> vil kunne </w:t>
      </w:r>
      <w:proofErr w:type="spellStart"/>
      <w:r w:rsidRPr="00B419CE">
        <w:t>gje</w:t>
      </w:r>
      <w:proofErr w:type="spellEnd"/>
      <w:r w:rsidRPr="00B419CE">
        <w:t xml:space="preserve"> SSB </w:t>
      </w:r>
      <w:proofErr w:type="spellStart"/>
      <w:r w:rsidRPr="00B419CE">
        <w:t>meir</w:t>
      </w:r>
      <w:proofErr w:type="spellEnd"/>
      <w:r w:rsidRPr="00B419CE">
        <w:t xml:space="preserve"> avanserte </w:t>
      </w:r>
      <w:proofErr w:type="spellStart"/>
      <w:r w:rsidRPr="00B419CE">
        <w:t>analysemetodar</w:t>
      </w:r>
      <w:proofErr w:type="spellEnd"/>
      <w:r w:rsidRPr="00B419CE">
        <w:t xml:space="preserve"> som òg er betre eigna for bruk når SSB </w:t>
      </w:r>
      <w:proofErr w:type="spellStart"/>
      <w:r w:rsidRPr="00B419CE">
        <w:t>tek</w:t>
      </w:r>
      <w:proofErr w:type="spellEnd"/>
      <w:r w:rsidRPr="00B419CE">
        <w:t xml:space="preserve"> i bruk </w:t>
      </w:r>
      <w:proofErr w:type="spellStart"/>
      <w:r w:rsidRPr="00B419CE">
        <w:t>fleire</w:t>
      </w:r>
      <w:proofErr w:type="spellEnd"/>
      <w:r w:rsidRPr="00B419CE">
        <w:t xml:space="preserve"> datakjelder. </w:t>
      </w:r>
      <w:proofErr w:type="spellStart"/>
      <w:r w:rsidRPr="00B419CE">
        <w:t>Vidare</w:t>
      </w:r>
      <w:proofErr w:type="spellEnd"/>
      <w:r w:rsidRPr="00B419CE">
        <w:t xml:space="preserve"> vil </w:t>
      </w:r>
      <w:proofErr w:type="spellStart"/>
      <w:r w:rsidRPr="00B419CE">
        <w:t>løysingar</w:t>
      </w:r>
      <w:proofErr w:type="spellEnd"/>
      <w:r w:rsidRPr="00B419CE">
        <w:t xml:space="preserve"> grunna i maskinlæring kunne </w:t>
      </w:r>
      <w:proofErr w:type="spellStart"/>
      <w:r w:rsidRPr="00B419CE">
        <w:t>medverka</w:t>
      </w:r>
      <w:proofErr w:type="spellEnd"/>
      <w:r w:rsidRPr="00B419CE">
        <w:t xml:space="preserve"> til </w:t>
      </w:r>
      <w:proofErr w:type="spellStart"/>
      <w:r w:rsidRPr="00B419CE">
        <w:t>meir</w:t>
      </w:r>
      <w:proofErr w:type="spellEnd"/>
      <w:r w:rsidRPr="00B419CE">
        <w:t xml:space="preserve"> automatisering, effektivisering og standardisering av statistiske </w:t>
      </w:r>
      <w:proofErr w:type="spellStart"/>
      <w:r w:rsidRPr="00B419CE">
        <w:t>produksjonsprosessar</w:t>
      </w:r>
      <w:proofErr w:type="spellEnd"/>
      <w:r w:rsidRPr="00B419CE">
        <w:t xml:space="preserve"> og betre formidling. Slik effektivisering vil </w:t>
      </w:r>
      <w:proofErr w:type="spellStart"/>
      <w:r w:rsidRPr="00B419CE">
        <w:t>vere</w:t>
      </w:r>
      <w:proofErr w:type="spellEnd"/>
      <w:r w:rsidRPr="00B419CE">
        <w:t xml:space="preserve"> viktig i møte med </w:t>
      </w:r>
      <w:proofErr w:type="spellStart"/>
      <w:r w:rsidRPr="00B419CE">
        <w:t>strammare</w:t>
      </w:r>
      <w:proofErr w:type="spellEnd"/>
      <w:r w:rsidRPr="00B419CE">
        <w:t xml:space="preserve"> økonomiske rammer i </w:t>
      </w:r>
      <w:proofErr w:type="spellStart"/>
      <w:r w:rsidRPr="00B419CE">
        <w:t>offentleg</w:t>
      </w:r>
      <w:proofErr w:type="spellEnd"/>
      <w:r w:rsidRPr="00B419CE">
        <w:t xml:space="preserve"> sektor framover. Samstundes betyr </w:t>
      </w:r>
      <w:proofErr w:type="spellStart"/>
      <w:r w:rsidRPr="00B419CE">
        <w:t>desse</w:t>
      </w:r>
      <w:proofErr w:type="spellEnd"/>
      <w:r w:rsidRPr="00B419CE">
        <w:t xml:space="preserve"> </w:t>
      </w:r>
      <w:proofErr w:type="spellStart"/>
      <w:r w:rsidRPr="00B419CE">
        <w:t>omveltingane</w:t>
      </w:r>
      <w:proofErr w:type="spellEnd"/>
      <w:r w:rsidRPr="00B419CE">
        <w:t xml:space="preserve"> store </w:t>
      </w:r>
      <w:proofErr w:type="spellStart"/>
      <w:r w:rsidRPr="00B419CE">
        <w:t>utfordringar</w:t>
      </w:r>
      <w:proofErr w:type="spellEnd"/>
      <w:r w:rsidRPr="00B419CE">
        <w:t xml:space="preserve">, og </w:t>
      </w:r>
      <w:proofErr w:type="spellStart"/>
      <w:r w:rsidRPr="00B419CE">
        <w:t>verksemda</w:t>
      </w:r>
      <w:proofErr w:type="spellEnd"/>
      <w:r w:rsidRPr="00B419CE">
        <w:t xml:space="preserve"> må prioritere </w:t>
      </w:r>
      <w:proofErr w:type="spellStart"/>
      <w:r w:rsidRPr="00B419CE">
        <w:t>investeringar</w:t>
      </w:r>
      <w:proofErr w:type="spellEnd"/>
      <w:r w:rsidRPr="00B419CE">
        <w:t xml:space="preserve"> </w:t>
      </w:r>
      <w:proofErr w:type="gramStart"/>
      <w:r w:rsidRPr="00B419CE">
        <w:t>i mellom</w:t>
      </w:r>
      <w:proofErr w:type="gramEnd"/>
      <w:r w:rsidRPr="00B419CE">
        <w:t xml:space="preserve"> anna kompetanse, datalager, nye </w:t>
      </w:r>
      <w:proofErr w:type="spellStart"/>
      <w:r w:rsidRPr="00B419CE">
        <w:t>løysingar</w:t>
      </w:r>
      <w:proofErr w:type="spellEnd"/>
      <w:r w:rsidRPr="00B419CE">
        <w:t xml:space="preserve"> og </w:t>
      </w:r>
      <w:proofErr w:type="spellStart"/>
      <w:r w:rsidRPr="00B419CE">
        <w:t>auka</w:t>
      </w:r>
      <w:proofErr w:type="spellEnd"/>
      <w:r w:rsidRPr="00B419CE">
        <w:t xml:space="preserve"> </w:t>
      </w:r>
      <w:proofErr w:type="spellStart"/>
      <w:r w:rsidRPr="00B419CE">
        <w:t>sikkerheit</w:t>
      </w:r>
      <w:proofErr w:type="spellEnd"/>
      <w:r w:rsidRPr="00B419CE">
        <w:t xml:space="preserve">. Til grunn for ulike utviklingsprosjekt i SSB ligg òg at </w:t>
      </w:r>
      <w:proofErr w:type="spellStart"/>
      <w:r w:rsidRPr="00B419CE">
        <w:t>mykje</w:t>
      </w:r>
      <w:proofErr w:type="spellEnd"/>
      <w:r w:rsidRPr="00B419CE">
        <w:t xml:space="preserve"> data skal </w:t>
      </w:r>
      <w:proofErr w:type="spellStart"/>
      <w:r w:rsidRPr="00B419CE">
        <w:t>flyttast</w:t>
      </w:r>
      <w:proofErr w:type="spellEnd"/>
      <w:r w:rsidRPr="00B419CE">
        <w:t xml:space="preserve"> over til sky. Det største utviklingsprosjektet </w:t>
      </w:r>
      <w:proofErr w:type="spellStart"/>
      <w:r w:rsidRPr="00B419CE">
        <w:t>byggjer</w:t>
      </w:r>
      <w:proofErr w:type="spellEnd"/>
      <w:r w:rsidRPr="00B419CE">
        <w:t xml:space="preserve"> på </w:t>
      </w:r>
      <w:proofErr w:type="spellStart"/>
      <w:r w:rsidRPr="00B419CE">
        <w:t>dei</w:t>
      </w:r>
      <w:proofErr w:type="spellEnd"/>
      <w:r w:rsidRPr="00B419CE">
        <w:t xml:space="preserve"> same elementa som vert utvikla i samband med Skatteetatens prosjekt Sirius. SSB vil </w:t>
      </w:r>
      <w:proofErr w:type="spellStart"/>
      <w:r w:rsidRPr="00B419CE">
        <w:t>leggje</w:t>
      </w:r>
      <w:proofErr w:type="spellEnd"/>
      <w:r w:rsidRPr="00B419CE">
        <w:t xml:space="preserve"> til rette for at </w:t>
      </w:r>
      <w:proofErr w:type="spellStart"/>
      <w:r w:rsidRPr="00B419CE">
        <w:t>desse</w:t>
      </w:r>
      <w:proofErr w:type="spellEnd"/>
      <w:r w:rsidRPr="00B419CE">
        <w:t xml:space="preserve"> </w:t>
      </w:r>
      <w:proofErr w:type="spellStart"/>
      <w:r w:rsidRPr="00B419CE">
        <w:t>løysingane</w:t>
      </w:r>
      <w:proofErr w:type="spellEnd"/>
      <w:r w:rsidRPr="00B419CE">
        <w:t xml:space="preserve"> òg kan </w:t>
      </w:r>
      <w:proofErr w:type="spellStart"/>
      <w:r w:rsidRPr="00B419CE">
        <w:t>nyttast</w:t>
      </w:r>
      <w:proofErr w:type="spellEnd"/>
      <w:r w:rsidRPr="00B419CE">
        <w:t xml:space="preserve"> i </w:t>
      </w:r>
      <w:proofErr w:type="spellStart"/>
      <w:r w:rsidRPr="00B419CE">
        <w:t>annan</w:t>
      </w:r>
      <w:proofErr w:type="spellEnd"/>
      <w:r w:rsidRPr="00B419CE">
        <w:t xml:space="preserve"> statistikkproduksjon.</w:t>
      </w:r>
    </w:p>
    <w:p w14:paraId="794D544D" w14:textId="77777777" w:rsidR="00B419CE" w:rsidRPr="00B419CE" w:rsidRDefault="00B419CE" w:rsidP="00B419CE">
      <w:r w:rsidRPr="00B419CE">
        <w:lastRenderedPageBreak/>
        <w:t xml:space="preserve">Datamaterialet som SSB </w:t>
      </w:r>
      <w:proofErr w:type="spellStart"/>
      <w:r w:rsidRPr="00B419CE">
        <w:t>samlar</w:t>
      </w:r>
      <w:proofErr w:type="spellEnd"/>
      <w:r w:rsidRPr="00B419CE">
        <w:t xml:space="preserve"> inn, skal </w:t>
      </w:r>
      <w:proofErr w:type="spellStart"/>
      <w:r w:rsidRPr="00B419CE">
        <w:t>vere</w:t>
      </w:r>
      <w:proofErr w:type="spellEnd"/>
      <w:r w:rsidRPr="00B419CE">
        <w:t xml:space="preserve"> vårt sams faktagrunnlag og bør </w:t>
      </w:r>
      <w:proofErr w:type="spellStart"/>
      <w:r w:rsidRPr="00B419CE">
        <w:t>kome</w:t>
      </w:r>
      <w:proofErr w:type="spellEnd"/>
      <w:r w:rsidRPr="00B419CE">
        <w:t xml:space="preserve"> alle til gode. Ny statistikklov gjev forvaltinga </w:t>
      </w:r>
      <w:proofErr w:type="spellStart"/>
      <w:r w:rsidRPr="00B419CE">
        <w:t>enklare</w:t>
      </w:r>
      <w:proofErr w:type="spellEnd"/>
      <w:r w:rsidRPr="00B419CE">
        <w:t xml:space="preserve"> tilgang på mikrodata for statistiske og analytiske </w:t>
      </w:r>
      <w:proofErr w:type="spellStart"/>
      <w:r w:rsidRPr="00B419CE">
        <w:t>føremål</w:t>
      </w:r>
      <w:proofErr w:type="spellEnd"/>
      <w:r w:rsidRPr="00B419CE">
        <w:t xml:space="preserve">. Det er etablert nye </w:t>
      </w:r>
      <w:proofErr w:type="spellStart"/>
      <w:r w:rsidRPr="00B419CE">
        <w:t>retningsliner</w:t>
      </w:r>
      <w:proofErr w:type="spellEnd"/>
      <w:r w:rsidRPr="00B419CE">
        <w:t xml:space="preserve"> for deling og prising av data </w:t>
      </w:r>
      <w:proofErr w:type="spellStart"/>
      <w:r w:rsidRPr="00B419CE">
        <w:t>frå</w:t>
      </w:r>
      <w:proofErr w:type="spellEnd"/>
      <w:r w:rsidRPr="00B419CE">
        <w:t xml:space="preserve"> byrået, og som skal </w:t>
      </w:r>
      <w:proofErr w:type="spellStart"/>
      <w:r w:rsidRPr="00B419CE">
        <w:t>gje</w:t>
      </w:r>
      <w:proofErr w:type="spellEnd"/>
      <w:r w:rsidRPr="00B419CE">
        <w:t xml:space="preserve"> </w:t>
      </w:r>
      <w:proofErr w:type="spellStart"/>
      <w:r w:rsidRPr="00B419CE">
        <w:t>betra</w:t>
      </w:r>
      <w:proofErr w:type="spellEnd"/>
      <w:r w:rsidRPr="00B419CE">
        <w:t xml:space="preserve"> </w:t>
      </w:r>
      <w:proofErr w:type="spellStart"/>
      <w:r w:rsidRPr="00B419CE">
        <w:t>forutsigbarheit</w:t>
      </w:r>
      <w:proofErr w:type="spellEnd"/>
      <w:r w:rsidRPr="00B419CE">
        <w:t xml:space="preserve"> og transparens for </w:t>
      </w:r>
      <w:proofErr w:type="spellStart"/>
      <w:r w:rsidRPr="00B419CE">
        <w:t>brukarar</w:t>
      </w:r>
      <w:proofErr w:type="spellEnd"/>
      <w:r w:rsidRPr="00B419CE">
        <w:t xml:space="preserve">. Det er </w:t>
      </w:r>
      <w:proofErr w:type="spellStart"/>
      <w:r w:rsidRPr="00B419CE">
        <w:t>høg</w:t>
      </w:r>
      <w:proofErr w:type="spellEnd"/>
      <w:r w:rsidRPr="00B419CE">
        <w:t xml:space="preserve"> </w:t>
      </w:r>
      <w:proofErr w:type="spellStart"/>
      <w:r w:rsidRPr="00B419CE">
        <w:t>etterspurnad</w:t>
      </w:r>
      <w:proofErr w:type="spellEnd"/>
      <w:r w:rsidRPr="00B419CE">
        <w:t xml:space="preserve"> etter mikrodata </w:t>
      </w:r>
      <w:proofErr w:type="spellStart"/>
      <w:r w:rsidRPr="00B419CE">
        <w:t>frå</w:t>
      </w:r>
      <w:proofErr w:type="spellEnd"/>
      <w:r w:rsidRPr="00B419CE">
        <w:t xml:space="preserve"> SSB. SSB må arbeide </w:t>
      </w:r>
      <w:proofErr w:type="spellStart"/>
      <w:r w:rsidRPr="00B419CE">
        <w:t>kontinuerleg</w:t>
      </w:r>
      <w:proofErr w:type="spellEnd"/>
      <w:r w:rsidRPr="00B419CE">
        <w:t xml:space="preserve"> med å </w:t>
      </w:r>
      <w:proofErr w:type="spellStart"/>
      <w:r w:rsidRPr="00B419CE">
        <w:t>gjere</w:t>
      </w:r>
      <w:proofErr w:type="spellEnd"/>
      <w:r w:rsidRPr="00B419CE">
        <w:t xml:space="preserve"> det </w:t>
      </w:r>
      <w:proofErr w:type="spellStart"/>
      <w:r w:rsidRPr="00B419CE">
        <w:t>enklare</w:t>
      </w:r>
      <w:proofErr w:type="spellEnd"/>
      <w:r w:rsidRPr="00B419CE">
        <w:t xml:space="preserve"> og </w:t>
      </w:r>
      <w:proofErr w:type="spellStart"/>
      <w:r w:rsidRPr="00B419CE">
        <w:t>raskare</w:t>
      </w:r>
      <w:proofErr w:type="spellEnd"/>
      <w:r w:rsidRPr="00B419CE">
        <w:t xml:space="preserve"> for </w:t>
      </w:r>
      <w:proofErr w:type="spellStart"/>
      <w:r w:rsidRPr="00B419CE">
        <w:t>forskarar</w:t>
      </w:r>
      <w:proofErr w:type="spellEnd"/>
      <w:r w:rsidRPr="00B419CE">
        <w:t xml:space="preserve"> og styresmakter å få tilgang til slike data, samstundes som datatryggleik og personvern er høgt prioritert.</w:t>
      </w:r>
    </w:p>
    <w:p w14:paraId="26A7FC45" w14:textId="77777777" w:rsidR="00B419CE" w:rsidRPr="00B419CE" w:rsidRDefault="00B419CE" w:rsidP="00B419CE">
      <w:r w:rsidRPr="00B419CE">
        <w:t xml:space="preserve">Microdata.no-portalen skal </w:t>
      </w:r>
      <w:proofErr w:type="spellStart"/>
      <w:r w:rsidRPr="00B419CE">
        <w:t>gje</w:t>
      </w:r>
      <w:proofErr w:type="spellEnd"/>
      <w:r w:rsidRPr="00B419CE">
        <w:t xml:space="preserve"> </w:t>
      </w:r>
      <w:proofErr w:type="spellStart"/>
      <w:r w:rsidRPr="00B419CE">
        <w:t>forskarar</w:t>
      </w:r>
      <w:proofErr w:type="spellEnd"/>
      <w:r w:rsidRPr="00B419CE">
        <w:t xml:space="preserve"> og </w:t>
      </w:r>
      <w:proofErr w:type="spellStart"/>
      <w:r w:rsidRPr="00B419CE">
        <w:t>studentar</w:t>
      </w:r>
      <w:proofErr w:type="spellEnd"/>
      <w:r w:rsidRPr="00B419CE">
        <w:t xml:space="preserve"> </w:t>
      </w:r>
      <w:proofErr w:type="spellStart"/>
      <w:r w:rsidRPr="00B419CE">
        <w:t>lettare</w:t>
      </w:r>
      <w:proofErr w:type="spellEnd"/>
      <w:r w:rsidRPr="00B419CE">
        <w:t xml:space="preserve"> og betre tilgang til registerdata, og han skal òg </w:t>
      </w:r>
      <w:proofErr w:type="spellStart"/>
      <w:r w:rsidRPr="00B419CE">
        <w:t>frigjere</w:t>
      </w:r>
      <w:proofErr w:type="spellEnd"/>
      <w:r w:rsidRPr="00B419CE">
        <w:t xml:space="preserve"> </w:t>
      </w:r>
      <w:proofErr w:type="spellStart"/>
      <w:r w:rsidRPr="00B419CE">
        <w:t>ressursar</w:t>
      </w:r>
      <w:proofErr w:type="spellEnd"/>
      <w:r w:rsidRPr="00B419CE">
        <w:t xml:space="preserve"> hos SSB. SSB har av </w:t>
      </w:r>
      <w:proofErr w:type="spellStart"/>
      <w:r w:rsidRPr="00B419CE">
        <w:t>Noregs</w:t>
      </w:r>
      <w:proofErr w:type="spellEnd"/>
      <w:r w:rsidRPr="00B419CE">
        <w:t xml:space="preserve"> forskingsråd fått innvilga </w:t>
      </w:r>
      <w:proofErr w:type="spellStart"/>
      <w:r w:rsidRPr="00B419CE">
        <w:t>midlar</w:t>
      </w:r>
      <w:proofErr w:type="spellEnd"/>
      <w:r w:rsidRPr="00B419CE">
        <w:t xml:space="preserve"> til </w:t>
      </w:r>
      <w:proofErr w:type="spellStart"/>
      <w:r w:rsidRPr="00B419CE">
        <w:t>ein</w:t>
      </w:r>
      <w:proofErr w:type="spellEnd"/>
      <w:r w:rsidRPr="00B419CE">
        <w:t xml:space="preserve"> fase 2 av prosjektet. Fase 2 vil </w:t>
      </w:r>
      <w:proofErr w:type="spellStart"/>
      <w:r w:rsidRPr="00B419CE">
        <w:t>opne</w:t>
      </w:r>
      <w:proofErr w:type="spellEnd"/>
      <w:r w:rsidRPr="00B419CE">
        <w:t xml:space="preserve"> for klart </w:t>
      </w:r>
      <w:proofErr w:type="spellStart"/>
      <w:r w:rsidRPr="00B419CE">
        <w:t>fleire</w:t>
      </w:r>
      <w:proofErr w:type="spellEnd"/>
      <w:r w:rsidRPr="00B419CE">
        <w:t xml:space="preserve"> </w:t>
      </w:r>
      <w:proofErr w:type="spellStart"/>
      <w:r w:rsidRPr="00B419CE">
        <w:t>variablar</w:t>
      </w:r>
      <w:proofErr w:type="spellEnd"/>
      <w:r w:rsidRPr="00B419CE">
        <w:t xml:space="preserve">. Prioriteringa av </w:t>
      </w:r>
      <w:proofErr w:type="spellStart"/>
      <w:r w:rsidRPr="00B419CE">
        <w:t>variablane</w:t>
      </w:r>
      <w:proofErr w:type="spellEnd"/>
      <w:r w:rsidRPr="00B419CE">
        <w:t xml:space="preserve"> vert i stor grad grunna ut </w:t>
      </w:r>
      <w:proofErr w:type="spellStart"/>
      <w:r w:rsidRPr="00B419CE">
        <w:t>frå</w:t>
      </w:r>
      <w:proofErr w:type="spellEnd"/>
      <w:r w:rsidRPr="00B419CE">
        <w:t xml:space="preserve"> </w:t>
      </w:r>
      <w:proofErr w:type="spellStart"/>
      <w:r w:rsidRPr="00B419CE">
        <w:t>etterspurnaden</w:t>
      </w:r>
      <w:proofErr w:type="spellEnd"/>
      <w:r w:rsidRPr="00B419CE">
        <w:t xml:space="preserve"> </w:t>
      </w:r>
      <w:proofErr w:type="spellStart"/>
      <w:r w:rsidRPr="00B419CE">
        <w:t>frå</w:t>
      </w:r>
      <w:proofErr w:type="spellEnd"/>
      <w:r w:rsidRPr="00B419CE">
        <w:t xml:space="preserve"> </w:t>
      </w:r>
      <w:proofErr w:type="spellStart"/>
      <w:r w:rsidRPr="00B419CE">
        <w:t>brukarane</w:t>
      </w:r>
      <w:proofErr w:type="spellEnd"/>
      <w:r w:rsidRPr="00B419CE">
        <w:t xml:space="preserve"> og vil òg </w:t>
      </w:r>
      <w:proofErr w:type="spellStart"/>
      <w:r w:rsidRPr="00B419CE">
        <w:t>gje</w:t>
      </w:r>
      <w:proofErr w:type="spellEnd"/>
      <w:r w:rsidRPr="00B419CE">
        <w:t xml:space="preserve"> høve til å kople SSBs data med eigne tredjepartsdata hos </w:t>
      </w:r>
      <w:proofErr w:type="spellStart"/>
      <w:r w:rsidRPr="00B419CE">
        <w:t>forskarane</w:t>
      </w:r>
      <w:proofErr w:type="spellEnd"/>
      <w:r w:rsidRPr="00B419CE">
        <w:t xml:space="preserve">. SSB vektlegg kompatibilitet med andre </w:t>
      </w:r>
      <w:proofErr w:type="spellStart"/>
      <w:r w:rsidRPr="00B419CE">
        <w:t>offentlege</w:t>
      </w:r>
      <w:proofErr w:type="spellEnd"/>
      <w:r w:rsidRPr="00B419CE">
        <w:t xml:space="preserve"> dataplattformer. Det er nedsett </w:t>
      </w:r>
      <w:proofErr w:type="spellStart"/>
      <w:r w:rsidRPr="00B419CE">
        <w:t>eit</w:t>
      </w:r>
      <w:proofErr w:type="spellEnd"/>
      <w:r w:rsidRPr="00B419CE">
        <w:t xml:space="preserve"> </w:t>
      </w:r>
      <w:proofErr w:type="spellStart"/>
      <w:r w:rsidRPr="00B419CE">
        <w:t>brukarråd</w:t>
      </w:r>
      <w:proofErr w:type="spellEnd"/>
      <w:r w:rsidRPr="00B419CE">
        <w:t xml:space="preserve"> for ordninga slik at ho skal møte behova hos </w:t>
      </w:r>
      <w:proofErr w:type="spellStart"/>
      <w:r w:rsidRPr="00B419CE">
        <w:t>brukarane</w:t>
      </w:r>
      <w:proofErr w:type="spellEnd"/>
      <w:r w:rsidRPr="00B419CE">
        <w:t xml:space="preserve"> og avlaste arbeidet med anna </w:t>
      </w:r>
      <w:proofErr w:type="spellStart"/>
      <w:r w:rsidRPr="00B419CE">
        <w:t>tilgjengeleggjering</w:t>
      </w:r>
      <w:proofErr w:type="spellEnd"/>
      <w:r w:rsidRPr="00B419CE">
        <w:t xml:space="preserve"> av data.</w:t>
      </w:r>
    </w:p>
    <w:p w14:paraId="1585A4EE" w14:textId="77777777" w:rsidR="00B419CE" w:rsidRPr="00B419CE" w:rsidRDefault="00B419CE" w:rsidP="00B419CE">
      <w:r w:rsidRPr="00B419CE">
        <w:t xml:space="preserve">SSB må prioritere å </w:t>
      </w:r>
      <w:proofErr w:type="spellStart"/>
      <w:r w:rsidRPr="00B419CE">
        <w:t>gjere</w:t>
      </w:r>
      <w:proofErr w:type="spellEnd"/>
      <w:r w:rsidRPr="00B419CE">
        <w:t xml:space="preserve"> data </w:t>
      </w:r>
      <w:proofErr w:type="spellStart"/>
      <w:r w:rsidRPr="00B419CE">
        <w:t>tilgjengeleg</w:t>
      </w:r>
      <w:proofErr w:type="spellEnd"/>
      <w:r w:rsidRPr="00B419CE">
        <w:t xml:space="preserve"> både gjennom microdata.no-løysinga og direkte overfor større </w:t>
      </w:r>
      <w:proofErr w:type="spellStart"/>
      <w:r w:rsidRPr="00B419CE">
        <w:t>brukarar</w:t>
      </w:r>
      <w:proofErr w:type="spellEnd"/>
      <w:r w:rsidRPr="00B419CE">
        <w:t>.</w:t>
      </w:r>
    </w:p>
    <w:p w14:paraId="43150B56" w14:textId="77777777" w:rsidR="00B419CE" w:rsidRPr="00B419CE" w:rsidRDefault="00B419CE" w:rsidP="00B419CE">
      <w:r w:rsidRPr="00B419CE">
        <w:t xml:space="preserve">Statistikk er </w:t>
      </w:r>
      <w:proofErr w:type="spellStart"/>
      <w:r w:rsidRPr="00B419CE">
        <w:t>omfattande</w:t>
      </w:r>
      <w:proofErr w:type="spellEnd"/>
      <w:r w:rsidRPr="00B419CE">
        <w:t xml:space="preserve"> regulert i EØS-avtalen. Nasjonale </w:t>
      </w:r>
      <w:proofErr w:type="spellStart"/>
      <w:r w:rsidRPr="00B419CE">
        <w:t>statistikkrav</w:t>
      </w:r>
      <w:proofErr w:type="spellEnd"/>
      <w:r w:rsidRPr="00B419CE">
        <w:t xml:space="preserve"> må </w:t>
      </w:r>
      <w:proofErr w:type="spellStart"/>
      <w:r w:rsidRPr="00B419CE">
        <w:t>sjåast</w:t>
      </w:r>
      <w:proofErr w:type="spellEnd"/>
      <w:r w:rsidRPr="00B419CE">
        <w:t xml:space="preserve"> i </w:t>
      </w:r>
      <w:proofErr w:type="spellStart"/>
      <w:r w:rsidRPr="00B419CE">
        <w:t>samanheng</w:t>
      </w:r>
      <w:proofErr w:type="spellEnd"/>
      <w:r w:rsidRPr="00B419CE">
        <w:t xml:space="preserve"> med og </w:t>
      </w:r>
      <w:proofErr w:type="spellStart"/>
      <w:r w:rsidRPr="00B419CE">
        <w:t>tilpassast</w:t>
      </w:r>
      <w:proofErr w:type="spellEnd"/>
      <w:r w:rsidRPr="00B419CE">
        <w:t xml:space="preserve"> krava </w:t>
      </w:r>
      <w:proofErr w:type="spellStart"/>
      <w:r w:rsidRPr="00B419CE">
        <w:t>frå</w:t>
      </w:r>
      <w:proofErr w:type="spellEnd"/>
      <w:r w:rsidRPr="00B419CE">
        <w:t xml:space="preserve"> EU, mellom anna </w:t>
      </w:r>
      <w:proofErr w:type="spellStart"/>
      <w:r w:rsidRPr="00B419CE">
        <w:t>dei</w:t>
      </w:r>
      <w:proofErr w:type="spellEnd"/>
      <w:r w:rsidRPr="00B419CE">
        <w:t xml:space="preserve"> nye krava til Arbeidskraftundersøkinga (AKU) og undersøkinga om levekår som </w:t>
      </w:r>
      <w:proofErr w:type="spellStart"/>
      <w:r w:rsidRPr="00B419CE">
        <w:t>utgjer</w:t>
      </w:r>
      <w:proofErr w:type="spellEnd"/>
      <w:r w:rsidRPr="00B419CE">
        <w:t xml:space="preserve"> </w:t>
      </w:r>
      <w:proofErr w:type="spellStart"/>
      <w:r w:rsidRPr="00B419CE">
        <w:t>ein</w:t>
      </w:r>
      <w:proofErr w:type="spellEnd"/>
      <w:r w:rsidRPr="00B419CE">
        <w:t xml:space="preserve"> del av ei ny rammeverksforordning om sosialstatistikk. SSB må òg innarbeide nye krav </w:t>
      </w:r>
      <w:proofErr w:type="spellStart"/>
      <w:r w:rsidRPr="00B419CE">
        <w:t>frå</w:t>
      </w:r>
      <w:proofErr w:type="spellEnd"/>
      <w:r w:rsidRPr="00B419CE">
        <w:t xml:space="preserve"> den europeiske rammeverksforordninga for næringsstatistikk. Forordninga gjev nye </w:t>
      </w:r>
      <w:proofErr w:type="spellStart"/>
      <w:r w:rsidRPr="00B419CE">
        <w:t>føringar</w:t>
      </w:r>
      <w:proofErr w:type="spellEnd"/>
      <w:r w:rsidRPr="00B419CE">
        <w:t xml:space="preserve"> om statistikk for </w:t>
      </w:r>
      <w:proofErr w:type="spellStart"/>
      <w:r w:rsidRPr="00B419CE">
        <w:t>fleire</w:t>
      </w:r>
      <w:proofErr w:type="spellEnd"/>
      <w:r w:rsidRPr="00B419CE">
        <w:t xml:space="preserve"> </w:t>
      </w:r>
      <w:proofErr w:type="spellStart"/>
      <w:r w:rsidRPr="00B419CE">
        <w:t>næringar</w:t>
      </w:r>
      <w:proofErr w:type="spellEnd"/>
      <w:r w:rsidRPr="00B419CE">
        <w:t xml:space="preserve">, mellom anna undervisning, helse- og </w:t>
      </w:r>
      <w:proofErr w:type="spellStart"/>
      <w:r w:rsidRPr="00B419CE">
        <w:t>sosialtenester</w:t>
      </w:r>
      <w:proofErr w:type="spellEnd"/>
      <w:r w:rsidRPr="00B419CE">
        <w:t xml:space="preserve">, kulturell </w:t>
      </w:r>
      <w:proofErr w:type="spellStart"/>
      <w:r w:rsidRPr="00B419CE">
        <w:t>verksemd</w:t>
      </w:r>
      <w:proofErr w:type="spellEnd"/>
      <w:r w:rsidRPr="00B419CE">
        <w:t xml:space="preserve">, </w:t>
      </w:r>
      <w:proofErr w:type="spellStart"/>
      <w:r w:rsidRPr="00B419CE">
        <w:t>underhaldning</w:t>
      </w:r>
      <w:proofErr w:type="spellEnd"/>
      <w:r w:rsidRPr="00B419CE">
        <w:t xml:space="preserve"> og </w:t>
      </w:r>
      <w:proofErr w:type="spellStart"/>
      <w:r w:rsidRPr="00B419CE">
        <w:t>fritidsaktivitetar</w:t>
      </w:r>
      <w:proofErr w:type="spellEnd"/>
      <w:r w:rsidRPr="00B419CE">
        <w:t xml:space="preserve">, </w:t>
      </w:r>
      <w:proofErr w:type="spellStart"/>
      <w:r w:rsidRPr="00B419CE">
        <w:t>finanstenester</w:t>
      </w:r>
      <w:proofErr w:type="spellEnd"/>
      <w:r w:rsidRPr="00B419CE">
        <w:t xml:space="preserve"> og anna </w:t>
      </w:r>
      <w:proofErr w:type="spellStart"/>
      <w:r w:rsidRPr="00B419CE">
        <w:t>tenesteyting</w:t>
      </w:r>
      <w:proofErr w:type="spellEnd"/>
      <w:r w:rsidRPr="00B419CE">
        <w:t xml:space="preserve">, samt for </w:t>
      </w:r>
      <w:proofErr w:type="spellStart"/>
      <w:r w:rsidRPr="00B419CE">
        <w:t>hyppigare</w:t>
      </w:r>
      <w:proofErr w:type="spellEnd"/>
      <w:r w:rsidRPr="00B419CE">
        <w:t xml:space="preserve"> statistikk om </w:t>
      </w:r>
      <w:proofErr w:type="spellStart"/>
      <w:r w:rsidRPr="00B419CE">
        <w:t>tenestenæringar</w:t>
      </w:r>
      <w:proofErr w:type="spellEnd"/>
      <w:r w:rsidRPr="00B419CE">
        <w:t>.</w:t>
      </w:r>
    </w:p>
    <w:p w14:paraId="1960CA05" w14:textId="77777777" w:rsidR="00B419CE" w:rsidRPr="00B419CE" w:rsidRDefault="00B419CE" w:rsidP="00B419CE">
      <w:pPr>
        <w:pStyle w:val="Undertittel"/>
      </w:pPr>
      <w:r w:rsidRPr="00B419CE">
        <w:t xml:space="preserve">Mål og </w:t>
      </w:r>
      <w:proofErr w:type="spellStart"/>
      <w:r w:rsidRPr="00B419CE">
        <w:t>prioriteringar</w:t>
      </w:r>
      <w:proofErr w:type="spellEnd"/>
      <w:r w:rsidRPr="00B419CE">
        <w:t xml:space="preserve"> i 2022</w:t>
      </w:r>
    </w:p>
    <w:p w14:paraId="3132EB3F" w14:textId="77777777" w:rsidR="00B419CE" w:rsidRPr="00B419CE" w:rsidRDefault="00B419CE" w:rsidP="00B419CE">
      <w:r w:rsidRPr="00B419CE">
        <w:t xml:space="preserve">SSBs samfunnsoppdrag, </w:t>
      </w:r>
      <w:proofErr w:type="spellStart"/>
      <w:r w:rsidRPr="00B419CE">
        <w:t>hovudmål</w:t>
      </w:r>
      <w:proofErr w:type="spellEnd"/>
      <w:r w:rsidRPr="00B419CE">
        <w:t xml:space="preserve"> og </w:t>
      </w:r>
      <w:proofErr w:type="spellStart"/>
      <w:r w:rsidRPr="00B419CE">
        <w:t>oppgåver</w:t>
      </w:r>
      <w:proofErr w:type="spellEnd"/>
      <w:r w:rsidRPr="00B419CE">
        <w:t xml:space="preserve"> er fastsette i statistikklova § 17 og skal </w:t>
      </w:r>
      <w:proofErr w:type="spellStart"/>
      <w:r w:rsidRPr="00B419CE">
        <w:t>liggje</w:t>
      </w:r>
      <w:proofErr w:type="spellEnd"/>
      <w:r w:rsidRPr="00B419CE">
        <w:t xml:space="preserve"> til grunn for </w:t>
      </w:r>
      <w:proofErr w:type="spellStart"/>
      <w:r w:rsidRPr="00B419CE">
        <w:t>verksemda</w:t>
      </w:r>
      <w:proofErr w:type="spellEnd"/>
      <w:r w:rsidRPr="00B419CE">
        <w:t xml:space="preserve"> i 2022:</w:t>
      </w:r>
    </w:p>
    <w:p w14:paraId="0977AA07" w14:textId="77777777" w:rsidR="00B419CE" w:rsidRPr="00B419CE" w:rsidRDefault="00B419CE" w:rsidP="00B419CE">
      <w:pPr>
        <w:pStyle w:val="Liste"/>
        <w:rPr>
          <w:rStyle w:val="kursiv"/>
        </w:rPr>
      </w:pPr>
      <w:r w:rsidRPr="00B419CE">
        <w:rPr>
          <w:rStyle w:val="kursiv"/>
        </w:rPr>
        <w:t>Statistisk sentralbyrå er den sentrale myndigheten for utvikling, utarbeiding og formidling av offisiell statistikk i Norge.</w:t>
      </w:r>
    </w:p>
    <w:p w14:paraId="4EC295B9" w14:textId="77777777" w:rsidR="00B419CE" w:rsidRPr="00B419CE" w:rsidRDefault="00B419CE" w:rsidP="00B419CE">
      <w:pPr>
        <w:pStyle w:val="Liste"/>
        <w:rPr>
          <w:rStyle w:val="kursiv"/>
        </w:rPr>
      </w:pPr>
      <w:r w:rsidRPr="00B419CE">
        <w:rPr>
          <w:rStyle w:val="kursiv"/>
        </w:rPr>
        <w:t>Statistisk sentralbyrå skal også drive med forskning og analyse.</w:t>
      </w:r>
    </w:p>
    <w:p w14:paraId="19F6C97A" w14:textId="77777777" w:rsidR="00B419CE" w:rsidRPr="00B419CE" w:rsidRDefault="00B419CE" w:rsidP="00B419CE">
      <w:pPr>
        <w:pStyle w:val="Liste"/>
        <w:rPr>
          <w:rStyle w:val="kursiv"/>
        </w:rPr>
      </w:pPr>
      <w:r w:rsidRPr="00B419CE">
        <w:rPr>
          <w:rStyle w:val="kursiv"/>
        </w:rPr>
        <w:t>Statistisk sentralbyrå kan påta seg andre oppgaver i den grad disse understøtter virksomheten som nevnt i første og annet ledd.</w:t>
      </w:r>
    </w:p>
    <w:p w14:paraId="2B9C1D0C" w14:textId="77777777" w:rsidR="00B419CE" w:rsidRPr="00B419CE" w:rsidRDefault="00B419CE" w:rsidP="00B419CE">
      <w:r w:rsidRPr="00B419CE">
        <w:t xml:space="preserve">I tillegg skal SSB leie </w:t>
      </w:r>
      <w:proofErr w:type="spellStart"/>
      <w:r w:rsidRPr="00B419CE">
        <w:rPr>
          <w:rStyle w:val="kursiv"/>
        </w:rPr>
        <w:t>Utvalet</w:t>
      </w:r>
      <w:proofErr w:type="spellEnd"/>
      <w:r w:rsidRPr="00B419CE">
        <w:rPr>
          <w:rStyle w:val="kursiv"/>
        </w:rPr>
        <w:t xml:space="preserve"> for offisiell statistikk</w:t>
      </w:r>
      <w:r w:rsidRPr="00B419CE">
        <w:t xml:space="preserve"> som skal bidra til samordning og utvikling av offisiell statistikk og </w:t>
      </w:r>
      <w:proofErr w:type="spellStart"/>
      <w:r w:rsidRPr="00B419CE">
        <w:t>gje</w:t>
      </w:r>
      <w:proofErr w:type="spellEnd"/>
      <w:r w:rsidRPr="00B419CE">
        <w:t xml:space="preserve"> råd om utarbeiding og formidling av statistikken.</w:t>
      </w:r>
    </w:p>
    <w:p w14:paraId="1F131307" w14:textId="77777777" w:rsidR="00B419CE" w:rsidRPr="00B419CE" w:rsidRDefault="00B419CE" w:rsidP="00B419CE">
      <w:r w:rsidRPr="00B419CE">
        <w:t xml:space="preserve">Den </w:t>
      </w:r>
      <w:proofErr w:type="spellStart"/>
      <w:r w:rsidRPr="00B419CE">
        <w:t>underliggjande</w:t>
      </w:r>
      <w:proofErr w:type="spellEnd"/>
      <w:r w:rsidRPr="00B419CE">
        <w:t xml:space="preserve"> målstrukturen vert fastsett i styringsdialogen mellom Finansdepartementet og SSB i samband med utforminga av tildelingsbrevet til byrået.</w:t>
      </w:r>
    </w:p>
    <w:p w14:paraId="39CDB9D4" w14:textId="77777777" w:rsidR="00B419CE" w:rsidRPr="00B419CE" w:rsidRDefault="00B419CE" w:rsidP="00B419CE">
      <w:r w:rsidRPr="00B419CE">
        <w:t xml:space="preserve">Måla som skal ligge til grunn for SSBs </w:t>
      </w:r>
      <w:proofErr w:type="spellStart"/>
      <w:r w:rsidRPr="00B419CE">
        <w:t>verksemd</w:t>
      </w:r>
      <w:proofErr w:type="spellEnd"/>
      <w:r w:rsidRPr="00B419CE">
        <w:t xml:space="preserve"> </w:t>
      </w:r>
      <w:proofErr w:type="spellStart"/>
      <w:r w:rsidRPr="00B419CE">
        <w:t>dei</w:t>
      </w:r>
      <w:proofErr w:type="spellEnd"/>
      <w:r w:rsidRPr="00B419CE">
        <w:t xml:space="preserve"> neste åra, er at SSB skal:</w:t>
      </w:r>
    </w:p>
    <w:p w14:paraId="245EBC08" w14:textId="77777777" w:rsidR="00B419CE" w:rsidRPr="00B419CE" w:rsidRDefault="00B419CE" w:rsidP="00B419CE">
      <w:pPr>
        <w:pStyle w:val="Liste"/>
        <w:rPr>
          <w:rStyle w:val="kursiv"/>
        </w:rPr>
      </w:pPr>
      <w:proofErr w:type="spellStart"/>
      <w:r w:rsidRPr="00B419CE">
        <w:rPr>
          <w:rStyle w:val="kursiv"/>
        </w:rPr>
        <w:t>vere</w:t>
      </w:r>
      <w:proofErr w:type="spellEnd"/>
      <w:r w:rsidRPr="00B419CE">
        <w:rPr>
          <w:rStyle w:val="kursiv"/>
        </w:rPr>
        <w:t xml:space="preserve"> den fremste leverandøren av fakta om norske samfunnsforhold</w:t>
      </w:r>
    </w:p>
    <w:p w14:paraId="6160335B" w14:textId="77777777" w:rsidR="00B419CE" w:rsidRPr="00B419CE" w:rsidRDefault="00B419CE" w:rsidP="00B419CE">
      <w:pPr>
        <w:pStyle w:val="Liste"/>
        <w:rPr>
          <w:rStyle w:val="kursiv"/>
        </w:rPr>
      </w:pPr>
      <w:r w:rsidRPr="00B419CE">
        <w:rPr>
          <w:rStyle w:val="kursiv"/>
        </w:rPr>
        <w:t>sikre samarbeid, heilskap og kvalitet i det norske statistikksystemet</w:t>
      </w:r>
    </w:p>
    <w:p w14:paraId="429F0998" w14:textId="77777777" w:rsidR="00B419CE" w:rsidRPr="00B419CE" w:rsidRDefault="00B419CE" w:rsidP="00B419CE">
      <w:pPr>
        <w:pStyle w:val="Liste"/>
        <w:rPr>
          <w:rStyle w:val="kursiv"/>
        </w:rPr>
      </w:pPr>
      <w:r w:rsidRPr="00B419CE">
        <w:rPr>
          <w:rStyle w:val="kursiv"/>
        </w:rPr>
        <w:lastRenderedPageBreak/>
        <w:t>samle inn, bruke og dele data til beste for samfunnet</w:t>
      </w:r>
    </w:p>
    <w:p w14:paraId="6A3FD665" w14:textId="77777777" w:rsidR="00B419CE" w:rsidRPr="00B419CE" w:rsidRDefault="00B419CE" w:rsidP="00B419CE">
      <w:r w:rsidRPr="00B419CE">
        <w:t xml:space="preserve">Måla skal bidra til at SSB har </w:t>
      </w:r>
      <w:proofErr w:type="spellStart"/>
      <w:r w:rsidRPr="00B419CE">
        <w:t>naudsynt</w:t>
      </w:r>
      <w:proofErr w:type="spellEnd"/>
      <w:r w:rsidRPr="00B419CE">
        <w:t xml:space="preserve"> tillit, </w:t>
      </w:r>
      <w:proofErr w:type="spellStart"/>
      <w:r w:rsidRPr="00B419CE">
        <w:t>truverd</w:t>
      </w:r>
      <w:proofErr w:type="spellEnd"/>
      <w:r w:rsidRPr="00B419CE">
        <w:t xml:space="preserve"> og leverer produkt og </w:t>
      </w:r>
      <w:proofErr w:type="spellStart"/>
      <w:r w:rsidRPr="00B419CE">
        <w:t>tenester</w:t>
      </w:r>
      <w:proofErr w:type="spellEnd"/>
      <w:r w:rsidRPr="00B419CE">
        <w:t xml:space="preserve"> i tråd med </w:t>
      </w:r>
      <w:proofErr w:type="spellStart"/>
      <w:r w:rsidRPr="00B419CE">
        <w:t>brukarbehov</w:t>
      </w:r>
      <w:proofErr w:type="spellEnd"/>
      <w:r w:rsidRPr="00B419CE">
        <w:t xml:space="preserve">, samt til at statistikk, forsking og analyse held god kvalitet. SSB skal òg ivareta </w:t>
      </w:r>
      <w:proofErr w:type="spellStart"/>
      <w:r w:rsidRPr="00B419CE">
        <w:t>fagleg</w:t>
      </w:r>
      <w:proofErr w:type="spellEnd"/>
      <w:r w:rsidRPr="00B419CE">
        <w:t xml:space="preserve"> </w:t>
      </w:r>
      <w:proofErr w:type="spellStart"/>
      <w:r w:rsidRPr="00B419CE">
        <w:t>sjølvstende</w:t>
      </w:r>
      <w:proofErr w:type="spellEnd"/>
      <w:r w:rsidRPr="00B419CE">
        <w:t xml:space="preserve">, kvalitet og kontinuitet i heile det norske offisielle statistikksystemet. </w:t>
      </w:r>
      <w:proofErr w:type="spellStart"/>
      <w:r w:rsidRPr="00B419CE">
        <w:t>Vidare</w:t>
      </w:r>
      <w:proofErr w:type="spellEnd"/>
      <w:r w:rsidRPr="00B419CE">
        <w:t xml:space="preserve"> skal </w:t>
      </w:r>
      <w:proofErr w:type="spellStart"/>
      <w:r w:rsidRPr="00B419CE">
        <w:t>verksemda</w:t>
      </w:r>
      <w:proofErr w:type="spellEnd"/>
      <w:r w:rsidRPr="00B419CE">
        <w:t xml:space="preserve"> </w:t>
      </w:r>
      <w:proofErr w:type="spellStart"/>
      <w:r w:rsidRPr="00B419CE">
        <w:t>medverke</w:t>
      </w:r>
      <w:proofErr w:type="spellEnd"/>
      <w:r w:rsidRPr="00B419CE">
        <w:t xml:space="preserve"> til kvalitet og kontinuitet i grunnlagsdata og utnytte veksten i nye datakjelder. Innhenting, bruk og deling av data skal </w:t>
      </w:r>
      <w:proofErr w:type="spellStart"/>
      <w:r w:rsidRPr="00B419CE">
        <w:t>gjerast</w:t>
      </w:r>
      <w:proofErr w:type="spellEnd"/>
      <w:r w:rsidRPr="00B419CE">
        <w:t xml:space="preserve"> effektivt, og folk skal ha tillit til at SSB </w:t>
      </w:r>
      <w:proofErr w:type="spellStart"/>
      <w:r w:rsidRPr="00B419CE">
        <w:t>handsamar</w:t>
      </w:r>
      <w:proofErr w:type="spellEnd"/>
      <w:r w:rsidRPr="00B419CE">
        <w:t xml:space="preserve"> data og informasjon konfidensielt og sikkert.</w:t>
      </w:r>
    </w:p>
    <w:p w14:paraId="2E10DA27" w14:textId="77777777" w:rsidR="00B419CE" w:rsidRPr="00B419CE" w:rsidRDefault="00B419CE" w:rsidP="00B419CE">
      <w:r w:rsidRPr="00B419CE">
        <w:t xml:space="preserve">SSB arbeider jamt med å løyse </w:t>
      </w:r>
      <w:proofErr w:type="spellStart"/>
      <w:r w:rsidRPr="00B419CE">
        <w:t>oppgåvene</w:t>
      </w:r>
      <w:proofErr w:type="spellEnd"/>
      <w:r w:rsidRPr="00B419CE">
        <w:t xml:space="preserve"> sine betre. SSB skal, som </w:t>
      </w:r>
      <w:proofErr w:type="spellStart"/>
      <w:r w:rsidRPr="00B419CE">
        <w:t>ein</w:t>
      </w:r>
      <w:proofErr w:type="spellEnd"/>
      <w:r w:rsidRPr="00B419CE">
        <w:t xml:space="preserve"> del av arbeidet med å </w:t>
      </w:r>
      <w:proofErr w:type="spellStart"/>
      <w:r w:rsidRPr="00B419CE">
        <w:t>betre</w:t>
      </w:r>
      <w:proofErr w:type="spellEnd"/>
      <w:r w:rsidRPr="00B419CE">
        <w:t xml:space="preserve"> kvaliteten i </w:t>
      </w:r>
      <w:proofErr w:type="spellStart"/>
      <w:r w:rsidRPr="00B419CE">
        <w:t>oppgåveløysinga</w:t>
      </w:r>
      <w:proofErr w:type="spellEnd"/>
      <w:r w:rsidRPr="00B419CE">
        <w:t xml:space="preserve">, nytte </w:t>
      </w:r>
      <w:proofErr w:type="spellStart"/>
      <w:r w:rsidRPr="00B419CE">
        <w:t>ressursane</w:t>
      </w:r>
      <w:proofErr w:type="spellEnd"/>
      <w:r w:rsidRPr="00B419CE">
        <w:t xml:space="preserve"> sine så effektivt som </w:t>
      </w:r>
      <w:proofErr w:type="spellStart"/>
      <w:r w:rsidRPr="00B419CE">
        <w:t>mogleg</w:t>
      </w:r>
      <w:proofErr w:type="spellEnd"/>
      <w:r w:rsidRPr="00B419CE">
        <w:t xml:space="preserve">. I det </w:t>
      </w:r>
      <w:proofErr w:type="spellStart"/>
      <w:r w:rsidRPr="00B419CE">
        <w:t>daglege</w:t>
      </w:r>
      <w:proofErr w:type="spellEnd"/>
      <w:r w:rsidRPr="00B419CE">
        <w:t xml:space="preserve"> arbeidet er det samstundes </w:t>
      </w:r>
      <w:proofErr w:type="spellStart"/>
      <w:r w:rsidRPr="00B419CE">
        <w:t>naudsynt</w:t>
      </w:r>
      <w:proofErr w:type="spellEnd"/>
      <w:r w:rsidRPr="00B419CE">
        <w:t xml:space="preserve"> at </w:t>
      </w:r>
      <w:proofErr w:type="spellStart"/>
      <w:r w:rsidRPr="00B419CE">
        <w:t>verksemda</w:t>
      </w:r>
      <w:proofErr w:type="spellEnd"/>
      <w:r w:rsidRPr="00B419CE">
        <w:t xml:space="preserve"> veg effektivitet opp mot andre </w:t>
      </w:r>
      <w:proofErr w:type="spellStart"/>
      <w:r w:rsidRPr="00B419CE">
        <w:t>kvalitetsindikatorar</w:t>
      </w:r>
      <w:proofErr w:type="spellEnd"/>
      <w:r w:rsidRPr="00B419CE">
        <w:t>.</w:t>
      </w:r>
    </w:p>
    <w:p w14:paraId="578DCE80" w14:textId="77777777" w:rsidR="00B419CE" w:rsidRPr="00B419CE" w:rsidRDefault="00B419CE" w:rsidP="00B419CE">
      <w:r w:rsidRPr="00B419CE">
        <w:t xml:space="preserve">Departementet venter at resultata i 2022 samla sett skal </w:t>
      </w:r>
      <w:proofErr w:type="spellStart"/>
      <w:r w:rsidRPr="00B419CE">
        <w:t>vere</w:t>
      </w:r>
      <w:proofErr w:type="spellEnd"/>
      <w:r w:rsidRPr="00B419CE">
        <w:t xml:space="preserve"> minst like gode som i 2020. I resultatvurderinga vil departementet </w:t>
      </w:r>
      <w:proofErr w:type="spellStart"/>
      <w:r w:rsidRPr="00B419CE">
        <w:t>leggje</w:t>
      </w:r>
      <w:proofErr w:type="spellEnd"/>
      <w:r w:rsidRPr="00B419CE">
        <w:t xml:space="preserve"> vekt på heilskapen i </w:t>
      </w:r>
      <w:proofErr w:type="spellStart"/>
      <w:r w:rsidRPr="00B419CE">
        <w:t>verksemda</w:t>
      </w:r>
      <w:proofErr w:type="spellEnd"/>
      <w:r w:rsidRPr="00B419CE">
        <w:t>.</w:t>
      </w:r>
    </w:p>
    <w:p w14:paraId="7637F783" w14:textId="77777777" w:rsidR="00B419CE" w:rsidRPr="00B419CE" w:rsidRDefault="00B419CE" w:rsidP="00B419CE">
      <w:pPr>
        <w:pStyle w:val="avsnitt-tittel"/>
      </w:pPr>
      <w:r w:rsidRPr="00B419CE">
        <w:t xml:space="preserve">Viktige </w:t>
      </w:r>
      <w:proofErr w:type="spellStart"/>
      <w:r w:rsidRPr="00B419CE">
        <w:t>prioriteringar</w:t>
      </w:r>
      <w:proofErr w:type="spellEnd"/>
      <w:r w:rsidRPr="00B419CE">
        <w:t xml:space="preserve"> i 2022</w:t>
      </w:r>
    </w:p>
    <w:p w14:paraId="5C1F55D3" w14:textId="77777777" w:rsidR="00B419CE" w:rsidRPr="00B419CE" w:rsidRDefault="00B419CE" w:rsidP="00B419CE">
      <w:pPr>
        <w:pStyle w:val="avsnitt-undertittel"/>
      </w:pPr>
      <w:r w:rsidRPr="00B419CE">
        <w:t>Heilskap og kvalitet i statistikksystemet</w:t>
      </w:r>
    </w:p>
    <w:p w14:paraId="392C5599" w14:textId="77777777" w:rsidR="00B419CE" w:rsidRPr="00B419CE" w:rsidRDefault="00B419CE" w:rsidP="00B419CE">
      <w:r w:rsidRPr="00B419CE">
        <w:t xml:space="preserve">Stortinget vedtok i juni 2019 ny statistikklov, basert på </w:t>
      </w:r>
      <w:proofErr w:type="spellStart"/>
      <w:r w:rsidRPr="00B419CE">
        <w:t>Prop</w:t>
      </w:r>
      <w:proofErr w:type="spellEnd"/>
      <w:r w:rsidRPr="00B419CE">
        <w:t xml:space="preserve">. 72 LS (2018–2019). Den nye lova tredde i </w:t>
      </w:r>
      <w:proofErr w:type="spellStart"/>
      <w:r w:rsidRPr="00B419CE">
        <w:t>si</w:t>
      </w:r>
      <w:proofErr w:type="spellEnd"/>
      <w:r w:rsidRPr="00B419CE">
        <w:t xml:space="preserve"> </w:t>
      </w:r>
      <w:proofErr w:type="spellStart"/>
      <w:r w:rsidRPr="00B419CE">
        <w:t>heilheit</w:t>
      </w:r>
      <w:proofErr w:type="spellEnd"/>
      <w:r w:rsidRPr="00B419CE">
        <w:t xml:space="preserve"> i kraft 1. januar 2021. SSB må </w:t>
      </w:r>
      <w:proofErr w:type="spellStart"/>
      <w:r w:rsidRPr="00B419CE">
        <w:t>framleis</w:t>
      </w:r>
      <w:proofErr w:type="spellEnd"/>
      <w:r w:rsidRPr="00B419CE">
        <w:t xml:space="preserve"> arbeide med implementering av nytt regelverk.</w:t>
      </w:r>
    </w:p>
    <w:p w14:paraId="74DC8F2B" w14:textId="77777777" w:rsidR="00B419CE" w:rsidRPr="00B419CE" w:rsidRDefault="00B419CE" w:rsidP="00B419CE">
      <w:r w:rsidRPr="00B419CE">
        <w:t xml:space="preserve">Med den nye lova har SSB fått ei ny rolle som sentral </w:t>
      </w:r>
      <w:proofErr w:type="spellStart"/>
      <w:r w:rsidRPr="00B419CE">
        <w:t>myndigheit</w:t>
      </w:r>
      <w:proofErr w:type="spellEnd"/>
      <w:r w:rsidRPr="00B419CE">
        <w:t xml:space="preserve"> for utarbeiding, utvikling og formidling av offisiell statistikk, og må </w:t>
      </w:r>
      <w:proofErr w:type="spellStart"/>
      <w:r w:rsidRPr="00B419CE">
        <w:t>ifølgje</w:t>
      </w:r>
      <w:proofErr w:type="spellEnd"/>
      <w:r w:rsidRPr="00B419CE">
        <w:t xml:space="preserve"> lova ta ei større rolle som </w:t>
      </w:r>
      <w:proofErr w:type="spellStart"/>
      <w:r w:rsidRPr="00B419CE">
        <w:t>samordnar</w:t>
      </w:r>
      <w:proofErr w:type="spellEnd"/>
      <w:r w:rsidRPr="00B419CE">
        <w:t xml:space="preserve"> og </w:t>
      </w:r>
      <w:proofErr w:type="spellStart"/>
      <w:r w:rsidRPr="00B419CE">
        <w:t>kvalitetssikrar</w:t>
      </w:r>
      <w:proofErr w:type="spellEnd"/>
      <w:r w:rsidRPr="00B419CE">
        <w:t xml:space="preserve"> av statistikk </w:t>
      </w:r>
      <w:proofErr w:type="spellStart"/>
      <w:r w:rsidRPr="00B419CE">
        <w:t>frå</w:t>
      </w:r>
      <w:proofErr w:type="spellEnd"/>
      <w:r w:rsidRPr="00B419CE">
        <w:t xml:space="preserve"> alle </w:t>
      </w:r>
      <w:proofErr w:type="spellStart"/>
      <w:r w:rsidRPr="00B419CE">
        <w:t>produsentane</w:t>
      </w:r>
      <w:proofErr w:type="spellEnd"/>
      <w:r w:rsidRPr="00B419CE">
        <w:t xml:space="preserve"> i det norske statistikksystemet. Dette vil </w:t>
      </w:r>
      <w:proofErr w:type="spellStart"/>
      <w:r w:rsidRPr="00B419CE">
        <w:t>vere</w:t>
      </w:r>
      <w:proofErr w:type="spellEnd"/>
      <w:r w:rsidRPr="00B419CE">
        <w:t xml:space="preserve"> ei viktig </w:t>
      </w:r>
      <w:proofErr w:type="spellStart"/>
      <w:r w:rsidRPr="00B419CE">
        <w:t>oppgåve</w:t>
      </w:r>
      <w:proofErr w:type="spellEnd"/>
      <w:r w:rsidRPr="00B419CE">
        <w:t xml:space="preserve"> framover.</w:t>
      </w:r>
    </w:p>
    <w:p w14:paraId="4C6D547D" w14:textId="77777777" w:rsidR="00B419CE" w:rsidRPr="00B419CE" w:rsidRDefault="00B419CE" w:rsidP="00B419CE">
      <w:r w:rsidRPr="00B419CE">
        <w:t xml:space="preserve">Det er </w:t>
      </w:r>
      <w:proofErr w:type="spellStart"/>
      <w:r w:rsidRPr="00B419CE">
        <w:t>vedteke</w:t>
      </w:r>
      <w:proofErr w:type="spellEnd"/>
      <w:r w:rsidRPr="00B419CE">
        <w:t xml:space="preserve"> </w:t>
      </w:r>
      <w:proofErr w:type="spellStart"/>
      <w:r w:rsidRPr="00B419CE">
        <w:t>eit</w:t>
      </w:r>
      <w:proofErr w:type="spellEnd"/>
      <w:r w:rsidRPr="00B419CE">
        <w:t xml:space="preserve"> nasjonalt program for offisiell statistikk for 2021 til 2023. Fyrste program gjeld </w:t>
      </w:r>
      <w:proofErr w:type="spellStart"/>
      <w:r w:rsidRPr="00B419CE">
        <w:t>ein</w:t>
      </w:r>
      <w:proofErr w:type="spellEnd"/>
      <w:r w:rsidRPr="00B419CE">
        <w:t xml:space="preserve"> kort periode, og SSB må i 2022 starte arbeidet med å utarbeide forslag til program for neste programperiode. Forslaget skal </w:t>
      </w:r>
      <w:proofErr w:type="spellStart"/>
      <w:r w:rsidRPr="00B419CE">
        <w:t>fremjast</w:t>
      </w:r>
      <w:proofErr w:type="spellEnd"/>
      <w:r w:rsidRPr="00B419CE">
        <w:t xml:space="preserve"> etter samråd med </w:t>
      </w:r>
      <w:proofErr w:type="spellStart"/>
      <w:r w:rsidRPr="00B419CE">
        <w:rPr>
          <w:rStyle w:val="kursiv"/>
        </w:rPr>
        <w:t>Utvalet</w:t>
      </w:r>
      <w:proofErr w:type="spellEnd"/>
      <w:r w:rsidRPr="00B419CE">
        <w:rPr>
          <w:rStyle w:val="kursiv"/>
        </w:rPr>
        <w:t xml:space="preserve"> for offisiell statistikk.</w:t>
      </w:r>
    </w:p>
    <w:p w14:paraId="194F2098" w14:textId="77777777" w:rsidR="00B419CE" w:rsidRPr="00B419CE" w:rsidRDefault="00B419CE" w:rsidP="00B419CE">
      <w:r w:rsidRPr="00B419CE">
        <w:t xml:space="preserve">SSB skal utvikle og </w:t>
      </w:r>
      <w:proofErr w:type="spellStart"/>
      <w:r w:rsidRPr="00B419CE">
        <w:t>fremje</w:t>
      </w:r>
      <w:proofErr w:type="spellEnd"/>
      <w:r w:rsidRPr="00B419CE">
        <w:t xml:space="preserve"> tiltak for kvalitetssikring og kompetansebygging </w:t>
      </w:r>
      <w:proofErr w:type="spellStart"/>
      <w:r w:rsidRPr="00B419CE">
        <w:t>innan</w:t>
      </w:r>
      <w:proofErr w:type="spellEnd"/>
      <w:r w:rsidRPr="00B419CE">
        <w:t xml:space="preserve"> det norske statistikksystemet i samråd med </w:t>
      </w:r>
      <w:proofErr w:type="spellStart"/>
      <w:r w:rsidRPr="00B419CE">
        <w:rPr>
          <w:rStyle w:val="kursiv"/>
        </w:rPr>
        <w:t>Utvalet</w:t>
      </w:r>
      <w:proofErr w:type="spellEnd"/>
      <w:r w:rsidRPr="00B419CE">
        <w:rPr>
          <w:rStyle w:val="kursiv"/>
        </w:rPr>
        <w:t xml:space="preserve"> for offisiell statistikk</w:t>
      </w:r>
      <w:r w:rsidRPr="00B419CE">
        <w:t xml:space="preserve">. </w:t>
      </w:r>
      <w:proofErr w:type="spellStart"/>
      <w:r w:rsidRPr="00B419CE">
        <w:t>Eit</w:t>
      </w:r>
      <w:proofErr w:type="spellEnd"/>
      <w:r w:rsidRPr="00B419CE">
        <w:t xml:space="preserve"> system for kvalitetssikring skal </w:t>
      </w:r>
      <w:proofErr w:type="spellStart"/>
      <w:r w:rsidRPr="00B419CE">
        <w:t>etablerast</w:t>
      </w:r>
      <w:proofErr w:type="spellEnd"/>
      <w:r w:rsidRPr="00B419CE">
        <w:t xml:space="preserve"> i 2021, og </w:t>
      </w:r>
      <w:proofErr w:type="spellStart"/>
      <w:r w:rsidRPr="00B419CE">
        <w:t>ein</w:t>
      </w:r>
      <w:proofErr w:type="spellEnd"/>
      <w:r w:rsidRPr="00B419CE">
        <w:t xml:space="preserve"> fyrste kvalitetsrapport for den norske offisielle statistikken skal publiserast i 2022. Denne rapporten gir grunnlag for å vurdere tiltak for betre kvalitet i offisiell statistikk og </w:t>
      </w:r>
      <w:proofErr w:type="spellStart"/>
      <w:r w:rsidRPr="00B419CE">
        <w:t>endringar</w:t>
      </w:r>
      <w:proofErr w:type="spellEnd"/>
      <w:r w:rsidRPr="00B419CE">
        <w:t xml:space="preserve"> i systemet for kvalitetssikring.</w:t>
      </w:r>
    </w:p>
    <w:p w14:paraId="0BA23140" w14:textId="77777777" w:rsidR="00B419CE" w:rsidRPr="00B419CE" w:rsidRDefault="00B419CE" w:rsidP="00B419CE">
      <w:r w:rsidRPr="00B419CE">
        <w:t xml:space="preserve">Offisiell statistikk skal være lett </w:t>
      </w:r>
      <w:proofErr w:type="spellStart"/>
      <w:r w:rsidRPr="00B419CE">
        <w:t>tilgjengeleg</w:t>
      </w:r>
      <w:proofErr w:type="spellEnd"/>
      <w:r w:rsidRPr="00B419CE">
        <w:t xml:space="preserve"> for </w:t>
      </w:r>
      <w:proofErr w:type="spellStart"/>
      <w:r w:rsidRPr="00B419CE">
        <w:t>brukarane</w:t>
      </w:r>
      <w:proofErr w:type="spellEnd"/>
      <w:r w:rsidRPr="00B419CE">
        <w:t xml:space="preserve">. SSB skal utvikle ei plattform for offisiell statistikk som er integrert med ssb.no. Plattforma gjev informasjon om det norske statistikksystemet og har </w:t>
      </w:r>
      <w:proofErr w:type="spellStart"/>
      <w:r w:rsidRPr="00B419CE">
        <w:t>inngangar</w:t>
      </w:r>
      <w:proofErr w:type="spellEnd"/>
      <w:r w:rsidRPr="00B419CE">
        <w:t xml:space="preserve"> til offisiell statistikk hos andre </w:t>
      </w:r>
      <w:proofErr w:type="spellStart"/>
      <w:r w:rsidRPr="00B419CE">
        <w:t>produsentar</w:t>
      </w:r>
      <w:proofErr w:type="spellEnd"/>
      <w:r w:rsidRPr="00B419CE">
        <w:t xml:space="preserve">. Målet på sikt er at all offisiell statistikk skal </w:t>
      </w:r>
      <w:proofErr w:type="spellStart"/>
      <w:r w:rsidRPr="00B419CE">
        <w:t>vere</w:t>
      </w:r>
      <w:proofErr w:type="spellEnd"/>
      <w:r w:rsidRPr="00B419CE">
        <w:t xml:space="preserve"> </w:t>
      </w:r>
      <w:proofErr w:type="spellStart"/>
      <w:r w:rsidRPr="00B419CE">
        <w:t>tilgjengeleg</w:t>
      </w:r>
      <w:proofErr w:type="spellEnd"/>
      <w:r w:rsidRPr="00B419CE">
        <w:t xml:space="preserve"> i same løysing. Plattforma skal gradvis </w:t>
      </w:r>
      <w:proofErr w:type="spellStart"/>
      <w:r w:rsidRPr="00B419CE">
        <w:t>byggjast</w:t>
      </w:r>
      <w:proofErr w:type="spellEnd"/>
      <w:r w:rsidRPr="00B419CE">
        <w:t xml:space="preserve"> ut i samarbeid med </w:t>
      </w:r>
      <w:proofErr w:type="spellStart"/>
      <w:r w:rsidRPr="00B419CE">
        <w:t>produsentane</w:t>
      </w:r>
      <w:proofErr w:type="spellEnd"/>
      <w:r w:rsidRPr="00B419CE">
        <w:t xml:space="preserve"> og etter samråd med </w:t>
      </w:r>
      <w:proofErr w:type="spellStart"/>
      <w:r w:rsidRPr="00B419CE">
        <w:t>Utvalet</w:t>
      </w:r>
      <w:proofErr w:type="spellEnd"/>
      <w:r w:rsidRPr="00B419CE">
        <w:t xml:space="preserve"> for offisiell statistikk.</w:t>
      </w:r>
    </w:p>
    <w:p w14:paraId="68482968" w14:textId="77777777" w:rsidR="00B419CE" w:rsidRPr="00B419CE" w:rsidRDefault="00B419CE" w:rsidP="00B419CE">
      <w:r w:rsidRPr="00B419CE">
        <w:lastRenderedPageBreak/>
        <w:t xml:space="preserve">SSB er </w:t>
      </w:r>
      <w:proofErr w:type="spellStart"/>
      <w:r w:rsidRPr="00B419CE">
        <w:t>ein</w:t>
      </w:r>
      <w:proofErr w:type="spellEnd"/>
      <w:r w:rsidRPr="00B419CE">
        <w:t xml:space="preserve"> viktig </w:t>
      </w:r>
      <w:proofErr w:type="spellStart"/>
      <w:r w:rsidRPr="00B419CE">
        <w:t>premissgjevar</w:t>
      </w:r>
      <w:proofErr w:type="spellEnd"/>
      <w:r w:rsidRPr="00B419CE">
        <w:t xml:space="preserve"> som skal </w:t>
      </w:r>
      <w:proofErr w:type="spellStart"/>
      <w:r w:rsidRPr="00B419CE">
        <w:t>vere</w:t>
      </w:r>
      <w:proofErr w:type="spellEnd"/>
      <w:r w:rsidRPr="00B419CE">
        <w:t xml:space="preserve"> til </w:t>
      </w:r>
      <w:proofErr w:type="spellStart"/>
      <w:r w:rsidRPr="00B419CE">
        <w:t>stades</w:t>
      </w:r>
      <w:proofErr w:type="spellEnd"/>
      <w:r w:rsidRPr="00B419CE">
        <w:t xml:space="preserve"> i </w:t>
      </w:r>
      <w:proofErr w:type="spellStart"/>
      <w:r w:rsidRPr="00B419CE">
        <w:t>offentlegheita</w:t>
      </w:r>
      <w:proofErr w:type="spellEnd"/>
      <w:r w:rsidRPr="00B419CE">
        <w:t xml:space="preserve">, bidra med statistikk om heile samfunnet, sjå </w:t>
      </w:r>
      <w:proofErr w:type="spellStart"/>
      <w:r w:rsidRPr="00B419CE">
        <w:t>statistikkar</w:t>
      </w:r>
      <w:proofErr w:type="spellEnd"/>
      <w:r w:rsidRPr="00B419CE">
        <w:t xml:space="preserve"> i </w:t>
      </w:r>
      <w:proofErr w:type="spellStart"/>
      <w:r w:rsidRPr="00B419CE">
        <w:t>samanheng</w:t>
      </w:r>
      <w:proofErr w:type="spellEnd"/>
      <w:r w:rsidRPr="00B419CE">
        <w:t xml:space="preserve"> og </w:t>
      </w:r>
      <w:proofErr w:type="spellStart"/>
      <w:r w:rsidRPr="00B419CE">
        <w:t>gjere</w:t>
      </w:r>
      <w:proofErr w:type="spellEnd"/>
      <w:r w:rsidRPr="00B419CE">
        <w:t xml:space="preserve"> </w:t>
      </w:r>
      <w:proofErr w:type="spellStart"/>
      <w:r w:rsidRPr="00B419CE">
        <w:t>analysar</w:t>
      </w:r>
      <w:proofErr w:type="spellEnd"/>
      <w:r w:rsidRPr="00B419CE">
        <w:t xml:space="preserve"> av aktuelle saker. Verda vert </w:t>
      </w:r>
      <w:proofErr w:type="spellStart"/>
      <w:r w:rsidRPr="00B419CE">
        <w:t>meir</w:t>
      </w:r>
      <w:proofErr w:type="spellEnd"/>
      <w:r w:rsidRPr="00B419CE">
        <w:t xml:space="preserve"> komplisert, og det er viktig å nytte data </w:t>
      </w:r>
      <w:proofErr w:type="spellStart"/>
      <w:r w:rsidRPr="00B419CE">
        <w:t>frå</w:t>
      </w:r>
      <w:proofErr w:type="spellEnd"/>
      <w:r w:rsidRPr="00B419CE">
        <w:t xml:space="preserve"> </w:t>
      </w:r>
      <w:proofErr w:type="spellStart"/>
      <w:r w:rsidRPr="00B419CE">
        <w:t>fleire</w:t>
      </w:r>
      <w:proofErr w:type="spellEnd"/>
      <w:r w:rsidRPr="00B419CE">
        <w:t xml:space="preserve"> og nye kjelder for å belyse </w:t>
      </w:r>
      <w:proofErr w:type="spellStart"/>
      <w:r w:rsidRPr="00B419CE">
        <w:t>samanhengane</w:t>
      </w:r>
      <w:proofErr w:type="spellEnd"/>
      <w:r w:rsidRPr="00B419CE">
        <w:t xml:space="preserve">. SSB må </w:t>
      </w:r>
      <w:proofErr w:type="spellStart"/>
      <w:r w:rsidRPr="00B419CE">
        <w:t>difor</w:t>
      </w:r>
      <w:proofErr w:type="spellEnd"/>
      <w:r w:rsidRPr="00B419CE">
        <w:t xml:space="preserve"> fange opp og utvikle relevante </w:t>
      </w:r>
      <w:proofErr w:type="spellStart"/>
      <w:r w:rsidRPr="00B419CE">
        <w:t>statistikkar</w:t>
      </w:r>
      <w:proofErr w:type="spellEnd"/>
      <w:r w:rsidRPr="00B419CE">
        <w:t xml:space="preserve"> og statistikkområde og gode </w:t>
      </w:r>
      <w:proofErr w:type="spellStart"/>
      <w:r w:rsidRPr="00B419CE">
        <w:t>formidlingsmetodar</w:t>
      </w:r>
      <w:proofErr w:type="spellEnd"/>
      <w:r w:rsidRPr="00B419CE">
        <w:t xml:space="preserve"> </w:t>
      </w:r>
      <w:proofErr w:type="spellStart"/>
      <w:r w:rsidRPr="00B419CE">
        <w:t>innanfor</w:t>
      </w:r>
      <w:proofErr w:type="spellEnd"/>
      <w:r w:rsidRPr="00B419CE">
        <w:t xml:space="preserve"> </w:t>
      </w:r>
      <w:proofErr w:type="spellStart"/>
      <w:r w:rsidRPr="00B419CE">
        <w:t>dei</w:t>
      </w:r>
      <w:proofErr w:type="spellEnd"/>
      <w:r w:rsidRPr="00B419CE">
        <w:t xml:space="preserve"> </w:t>
      </w:r>
      <w:proofErr w:type="spellStart"/>
      <w:r w:rsidRPr="00B419CE">
        <w:t>ressursane</w:t>
      </w:r>
      <w:proofErr w:type="spellEnd"/>
      <w:r w:rsidRPr="00B419CE">
        <w:t xml:space="preserve"> </w:t>
      </w:r>
      <w:proofErr w:type="spellStart"/>
      <w:r w:rsidRPr="00B419CE">
        <w:t>verksemda</w:t>
      </w:r>
      <w:proofErr w:type="spellEnd"/>
      <w:r w:rsidRPr="00B419CE">
        <w:t xml:space="preserve"> disponerer. Gjennom å leie </w:t>
      </w:r>
      <w:proofErr w:type="spellStart"/>
      <w:r w:rsidRPr="00B419CE">
        <w:rPr>
          <w:rStyle w:val="kursiv"/>
        </w:rPr>
        <w:t>Utvalet</w:t>
      </w:r>
      <w:proofErr w:type="spellEnd"/>
      <w:r w:rsidRPr="00B419CE">
        <w:rPr>
          <w:rStyle w:val="kursiv"/>
        </w:rPr>
        <w:t xml:space="preserve"> for offisiell statistikk</w:t>
      </w:r>
      <w:r w:rsidRPr="00B419CE">
        <w:t xml:space="preserve"> og ha </w:t>
      </w:r>
      <w:proofErr w:type="spellStart"/>
      <w:r w:rsidRPr="00B419CE">
        <w:t>eit</w:t>
      </w:r>
      <w:proofErr w:type="spellEnd"/>
      <w:r w:rsidRPr="00B419CE">
        <w:t xml:space="preserve"> utvida ansvar for samordning, skal SSB òg kunne </w:t>
      </w:r>
      <w:proofErr w:type="spellStart"/>
      <w:r w:rsidRPr="00B419CE">
        <w:t>følgje</w:t>
      </w:r>
      <w:proofErr w:type="spellEnd"/>
      <w:r w:rsidRPr="00B419CE">
        <w:t xml:space="preserve"> opp at alle </w:t>
      </w:r>
      <w:proofErr w:type="spellStart"/>
      <w:r w:rsidRPr="00B419CE">
        <w:t>dei</w:t>
      </w:r>
      <w:proofErr w:type="spellEnd"/>
      <w:r w:rsidRPr="00B419CE">
        <w:t xml:space="preserve"> offisielle </w:t>
      </w:r>
      <w:proofErr w:type="spellStart"/>
      <w:r w:rsidRPr="00B419CE">
        <w:t>produsentane</w:t>
      </w:r>
      <w:proofErr w:type="spellEnd"/>
      <w:r w:rsidRPr="00B419CE">
        <w:t xml:space="preserve"> i statistikksystemet bidrar til dette.</w:t>
      </w:r>
    </w:p>
    <w:p w14:paraId="33696DB9" w14:textId="77777777" w:rsidR="00B419CE" w:rsidRPr="00B419CE" w:rsidRDefault="00B419CE" w:rsidP="00B419CE">
      <w:r w:rsidRPr="00B419CE">
        <w:t xml:space="preserve">I samband med ny lov og krava til offisiell statistikk er den FoU-statistikken som NIFU (Nordisk institutt for studier av innovasjon, forsking og utdanning) </w:t>
      </w:r>
      <w:proofErr w:type="spellStart"/>
      <w:r w:rsidRPr="00B419CE">
        <w:t>utarbeidar</w:t>
      </w:r>
      <w:proofErr w:type="spellEnd"/>
      <w:r w:rsidRPr="00B419CE">
        <w:t xml:space="preserve"> vedtatt overført til SSB. Overføringa vert gjennomført som ei </w:t>
      </w:r>
      <w:proofErr w:type="spellStart"/>
      <w:r w:rsidRPr="00B419CE">
        <w:t>verksemdsoverdraging</w:t>
      </w:r>
      <w:proofErr w:type="spellEnd"/>
      <w:r w:rsidRPr="00B419CE">
        <w:t xml:space="preserve"> og bidrar til å samle FoU-statistikken hos SSB.</w:t>
      </w:r>
    </w:p>
    <w:p w14:paraId="6EA31E1B" w14:textId="77777777" w:rsidR="00B419CE" w:rsidRPr="00B419CE" w:rsidRDefault="00B419CE" w:rsidP="00B419CE">
      <w:pPr>
        <w:pStyle w:val="avsnitt-undertittel"/>
      </w:pPr>
      <w:proofErr w:type="spellStart"/>
      <w:r w:rsidRPr="00B419CE">
        <w:t>Leiande</w:t>
      </w:r>
      <w:proofErr w:type="spellEnd"/>
      <w:r w:rsidRPr="00B419CE">
        <w:t xml:space="preserve"> miljø for anvend forsking på norsk økonomi</w:t>
      </w:r>
    </w:p>
    <w:p w14:paraId="02C6F217" w14:textId="77777777" w:rsidR="00B419CE" w:rsidRPr="00B419CE" w:rsidRDefault="00B419CE" w:rsidP="00B419CE">
      <w:r w:rsidRPr="00B419CE">
        <w:t xml:space="preserve">SSB skal drive forsking og analyse i den grad det </w:t>
      </w:r>
      <w:proofErr w:type="spellStart"/>
      <w:r w:rsidRPr="00B419CE">
        <w:t>krevst</w:t>
      </w:r>
      <w:proofErr w:type="spellEnd"/>
      <w:r w:rsidRPr="00B419CE">
        <w:t xml:space="preserve"> for å kunne utvikle, utarbeide og formidle offisiell statistikk på </w:t>
      </w:r>
      <w:proofErr w:type="spellStart"/>
      <w:r w:rsidRPr="00B419CE">
        <w:t>ein</w:t>
      </w:r>
      <w:proofErr w:type="spellEnd"/>
      <w:r w:rsidRPr="00B419CE">
        <w:t xml:space="preserve"> god måte. Det vil stadig </w:t>
      </w:r>
      <w:proofErr w:type="spellStart"/>
      <w:r w:rsidRPr="00B419CE">
        <w:t>vere</w:t>
      </w:r>
      <w:proofErr w:type="spellEnd"/>
      <w:r w:rsidRPr="00B419CE">
        <w:t xml:space="preserve"> </w:t>
      </w:r>
      <w:proofErr w:type="spellStart"/>
      <w:r w:rsidRPr="00B419CE">
        <w:t>naudsynt</w:t>
      </w:r>
      <w:proofErr w:type="spellEnd"/>
      <w:r w:rsidRPr="00B419CE">
        <w:t xml:space="preserve"> å forske på statistiske </w:t>
      </w:r>
      <w:proofErr w:type="spellStart"/>
      <w:r w:rsidRPr="00B419CE">
        <w:t>metodar</w:t>
      </w:r>
      <w:proofErr w:type="spellEnd"/>
      <w:r w:rsidRPr="00B419CE">
        <w:t xml:space="preserve">. </w:t>
      </w:r>
      <w:proofErr w:type="spellStart"/>
      <w:r w:rsidRPr="00B419CE">
        <w:t>Aukande</w:t>
      </w:r>
      <w:proofErr w:type="spellEnd"/>
      <w:r w:rsidRPr="00B419CE">
        <w:t xml:space="preserve"> tilfang av nye datakjelder </w:t>
      </w:r>
      <w:proofErr w:type="spellStart"/>
      <w:r w:rsidRPr="00B419CE">
        <w:t>gjer</w:t>
      </w:r>
      <w:proofErr w:type="spellEnd"/>
      <w:r w:rsidRPr="00B419CE">
        <w:t xml:space="preserve"> at nye </w:t>
      </w:r>
      <w:proofErr w:type="spellStart"/>
      <w:r w:rsidRPr="00B419CE">
        <w:t>problemstillingar</w:t>
      </w:r>
      <w:proofErr w:type="spellEnd"/>
      <w:r w:rsidRPr="00B419CE">
        <w:t xml:space="preserve"> vil dukke opp.</w:t>
      </w:r>
    </w:p>
    <w:p w14:paraId="25420EA2" w14:textId="77777777" w:rsidR="00B419CE" w:rsidRPr="00B419CE" w:rsidRDefault="00B419CE" w:rsidP="00B419CE">
      <w:r w:rsidRPr="00B419CE">
        <w:t xml:space="preserve">Statistikklova § 17 slår òg fast at SSB skal drive forsking og analyse på norsk økonomi ut over det som </w:t>
      </w:r>
      <w:proofErr w:type="spellStart"/>
      <w:r w:rsidRPr="00B419CE">
        <w:t>krevst</w:t>
      </w:r>
      <w:proofErr w:type="spellEnd"/>
      <w:r w:rsidRPr="00B419CE">
        <w:t xml:space="preserve"> i samband med statistikkproduksjonen. Det er lange </w:t>
      </w:r>
      <w:proofErr w:type="spellStart"/>
      <w:r w:rsidRPr="00B419CE">
        <w:t>tradisjonar</w:t>
      </w:r>
      <w:proofErr w:type="spellEnd"/>
      <w:r w:rsidRPr="00B419CE">
        <w:t xml:space="preserve"> for slik forsking i SSB. Saman med statistikken har dette arbeidet lagt til rette for ei god forståing av samfunnet og samfunnsutviklinga.</w:t>
      </w:r>
    </w:p>
    <w:p w14:paraId="7238321F" w14:textId="77777777" w:rsidR="00B419CE" w:rsidRPr="00B419CE" w:rsidRDefault="00B419CE" w:rsidP="00B419CE">
      <w:r w:rsidRPr="00B419CE">
        <w:t xml:space="preserve">SSB må utvikle </w:t>
      </w:r>
      <w:proofErr w:type="spellStart"/>
      <w:r w:rsidRPr="00B419CE">
        <w:t>dei</w:t>
      </w:r>
      <w:proofErr w:type="spellEnd"/>
      <w:r w:rsidRPr="00B419CE">
        <w:t xml:space="preserve"> økonomiske </w:t>
      </w:r>
      <w:proofErr w:type="spellStart"/>
      <w:r w:rsidRPr="00B419CE">
        <w:t>modellane</w:t>
      </w:r>
      <w:proofErr w:type="spellEnd"/>
      <w:r w:rsidRPr="00B419CE">
        <w:t xml:space="preserve"> det </w:t>
      </w:r>
      <w:proofErr w:type="spellStart"/>
      <w:r w:rsidRPr="00B419CE">
        <w:t>forvaltar</w:t>
      </w:r>
      <w:proofErr w:type="spellEnd"/>
      <w:r w:rsidRPr="00B419CE">
        <w:t xml:space="preserve">. </w:t>
      </w:r>
      <w:proofErr w:type="spellStart"/>
      <w:r w:rsidRPr="00B419CE">
        <w:t>Modellane</w:t>
      </w:r>
      <w:proofErr w:type="spellEnd"/>
      <w:r w:rsidRPr="00B419CE">
        <w:t xml:space="preserve"> er sentrale for både </w:t>
      </w:r>
      <w:proofErr w:type="spellStart"/>
      <w:r w:rsidRPr="00B419CE">
        <w:t>verksemdas</w:t>
      </w:r>
      <w:proofErr w:type="spellEnd"/>
      <w:r w:rsidRPr="00B419CE">
        <w:t xml:space="preserve"> eige arbeid med mellom anna </w:t>
      </w:r>
      <w:proofErr w:type="spellStart"/>
      <w:r w:rsidRPr="00B419CE">
        <w:t>prognosar</w:t>
      </w:r>
      <w:proofErr w:type="spellEnd"/>
      <w:r w:rsidRPr="00B419CE">
        <w:t xml:space="preserve"> og for regjeringas politikkutvikling. Finansieringa av </w:t>
      </w:r>
      <w:proofErr w:type="spellStart"/>
      <w:r w:rsidRPr="00B419CE">
        <w:t>delar</w:t>
      </w:r>
      <w:proofErr w:type="spellEnd"/>
      <w:r w:rsidRPr="00B419CE">
        <w:t xml:space="preserve"> av modellarbeidet vert </w:t>
      </w:r>
      <w:proofErr w:type="spellStart"/>
      <w:r w:rsidRPr="00B419CE">
        <w:t>frå</w:t>
      </w:r>
      <w:proofErr w:type="spellEnd"/>
      <w:r w:rsidRPr="00B419CE">
        <w:t xml:space="preserve"> 2022, i samsvar med </w:t>
      </w:r>
      <w:proofErr w:type="spellStart"/>
      <w:r w:rsidRPr="00B419CE">
        <w:t>ynskje</w:t>
      </w:r>
      <w:proofErr w:type="spellEnd"/>
      <w:r w:rsidRPr="00B419CE">
        <w:t xml:space="preserve"> </w:t>
      </w:r>
      <w:proofErr w:type="spellStart"/>
      <w:r w:rsidRPr="00B419CE">
        <w:t>frå</w:t>
      </w:r>
      <w:proofErr w:type="spellEnd"/>
      <w:r w:rsidRPr="00B419CE">
        <w:t xml:space="preserve"> SSB, ført over </w:t>
      </w:r>
      <w:proofErr w:type="spellStart"/>
      <w:r w:rsidRPr="00B419CE">
        <w:t>frå</w:t>
      </w:r>
      <w:proofErr w:type="spellEnd"/>
      <w:r w:rsidRPr="00B419CE">
        <w:t xml:space="preserve"> direkte betaling for </w:t>
      </w:r>
      <w:proofErr w:type="spellStart"/>
      <w:r w:rsidRPr="00B419CE">
        <w:t>modellane</w:t>
      </w:r>
      <w:proofErr w:type="spellEnd"/>
      <w:r w:rsidRPr="00B419CE">
        <w:t xml:space="preserve"> </w:t>
      </w:r>
      <w:proofErr w:type="spellStart"/>
      <w:r w:rsidRPr="00B419CE">
        <w:t>frå</w:t>
      </w:r>
      <w:proofErr w:type="spellEnd"/>
      <w:r w:rsidRPr="00B419CE">
        <w:t xml:space="preserve"> Finansdepartementet til den generelle løyvinga til SSB, jf. omtale </w:t>
      </w:r>
      <w:proofErr w:type="spellStart"/>
      <w:r w:rsidRPr="00B419CE">
        <w:t>nedanfor</w:t>
      </w:r>
      <w:proofErr w:type="spellEnd"/>
      <w:r w:rsidRPr="00B419CE">
        <w:t xml:space="preserve"> under budsjettframlegget for kap. 1620, post 01.</w:t>
      </w:r>
    </w:p>
    <w:p w14:paraId="70E7B4DD" w14:textId="77777777" w:rsidR="00B419CE" w:rsidRPr="00B419CE" w:rsidRDefault="00B419CE" w:rsidP="00B419CE">
      <w:pPr>
        <w:pStyle w:val="avsnitt-undertittel"/>
      </w:pPr>
      <w:r w:rsidRPr="00B419CE">
        <w:t xml:space="preserve">Betre produkt og </w:t>
      </w:r>
      <w:proofErr w:type="spellStart"/>
      <w:r w:rsidRPr="00B419CE">
        <w:t>tenester</w:t>
      </w:r>
      <w:proofErr w:type="spellEnd"/>
    </w:p>
    <w:p w14:paraId="041267D1" w14:textId="77777777" w:rsidR="00B419CE" w:rsidRPr="00B419CE" w:rsidRDefault="00B419CE" w:rsidP="00B419CE">
      <w:r w:rsidRPr="00B419CE">
        <w:t xml:space="preserve">Offisiell statistikk skal </w:t>
      </w:r>
      <w:proofErr w:type="spellStart"/>
      <w:r w:rsidRPr="00B419CE">
        <w:t>vere</w:t>
      </w:r>
      <w:proofErr w:type="spellEnd"/>
      <w:r w:rsidRPr="00B419CE">
        <w:t xml:space="preserve"> til allmenn nytte. Folk </w:t>
      </w:r>
      <w:proofErr w:type="spellStart"/>
      <w:r w:rsidRPr="00B419CE">
        <w:t>hentar</w:t>
      </w:r>
      <w:proofErr w:type="spellEnd"/>
      <w:r w:rsidRPr="00B419CE">
        <w:t xml:space="preserve"> informasjon om samfunnet og samfunnsutviklinga </w:t>
      </w:r>
      <w:proofErr w:type="spellStart"/>
      <w:r w:rsidRPr="00B419CE">
        <w:t>frå</w:t>
      </w:r>
      <w:proofErr w:type="spellEnd"/>
      <w:r w:rsidRPr="00B419CE">
        <w:t xml:space="preserve"> mange kjelder. For at SSB skal </w:t>
      </w:r>
      <w:proofErr w:type="spellStart"/>
      <w:r w:rsidRPr="00B419CE">
        <w:t>vere</w:t>
      </w:r>
      <w:proofErr w:type="spellEnd"/>
      <w:r w:rsidRPr="00B419CE">
        <w:t xml:space="preserve"> ei relevant og aktuell kjelde som vert brukt, må </w:t>
      </w:r>
      <w:proofErr w:type="spellStart"/>
      <w:r w:rsidRPr="00B419CE">
        <w:t>vidare</w:t>
      </w:r>
      <w:proofErr w:type="spellEnd"/>
      <w:r w:rsidRPr="00B419CE">
        <w:t xml:space="preserve"> utvikling av SSB òg skje i dialog med </w:t>
      </w:r>
      <w:proofErr w:type="spellStart"/>
      <w:r w:rsidRPr="00B419CE">
        <w:t>brukarar</w:t>
      </w:r>
      <w:proofErr w:type="spellEnd"/>
      <w:r w:rsidRPr="00B419CE">
        <w:t xml:space="preserve">, </w:t>
      </w:r>
      <w:proofErr w:type="spellStart"/>
      <w:r w:rsidRPr="00B419CE">
        <w:t>registereigarar</w:t>
      </w:r>
      <w:proofErr w:type="spellEnd"/>
      <w:r w:rsidRPr="00B419CE">
        <w:t xml:space="preserve"> og andre </w:t>
      </w:r>
      <w:proofErr w:type="spellStart"/>
      <w:r w:rsidRPr="00B419CE">
        <w:t>dataforvaltarar</w:t>
      </w:r>
      <w:proofErr w:type="spellEnd"/>
      <w:r w:rsidRPr="00B419CE">
        <w:t xml:space="preserve">. Behova til </w:t>
      </w:r>
      <w:proofErr w:type="spellStart"/>
      <w:r w:rsidRPr="00B419CE">
        <w:t>brukarane</w:t>
      </w:r>
      <w:proofErr w:type="spellEnd"/>
      <w:r w:rsidRPr="00B419CE">
        <w:t xml:space="preserve"> vil </w:t>
      </w:r>
      <w:proofErr w:type="spellStart"/>
      <w:r w:rsidRPr="00B419CE">
        <w:t>vere</w:t>
      </w:r>
      <w:proofErr w:type="spellEnd"/>
      <w:r w:rsidRPr="00B419CE">
        <w:t xml:space="preserve"> viktig for utvikling, produksjon og formidling av statistikk, </w:t>
      </w:r>
      <w:proofErr w:type="spellStart"/>
      <w:r w:rsidRPr="00B419CE">
        <w:t>analysar</w:t>
      </w:r>
      <w:proofErr w:type="spellEnd"/>
      <w:r w:rsidRPr="00B419CE">
        <w:t xml:space="preserve"> og forsking.</w:t>
      </w:r>
    </w:p>
    <w:p w14:paraId="51257532" w14:textId="77777777" w:rsidR="00B419CE" w:rsidRPr="00B419CE" w:rsidRDefault="00B419CE" w:rsidP="00B419CE">
      <w:proofErr w:type="spellStart"/>
      <w:r w:rsidRPr="00B419CE">
        <w:t>Eit</w:t>
      </w:r>
      <w:proofErr w:type="spellEnd"/>
      <w:r w:rsidRPr="00B419CE">
        <w:t xml:space="preserve"> godt samarbeid med </w:t>
      </w:r>
      <w:proofErr w:type="spellStart"/>
      <w:r w:rsidRPr="00B419CE">
        <w:t>registereigarane</w:t>
      </w:r>
      <w:proofErr w:type="spellEnd"/>
      <w:r w:rsidRPr="00B419CE">
        <w:t xml:space="preserve"> og andre </w:t>
      </w:r>
      <w:proofErr w:type="spellStart"/>
      <w:r w:rsidRPr="00B419CE">
        <w:t>dataeigarar</w:t>
      </w:r>
      <w:proofErr w:type="spellEnd"/>
      <w:r w:rsidRPr="00B419CE">
        <w:t xml:space="preserve"> kan òg </w:t>
      </w:r>
      <w:proofErr w:type="spellStart"/>
      <w:r w:rsidRPr="00B419CE">
        <w:t>medverke</w:t>
      </w:r>
      <w:proofErr w:type="spellEnd"/>
      <w:r w:rsidRPr="00B419CE">
        <w:t xml:space="preserve"> til å redusere </w:t>
      </w:r>
      <w:proofErr w:type="spellStart"/>
      <w:r w:rsidRPr="00B419CE">
        <w:t>oppgåvebøra</w:t>
      </w:r>
      <w:proofErr w:type="spellEnd"/>
      <w:r w:rsidRPr="00B419CE">
        <w:t xml:space="preserve"> for næringslivet og andre, </w:t>
      </w:r>
      <w:proofErr w:type="spellStart"/>
      <w:r w:rsidRPr="00B419CE">
        <w:t>gje</w:t>
      </w:r>
      <w:proofErr w:type="spellEnd"/>
      <w:r w:rsidRPr="00B419CE">
        <w:t xml:space="preserve"> registerdata med betre kvalitet og sikre tilgang til nye datakjelder. For næringslivet vil betre skjema for </w:t>
      </w:r>
      <w:proofErr w:type="spellStart"/>
      <w:r w:rsidRPr="00B419CE">
        <w:t>sjølvadministrerte</w:t>
      </w:r>
      <w:proofErr w:type="spellEnd"/>
      <w:r w:rsidRPr="00B419CE">
        <w:t xml:space="preserve"> </w:t>
      </w:r>
      <w:proofErr w:type="spellStart"/>
      <w:r w:rsidRPr="00B419CE">
        <w:t>undersøkingar</w:t>
      </w:r>
      <w:proofErr w:type="spellEnd"/>
      <w:r w:rsidRPr="00B419CE">
        <w:t xml:space="preserve">, </w:t>
      </w:r>
      <w:proofErr w:type="spellStart"/>
      <w:r w:rsidRPr="00B419CE">
        <w:t>auka</w:t>
      </w:r>
      <w:proofErr w:type="spellEnd"/>
      <w:r w:rsidRPr="00B419CE">
        <w:t xml:space="preserve"> bruk av data direkte </w:t>
      </w:r>
      <w:proofErr w:type="spellStart"/>
      <w:r w:rsidRPr="00B419CE">
        <w:t>frå</w:t>
      </w:r>
      <w:proofErr w:type="spellEnd"/>
      <w:r w:rsidRPr="00B419CE">
        <w:t xml:space="preserve"> </w:t>
      </w:r>
      <w:proofErr w:type="spellStart"/>
      <w:r w:rsidRPr="00B419CE">
        <w:t>næringane</w:t>
      </w:r>
      <w:proofErr w:type="spellEnd"/>
      <w:r w:rsidRPr="00B419CE">
        <w:t xml:space="preserve"> sine eigne system og </w:t>
      </w:r>
      <w:proofErr w:type="spellStart"/>
      <w:r w:rsidRPr="00B419CE">
        <w:t>auka</w:t>
      </w:r>
      <w:proofErr w:type="spellEnd"/>
      <w:r w:rsidRPr="00B419CE">
        <w:t xml:space="preserve"> bruk av ukonvensjonelle datakjelder </w:t>
      </w:r>
      <w:proofErr w:type="spellStart"/>
      <w:r w:rsidRPr="00B419CE">
        <w:t>vere</w:t>
      </w:r>
      <w:proofErr w:type="spellEnd"/>
      <w:r w:rsidRPr="00B419CE">
        <w:t xml:space="preserve"> viktig.</w:t>
      </w:r>
    </w:p>
    <w:p w14:paraId="250DE8D1" w14:textId="77777777" w:rsidR="00B419CE" w:rsidRPr="00B419CE" w:rsidRDefault="00B419CE" w:rsidP="00B419CE">
      <w:r w:rsidRPr="00B419CE">
        <w:t xml:space="preserve">SSB skal òg </w:t>
      </w:r>
      <w:proofErr w:type="spellStart"/>
      <w:r w:rsidRPr="00B419CE">
        <w:t>fortsetje</w:t>
      </w:r>
      <w:proofErr w:type="spellEnd"/>
      <w:r w:rsidRPr="00B419CE">
        <w:t xml:space="preserve"> arbeidet med å betre </w:t>
      </w:r>
      <w:proofErr w:type="spellStart"/>
      <w:r w:rsidRPr="00B419CE">
        <w:t>tenesta</w:t>
      </w:r>
      <w:proofErr w:type="spellEnd"/>
      <w:r w:rsidRPr="00B419CE">
        <w:t xml:space="preserve"> for </w:t>
      </w:r>
      <w:proofErr w:type="spellStart"/>
      <w:r w:rsidRPr="00B419CE">
        <w:t>tilgjengeleggjering</w:t>
      </w:r>
      <w:proofErr w:type="spellEnd"/>
      <w:r w:rsidRPr="00B419CE">
        <w:t xml:space="preserve"> av mikrodata. Mikrodata skal </w:t>
      </w:r>
      <w:proofErr w:type="spellStart"/>
      <w:r w:rsidRPr="00B419CE">
        <w:t>gjerast</w:t>
      </w:r>
      <w:proofErr w:type="spellEnd"/>
      <w:r w:rsidRPr="00B419CE">
        <w:t xml:space="preserve"> </w:t>
      </w:r>
      <w:proofErr w:type="spellStart"/>
      <w:r w:rsidRPr="00B419CE">
        <w:t>tilgjengeleg</w:t>
      </w:r>
      <w:proofErr w:type="spellEnd"/>
      <w:r w:rsidRPr="00B419CE">
        <w:t xml:space="preserve"> for </w:t>
      </w:r>
      <w:proofErr w:type="spellStart"/>
      <w:r w:rsidRPr="00B419CE">
        <w:t>forskarar</w:t>
      </w:r>
      <w:proofErr w:type="spellEnd"/>
      <w:r w:rsidRPr="00B419CE">
        <w:t xml:space="preserve"> og styresmakter på </w:t>
      </w:r>
      <w:proofErr w:type="spellStart"/>
      <w:r w:rsidRPr="00B419CE">
        <w:t>ein</w:t>
      </w:r>
      <w:proofErr w:type="spellEnd"/>
      <w:r w:rsidRPr="00B419CE">
        <w:t xml:space="preserve"> effektiv og </w:t>
      </w:r>
      <w:proofErr w:type="spellStart"/>
      <w:r w:rsidRPr="00B419CE">
        <w:lastRenderedPageBreak/>
        <w:t>føreseieleg</w:t>
      </w:r>
      <w:proofErr w:type="spellEnd"/>
      <w:r w:rsidRPr="00B419CE">
        <w:t xml:space="preserve"> måte, både ved tradisjonell </w:t>
      </w:r>
      <w:proofErr w:type="spellStart"/>
      <w:r w:rsidRPr="00B419CE">
        <w:t>tilgjengeleggjering</w:t>
      </w:r>
      <w:proofErr w:type="spellEnd"/>
      <w:r w:rsidRPr="00B419CE">
        <w:t xml:space="preserve"> og ved å </w:t>
      </w:r>
      <w:proofErr w:type="spellStart"/>
      <w:r w:rsidRPr="00B419CE">
        <w:t>vidareutvikle</w:t>
      </w:r>
      <w:proofErr w:type="spellEnd"/>
      <w:r w:rsidRPr="00B419CE">
        <w:t xml:space="preserve"> </w:t>
      </w:r>
      <w:proofErr w:type="spellStart"/>
      <w:r w:rsidRPr="00B419CE">
        <w:t>dei</w:t>
      </w:r>
      <w:proofErr w:type="spellEnd"/>
      <w:r w:rsidRPr="00B419CE">
        <w:t xml:space="preserve"> nye tekniske </w:t>
      </w:r>
      <w:proofErr w:type="spellStart"/>
      <w:r w:rsidRPr="00B419CE">
        <w:t>løysingane</w:t>
      </w:r>
      <w:proofErr w:type="spellEnd"/>
      <w:r w:rsidRPr="00B419CE">
        <w:t xml:space="preserve"> for datatilgang, lansert gjennom </w:t>
      </w:r>
      <w:r w:rsidRPr="00B419CE">
        <w:rPr>
          <w:rStyle w:val="kursiv"/>
        </w:rPr>
        <w:t>microdata.no</w:t>
      </w:r>
      <w:r w:rsidRPr="00B419CE">
        <w:t xml:space="preserve">. SSB må ha god dialog med </w:t>
      </w:r>
      <w:proofErr w:type="spellStart"/>
      <w:r w:rsidRPr="00B419CE">
        <w:t>brukarane</w:t>
      </w:r>
      <w:proofErr w:type="spellEnd"/>
      <w:r w:rsidRPr="00B419CE">
        <w:t xml:space="preserve"> og finne praktiske </w:t>
      </w:r>
      <w:proofErr w:type="spellStart"/>
      <w:r w:rsidRPr="00B419CE">
        <w:t>løysingar</w:t>
      </w:r>
      <w:proofErr w:type="spellEnd"/>
      <w:r w:rsidRPr="00B419CE">
        <w:t xml:space="preserve"> for </w:t>
      </w:r>
      <w:proofErr w:type="spellStart"/>
      <w:r w:rsidRPr="00B419CE">
        <w:t>forskarar</w:t>
      </w:r>
      <w:proofErr w:type="spellEnd"/>
      <w:r w:rsidRPr="00B419CE">
        <w:t xml:space="preserve"> og forvaltninga. Ei fjernaksessløysing eller ei eksportløysing til eksterne arbeids- og analyserom bør over tid </w:t>
      </w:r>
      <w:proofErr w:type="spellStart"/>
      <w:r w:rsidRPr="00B419CE">
        <w:t>verte</w:t>
      </w:r>
      <w:proofErr w:type="spellEnd"/>
      <w:r w:rsidRPr="00B419CE">
        <w:t xml:space="preserve"> </w:t>
      </w:r>
      <w:proofErr w:type="spellStart"/>
      <w:r w:rsidRPr="00B419CE">
        <w:t>ein</w:t>
      </w:r>
      <w:proofErr w:type="spellEnd"/>
      <w:r w:rsidRPr="00B419CE">
        <w:t xml:space="preserve"> del av SSBs </w:t>
      </w:r>
      <w:proofErr w:type="spellStart"/>
      <w:r w:rsidRPr="00B419CE">
        <w:t>tilbod</w:t>
      </w:r>
      <w:proofErr w:type="spellEnd"/>
      <w:r w:rsidRPr="00B419CE">
        <w:t>.</w:t>
      </w:r>
    </w:p>
    <w:p w14:paraId="21A951C0" w14:textId="77777777" w:rsidR="00B419CE" w:rsidRPr="00B419CE" w:rsidRDefault="00B419CE" w:rsidP="00B419CE">
      <w:pPr>
        <w:pStyle w:val="avsnitt-undertittel"/>
      </w:pPr>
      <w:r w:rsidRPr="00B419CE">
        <w:t>Utvikling og effektivisering</w:t>
      </w:r>
    </w:p>
    <w:p w14:paraId="77B1F296" w14:textId="77777777" w:rsidR="00B419CE" w:rsidRPr="00B419CE" w:rsidRDefault="00B419CE" w:rsidP="00B419CE">
      <w:r w:rsidRPr="00B419CE">
        <w:t xml:space="preserve">Teknologiske </w:t>
      </w:r>
      <w:proofErr w:type="spellStart"/>
      <w:r w:rsidRPr="00B419CE">
        <w:t>endringar</w:t>
      </w:r>
      <w:proofErr w:type="spellEnd"/>
      <w:r w:rsidRPr="00B419CE">
        <w:t xml:space="preserve"> gjev tilgang på </w:t>
      </w:r>
      <w:proofErr w:type="spellStart"/>
      <w:r w:rsidRPr="00B419CE">
        <w:t>meir</w:t>
      </w:r>
      <w:proofErr w:type="spellEnd"/>
      <w:r w:rsidRPr="00B419CE">
        <w:t xml:space="preserve"> data og nye datakjelder. Det </w:t>
      </w:r>
      <w:proofErr w:type="spellStart"/>
      <w:r w:rsidRPr="00B419CE">
        <w:t>skapar</w:t>
      </w:r>
      <w:proofErr w:type="spellEnd"/>
      <w:r w:rsidRPr="00B419CE">
        <w:t xml:space="preserve"> nye høve til statistikkutvikling, men fører òg til </w:t>
      </w:r>
      <w:proofErr w:type="spellStart"/>
      <w:r w:rsidRPr="00B419CE">
        <w:t>auka</w:t>
      </w:r>
      <w:proofErr w:type="spellEnd"/>
      <w:r w:rsidRPr="00B419CE">
        <w:t xml:space="preserve"> </w:t>
      </w:r>
      <w:proofErr w:type="spellStart"/>
      <w:r w:rsidRPr="00B419CE">
        <w:t>etterspurnad</w:t>
      </w:r>
      <w:proofErr w:type="spellEnd"/>
      <w:r w:rsidRPr="00B419CE">
        <w:t xml:space="preserve"> etter statistikk og </w:t>
      </w:r>
      <w:proofErr w:type="spellStart"/>
      <w:r w:rsidRPr="00B419CE">
        <w:t>analysar</w:t>
      </w:r>
      <w:proofErr w:type="spellEnd"/>
      <w:r w:rsidRPr="00B419CE">
        <w:t xml:space="preserve"> </w:t>
      </w:r>
      <w:proofErr w:type="spellStart"/>
      <w:r w:rsidRPr="00B419CE">
        <w:t>frå</w:t>
      </w:r>
      <w:proofErr w:type="spellEnd"/>
      <w:r w:rsidRPr="00B419CE">
        <w:t xml:space="preserve"> SSB. SSB må bruke stordata og nye </w:t>
      </w:r>
      <w:proofErr w:type="spellStart"/>
      <w:r w:rsidRPr="00B419CE">
        <w:t>metodar</w:t>
      </w:r>
      <w:proofErr w:type="spellEnd"/>
      <w:r w:rsidRPr="00B419CE">
        <w:t xml:space="preserve"> for å utvikle ny statistikk og nytte </w:t>
      </w:r>
      <w:proofErr w:type="spellStart"/>
      <w:r w:rsidRPr="00B419CE">
        <w:t>ressursane</w:t>
      </w:r>
      <w:proofErr w:type="spellEnd"/>
      <w:r w:rsidRPr="00B419CE">
        <w:t xml:space="preserve"> sine betre. Det er </w:t>
      </w:r>
      <w:proofErr w:type="spellStart"/>
      <w:r w:rsidRPr="00B419CE">
        <w:t>naudsynt</w:t>
      </w:r>
      <w:proofErr w:type="spellEnd"/>
      <w:r w:rsidRPr="00B419CE">
        <w:t xml:space="preserve"> å effektivisere og fornye, og </w:t>
      </w:r>
      <w:proofErr w:type="spellStart"/>
      <w:r w:rsidRPr="00B419CE">
        <w:t>ikkje</w:t>
      </w:r>
      <w:proofErr w:type="spellEnd"/>
      <w:r w:rsidRPr="00B419CE">
        <w:t xml:space="preserve"> minst å </w:t>
      </w:r>
      <w:proofErr w:type="spellStart"/>
      <w:r w:rsidRPr="00B419CE">
        <w:t>frigjere</w:t>
      </w:r>
      <w:proofErr w:type="spellEnd"/>
      <w:r w:rsidRPr="00B419CE">
        <w:t xml:space="preserve"> </w:t>
      </w:r>
      <w:proofErr w:type="spellStart"/>
      <w:r w:rsidRPr="00B419CE">
        <w:t>ressursar</w:t>
      </w:r>
      <w:proofErr w:type="spellEnd"/>
      <w:r w:rsidRPr="00B419CE">
        <w:t xml:space="preserve"> som kan </w:t>
      </w:r>
      <w:proofErr w:type="spellStart"/>
      <w:r w:rsidRPr="00B419CE">
        <w:t>gje</w:t>
      </w:r>
      <w:proofErr w:type="spellEnd"/>
      <w:r w:rsidRPr="00B419CE">
        <w:t xml:space="preserve"> rom for utvikling. SSB må heile tida utvikle statistikkproduksjonen for å møte </w:t>
      </w:r>
      <w:proofErr w:type="spellStart"/>
      <w:r w:rsidRPr="00B419CE">
        <w:t>auka</w:t>
      </w:r>
      <w:proofErr w:type="spellEnd"/>
      <w:r w:rsidRPr="00B419CE">
        <w:t xml:space="preserve"> krav </w:t>
      </w:r>
      <w:proofErr w:type="spellStart"/>
      <w:r w:rsidRPr="00B419CE">
        <w:t>frå</w:t>
      </w:r>
      <w:proofErr w:type="spellEnd"/>
      <w:r w:rsidRPr="00B419CE">
        <w:t xml:space="preserve"> </w:t>
      </w:r>
      <w:proofErr w:type="spellStart"/>
      <w:r w:rsidRPr="00B419CE">
        <w:t>brukarane</w:t>
      </w:r>
      <w:proofErr w:type="spellEnd"/>
      <w:r w:rsidRPr="00B419CE">
        <w:t xml:space="preserve">, samstundes som </w:t>
      </w:r>
      <w:proofErr w:type="spellStart"/>
      <w:r w:rsidRPr="00B419CE">
        <w:t>verksemda</w:t>
      </w:r>
      <w:proofErr w:type="spellEnd"/>
      <w:r w:rsidRPr="00B419CE">
        <w:t xml:space="preserve"> skal </w:t>
      </w:r>
      <w:proofErr w:type="spellStart"/>
      <w:r w:rsidRPr="00B419CE">
        <w:t>effektiviserast</w:t>
      </w:r>
      <w:proofErr w:type="spellEnd"/>
      <w:r w:rsidRPr="00B419CE">
        <w:t xml:space="preserve">. I det </w:t>
      </w:r>
      <w:proofErr w:type="spellStart"/>
      <w:r w:rsidRPr="00B419CE">
        <w:t>daglege</w:t>
      </w:r>
      <w:proofErr w:type="spellEnd"/>
      <w:r w:rsidRPr="00B419CE">
        <w:t xml:space="preserve"> arbeidet er det </w:t>
      </w:r>
      <w:proofErr w:type="spellStart"/>
      <w:r w:rsidRPr="00B419CE">
        <w:t>naudsynt</w:t>
      </w:r>
      <w:proofErr w:type="spellEnd"/>
      <w:r w:rsidRPr="00B419CE">
        <w:t xml:space="preserve"> at </w:t>
      </w:r>
      <w:proofErr w:type="spellStart"/>
      <w:r w:rsidRPr="00B419CE">
        <w:t>verksemda</w:t>
      </w:r>
      <w:proofErr w:type="spellEnd"/>
      <w:r w:rsidRPr="00B419CE">
        <w:t xml:space="preserve"> veg effektivitet opp mot andre </w:t>
      </w:r>
      <w:proofErr w:type="spellStart"/>
      <w:r w:rsidRPr="00B419CE">
        <w:t>kvalitetsindikatorar</w:t>
      </w:r>
      <w:proofErr w:type="spellEnd"/>
      <w:r w:rsidRPr="00B419CE">
        <w:t>.</w:t>
      </w:r>
    </w:p>
    <w:p w14:paraId="00B45B68" w14:textId="77777777" w:rsidR="00B419CE" w:rsidRPr="00B419CE" w:rsidRDefault="00B419CE" w:rsidP="00B419CE">
      <w:r w:rsidRPr="00B419CE">
        <w:t xml:space="preserve">Arbeidet med </w:t>
      </w:r>
      <w:proofErr w:type="spellStart"/>
      <w:r w:rsidRPr="00B419CE">
        <w:t>dei</w:t>
      </w:r>
      <w:proofErr w:type="spellEnd"/>
      <w:r w:rsidRPr="00B419CE">
        <w:t xml:space="preserve"> fyrste utviklingsprosjekta for å etablere ei moderne IT-plattform starta i 2018. Utviklingsarbeidet </w:t>
      </w:r>
      <w:proofErr w:type="spellStart"/>
      <w:r w:rsidRPr="00B419CE">
        <w:t>inneber</w:t>
      </w:r>
      <w:proofErr w:type="spellEnd"/>
      <w:r w:rsidRPr="00B419CE">
        <w:t xml:space="preserve"> mellom anna nye </w:t>
      </w:r>
      <w:proofErr w:type="spellStart"/>
      <w:r w:rsidRPr="00B419CE">
        <w:t>løysingar</w:t>
      </w:r>
      <w:proofErr w:type="spellEnd"/>
      <w:r w:rsidRPr="00B419CE">
        <w:t xml:space="preserve"> for datalagring og datafangst og </w:t>
      </w:r>
      <w:proofErr w:type="spellStart"/>
      <w:r w:rsidRPr="00B419CE">
        <w:t>prosessforbetringar</w:t>
      </w:r>
      <w:proofErr w:type="spellEnd"/>
      <w:r w:rsidRPr="00B419CE">
        <w:t xml:space="preserve"> i </w:t>
      </w:r>
      <w:proofErr w:type="spellStart"/>
      <w:r w:rsidRPr="00B419CE">
        <w:t>dei</w:t>
      </w:r>
      <w:proofErr w:type="spellEnd"/>
      <w:r w:rsidRPr="00B419CE">
        <w:t xml:space="preserve"> </w:t>
      </w:r>
      <w:proofErr w:type="spellStart"/>
      <w:r w:rsidRPr="00B419CE">
        <w:t>statistikkproduserande</w:t>
      </w:r>
      <w:proofErr w:type="spellEnd"/>
      <w:r w:rsidRPr="00B419CE">
        <w:t xml:space="preserve"> </w:t>
      </w:r>
      <w:proofErr w:type="spellStart"/>
      <w:r w:rsidRPr="00B419CE">
        <w:t>avdelingane</w:t>
      </w:r>
      <w:proofErr w:type="spellEnd"/>
      <w:r w:rsidRPr="00B419CE">
        <w:t xml:space="preserve">. </w:t>
      </w:r>
      <w:proofErr w:type="spellStart"/>
      <w:r w:rsidRPr="00B419CE">
        <w:t>Rutineprosessar</w:t>
      </w:r>
      <w:proofErr w:type="spellEnd"/>
      <w:r w:rsidRPr="00B419CE">
        <w:t xml:space="preserve"> som i dag krev </w:t>
      </w:r>
      <w:proofErr w:type="spellStart"/>
      <w:r w:rsidRPr="00B419CE">
        <w:t>mykje</w:t>
      </w:r>
      <w:proofErr w:type="spellEnd"/>
      <w:r w:rsidRPr="00B419CE">
        <w:t xml:space="preserve"> arbeidsinnsats, kan i større grad </w:t>
      </w:r>
      <w:proofErr w:type="spellStart"/>
      <w:r w:rsidRPr="00B419CE">
        <w:t>standardiserast</w:t>
      </w:r>
      <w:proofErr w:type="spellEnd"/>
      <w:r w:rsidRPr="00B419CE">
        <w:t xml:space="preserve"> og </w:t>
      </w:r>
      <w:proofErr w:type="spellStart"/>
      <w:r w:rsidRPr="00B419CE">
        <w:t>automatiserast</w:t>
      </w:r>
      <w:proofErr w:type="spellEnd"/>
      <w:r w:rsidRPr="00B419CE">
        <w:t xml:space="preserve">, og slik skape rom for å nytte </w:t>
      </w:r>
      <w:proofErr w:type="spellStart"/>
      <w:r w:rsidRPr="00B419CE">
        <w:t>fleire</w:t>
      </w:r>
      <w:proofErr w:type="spellEnd"/>
      <w:r w:rsidRPr="00B419CE">
        <w:t xml:space="preserve"> nye datakjelder og lage </w:t>
      </w:r>
      <w:proofErr w:type="spellStart"/>
      <w:r w:rsidRPr="00B419CE">
        <w:t>meir</w:t>
      </w:r>
      <w:proofErr w:type="spellEnd"/>
      <w:r w:rsidRPr="00B419CE">
        <w:t xml:space="preserve"> statistikk, analyse og formidling som er godt tilpassa ulike brukaromsyn. I tillegg til at forenkla </w:t>
      </w:r>
      <w:proofErr w:type="spellStart"/>
      <w:r w:rsidRPr="00B419CE">
        <w:t>produksjonsprosessar</w:t>
      </w:r>
      <w:proofErr w:type="spellEnd"/>
      <w:r w:rsidRPr="00B419CE">
        <w:t xml:space="preserve"> kan </w:t>
      </w:r>
      <w:proofErr w:type="spellStart"/>
      <w:r w:rsidRPr="00B419CE">
        <w:t>gje</w:t>
      </w:r>
      <w:proofErr w:type="spellEnd"/>
      <w:r w:rsidRPr="00B419CE">
        <w:t xml:space="preserve"> rom for </w:t>
      </w:r>
      <w:proofErr w:type="spellStart"/>
      <w:r w:rsidRPr="00B419CE">
        <w:t>vidare</w:t>
      </w:r>
      <w:proofErr w:type="spellEnd"/>
      <w:r w:rsidRPr="00B419CE">
        <w:t xml:space="preserve"> </w:t>
      </w:r>
      <w:proofErr w:type="spellStart"/>
      <w:r w:rsidRPr="00B419CE">
        <w:t>kontinuerleg</w:t>
      </w:r>
      <w:proofErr w:type="spellEnd"/>
      <w:r w:rsidRPr="00B419CE">
        <w:t xml:space="preserve"> utvikling, vil </w:t>
      </w:r>
      <w:proofErr w:type="spellStart"/>
      <w:r w:rsidRPr="00B419CE">
        <w:t>auka</w:t>
      </w:r>
      <w:proofErr w:type="spellEnd"/>
      <w:r w:rsidRPr="00B419CE">
        <w:t xml:space="preserve"> bruk av nye datakjelder òg </w:t>
      </w:r>
      <w:proofErr w:type="spellStart"/>
      <w:r w:rsidRPr="00B419CE">
        <w:t>medverke</w:t>
      </w:r>
      <w:proofErr w:type="spellEnd"/>
      <w:r w:rsidRPr="00B419CE">
        <w:t xml:space="preserve"> til å redusere </w:t>
      </w:r>
      <w:proofErr w:type="spellStart"/>
      <w:r w:rsidRPr="00B419CE">
        <w:t>oppgåvebøra</w:t>
      </w:r>
      <w:proofErr w:type="spellEnd"/>
      <w:r w:rsidRPr="00B419CE">
        <w:t xml:space="preserve"> for </w:t>
      </w:r>
      <w:proofErr w:type="spellStart"/>
      <w:r w:rsidRPr="00B419CE">
        <w:t>oppgåvegjevarar</w:t>
      </w:r>
      <w:proofErr w:type="spellEnd"/>
      <w:r w:rsidRPr="00B419CE">
        <w:t>.</w:t>
      </w:r>
    </w:p>
    <w:p w14:paraId="22236273" w14:textId="77777777" w:rsidR="00B419CE" w:rsidRPr="00B419CE" w:rsidRDefault="00B419CE" w:rsidP="00B419CE">
      <w:r w:rsidRPr="00B419CE">
        <w:t xml:space="preserve">Det største utviklingsprosjektet </w:t>
      </w:r>
      <w:proofErr w:type="spellStart"/>
      <w:r w:rsidRPr="00B419CE">
        <w:t>byggjer</w:t>
      </w:r>
      <w:proofErr w:type="spellEnd"/>
      <w:r w:rsidRPr="00B419CE">
        <w:t xml:space="preserve"> på </w:t>
      </w:r>
      <w:proofErr w:type="spellStart"/>
      <w:r w:rsidRPr="00B419CE">
        <w:t>dei</w:t>
      </w:r>
      <w:proofErr w:type="spellEnd"/>
      <w:r w:rsidRPr="00B419CE">
        <w:t xml:space="preserve"> same elementa som vert utvikla i samband med Skatteetatens prosjekt Sirius. SSB vil </w:t>
      </w:r>
      <w:proofErr w:type="spellStart"/>
      <w:r w:rsidRPr="00B419CE">
        <w:t>leggje</w:t>
      </w:r>
      <w:proofErr w:type="spellEnd"/>
      <w:r w:rsidRPr="00B419CE">
        <w:t xml:space="preserve"> til rette for at </w:t>
      </w:r>
      <w:proofErr w:type="spellStart"/>
      <w:r w:rsidRPr="00B419CE">
        <w:t>desse</w:t>
      </w:r>
      <w:proofErr w:type="spellEnd"/>
      <w:r w:rsidRPr="00B419CE">
        <w:t xml:space="preserve"> </w:t>
      </w:r>
      <w:proofErr w:type="spellStart"/>
      <w:r w:rsidRPr="00B419CE">
        <w:t>løysingane</w:t>
      </w:r>
      <w:proofErr w:type="spellEnd"/>
      <w:r w:rsidRPr="00B419CE">
        <w:t xml:space="preserve"> òg kan </w:t>
      </w:r>
      <w:proofErr w:type="spellStart"/>
      <w:r w:rsidRPr="00B419CE">
        <w:t>nyttast</w:t>
      </w:r>
      <w:proofErr w:type="spellEnd"/>
      <w:r w:rsidRPr="00B419CE">
        <w:t xml:space="preserve"> i </w:t>
      </w:r>
      <w:proofErr w:type="spellStart"/>
      <w:r w:rsidRPr="00B419CE">
        <w:t>annan</w:t>
      </w:r>
      <w:proofErr w:type="spellEnd"/>
      <w:r w:rsidRPr="00B419CE">
        <w:t xml:space="preserve"> statistikkproduksjon.</w:t>
      </w:r>
    </w:p>
    <w:p w14:paraId="42849C10" w14:textId="77777777" w:rsidR="00B419CE" w:rsidRPr="00B419CE" w:rsidRDefault="00B419CE" w:rsidP="00B419CE">
      <w:r w:rsidRPr="00B419CE">
        <w:t xml:space="preserve">Transaksjonsdata og andre stordata kan </w:t>
      </w:r>
      <w:proofErr w:type="spellStart"/>
      <w:r w:rsidRPr="00B419CE">
        <w:t>gje</w:t>
      </w:r>
      <w:proofErr w:type="spellEnd"/>
      <w:r w:rsidRPr="00B419CE">
        <w:t xml:space="preserve"> høve til statistikk på nye område og redusere </w:t>
      </w:r>
      <w:proofErr w:type="spellStart"/>
      <w:r w:rsidRPr="00B419CE">
        <w:t>oppgåvebøra</w:t>
      </w:r>
      <w:proofErr w:type="spellEnd"/>
      <w:r w:rsidRPr="00B419CE">
        <w:t xml:space="preserve"> for </w:t>
      </w:r>
      <w:proofErr w:type="spellStart"/>
      <w:r w:rsidRPr="00B419CE">
        <w:t>oppgåvegjevarar</w:t>
      </w:r>
      <w:proofErr w:type="spellEnd"/>
      <w:r w:rsidRPr="00B419CE">
        <w:t xml:space="preserve">. Slike data kan </w:t>
      </w:r>
      <w:proofErr w:type="spellStart"/>
      <w:r w:rsidRPr="00B419CE">
        <w:t>saman</w:t>
      </w:r>
      <w:proofErr w:type="spellEnd"/>
      <w:r w:rsidRPr="00B419CE">
        <w:t xml:space="preserve"> med nye </w:t>
      </w:r>
      <w:proofErr w:type="spellStart"/>
      <w:r w:rsidRPr="00B419CE">
        <w:t>metodar</w:t>
      </w:r>
      <w:proofErr w:type="spellEnd"/>
      <w:r w:rsidRPr="00B419CE">
        <w:t xml:space="preserve"> òg bidra positivt til </w:t>
      </w:r>
      <w:proofErr w:type="spellStart"/>
      <w:r w:rsidRPr="00B419CE">
        <w:t>eksisterande</w:t>
      </w:r>
      <w:proofErr w:type="spellEnd"/>
      <w:r w:rsidRPr="00B419CE">
        <w:t xml:space="preserve"> statistikk, </w:t>
      </w:r>
      <w:proofErr w:type="spellStart"/>
      <w:r w:rsidRPr="00B419CE">
        <w:t>noko</w:t>
      </w:r>
      <w:proofErr w:type="spellEnd"/>
      <w:r w:rsidRPr="00B419CE">
        <w:t xml:space="preserve"> bruk av transaksjonsdata i produksjonen av </w:t>
      </w:r>
      <w:proofErr w:type="spellStart"/>
      <w:r w:rsidRPr="00B419CE">
        <w:t>nasjonalrekneskapen</w:t>
      </w:r>
      <w:proofErr w:type="spellEnd"/>
      <w:r w:rsidRPr="00B419CE">
        <w:t xml:space="preserve"> i 2020 er </w:t>
      </w:r>
      <w:proofErr w:type="spellStart"/>
      <w:r w:rsidRPr="00B419CE">
        <w:t>eit</w:t>
      </w:r>
      <w:proofErr w:type="spellEnd"/>
      <w:r w:rsidRPr="00B419CE">
        <w:t xml:space="preserve"> døme på. SSB vil i 2022 gjennomføre ei ny forbruksundersøking. SSB skal i dette arbeidet </w:t>
      </w:r>
      <w:proofErr w:type="spellStart"/>
      <w:r w:rsidRPr="00B419CE">
        <w:t>gjere</w:t>
      </w:r>
      <w:proofErr w:type="spellEnd"/>
      <w:r w:rsidRPr="00B419CE">
        <w:t xml:space="preserve"> seg nytte av transaksjonsdata, som det </w:t>
      </w:r>
      <w:proofErr w:type="spellStart"/>
      <w:r w:rsidRPr="00B419CE">
        <w:t>ikkje</w:t>
      </w:r>
      <w:proofErr w:type="spellEnd"/>
      <w:r w:rsidRPr="00B419CE">
        <w:t xml:space="preserve"> </w:t>
      </w:r>
      <w:proofErr w:type="spellStart"/>
      <w:r w:rsidRPr="00B419CE">
        <w:t>tidlegare</w:t>
      </w:r>
      <w:proofErr w:type="spellEnd"/>
      <w:r w:rsidRPr="00B419CE">
        <w:t xml:space="preserve"> har hatt tilgang til. </w:t>
      </w:r>
      <w:proofErr w:type="spellStart"/>
      <w:r w:rsidRPr="00B419CE">
        <w:t>Førebelse</w:t>
      </w:r>
      <w:proofErr w:type="spellEnd"/>
      <w:r w:rsidRPr="00B419CE">
        <w:t xml:space="preserve"> </w:t>
      </w:r>
      <w:proofErr w:type="spellStart"/>
      <w:r w:rsidRPr="00B419CE">
        <w:t>konklusjonar</w:t>
      </w:r>
      <w:proofErr w:type="spellEnd"/>
      <w:r w:rsidRPr="00B419CE">
        <w:t xml:space="preserve"> er at </w:t>
      </w:r>
      <w:proofErr w:type="spellStart"/>
      <w:r w:rsidRPr="00B419CE">
        <w:t>ein</w:t>
      </w:r>
      <w:proofErr w:type="spellEnd"/>
      <w:r w:rsidRPr="00B419CE">
        <w:t xml:space="preserve"> i tillegg til å nytte transaksjonsdata, må supplere med andre kjelder for å få </w:t>
      </w:r>
      <w:proofErr w:type="spellStart"/>
      <w:r w:rsidRPr="00B419CE">
        <w:t>eit</w:t>
      </w:r>
      <w:proofErr w:type="spellEnd"/>
      <w:r w:rsidRPr="00B419CE">
        <w:t xml:space="preserve"> godt nok grunnlag til å lage </w:t>
      </w:r>
      <w:proofErr w:type="spellStart"/>
      <w:r w:rsidRPr="00B419CE">
        <w:t>statistikkane</w:t>
      </w:r>
      <w:proofErr w:type="spellEnd"/>
      <w:r w:rsidRPr="00B419CE">
        <w:t>.</w:t>
      </w:r>
    </w:p>
    <w:p w14:paraId="7463DF53" w14:textId="77777777" w:rsidR="00B419CE" w:rsidRPr="00B419CE" w:rsidRDefault="00B419CE" w:rsidP="00B419CE">
      <w:pPr>
        <w:pStyle w:val="avsnitt-undertittel"/>
      </w:pPr>
      <w:r w:rsidRPr="00B419CE">
        <w:t xml:space="preserve">Kompetente og motiverte </w:t>
      </w:r>
      <w:proofErr w:type="spellStart"/>
      <w:r w:rsidRPr="00B419CE">
        <w:t>leiarar</w:t>
      </w:r>
      <w:proofErr w:type="spellEnd"/>
      <w:r w:rsidRPr="00B419CE">
        <w:t xml:space="preserve"> og </w:t>
      </w:r>
      <w:proofErr w:type="spellStart"/>
      <w:r w:rsidRPr="00B419CE">
        <w:t>medarbeidarar</w:t>
      </w:r>
      <w:proofErr w:type="spellEnd"/>
    </w:p>
    <w:p w14:paraId="367B5CA7" w14:textId="77777777" w:rsidR="00B419CE" w:rsidRPr="00B419CE" w:rsidRDefault="00B419CE" w:rsidP="00B419CE">
      <w:r w:rsidRPr="00B419CE">
        <w:t xml:space="preserve">Tilsette med rett kompetanse er </w:t>
      </w:r>
      <w:proofErr w:type="spellStart"/>
      <w:r w:rsidRPr="00B419CE">
        <w:t>avgjerande</w:t>
      </w:r>
      <w:proofErr w:type="spellEnd"/>
      <w:r w:rsidRPr="00B419CE">
        <w:t xml:space="preserve"> for at SSB skal levere gode resultat. Behovet for kompetanse </w:t>
      </w:r>
      <w:proofErr w:type="spellStart"/>
      <w:r w:rsidRPr="00B419CE">
        <w:t>endrar</w:t>
      </w:r>
      <w:proofErr w:type="spellEnd"/>
      <w:r w:rsidRPr="00B419CE">
        <w:t xml:space="preserve"> seg i takt med den teknologiske utviklinga og </w:t>
      </w:r>
      <w:proofErr w:type="spellStart"/>
      <w:r w:rsidRPr="00B419CE">
        <w:t>etterspurnaden</w:t>
      </w:r>
      <w:proofErr w:type="spellEnd"/>
      <w:r w:rsidRPr="00B419CE">
        <w:t xml:space="preserve"> etter ny statistikk.</w:t>
      </w:r>
    </w:p>
    <w:p w14:paraId="359E42EB" w14:textId="77777777" w:rsidR="00B419CE" w:rsidRPr="00B419CE" w:rsidRDefault="00B419CE" w:rsidP="00B419CE">
      <w:r w:rsidRPr="00B419CE">
        <w:t xml:space="preserve">Med </w:t>
      </w:r>
      <w:proofErr w:type="spellStart"/>
      <w:r w:rsidRPr="00B419CE">
        <w:t>dei</w:t>
      </w:r>
      <w:proofErr w:type="spellEnd"/>
      <w:r w:rsidRPr="00B419CE">
        <w:t xml:space="preserve"> store </w:t>
      </w:r>
      <w:proofErr w:type="spellStart"/>
      <w:r w:rsidRPr="00B419CE">
        <w:t>endringane</w:t>
      </w:r>
      <w:proofErr w:type="spellEnd"/>
      <w:r w:rsidRPr="00B419CE">
        <w:t xml:space="preserve"> </w:t>
      </w:r>
      <w:proofErr w:type="spellStart"/>
      <w:r w:rsidRPr="00B419CE">
        <w:t>verksemda</w:t>
      </w:r>
      <w:proofErr w:type="spellEnd"/>
      <w:r w:rsidRPr="00B419CE">
        <w:t xml:space="preserve"> har </w:t>
      </w:r>
      <w:proofErr w:type="spellStart"/>
      <w:r w:rsidRPr="00B419CE">
        <w:t>vore</w:t>
      </w:r>
      <w:proofErr w:type="spellEnd"/>
      <w:r w:rsidRPr="00B419CE">
        <w:t xml:space="preserve"> og skal gjennom, er det </w:t>
      </w:r>
      <w:proofErr w:type="spellStart"/>
      <w:r w:rsidRPr="00B419CE">
        <w:t>særskild</w:t>
      </w:r>
      <w:proofErr w:type="spellEnd"/>
      <w:r w:rsidRPr="00B419CE">
        <w:t xml:space="preserve"> viktig å </w:t>
      </w:r>
      <w:proofErr w:type="spellStart"/>
      <w:r w:rsidRPr="00B419CE">
        <w:t>halde</w:t>
      </w:r>
      <w:proofErr w:type="spellEnd"/>
      <w:r w:rsidRPr="00B419CE">
        <w:t xml:space="preserve"> på og utvikle kjernekompetansen, og å </w:t>
      </w:r>
      <w:proofErr w:type="spellStart"/>
      <w:r w:rsidRPr="00B419CE">
        <w:t>behalde</w:t>
      </w:r>
      <w:proofErr w:type="spellEnd"/>
      <w:r w:rsidRPr="00B419CE">
        <w:t xml:space="preserve"> </w:t>
      </w:r>
      <w:proofErr w:type="spellStart"/>
      <w:r w:rsidRPr="00B419CE">
        <w:t>eit</w:t>
      </w:r>
      <w:proofErr w:type="spellEnd"/>
      <w:r w:rsidRPr="00B419CE">
        <w:t xml:space="preserve"> godt arbeidsmiljø.</w:t>
      </w:r>
    </w:p>
    <w:p w14:paraId="1379F975" w14:textId="77777777" w:rsidR="00B419CE" w:rsidRPr="00B419CE" w:rsidRDefault="00B419CE" w:rsidP="00B419CE">
      <w:r w:rsidRPr="00B419CE">
        <w:lastRenderedPageBreak/>
        <w:t xml:space="preserve">Modernisering av SSBs produksjonssystem vil </w:t>
      </w:r>
      <w:proofErr w:type="spellStart"/>
      <w:r w:rsidRPr="00B419CE">
        <w:t>gje</w:t>
      </w:r>
      <w:proofErr w:type="spellEnd"/>
      <w:r w:rsidRPr="00B419CE">
        <w:t xml:space="preserve"> store </w:t>
      </w:r>
      <w:proofErr w:type="spellStart"/>
      <w:r w:rsidRPr="00B419CE">
        <w:t>endringar</w:t>
      </w:r>
      <w:proofErr w:type="spellEnd"/>
      <w:r w:rsidRPr="00B419CE">
        <w:t xml:space="preserve"> i </w:t>
      </w:r>
      <w:proofErr w:type="spellStart"/>
      <w:r w:rsidRPr="00B419CE">
        <w:t>arbeidsprosessane</w:t>
      </w:r>
      <w:proofErr w:type="spellEnd"/>
      <w:r w:rsidRPr="00B419CE">
        <w:t xml:space="preserve">. SSB vil </w:t>
      </w:r>
      <w:proofErr w:type="spellStart"/>
      <w:r w:rsidRPr="00B419CE">
        <w:t>difor</w:t>
      </w:r>
      <w:proofErr w:type="spellEnd"/>
      <w:r w:rsidRPr="00B419CE">
        <w:t xml:space="preserve"> utvikle kompetansen slik at </w:t>
      </w:r>
      <w:proofErr w:type="spellStart"/>
      <w:r w:rsidRPr="00B419CE">
        <w:t>verksemda</w:t>
      </w:r>
      <w:proofErr w:type="spellEnd"/>
      <w:r w:rsidRPr="00B419CE">
        <w:t xml:space="preserve"> kan </w:t>
      </w:r>
      <w:proofErr w:type="spellStart"/>
      <w:r w:rsidRPr="00B419CE">
        <w:t>meistre</w:t>
      </w:r>
      <w:proofErr w:type="spellEnd"/>
      <w:r w:rsidRPr="00B419CE">
        <w:t xml:space="preserve"> </w:t>
      </w:r>
      <w:proofErr w:type="spellStart"/>
      <w:r w:rsidRPr="00B419CE">
        <w:t>endringane</w:t>
      </w:r>
      <w:proofErr w:type="spellEnd"/>
      <w:r w:rsidRPr="00B419CE">
        <w:t xml:space="preserve"> som moderniseringa gjev, og slik at </w:t>
      </w:r>
      <w:proofErr w:type="spellStart"/>
      <w:r w:rsidRPr="00B419CE">
        <w:t>dei</w:t>
      </w:r>
      <w:proofErr w:type="spellEnd"/>
      <w:r w:rsidRPr="00B419CE">
        <w:t xml:space="preserve"> tilsette har grunnlag for å </w:t>
      </w:r>
      <w:proofErr w:type="spellStart"/>
      <w:r w:rsidRPr="00B419CE">
        <w:t>meistre</w:t>
      </w:r>
      <w:proofErr w:type="spellEnd"/>
      <w:r w:rsidRPr="00B419CE">
        <w:t xml:space="preserve"> nye </w:t>
      </w:r>
      <w:proofErr w:type="spellStart"/>
      <w:r w:rsidRPr="00B419CE">
        <w:t>oppgåver</w:t>
      </w:r>
      <w:proofErr w:type="spellEnd"/>
      <w:r w:rsidRPr="00B419CE">
        <w:t>.</w:t>
      </w:r>
    </w:p>
    <w:p w14:paraId="4963A6F0" w14:textId="77777777" w:rsidR="00B419CE" w:rsidRPr="00B419CE" w:rsidRDefault="00B419CE" w:rsidP="00B419CE">
      <w:pPr>
        <w:pStyle w:val="avsnitt-undertittel"/>
      </w:pPr>
      <w:r w:rsidRPr="00B419CE">
        <w:t>Internasjonalt samarbeid</w:t>
      </w:r>
    </w:p>
    <w:p w14:paraId="0F083030" w14:textId="77777777" w:rsidR="00B419CE" w:rsidRPr="00B419CE" w:rsidRDefault="00B419CE" w:rsidP="00B419CE">
      <w:r w:rsidRPr="00B419CE">
        <w:t xml:space="preserve">SSB skal delta aktivt i internasjonalt samarbeid på statistikkområdet med samordning, informasjonsdeling og kompetanseutvikling. Det internasjonale samarbeidet </w:t>
      </w:r>
      <w:proofErr w:type="spellStart"/>
      <w:r w:rsidRPr="00B419CE">
        <w:t>inneber</w:t>
      </w:r>
      <w:proofErr w:type="spellEnd"/>
      <w:r w:rsidRPr="00B419CE">
        <w:t xml:space="preserve"> at det vert sett </w:t>
      </w:r>
      <w:proofErr w:type="spellStart"/>
      <w:r w:rsidRPr="00B419CE">
        <w:t>særskilde</w:t>
      </w:r>
      <w:proofErr w:type="spellEnd"/>
      <w:r w:rsidRPr="00B419CE">
        <w:t xml:space="preserve"> krav til </w:t>
      </w:r>
      <w:proofErr w:type="spellStart"/>
      <w:r w:rsidRPr="00B419CE">
        <w:t>innhald</w:t>
      </w:r>
      <w:proofErr w:type="spellEnd"/>
      <w:r w:rsidRPr="00B419CE">
        <w:t xml:space="preserve">, omfang og kvalitet i </w:t>
      </w:r>
      <w:proofErr w:type="spellStart"/>
      <w:r w:rsidRPr="00B419CE">
        <w:t>statistikkane</w:t>
      </w:r>
      <w:proofErr w:type="spellEnd"/>
      <w:r w:rsidRPr="00B419CE">
        <w:t xml:space="preserve">. I stor grad samsvarer slike internasjonale krav med SSBs </w:t>
      </w:r>
      <w:proofErr w:type="spellStart"/>
      <w:r w:rsidRPr="00B419CE">
        <w:t>prioriteringar</w:t>
      </w:r>
      <w:proofErr w:type="spellEnd"/>
      <w:r w:rsidRPr="00B419CE">
        <w:t xml:space="preserve"> og gjev </w:t>
      </w:r>
      <w:proofErr w:type="spellStart"/>
      <w:r w:rsidRPr="00B419CE">
        <w:t>føringar</w:t>
      </w:r>
      <w:proofErr w:type="spellEnd"/>
      <w:r w:rsidRPr="00B419CE">
        <w:t xml:space="preserve"> for utvikling av nye statistikkområde.</w:t>
      </w:r>
    </w:p>
    <w:p w14:paraId="482D6399" w14:textId="77777777" w:rsidR="00B419CE" w:rsidRPr="00B419CE" w:rsidRDefault="00B419CE" w:rsidP="00B419CE">
      <w:r w:rsidRPr="00B419CE">
        <w:t xml:space="preserve">Eurostat </w:t>
      </w:r>
      <w:proofErr w:type="spellStart"/>
      <w:r w:rsidRPr="00B419CE">
        <w:t>føretek</w:t>
      </w:r>
      <w:proofErr w:type="spellEnd"/>
      <w:r w:rsidRPr="00B419CE">
        <w:t xml:space="preserve"> ei ny runde med </w:t>
      </w:r>
      <w:proofErr w:type="spellStart"/>
      <w:r w:rsidRPr="00B419CE">
        <w:t>fagfellevurderingar</w:t>
      </w:r>
      <w:proofErr w:type="spellEnd"/>
      <w:r w:rsidRPr="00B419CE">
        <w:t xml:space="preserve"> (peer </w:t>
      </w:r>
      <w:proofErr w:type="spellStart"/>
      <w:r w:rsidRPr="00B419CE">
        <w:t>review</w:t>
      </w:r>
      <w:proofErr w:type="spellEnd"/>
      <w:r w:rsidRPr="00B419CE">
        <w:t xml:space="preserve">) og </w:t>
      </w:r>
      <w:proofErr w:type="spellStart"/>
      <w:r w:rsidRPr="00B419CE">
        <w:t>Noreg</w:t>
      </w:r>
      <w:proofErr w:type="spellEnd"/>
      <w:r w:rsidRPr="00B419CE">
        <w:t xml:space="preserve"> vert vurdert </w:t>
      </w:r>
      <w:proofErr w:type="spellStart"/>
      <w:r w:rsidRPr="00B419CE">
        <w:t>hausten</w:t>
      </w:r>
      <w:proofErr w:type="spellEnd"/>
      <w:r w:rsidRPr="00B419CE">
        <w:t xml:space="preserve"> 2021. Resultata </w:t>
      </w:r>
      <w:proofErr w:type="spellStart"/>
      <w:r w:rsidRPr="00B419CE">
        <w:t>frå</w:t>
      </w:r>
      <w:proofErr w:type="spellEnd"/>
      <w:r w:rsidRPr="00B419CE">
        <w:t xml:space="preserve"> fagfellevurderinga vert vurdert og </w:t>
      </w:r>
      <w:proofErr w:type="spellStart"/>
      <w:r w:rsidRPr="00B419CE">
        <w:t>følgt</w:t>
      </w:r>
      <w:proofErr w:type="spellEnd"/>
      <w:r w:rsidRPr="00B419CE">
        <w:t xml:space="preserve"> opp i 2022 og framover.</w:t>
      </w:r>
    </w:p>
    <w:p w14:paraId="1052CD56" w14:textId="77777777" w:rsidR="00B419CE" w:rsidRPr="00B419CE" w:rsidRDefault="00B419CE" w:rsidP="00B419CE">
      <w:r w:rsidRPr="00B419CE">
        <w:t xml:space="preserve">SSB skal </w:t>
      </w:r>
      <w:proofErr w:type="spellStart"/>
      <w:r w:rsidRPr="00B419CE">
        <w:t>vere</w:t>
      </w:r>
      <w:proofErr w:type="spellEnd"/>
      <w:r w:rsidRPr="00B419CE">
        <w:t xml:space="preserve"> vertskap for DGINS-konferansen i 2022. DGINS-</w:t>
      </w:r>
      <w:proofErr w:type="spellStart"/>
      <w:r w:rsidRPr="00B419CE">
        <w:t>konferansane</w:t>
      </w:r>
      <w:proofErr w:type="spellEnd"/>
      <w:r w:rsidRPr="00B419CE">
        <w:t xml:space="preserve"> </w:t>
      </w:r>
      <w:proofErr w:type="spellStart"/>
      <w:r w:rsidRPr="00B419CE">
        <w:t>samlar</w:t>
      </w:r>
      <w:proofErr w:type="spellEnd"/>
      <w:r w:rsidRPr="00B419CE">
        <w:t xml:space="preserve"> </w:t>
      </w:r>
      <w:proofErr w:type="spellStart"/>
      <w:r w:rsidRPr="00B419CE">
        <w:t>direktørane</w:t>
      </w:r>
      <w:proofErr w:type="spellEnd"/>
      <w:r w:rsidRPr="00B419CE">
        <w:t xml:space="preserve"> i </w:t>
      </w:r>
      <w:proofErr w:type="spellStart"/>
      <w:r w:rsidRPr="00B419CE">
        <w:t>dei</w:t>
      </w:r>
      <w:proofErr w:type="spellEnd"/>
      <w:r w:rsidRPr="00B419CE">
        <w:t xml:space="preserve"> nasjonale statistikkbyråa i det europeiske statistikksystemet (ESS), EUs kandidatland og </w:t>
      </w:r>
      <w:proofErr w:type="spellStart"/>
      <w:r w:rsidRPr="00B419CE">
        <w:t>fleire</w:t>
      </w:r>
      <w:proofErr w:type="spellEnd"/>
      <w:r w:rsidRPr="00B419CE">
        <w:t xml:space="preserve"> internasjonale </w:t>
      </w:r>
      <w:proofErr w:type="spellStart"/>
      <w:r w:rsidRPr="00B419CE">
        <w:t>organisasjonar</w:t>
      </w:r>
      <w:proofErr w:type="spellEnd"/>
      <w:r w:rsidRPr="00B419CE">
        <w:t xml:space="preserve">. Det skal òg </w:t>
      </w:r>
      <w:proofErr w:type="spellStart"/>
      <w:r w:rsidRPr="00B419CE">
        <w:t>vere</w:t>
      </w:r>
      <w:proofErr w:type="spellEnd"/>
      <w:r w:rsidRPr="00B419CE">
        <w:t xml:space="preserve"> </w:t>
      </w:r>
      <w:proofErr w:type="spellStart"/>
      <w:r w:rsidRPr="00B419CE">
        <w:t>eit</w:t>
      </w:r>
      <w:proofErr w:type="spellEnd"/>
      <w:r w:rsidRPr="00B419CE">
        <w:t xml:space="preserve"> møte i ESS-komiteen i samband med konferansen, der </w:t>
      </w:r>
      <w:proofErr w:type="spellStart"/>
      <w:r w:rsidRPr="00B419CE">
        <w:t>Noreg</w:t>
      </w:r>
      <w:proofErr w:type="spellEnd"/>
      <w:r w:rsidRPr="00B419CE">
        <w:t xml:space="preserve"> deltar. Det er fyrste gong på </w:t>
      </w:r>
      <w:proofErr w:type="spellStart"/>
      <w:r w:rsidRPr="00B419CE">
        <w:t>meir</w:t>
      </w:r>
      <w:proofErr w:type="spellEnd"/>
      <w:r w:rsidRPr="00B419CE">
        <w:t xml:space="preserve"> enn 50 år at konferansen vert </w:t>
      </w:r>
      <w:proofErr w:type="spellStart"/>
      <w:r w:rsidRPr="00B419CE">
        <w:t>halden</w:t>
      </w:r>
      <w:proofErr w:type="spellEnd"/>
      <w:r w:rsidRPr="00B419CE">
        <w:t xml:space="preserve"> </w:t>
      </w:r>
      <w:proofErr w:type="spellStart"/>
      <w:r w:rsidRPr="00B419CE">
        <w:t>utanfor</w:t>
      </w:r>
      <w:proofErr w:type="spellEnd"/>
      <w:r w:rsidRPr="00B419CE">
        <w:t xml:space="preserve"> </w:t>
      </w:r>
      <w:proofErr w:type="spellStart"/>
      <w:r w:rsidRPr="00B419CE">
        <w:t>eit</w:t>
      </w:r>
      <w:proofErr w:type="spellEnd"/>
      <w:r w:rsidRPr="00B419CE">
        <w:t xml:space="preserve"> EU-land.</w:t>
      </w:r>
    </w:p>
    <w:p w14:paraId="539C0D2B" w14:textId="77777777" w:rsidR="00B419CE" w:rsidRPr="00B419CE" w:rsidRDefault="00B419CE" w:rsidP="00B419CE">
      <w:r w:rsidRPr="00B419CE">
        <w:t xml:space="preserve">SSBs utviklingssamarbeid vert gjennomført i samarbeid med </w:t>
      </w:r>
      <w:proofErr w:type="spellStart"/>
      <w:r w:rsidRPr="00B419CE">
        <w:t>Utanriksdepartementet</w:t>
      </w:r>
      <w:proofErr w:type="spellEnd"/>
      <w:r w:rsidRPr="00B419CE">
        <w:t xml:space="preserve"> og Norad og er i tråd med norsk utviklingspolitikk.</w:t>
      </w:r>
    </w:p>
    <w:p w14:paraId="24B21BEA" w14:textId="77777777" w:rsidR="00B419CE" w:rsidRPr="00B419CE" w:rsidRDefault="00B419CE" w:rsidP="00B419CE">
      <w:pPr>
        <w:pStyle w:val="Undertittel"/>
      </w:pPr>
      <w:r w:rsidRPr="00B419CE">
        <w:t>Budsjett for 2022</w:t>
      </w:r>
    </w:p>
    <w:p w14:paraId="5FE5AC0F" w14:textId="77777777" w:rsidR="00B419CE" w:rsidRPr="00B419CE" w:rsidRDefault="00B419CE" w:rsidP="00B419CE">
      <w:r w:rsidRPr="00B419CE">
        <w:t xml:space="preserve">Departementet </w:t>
      </w:r>
      <w:proofErr w:type="spellStart"/>
      <w:r w:rsidRPr="00B419CE">
        <w:t>gjer</w:t>
      </w:r>
      <w:proofErr w:type="spellEnd"/>
      <w:r w:rsidRPr="00B419CE">
        <w:t xml:space="preserve"> framlegg om å </w:t>
      </w:r>
      <w:proofErr w:type="spellStart"/>
      <w:r w:rsidRPr="00B419CE">
        <w:t>setje</w:t>
      </w:r>
      <w:proofErr w:type="spellEnd"/>
      <w:r w:rsidRPr="00B419CE">
        <w:t xml:space="preserve"> budsjettramma til SSB for 2022 til 897,2 mill. kroner. Løyvinga skal brukast i samsvar med </w:t>
      </w:r>
      <w:proofErr w:type="spellStart"/>
      <w:r w:rsidRPr="00B419CE">
        <w:t>dei</w:t>
      </w:r>
      <w:proofErr w:type="spellEnd"/>
      <w:r w:rsidRPr="00B419CE">
        <w:t xml:space="preserve"> mål og </w:t>
      </w:r>
      <w:proofErr w:type="spellStart"/>
      <w:r w:rsidRPr="00B419CE">
        <w:t>prioriteringar</w:t>
      </w:r>
      <w:proofErr w:type="spellEnd"/>
      <w:r w:rsidRPr="00B419CE">
        <w:t xml:space="preserve"> som er omtalte </w:t>
      </w:r>
      <w:proofErr w:type="spellStart"/>
      <w:r w:rsidRPr="00B419CE">
        <w:t>ovanfor</w:t>
      </w:r>
      <w:proofErr w:type="spellEnd"/>
      <w:r w:rsidRPr="00B419CE">
        <w:t>.</w:t>
      </w:r>
    </w:p>
    <w:p w14:paraId="0906A34E" w14:textId="77777777" w:rsidR="00B419CE" w:rsidRPr="00B419CE" w:rsidRDefault="00B419CE" w:rsidP="00B419CE">
      <w:pPr>
        <w:pStyle w:val="b-post"/>
      </w:pPr>
      <w:r w:rsidRPr="00B419CE">
        <w:t>Post 01 Driftsutgifter</w:t>
      </w:r>
    </w:p>
    <w:p w14:paraId="5EB3915F" w14:textId="77777777" w:rsidR="00B419CE" w:rsidRPr="00B419CE" w:rsidRDefault="00B419CE" w:rsidP="00B419CE">
      <w:r w:rsidRPr="00B419CE">
        <w:t xml:space="preserve">Posten </w:t>
      </w:r>
      <w:proofErr w:type="spellStart"/>
      <w:r w:rsidRPr="00B419CE">
        <w:t>omfattar</w:t>
      </w:r>
      <w:proofErr w:type="spellEnd"/>
      <w:r w:rsidRPr="00B419CE">
        <w:t xml:space="preserve"> utgifter til </w:t>
      </w:r>
      <w:proofErr w:type="spellStart"/>
      <w:r w:rsidRPr="00B419CE">
        <w:t>løn</w:t>
      </w:r>
      <w:proofErr w:type="spellEnd"/>
      <w:r w:rsidRPr="00B419CE">
        <w:t xml:space="preserve">, opplæring, </w:t>
      </w:r>
      <w:proofErr w:type="spellStart"/>
      <w:r w:rsidRPr="00B419CE">
        <w:t>leige</w:t>
      </w:r>
      <w:proofErr w:type="spellEnd"/>
      <w:r w:rsidRPr="00B419CE">
        <w:t xml:space="preserve"> og drift av kontorlokale, reiser, kontorutstyr o.a. For 2022 </w:t>
      </w:r>
      <w:proofErr w:type="spellStart"/>
      <w:r w:rsidRPr="00B419CE">
        <w:t>gjer</w:t>
      </w:r>
      <w:proofErr w:type="spellEnd"/>
      <w:r w:rsidRPr="00B419CE">
        <w:t xml:space="preserve"> departementet framlegg om ei løyving på 649,5 mill. kroner som er 6,2 pst. </w:t>
      </w:r>
      <w:proofErr w:type="spellStart"/>
      <w:r w:rsidRPr="00B419CE">
        <w:t>meir</w:t>
      </w:r>
      <w:proofErr w:type="spellEnd"/>
      <w:r w:rsidRPr="00B419CE">
        <w:t xml:space="preserve"> enn Saldert budsjett 2021. Det meste av </w:t>
      </w:r>
      <w:proofErr w:type="spellStart"/>
      <w:r w:rsidRPr="00B419CE">
        <w:t>auken</w:t>
      </w:r>
      <w:proofErr w:type="spellEnd"/>
      <w:r w:rsidRPr="00B419CE">
        <w:t xml:space="preserve"> gjeld overtaking av ansvar for FoU-statistikk </w:t>
      </w:r>
      <w:proofErr w:type="spellStart"/>
      <w:r w:rsidRPr="00B419CE">
        <w:t>frå</w:t>
      </w:r>
      <w:proofErr w:type="spellEnd"/>
      <w:r w:rsidRPr="00B419CE">
        <w:t xml:space="preserve"> </w:t>
      </w:r>
      <w:r w:rsidRPr="00B419CE">
        <w:rPr>
          <w:rStyle w:val="kursiv"/>
        </w:rPr>
        <w:t>Nordisk institutt for studier av innovasjon, forsking og utdanning</w:t>
      </w:r>
      <w:r w:rsidRPr="00B419CE">
        <w:t xml:space="preserve"> (NIFU) og av ansvar for modellarbeid </w:t>
      </w:r>
      <w:proofErr w:type="spellStart"/>
      <w:r w:rsidRPr="00B419CE">
        <w:t>frå</w:t>
      </w:r>
      <w:proofErr w:type="spellEnd"/>
      <w:r w:rsidRPr="00B419CE">
        <w:t xml:space="preserve"> Finansdepartementet.</w:t>
      </w:r>
    </w:p>
    <w:p w14:paraId="29DCBF88" w14:textId="77777777" w:rsidR="00B419CE" w:rsidRPr="00B419CE" w:rsidRDefault="00B419CE" w:rsidP="00B419CE">
      <w:r w:rsidRPr="00B419CE">
        <w:t xml:space="preserve">Etter at ny lov </w:t>
      </w:r>
      <w:proofErr w:type="spellStart"/>
      <w:r w:rsidRPr="00B419CE">
        <w:t>vart</w:t>
      </w:r>
      <w:proofErr w:type="spellEnd"/>
      <w:r w:rsidRPr="00B419CE">
        <w:t xml:space="preserve"> gjort </w:t>
      </w:r>
      <w:proofErr w:type="spellStart"/>
      <w:r w:rsidRPr="00B419CE">
        <w:t>gjeldande</w:t>
      </w:r>
      <w:proofErr w:type="spellEnd"/>
      <w:r w:rsidRPr="00B419CE">
        <w:t xml:space="preserve"> og forskings- og </w:t>
      </w:r>
      <w:proofErr w:type="spellStart"/>
      <w:r w:rsidRPr="00B419CE">
        <w:t>utredningsverksemda</w:t>
      </w:r>
      <w:proofErr w:type="spellEnd"/>
      <w:r w:rsidRPr="00B419CE">
        <w:t xml:space="preserve"> </w:t>
      </w:r>
      <w:proofErr w:type="spellStart"/>
      <w:r w:rsidRPr="00B419CE">
        <w:t>fekk</w:t>
      </w:r>
      <w:proofErr w:type="spellEnd"/>
      <w:r w:rsidRPr="00B419CE">
        <w:t xml:space="preserve"> nye </w:t>
      </w:r>
      <w:proofErr w:type="spellStart"/>
      <w:r w:rsidRPr="00B419CE">
        <w:t>retningsliner</w:t>
      </w:r>
      <w:proofErr w:type="spellEnd"/>
      <w:r w:rsidRPr="00B419CE">
        <w:t xml:space="preserve">, </w:t>
      </w:r>
      <w:proofErr w:type="spellStart"/>
      <w:r w:rsidRPr="00B419CE">
        <w:t>vart</w:t>
      </w:r>
      <w:proofErr w:type="spellEnd"/>
      <w:r w:rsidRPr="00B419CE">
        <w:t xml:space="preserve"> det gjort </w:t>
      </w:r>
      <w:proofErr w:type="spellStart"/>
      <w:r w:rsidRPr="00B419CE">
        <w:t>tydeleg</w:t>
      </w:r>
      <w:proofErr w:type="spellEnd"/>
      <w:r w:rsidRPr="00B419CE">
        <w:t xml:space="preserve"> at modellarbeidet SSB </w:t>
      </w:r>
      <w:proofErr w:type="spellStart"/>
      <w:r w:rsidRPr="00B419CE">
        <w:t>gjer</w:t>
      </w:r>
      <w:proofErr w:type="spellEnd"/>
      <w:r w:rsidRPr="00B419CE">
        <w:t xml:space="preserve"> for Finansdepartementet er ei sentral del av </w:t>
      </w:r>
      <w:proofErr w:type="spellStart"/>
      <w:r w:rsidRPr="00B419CE">
        <w:t>verksemdas</w:t>
      </w:r>
      <w:proofErr w:type="spellEnd"/>
      <w:r w:rsidRPr="00B419CE">
        <w:t xml:space="preserve"> samfunnsoppdrag. </w:t>
      </w:r>
      <w:proofErr w:type="spellStart"/>
      <w:r w:rsidRPr="00B419CE">
        <w:t>Følgjeleg</w:t>
      </w:r>
      <w:proofErr w:type="spellEnd"/>
      <w:r w:rsidRPr="00B419CE">
        <w:t xml:space="preserve"> vil Finansdepartementet avvikle dagens ordning med delvis direkte finansiering av dette arbeidet gjennom </w:t>
      </w:r>
      <w:proofErr w:type="spellStart"/>
      <w:r w:rsidRPr="00B419CE">
        <w:t>kontraktar</w:t>
      </w:r>
      <w:proofErr w:type="spellEnd"/>
      <w:r w:rsidRPr="00B419CE">
        <w:t xml:space="preserve"> og delvis finansiering over grunnløyvinga til SSB. 12 mill. kroner er </w:t>
      </w:r>
      <w:proofErr w:type="spellStart"/>
      <w:r w:rsidRPr="00B419CE">
        <w:t>difor</w:t>
      </w:r>
      <w:proofErr w:type="spellEnd"/>
      <w:r w:rsidRPr="00B419CE">
        <w:t xml:space="preserve"> omdisponert </w:t>
      </w:r>
      <w:proofErr w:type="spellStart"/>
      <w:r w:rsidRPr="00B419CE">
        <w:t>frå</w:t>
      </w:r>
      <w:proofErr w:type="spellEnd"/>
      <w:r w:rsidRPr="00B419CE">
        <w:t xml:space="preserve"> kap. 1600 Finansdepartementet, post 21 Spesielle driftsutgifter, til SSBs kap. 1620.</w:t>
      </w:r>
    </w:p>
    <w:p w14:paraId="14AC8BF7" w14:textId="77777777" w:rsidR="00B419CE" w:rsidRPr="00B419CE" w:rsidRDefault="00B419CE" w:rsidP="00B419CE">
      <w:r w:rsidRPr="00B419CE">
        <w:t xml:space="preserve">FoU-statistikken som NIFU utarbeider i dag, vert overført til SSB. Til dekking av </w:t>
      </w:r>
      <w:proofErr w:type="spellStart"/>
      <w:r w:rsidRPr="00B419CE">
        <w:t>meirutgiftene</w:t>
      </w:r>
      <w:proofErr w:type="spellEnd"/>
      <w:r w:rsidRPr="00B419CE">
        <w:t xml:space="preserve"> på post 01 er det overført 12 mill. kroner – 11,5 mill. kroner </w:t>
      </w:r>
      <w:proofErr w:type="spellStart"/>
      <w:r w:rsidRPr="00B419CE">
        <w:t>frå</w:t>
      </w:r>
      <w:proofErr w:type="spellEnd"/>
      <w:r w:rsidRPr="00B419CE">
        <w:t xml:space="preserve"> kap. 285 </w:t>
      </w:r>
      <w:r w:rsidRPr="00B419CE">
        <w:lastRenderedPageBreak/>
        <w:t xml:space="preserve">Kunnskapsdepartementet, post 52 Langsiktig, grunnleggende forsking, og 0,5 mill. kroner </w:t>
      </w:r>
      <w:proofErr w:type="spellStart"/>
      <w:r w:rsidRPr="00B419CE">
        <w:t>frå</w:t>
      </w:r>
      <w:proofErr w:type="spellEnd"/>
      <w:r w:rsidRPr="00B419CE">
        <w:t xml:space="preserve"> kap. 732 Helse- og omsorgsdepartementet, post 21 Spesielle driftsutgifter.</w:t>
      </w:r>
    </w:p>
    <w:p w14:paraId="3A82481D" w14:textId="32232350" w:rsidR="00B419CE" w:rsidRPr="00B419CE" w:rsidRDefault="00B419CE" w:rsidP="00B419CE">
      <w:pPr>
        <w:pStyle w:val="b-post"/>
      </w:pPr>
      <w:r w:rsidRPr="00B419CE">
        <w:t xml:space="preserve">Post 21 Spesielle driftsutgifter, kan </w:t>
      </w:r>
      <w:proofErr w:type="spellStart"/>
      <w:r w:rsidRPr="00B419CE">
        <w:t>overførast</w:t>
      </w:r>
      <w:proofErr w:type="spellEnd"/>
    </w:p>
    <w:p w14:paraId="33156205" w14:textId="77777777" w:rsidR="00B419CE" w:rsidRPr="00B419CE" w:rsidRDefault="00B419CE" w:rsidP="00B419CE">
      <w:r w:rsidRPr="00B419CE">
        <w:t xml:space="preserve">Spesielle driftsutgifter er knytte til brukarfinansierte oppdrag. For 2022 </w:t>
      </w:r>
      <w:proofErr w:type="spellStart"/>
      <w:r w:rsidRPr="00B419CE">
        <w:t>gjer</w:t>
      </w:r>
      <w:proofErr w:type="spellEnd"/>
      <w:r w:rsidRPr="00B419CE">
        <w:t xml:space="preserve"> departementet framlegg om ei løyving på 244,2 mill. kroner, </w:t>
      </w:r>
      <w:proofErr w:type="spellStart"/>
      <w:r w:rsidRPr="00B419CE">
        <w:t>noko</w:t>
      </w:r>
      <w:proofErr w:type="spellEnd"/>
      <w:r w:rsidRPr="00B419CE">
        <w:t xml:space="preserve"> som reelt er </w:t>
      </w:r>
      <w:proofErr w:type="spellStart"/>
      <w:r w:rsidRPr="00B419CE">
        <w:t>ein</w:t>
      </w:r>
      <w:proofErr w:type="spellEnd"/>
      <w:r w:rsidRPr="00B419CE">
        <w:t xml:space="preserve"> del </w:t>
      </w:r>
      <w:proofErr w:type="spellStart"/>
      <w:r w:rsidRPr="00B419CE">
        <w:t>lågare</w:t>
      </w:r>
      <w:proofErr w:type="spellEnd"/>
      <w:r w:rsidRPr="00B419CE">
        <w:t xml:space="preserve"> enn for 2021. </w:t>
      </w:r>
      <w:proofErr w:type="spellStart"/>
      <w:r w:rsidRPr="00B419CE">
        <w:t>Hovudårsaka</w:t>
      </w:r>
      <w:proofErr w:type="spellEnd"/>
      <w:r w:rsidRPr="00B419CE">
        <w:t xml:space="preserve"> er at Finansdepartementet </w:t>
      </w:r>
      <w:proofErr w:type="spellStart"/>
      <w:r w:rsidRPr="00B419CE">
        <w:t>flyttar</w:t>
      </w:r>
      <w:proofErr w:type="spellEnd"/>
      <w:r w:rsidRPr="00B419CE">
        <w:t xml:space="preserve"> finansieringa av </w:t>
      </w:r>
      <w:proofErr w:type="spellStart"/>
      <w:r w:rsidRPr="00B419CE">
        <w:t>dei</w:t>
      </w:r>
      <w:proofErr w:type="spellEnd"/>
      <w:r w:rsidRPr="00B419CE">
        <w:t xml:space="preserve"> økonomiske </w:t>
      </w:r>
      <w:proofErr w:type="spellStart"/>
      <w:r w:rsidRPr="00B419CE">
        <w:t>modellane</w:t>
      </w:r>
      <w:proofErr w:type="spellEnd"/>
      <w:r w:rsidRPr="00B419CE">
        <w:t xml:space="preserve"> i SSB </w:t>
      </w:r>
      <w:proofErr w:type="spellStart"/>
      <w:r w:rsidRPr="00B419CE">
        <w:t>frå</w:t>
      </w:r>
      <w:proofErr w:type="spellEnd"/>
      <w:r w:rsidRPr="00B419CE">
        <w:t xml:space="preserve"> betaling for </w:t>
      </w:r>
      <w:proofErr w:type="spellStart"/>
      <w:r w:rsidRPr="00B419CE">
        <w:t>kontraktar</w:t>
      </w:r>
      <w:proofErr w:type="spellEnd"/>
      <w:r w:rsidRPr="00B419CE">
        <w:t xml:space="preserve"> til den generelle løyvinga, og </w:t>
      </w:r>
      <w:proofErr w:type="spellStart"/>
      <w:r w:rsidRPr="00B419CE">
        <w:t>følgjeleg</w:t>
      </w:r>
      <w:proofErr w:type="spellEnd"/>
      <w:r w:rsidRPr="00B419CE">
        <w:t xml:space="preserve"> vert forventa oppdragsinntekter justert ned med 9,6 mill. kroner.</w:t>
      </w:r>
    </w:p>
    <w:p w14:paraId="565E195B" w14:textId="77777777" w:rsidR="00B419CE" w:rsidRPr="00B419CE" w:rsidRDefault="00B419CE" w:rsidP="00B419CE">
      <w:r w:rsidRPr="00B419CE">
        <w:t xml:space="preserve">Ved brukarfinansierte oppdrag vert utgiftene posterte på kap. 1620 </w:t>
      </w:r>
      <w:r w:rsidRPr="00B419CE">
        <w:rPr>
          <w:rStyle w:val="kursiv"/>
        </w:rPr>
        <w:t>Statistisk sentralbyrå,</w:t>
      </w:r>
      <w:r w:rsidRPr="00B419CE">
        <w:t xml:space="preserve"> post 21 </w:t>
      </w:r>
      <w:r w:rsidRPr="00B419CE">
        <w:rPr>
          <w:rStyle w:val="kursiv"/>
        </w:rPr>
        <w:t>Spesielle driftsutgifter.</w:t>
      </w:r>
      <w:r w:rsidRPr="00B419CE">
        <w:t xml:space="preserve"> Inntekta </w:t>
      </w:r>
      <w:proofErr w:type="spellStart"/>
      <w:r w:rsidRPr="00B419CE">
        <w:t>frå</w:t>
      </w:r>
      <w:proofErr w:type="spellEnd"/>
      <w:r w:rsidRPr="00B419CE">
        <w:t xml:space="preserve"> slike oppdrag skal </w:t>
      </w:r>
      <w:proofErr w:type="spellStart"/>
      <w:r w:rsidRPr="00B419CE">
        <w:t>dekkje</w:t>
      </w:r>
      <w:proofErr w:type="spellEnd"/>
      <w:r w:rsidRPr="00B419CE">
        <w:t xml:space="preserve"> utgiftene og vert postert på kap. 4620 </w:t>
      </w:r>
      <w:r w:rsidRPr="00B419CE">
        <w:rPr>
          <w:rStyle w:val="kursiv"/>
        </w:rPr>
        <w:t>Statistisk sentralbyrå,</w:t>
      </w:r>
      <w:r w:rsidRPr="00B419CE">
        <w:t xml:space="preserve"> post 02 </w:t>
      </w:r>
      <w:r w:rsidRPr="00B419CE">
        <w:rPr>
          <w:rStyle w:val="kursiv"/>
        </w:rPr>
        <w:t>Oppdragsinntekter.</w:t>
      </w:r>
    </w:p>
    <w:p w14:paraId="72FF9318" w14:textId="77777777" w:rsidR="00B419CE" w:rsidRPr="00B419CE" w:rsidRDefault="00B419CE" w:rsidP="00B419CE">
      <w:r w:rsidRPr="00B419CE">
        <w:t xml:space="preserve">SSB kan overskride løyvinga til </w:t>
      </w:r>
      <w:proofErr w:type="spellStart"/>
      <w:r w:rsidRPr="00B419CE">
        <w:t>oppdragsverksemda</w:t>
      </w:r>
      <w:proofErr w:type="spellEnd"/>
      <w:r w:rsidRPr="00B419CE">
        <w:t xml:space="preserve"> på kap. 1620, post 21 </w:t>
      </w:r>
      <w:r w:rsidRPr="00B419CE">
        <w:rPr>
          <w:rStyle w:val="kursiv"/>
        </w:rPr>
        <w:t>Spesielle driftsutgifter</w:t>
      </w:r>
      <w:r w:rsidRPr="00B419CE">
        <w:t xml:space="preserve">, med </w:t>
      </w:r>
      <w:proofErr w:type="spellStart"/>
      <w:r w:rsidRPr="00B419CE">
        <w:t>eit</w:t>
      </w:r>
      <w:proofErr w:type="spellEnd"/>
      <w:r w:rsidRPr="00B419CE">
        <w:t xml:space="preserve"> beløp som svarer til </w:t>
      </w:r>
      <w:proofErr w:type="spellStart"/>
      <w:r w:rsidRPr="00B419CE">
        <w:t>meirinntektene</w:t>
      </w:r>
      <w:proofErr w:type="spellEnd"/>
      <w:r w:rsidRPr="00B419CE">
        <w:t xml:space="preserve"> på kap. 4620, post 02 </w:t>
      </w:r>
      <w:r w:rsidRPr="00B419CE">
        <w:rPr>
          <w:rStyle w:val="kursiv"/>
        </w:rPr>
        <w:t>Oppdragsinntekter</w:t>
      </w:r>
      <w:r w:rsidRPr="00B419CE">
        <w:t xml:space="preserve">. Eventuelle unytta </w:t>
      </w:r>
      <w:proofErr w:type="spellStart"/>
      <w:r w:rsidRPr="00B419CE">
        <w:t>meirinntekter</w:t>
      </w:r>
      <w:proofErr w:type="spellEnd"/>
      <w:r w:rsidRPr="00B419CE">
        <w:t xml:space="preserve"> kan </w:t>
      </w:r>
      <w:proofErr w:type="spellStart"/>
      <w:r w:rsidRPr="00B419CE">
        <w:t>reknast</w:t>
      </w:r>
      <w:proofErr w:type="spellEnd"/>
      <w:r w:rsidRPr="00B419CE">
        <w:t xml:space="preserve"> med ved utrekning av beløp som kan </w:t>
      </w:r>
      <w:proofErr w:type="spellStart"/>
      <w:r w:rsidRPr="00B419CE">
        <w:t>overførast</w:t>
      </w:r>
      <w:proofErr w:type="spellEnd"/>
      <w:r w:rsidRPr="00B419CE">
        <w:t xml:space="preserve"> på post 21, jf. framlegg til </w:t>
      </w:r>
      <w:proofErr w:type="spellStart"/>
      <w:r w:rsidRPr="00B419CE">
        <w:t>romartalsvedtak</w:t>
      </w:r>
      <w:proofErr w:type="spellEnd"/>
      <w:r w:rsidRPr="00B419CE">
        <w:t xml:space="preserve"> II.2.</w:t>
      </w:r>
    </w:p>
    <w:p w14:paraId="51BAF428" w14:textId="77777777" w:rsidR="00B419CE" w:rsidRPr="00B419CE" w:rsidRDefault="00B419CE" w:rsidP="00B419CE">
      <w:pPr>
        <w:pStyle w:val="b-post"/>
      </w:pPr>
      <w:r w:rsidRPr="00B419CE">
        <w:t xml:space="preserve">Post 45 Større utstyrskjøp og </w:t>
      </w:r>
      <w:proofErr w:type="spellStart"/>
      <w:r w:rsidRPr="00B419CE">
        <w:t>vedlikehald</w:t>
      </w:r>
      <w:proofErr w:type="spellEnd"/>
      <w:r w:rsidRPr="00B419CE">
        <w:t xml:space="preserve">, kan </w:t>
      </w:r>
      <w:proofErr w:type="spellStart"/>
      <w:r w:rsidRPr="00B419CE">
        <w:t>overførast</w:t>
      </w:r>
      <w:proofErr w:type="spellEnd"/>
    </w:p>
    <w:p w14:paraId="0C3586DD" w14:textId="77777777" w:rsidR="00B419CE" w:rsidRPr="00B419CE" w:rsidRDefault="00B419CE" w:rsidP="00B419CE">
      <w:r w:rsidRPr="00B419CE">
        <w:t xml:space="preserve">Framlegget gjev </w:t>
      </w:r>
      <w:proofErr w:type="spellStart"/>
      <w:r w:rsidRPr="00B419CE">
        <w:t>monaleg</w:t>
      </w:r>
      <w:proofErr w:type="spellEnd"/>
      <w:r w:rsidRPr="00B419CE">
        <w:t xml:space="preserve"> </w:t>
      </w:r>
      <w:proofErr w:type="spellStart"/>
      <w:r w:rsidRPr="00B419CE">
        <w:t>lågare</w:t>
      </w:r>
      <w:proofErr w:type="spellEnd"/>
      <w:r w:rsidRPr="00B419CE">
        <w:t xml:space="preserve"> løyving enn for 2021. Årsaka er </w:t>
      </w:r>
      <w:proofErr w:type="spellStart"/>
      <w:r w:rsidRPr="00B419CE">
        <w:t>lågare</w:t>
      </w:r>
      <w:proofErr w:type="spellEnd"/>
      <w:r w:rsidRPr="00B419CE">
        <w:t xml:space="preserve"> konsulentbruk ved IKT-</w:t>
      </w:r>
      <w:proofErr w:type="spellStart"/>
      <w:r w:rsidRPr="00B419CE">
        <w:t>fornyingar</w:t>
      </w:r>
      <w:proofErr w:type="spellEnd"/>
      <w:r w:rsidRPr="00B419CE">
        <w:t xml:space="preserve"> mot </w:t>
      </w:r>
      <w:proofErr w:type="spellStart"/>
      <w:r w:rsidRPr="00B419CE">
        <w:t>meir</w:t>
      </w:r>
      <w:proofErr w:type="spellEnd"/>
      <w:r w:rsidRPr="00B419CE">
        <w:t xml:space="preserve"> oppbygging av intern kompetanse.</w:t>
      </w:r>
    </w:p>
    <w:p w14:paraId="7C838813" w14:textId="77777777" w:rsidR="00B419CE" w:rsidRPr="00B419CE" w:rsidRDefault="00B419CE" w:rsidP="00B419CE">
      <w:pPr>
        <w:pStyle w:val="b-budkaptit"/>
      </w:pPr>
      <w:r w:rsidRPr="00B419CE">
        <w:t>Kap. 4620 Statistisk sentralbyrå</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5681ACD" w14:textId="77777777" w:rsidTr="00B419CE">
        <w:trPr>
          <w:trHeight w:val="640"/>
          <w:hidden/>
        </w:trPr>
        <w:tc>
          <w:tcPr>
            <w:tcW w:w="1140" w:type="dxa"/>
            <w:shd w:val="clear" w:color="auto" w:fill="FFFFFF"/>
          </w:tcPr>
          <w:p w14:paraId="5D083F28" w14:textId="77777777" w:rsidR="00B419CE" w:rsidRPr="00B419CE" w:rsidRDefault="00B419CE" w:rsidP="00B419CE">
            <w:pPr>
              <w:pStyle w:val="Tabellnavn"/>
            </w:pPr>
            <w:r w:rsidRPr="00B419CE">
              <w:t>KPAL</w:t>
            </w:r>
          </w:p>
        </w:tc>
        <w:tc>
          <w:tcPr>
            <w:tcW w:w="4560" w:type="dxa"/>
          </w:tcPr>
          <w:p w14:paraId="206BBDEC" w14:textId="77777777" w:rsidR="00B419CE" w:rsidRPr="00B419CE" w:rsidRDefault="00B419CE" w:rsidP="00B419CE"/>
        </w:tc>
        <w:tc>
          <w:tcPr>
            <w:tcW w:w="1140" w:type="dxa"/>
          </w:tcPr>
          <w:p w14:paraId="6061B8C9" w14:textId="77777777" w:rsidR="00B419CE" w:rsidRPr="00B419CE" w:rsidRDefault="00B419CE" w:rsidP="00B419CE">
            <w:pPr>
              <w:jc w:val="right"/>
            </w:pPr>
          </w:p>
        </w:tc>
        <w:tc>
          <w:tcPr>
            <w:tcW w:w="1140" w:type="dxa"/>
          </w:tcPr>
          <w:p w14:paraId="1FFADDC0" w14:textId="77777777" w:rsidR="00B419CE" w:rsidRPr="00B419CE" w:rsidRDefault="00B419CE" w:rsidP="00B419CE">
            <w:pPr>
              <w:jc w:val="right"/>
            </w:pPr>
          </w:p>
        </w:tc>
        <w:tc>
          <w:tcPr>
            <w:tcW w:w="1140" w:type="dxa"/>
          </w:tcPr>
          <w:p w14:paraId="7619C359" w14:textId="77777777" w:rsidR="00B419CE" w:rsidRPr="00B419CE" w:rsidRDefault="00B419CE" w:rsidP="00B419CE">
            <w:pPr>
              <w:jc w:val="right"/>
            </w:pPr>
            <w:r w:rsidRPr="00B419CE">
              <w:t>(i 1 000 kr)</w:t>
            </w:r>
          </w:p>
        </w:tc>
      </w:tr>
      <w:tr w:rsidR="00B419CE" w:rsidRPr="00B419CE" w14:paraId="124E66EB" w14:textId="77777777" w:rsidTr="00B419CE">
        <w:trPr>
          <w:trHeight w:val="600"/>
        </w:trPr>
        <w:tc>
          <w:tcPr>
            <w:tcW w:w="1140" w:type="dxa"/>
          </w:tcPr>
          <w:p w14:paraId="15D912DA" w14:textId="77777777" w:rsidR="00B419CE" w:rsidRPr="00B419CE" w:rsidRDefault="00B419CE" w:rsidP="00B419CE">
            <w:r w:rsidRPr="00B419CE">
              <w:t>Post</w:t>
            </w:r>
          </w:p>
        </w:tc>
        <w:tc>
          <w:tcPr>
            <w:tcW w:w="4560" w:type="dxa"/>
          </w:tcPr>
          <w:p w14:paraId="43B4E9A5" w14:textId="77777777" w:rsidR="00B419CE" w:rsidRPr="00B419CE" w:rsidRDefault="00B419CE" w:rsidP="00B419CE">
            <w:proofErr w:type="spellStart"/>
            <w:r w:rsidRPr="00B419CE">
              <w:t>Nemning</w:t>
            </w:r>
            <w:proofErr w:type="spellEnd"/>
          </w:p>
        </w:tc>
        <w:tc>
          <w:tcPr>
            <w:tcW w:w="1140" w:type="dxa"/>
          </w:tcPr>
          <w:p w14:paraId="0E743E7A"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1C8D9880" w14:textId="77777777" w:rsidR="00B419CE" w:rsidRPr="00B419CE" w:rsidRDefault="00B419CE" w:rsidP="00B419CE">
            <w:pPr>
              <w:jc w:val="right"/>
            </w:pPr>
            <w:r w:rsidRPr="00B419CE">
              <w:t>Saldert</w:t>
            </w:r>
            <w:r w:rsidRPr="00B419CE">
              <w:br/>
              <w:t xml:space="preserve"> budsjett 2021</w:t>
            </w:r>
          </w:p>
        </w:tc>
        <w:tc>
          <w:tcPr>
            <w:tcW w:w="1140" w:type="dxa"/>
          </w:tcPr>
          <w:p w14:paraId="7F203998" w14:textId="77777777" w:rsidR="00B419CE" w:rsidRPr="00B419CE" w:rsidRDefault="00B419CE" w:rsidP="00B419CE">
            <w:pPr>
              <w:jc w:val="right"/>
            </w:pPr>
            <w:r w:rsidRPr="00B419CE">
              <w:t>Forslag</w:t>
            </w:r>
            <w:r w:rsidRPr="00B419CE">
              <w:br/>
              <w:t xml:space="preserve"> 2022</w:t>
            </w:r>
          </w:p>
        </w:tc>
      </w:tr>
      <w:tr w:rsidR="00B419CE" w:rsidRPr="00B419CE" w14:paraId="60B6CC39" w14:textId="77777777" w:rsidTr="00B419CE">
        <w:trPr>
          <w:trHeight w:val="380"/>
        </w:trPr>
        <w:tc>
          <w:tcPr>
            <w:tcW w:w="1140" w:type="dxa"/>
          </w:tcPr>
          <w:p w14:paraId="64CF1205" w14:textId="77777777" w:rsidR="00B419CE" w:rsidRPr="00B419CE" w:rsidRDefault="00B419CE" w:rsidP="00B419CE">
            <w:r w:rsidRPr="00B419CE">
              <w:t>02</w:t>
            </w:r>
          </w:p>
        </w:tc>
        <w:tc>
          <w:tcPr>
            <w:tcW w:w="4560" w:type="dxa"/>
          </w:tcPr>
          <w:p w14:paraId="76F3430C" w14:textId="77777777" w:rsidR="00B419CE" w:rsidRPr="00B419CE" w:rsidRDefault="00B419CE" w:rsidP="00B419CE">
            <w:r w:rsidRPr="00B419CE">
              <w:t>Oppdragsinntekter</w:t>
            </w:r>
          </w:p>
        </w:tc>
        <w:tc>
          <w:tcPr>
            <w:tcW w:w="1140" w:type="dxa"/>
          </w:tcPr>
          <w:p w14:paraId="6D601F83" w14:textId="77777777" w:rsidR="00B419CE" w:rsidRPr="00B419CE" w:rsidRDefault="00B419CE" w:rsidP="00B419CE">
            <w:pPr>
              <w:jc w:val="right"/>
            </w:pPr>
            <w:r w:rsidRPr="00B419CE">
              <w:t>238 488</w:t>
            </w:r>
          </w:p>
        </w:tc>
        <w:tc>
          <w:tcPr>
            <w:tcW w:w="1140" w:type="dxa"/>
          </w:tcPr>
          <w:p w14:paraId="1BA5E40C" w14:textId="77777777" w:rsidR="00B419CE" w:rsidRPr="00B419CE" w:rsidRDefault="00B419CE" w:rsidP="00B419CE">
            <w:pPr>
              <w:jc w:val="right"/>
            </w:pPr>
            <w:r w:rsidRPr="00B419CE">
              <w:t>260 634</w:t>
            </w:r>
          </w:p>
        </w:tc>
        <w:tc>
          <w:tcPr>
            <w:tcW w:w="1140" w:type="dxa"/>
          </w:tcPr>
          <w:p w14:paraId="462A52C9" w14:textId="77777777" w:rsidR="00B419CE" w:rsidRPr="00B419CE" w:rsidRDefault="00B419CE" w:rsidP="00B419CE">
            <w:pPr>
              <w:jc w:val="right"/>
            </w:pPr>
            <w:r w:rsidRPr="00B419CE">
              <w:t>253 194</w:t>
            </w:r>
          </w:p>
        </w:tc>
      </w:tr>
      <w:tr w:rsidR="00B419CE" w:rsidRPr="00B419CE" w14:paraId="416CA30A" w14:textId="77777777" w:rsidTr="00B419CE">
        <w:trPr>
          <w:trHeight w:val="380"/>
        </w:trPr>
        <w:tc>
          <w:tcPr>
            <w:tcW w:w="1140" w:type="dxa"/>
          </w:tcPr>
          <w:p w14:paraId="5FC5936D" w14:textId="77777777" w:rsidR="00B419CE" w:rsidRPr="00B419CE" w:rsidRDefault="00B419CE" w:rsidP="00B419CE">
            <w:r w:rsidRPr="00B419CE">
              <w:t>85</w:t>
            </w:r>
          </w:p>
        </w:tc>
        <w:tc>
          <w:tcPr>
            <w:tcW w:w="4560" w:type="dxa"/>
          </w:tcPr>
          <w:p w14:paraId="39B5ABF1" w14:textId="77777777" w:rsidR="00B419CE" w:rsidRPr="00B419CE" w:rsidRDefault="00B419CE" w:rsidP="00B419CE">
            <w:r w:rsidRPr="00B419CE">
              <w:t>Tvangsmulkt</w:t>
            </w:r>
          </w:p>
        </w:tc>
        <w:tc>
          <w:tcPr>
            <w:tcW w:w="1140" w:type="dxa"/>
          </w:tcPr>
          <w:p w14:paraId="0992133F" w14:textId="77777777" w:rsidR="00B419CE" w:rsidRPr="00B419CE" w:rsidRDefault="00B419CE" w:rsidP="00B419CE">
            <w:pPr>
              <w:jc w:val="right"/>
            </w:pPr>
            <w:r w:rsidRPr="00B419CE">
              <w:t>4 759</w:t>
            </w:r>
          </w:p>
        </w:tc>
        <w:tc>
          <w:tcPr>
            <w:tcW w:w="1140" w:type="dxa"/>
          </w:tcPr>
          <w:p w14:paraId="43F9116F" w14:textId="77777777" w:rsidR="00B419CE" w:rsidRPr="00B419CE" w:rsidRDefault="00B419CE" w:rsidP="00B419CE">
            <w:pPr>
              <w:jc w:val="right"/>
            </w:pPr>
            <w:r w:rsidRPr="00B419CE">
              <w:t>15 000</w:t>
            </w:r>
          </w:p>
        </w:tc>
        <w:tc>
          <w:tcPr>
            <w:tcW w:w="1140" w:type="dxa"/>
          </w:tcPr>
          <w:p w14:paraId="451E95FB" w14:textId="77777777" w:rsidR="00B419CE" w:rsidRPr="00B419CE" w:rsidRDefault="00B419CE" w:rsidP="00B419CE">
            <w:pPr>
              <w:jc w:val="right"/>
            </w:pPr>
            <w:r w:rsidRPr="00B419CE">
              <w:t>10 000</w:t>
            </w:r>
          </w:p>
        </w:tc>
      </w:tr>
      <w:tr w:rsidR="00B419CE" w:rsidRPr="00B419CE" w14:paraId="3B00D747" w14:textId="77777777" w:rsidTr="00B419CE">
        <w:trPr>
          <w:trHeight w:val="380"/>
        </w:trPr>
        <w:tc>
          <w:tcPr>
            <w:tcW w:w="1140" w:type="dxa"/>
          </w:tcPr>
          <w:p w14:paraId="7FB77CD6" w14:textId="77777777" w:rsidR="00B419CE" w:rsidRPr="00B419CE" w:rsidRDefault="00B419CE" w:rsidP="00B419CE"/>
        </w:tc>
        <w:tc>
          <w:tcPr>
            <w:tcW w:w="4560" w:type="dxa"/>
          </w:tcPr>
          <w:p w14:paraId="3D3D2583" w14:textId="77777777" w:rsidR="00B419CE" w:rsidRPr="00B419CE" w:rsidRDefault="00B419CE" w:rsidP="00B419CE">
            <w:r w:rsidRPr="00B419CE">
              <w:t>Sum kap. 4620</w:t>
            </w:r>
          </w:p>
        </w:tc>
        <w:tc>
          <w:tcPr>
            <w:tcW w:w="1140" w:type="dxa"/>
          </w:tcPr>
          <w:p w14:paraId="6DD4F186" w14:textId="77777777" w:rsidR="00B419CE" w:rsidRPr="00B419CE" w:rsidRDefault="00B419CE" w:rsidP="00B419CE">
            <w:pPr>
              <w:jc w:val="right"/>
            </w:pPr>
            <w:r w:rsidRPr="00B419CE">
              <w:t>243 247</w:t>
            </w:r>
          </w:p>
        </w:tc>
        <w:tc>
          <w:tcPr>
            <w:tcW w:w="1140" w:type="dxa"/>
          </w:tcPr>
          <w:p w14:paraId="1D4280D7" w14:textId="77777777" w:rsidR="00B419CE" w:rsidRPr="00B419CE" w:rsidRDefault="00B419CE" w:rsidP="00B419CE">
            <w:pPr>
              <w:jc w:val="right"/>
            </w:pPr>
            <w:r w:rsidRPr="00B419CE">
              <w:t>275 634</w:t>
            </w:r>
          </w:p>
        </w:tc>
        <w:tc>
          <w:tcPr>
            <w:tcW w:w="1140" w:type="dxa"/>
          </w:tcPr>
          <w:p w14:paraId="1B5585F5" w14:textId="77777777" w:rsidR="00B419CE" w:rsidRPr="00B419CE" w:rsidRDefault="00B419CE" w:rsidP="00B419CE">
            <w:pPr>
              <w:jc w:val="right"/>
            </w:pPr>
            <w:r w:rsidRPr="00B419CE">
              <w:t>263 194</w:t>
            </w:r>
          </w:p>
        </w:tc>
      </w:tr>
    </w:tbl>
    <w:p w14:paraId="2A4F9F61" w14:textId="77777777" w:rsidR="00B419CE" w:rsidRPr="00B419CE" w:rsidRDefault="00B419CE" w:rsidP="00B419CE">
      <w:pPr>
        <w:pStyle w:val="b-post"/>
      </w:pPr>
      <w:r w:rsidRPr="00B419CE">
        <w:t>Post 02 Oppdragsinntekter</w:t>
      </w:r>
    </w:p>
    <w:p w14:paraId="4BA204E2" w14:textId="77777777" w:rsidR="00B419CE" w:rsidRPr="00B419CE" w:rsidRDefault="00B419CE" w:rsidP="00B419CE">
      <w:r w:rsidRPr="00B419CE">
        <w:t>Sjå omtale under kap. 1620, post 21.</w:t>
      </w:r>
    </w:p>
    <w:p w14:paraId="21A2383B" w14:textId="77777777" w:rsidR="00B419CE" w:rsidRPr="00B419CE" w:rsidRDefault="00B419CE" w:rsidP="00B419CE">
      <w:r w:rsidRPr="00B419CE">
        <w:t xml:space="preserve">Oppdragsinntektene er førte opp med 9 mill. kroner </w:t>
      </w:r>
      <w:proofErr w:type="spellStart"/>
      <w:r w:rsidRPr="00B419CE">
        <w:t>meir</w:t>
      </w:r>
      <w:proofErr w:type="spellEnd"/>
      <w:r w:rsidRPr="00B419CE">
        <w:t xml:space="preserve"> enn utgiftene på kap. 1620, post 21. Inntektene skal overstige utgiftene med </w:t>
      </w:r>
      <w:proofErr w:type="spellStart"/>
      <w:r w:rsidRPr="00B419CE">
        <w:t>meirverdiavgifta</w:t>
      </w:r>
      <w:proofErr w:type="spellEnd"/>
      <w:r w:rsidRPr="00B419CE">
        <w:t xml:space="preserve"> i samband med brukarfinansierte oppdrag, og som vert å belaste kap. 1633 </w:t>
      </w:r>
      <w:r w:rsidRPr="00B419CE">
        <w:rPr>
          <w:rStyle w:val="kursiv"/>
        </w:rPr>
        <w:t xml:space="preserve">Nettoordning, </w:t>
      </w:r>
      <w:proofErr w:type="spellStart"/>
      <w:r w:rsidRPr="00B419CE">
        <w:rPr>
          <w:rStyle w:val="kursiv"/>
        </w:rPr>
        <w:t>statleg</w:t>
      </w:r>
      <w:proofErr w:type="spellEnd"/>
      <w:r w:rsidRPr="00B419CE">
        <w:rPr>
          <w:rStyle w:val="kursiv"/>
        </w:rPr>
        <w:t xml:space="preserve"> betalt </w:t>
      </w:r>
      <w:proofErr w:type="spellStart"/>
      <w:r w:rsidRPr="00B419CE">
        <w:rPr>
          <w:rStyle w:val="kursiv"/>
        </w:rPr>
        <w:t>meirverdiavgift</w:t>
      </w:r>
      <w:proofErr w:type="spellEnd"/>
      <w:r w:rsidRPr="00B419CE">
        <w:t xml:space="preserve">. </w:t>
      </w:r>
      <w:proofErr w:type="spellStart"/>
      <w:r w:rsidRPr="00B419CE">
        <w:t>Desse</w:t>
      </w:r>
      <w:proofErr w:type="spellEnd"/>
      <w:r w:rsidRPr="00B419CE">
        <w:t xml:space="preserve"> utgiftene er vurderte til 9 mill. kroner.</w:t>
      </w:r>
    </w:p>
    <w:p w14:paraId="6753F903" w14:textId="77777777" w:rsidR="00B419CE" w:rsidRPr="00B419CE" w:rsidRDefault="00B419CE" w:rsidP="00B419CE">
      <w:pPr>
        <w:pStyle w:val="b-post"/>
      </w:pPr>
      <w:r w:rsidRPr="00B419CE">
        <w:lastRenderedPageBreak/>
        <w:t>Post 85 Tvangsmulkt</w:t>
      </w:r>
    </w:p>
    <w:p w14:paraId="1B84D02B" w14:textId="77777777" w:rsidR="00B419CE" w:rsidRPr="00B419CE" w:rsidRDefault="00B419CE" w:rsidP="00B419CE">
      <w:r w:rsidRPr="00B419CE">
        <w:t xml:space="preserve">SSB har med heimel i statistikklova høve til å </w:t>
      </w:r>
      <w:proofErr w:type="spellStart"/>
      <w:r w:rsidRPr="00B419CE">
        <w:t>ileggje</w:t>
      </w:r>
      <w:proofErr w:type="spellEnd"/>
      <w:r w:rsidRPr="00B419CE">
        <w:t xml:space="preserve"> tvangsmulkt. Mulktene vert som </w:t>
      </w:r>
      <w:proofErr w:type="spellStart"/>
      <w:r w:rsidRPr="00B419CE">
        <w:t>hovudregel</w:t>
      </w:r>
      <w:proofErr w:type="spellEnd"/>
      <w:r w:rsidRPr="00B419CE">
        <w:t xml:space="preserve"> utmålt med utgangspunkt i rettsgebyret.</w:t>
      </w:r>
    </w:p>
    <w:p w14:paraId="5132C08F" w14:textId="77777777" w:rsidR="00B419CE" w:rsidRPr="00B419CE" w:rsidRDefault="00B419CE" w:rsidP="00B419CE">
      <w:pPr>
        <w:pStyle w:val="b-progkat"/>
      </w:pPr>
      <w:r w:rsidRPr="00B419CE">
        <w:t xml:space="preserve">Programkategori 23.40 Andre </w:t>
      </w:r>
      <w:proofErr w:type="spellStart"/>
      <w:r w:rsidRPr="00B419CE">
        <w:t>føremål</w:t>
      </w:r>
      <w:proofErr w:type="spellEnd"/>
    </w:p>
    <w:p w14:paraId="23121DF8" w14:textId="77777777" w:rsidR="00B419CE" w:rsidRPr="00B419CE" w:rsidRDefault="00B419CE" w:rsidP="00B419CE">
      <w:pPr>
        <w:pStyle w:val="avsnitt-tittel"/>
      </w:pPr>
      <w:r w:rsidRPr="00B419CE">
        <w:t>Utgifter under programkategori 23.40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53F7D7F5" w14:textId="77777777" w:rsidTr="00B419CE">
        <w:trPr>
          <w:trHeight w:val="640"/>
          <w:hidden/>
        </w:trPr>
        <w:tc>
          <w:tcPr>
            <w:tcW w:w="1020" w:type="dxa"/>
            <w:shd w:val="clear" w:color="auto" w:fill="FFFFFF"/>
          </w:tcPr>
          <w:p w14:paraId="09147BC7" w14:textId="77777777" w:rsidR="00B419CE" w:rsidRPr="00B419CE" w:rsidRDefault="00B419CE" w:rsidP="00B419CE">
            <w:pPr>
              <w:pStyle w:val="Tabellnavn"/>
            </w:pPr>
            <w:r w:rsidRPr="00B419CE">
              <w:t>PIKL</w:t>
            </w:r>
          </w:p>
        </w:tc>
        <w:tc>
          <w:tcPr>
            <w:tcW w:w="4080" w:type="dxa"/>
          </w:tcPr>
          <w:p w14:paraId="71DD3C1C" w14:textId="77777777" w:rsidR="00B419CE" w:rsidRPr="00B419CE" w:rsidRDefault="00B419CE" w:rsidP="00B419CE"/>
        </w:tc>
        <w:tc>
          <w:tcPr>
            <w:tcW w:w="1020" w:type="dxa"/>
          </w:tcPr>
          <w:p w14:paraId="4F57EE90" w14:textId="77777777" w:rsidR="00B419CE" w:rsidRPr="00B419CE" w:rsidRDefault="00B419CE" w:rsidP="00B419CE">
            <w:pPr>
              <w:jc w:val="right"/>
            </w:pPr>
          </w:p>
        </w:tc>
        <w:tc>
          <w:tcPr>
            <w:tcW w:w="1020" w:type="dxa"/>
          </w:tcPr>
          <w:p w14:paraId="7B67F5D5" w14:textId="77777777" w:rsidR="00B419CE" w:rsidRPr="00B419CE" w:rsidRDefault="00B419CE" w:rsidP="00B419CE">
            <w:pPr>
              <w:jc w:val="right"/>
            </w:pPr>
          </w:p>
        </w:tc>
        <w:tc>
          <w:tcPr>
            <w:tcW w:w="1020" w:type="dxa"/>
          </w:tcPr>
          <w:p w14:paraId="5E4EDF51" w14:textId="77777777" w:rsidR="00B419CE" w:rsidRPr="00B419CE" w:rsidRDefault="00B419CE" w:rsidP="00B419CE">
            <w:pPr>
              <w:jc w:val="right"/>
            </w:pPr>
          </w:p>
        </w:tc>
        <w:tc>
          <w:tcPr>
            <w:tcW w:w="1020" w:type="dxa"/>
          </w:tcPr>
          <w:p w14:paraId="12DA18D8" w14:textId="77777777" w:rsidR="00B419CE" w:rsidRPr="00B419CE" w:rsidRDefault="00B419CE" w:rsidP="00B419CE">
            <w:pPr>
              <w:jc w:val="right"/>
            </w:pPr>
            <w:r w:rsidRPr="00B419CE">
              <w:t>(i 1 000 kr)</w:t>
            </w:r>
          </w:p>
        </w:tc>
      </w:tr>
      <w:tr w:rsidR="00B419CE" w:rsidRPr="00B419CE" w14:paraId="4408BCE1" w14:textId="77777777" w:rsidTr="00B419CE">
        <w:trPr>
          <w:trHeight w:val="600"/>
        </w:trPr>
        <w:tc>
          <w:tcPr>
            <w:tcW w:w="1020" w:type="dxa"/>
          </w:tcPr>
          <w:p w14:paraId="6624A266" w14:textId="77777777" w:rsidR="00B419CE" w:rsidRPr="00B419CE" w:rsidRDefault="00B419CE" w:rsidP="00B419CE">
            <w:r w:rsidRPr="00B419CE">
              <w:t>Kap.</w:t>
            </w:r>
          </w:p>
        </w:tc>
        <w:tc>
          <w:tcPr>
            <w:tcW w:w="4080" w:type="dxa"/>
          </w:tcPr>
          <w:p w14:paraId="26771F70" w14:textId="77777777" w:rsidR="00B419CE" w:rsidRPr="00B419CE" w:rsidRDefault="00B419CE" w:rsidP="00B419CE">
            <w:proofErr w:type="spellStart"/>
            <w:r w:rsidRPr="00B419CE">
              <w:t>Nemning</w:t>
            </w:r>
            <w:proofErr w:type="spellEnd"/>
          </w:p>
        </w:tc>
        <w:tc>
          <w:tcPr>
            <w:tcW w:w="1020" w:type="dxa"/>
          </w:tcPr>
          <w:p w14:paraId="42FDD33F"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1E9DDD46" w14:textId="77777777" w:rsidR="00B419CE" w:rsidRPr="00B419CE" w:rsidRDefault="00B419CE" w:rsidP="00B419CE">
            <w:pPr>
              <w:jc w:val="right"/>
            </w:pPr>
            <w:r w:rsidRPr="00B419CE">
              <w:t>Saldert</w:t>
            </w:r>
            <w:r w:rsidRPr="00B419CE">
              <w:br/>
              <w:t xml:space="preserve"> budsjett 2021</w:t>
            </w:r>
          </w:p>
        </w:tc>
        <w:tc>
          <w:tcPr>
            <w:tcW w:w="1020" w:type="dxa"/>
          </w:tcPr>
          <w:p w14:paraId="293E818D" w14:textId="77777777" w:rsidR="00B419CE" w:rsidRPr="00B419CE" w:rsidRDefault="00B419CE" w:rsidP="00B419CE">
            <w:pPr>
              <w:jc w:val="right"/>
            </w:pPr>
            <w:r w:rsidRPr="00B419CE">
              <w:t>Forslag</w:t>
            </w:r>
            <w:r w:rsidRPr="00B419CE">
              <w:br/>
              <w:t xml:space="preserve"> 2022</w:t>
            </w:r>
          </w:p>
        </w:tc>
        <w:tc>
          <w:tcPr>
            <w:tcW w:w="1020" w:type="dxa"/>
          </w:tcPr>
          <w:p w14:paraId="5DFCBDC3" w14:textId="77777777" w:rsidR="00B419CE" w:rsidRPr="00B419CE" w:rsidRDefault="00B419CE" w:rsidP="00B419CE">
            <w:pPr>
              <w:jc w:val="right"/>
            </w:pPr>
            <w:r w:rsidRPr="00B419CE">
              <w:t>Endring</w:t>
            </w:r>
            <w:r w:rsidRPr="00B419CE">
              <w:br/>
              <w:t xml:space="preserve"> i pst.</w:t>
            </w:r>
          </w:p>
        </w:tc>
      </w:tr>
      <w:tr w:rsidR="00B419CE" w:rsidRPr="00B419CE" w14:paraId="068D1374" w14:textId="77777777" w:rsidTr="00B419CE">
        <w:trPr>
          <w:trHeight w:val="380"/>
        </w:trPr>
        <w:tc>
          <w:tcPr>
            <w:tcW w:w="1020" w:type="dxa"/>
          </w:tcPr>
          <w:p w14:paraId="1E42D1D1" w14:textId="77777777" w:rsidR="00B419CE" w:rsidRPr="00B419CE" w:rsidRDefault="00B419CE" w:rsidP="00B419CE">
            <w:r w:rsidRPr="00B419CE">
              <w:t>1632</w:t>
            </w:r>
          </w:p>
        </w:tc>
        <w:tc>
          <w:tcPr>
            <w:tcW w:w="4080" w:type="dxa"/>
          </w:tcPr>
          <w:p w14:paraId="0477FCBF" w14:textId="77777777" w:rsidR="00B419CE" w:rsidRPr="00B419CE" w:rsidRDefault="00B419CE" w:rsidP="00B419CE">
            <w:r w:rsidRPr="00B419CE">
              <w:t xml:space="preserve">Kompensasjon for </w:t>
            </w:r>
            <w:proofErr w:type="spellStart"/>
            <w:r w:rsidRPr="00B419CE">
              <w:t>meirverdiavgift</w:t>
            </w:r>
            <w:proofErr w:type="spellEnd"/>
          </w:p>
        </w:tc>
        <w:tc>
          <w:tcPr>
            <w:tcW w:w="1020" w:type="dxa"/>
          </w:tcPr>
          <w:p w14:paraId="0A27D93F" w14:textId="77777777" w:rsidR="00B419CE" w:rsidRPr="00B419CE" w:rsidRDefault="00B419CE" w:rsidP="00B419CE">
            <w:pPr>
              <w:jc w:val="right"/>
            </w:pPr>
            <w:r w:rsidRPr="00B419CE">
              <w:t>29 155 976</w:t>
            </w:r>
          </w:p>
        </w:tc>
        <w:tc>
          <w:tcPr>
            <w:tcW w:w="1020" w:type="dxa"/>
          </w:tcPr>
          <w:p w14:paraId="35C5FFA8" w14:textId="77777777" w:rsidR="00B419CE" w:rsidRPr="00B419CE" w:rsidRDefault="00B419CE" w:rsidP="00B419CE">
            <w:pPr>
              <w:jc w:val="right"/>
            </w:pPr>
            <w:r w:rsidRPr="00B419CE">
              <w:t>31 200 000</w:t>
            </w:r>
          </w:p>
        </w:tc>
        <w:tc>
          <w:tcPr>
            <w:tcW w:w="1020" w:type="dxa"/>
          </w:tcPr>
          <w:p w14:paraId="07EDAB99" w14:textId="77777777" w:rsidR="00B419CE" w:rsidRPr="00B419CE" w:rsidRDefault="00B419CE" w:rsidP="00B419CE">
            <w:pPr>
              <w:jc w:val="right"/>
            </w:pPr>
            <w:r w:rsidRPr="00B419CE">
              <w:t>31 180 000</w:t>
            </w:r>
          </w:p>
        </w:tc>
        <w:tc>
          <w:tcPr>
            <w:tcW w:w="1020" w:type="dxa"/>
          </w:tcPr>
          <w:p w14:paraId="43DCBEB6" w14:textId="77777777" w:rsidR="00B419CE" w:rsidRPr="00B419CE" w:rsidRDefault="00B419CE" w:rsidP="00B419CE">
            <w:pPr>
              <w:jc w:val="right"/>
            </w:pPr>
            <w:r w:rsidRPr="00B419CE">
              <w:t>-0,1</w:t>
            </w:r>
          </w:p>
        </w:tc>
      </w:tr>
      <w:tr w:rsidR="00B419CE" w:rsidRPr="00B419CE" w14:paraId="4ADCBC3C" w14:textId="77777777" w:rsidTr="00B419CE">
        <w:trPr>
          <w:trHeight w:val="640"/>
        </w:trPr>
        <w:tc>
          <w:tcPr>
            <w:tcW w:w="1020" w:type="dxa"/>
          </w:tcPr>
          <w:p w14:paraId="6D2FF99E" w14:textId="77777777" w:rsidR="00B419CE" w:rsidRPr="00B419CE" w:rsidRDefault="00B419CE" w:rsidP="00B419CE">
            <w:r w:rsidRPr="00B419CE">
              <w:t>1633</w:t>
            </w:r>
          </w:p>
        </w:tc>
        <w:tc>
          <w:tcPr>
            <w:tcW w:w="4080" w:type="dxa"/>
          </w:tcPr>
          <w:p w14:paraId="6488103E" w14:textId="77777777" w:rsidR="00B419CE" w:rsidRPr="00B419CE" w:rsidRDefault="00B419CE" w:rsidP="00B419CE">
            <w:r w:rsidRPr="00B419CE">
              <w:t xml:space="preserve">Nettoordning, </w:t>
            </w:r>
            <w:proofErr w:type="spellStart"/>
            <w:r w:rsidRPr="00B419CE">
              <w:t>statleg</w:t>
            </w:r>
            <w:proofErr w:type="spellEnd"/>
            <w:r w:rsidRPr="00B419CE">
              <w:t xml:space="preserve"> betalt </w:t>
            </w:r>
            <w:r w:rsidRPr="00B419CE">
              <w:br/>
            </w:r>
            <w:proofErr w:type="spellStart"/>
            <w:r w:rsidRPr="00B419CE">
              <w:t>meirverdiavgift</w:t>
            </w:r>
            <w:proofErr w:type="spellEnd"/>
          </w:p>
        </w:tc>
        <w:tc>
          <w:tcPr>
            <w:tcW w:w="1020" w:type="dxa"/>
          </w:tcPr>
          <w:p w14:paraId="52E3FF73" w14:textId="77777777" w:rsidR="00B419CE" w:rsidRPr="00B419CE" w:rsidRDefault="00B419CE" w:rsidP="00B419CE">
            <w:pPr>
              <w:jc w:val="right"/>
            </w:pPr>
            <w:r w:rsidRPr="00B419CE">
              <w:t>8 131 831</w:t>
            </w:r>
          </w:p>
        </w:tc>
        <w:tc>
          <w:tcPr>
            <w:tcW w:w="1020" w:type="dxa"/>
          </w:tcPr>
          <w:p w14:paraId="0FCBD252" w14:textId="77777777" w:rsidR="00B419CE" w:rsidRPr="00B419CE" w:rsidRDefault="00B419CE" w:rsidP="00B419CE">
            <w:pPr>
              <w:jc w:val="right"/>
            </w:pPr>
            <w:r w:rsidRPr="00B419CE">
              <w:t>8 392 600</w:t>
            </w:r>
          </w:p>
        </w:tc>
        <w:tc>
          <w:tcPr>
            <w:tcW w:w="1020" w:type="dxa"/>
          </w:tcPr>
          <w:p w14:paraId="19504AB7" w14:textId="77777777" w:rsidR="00B419CE" w:rsidRPr="00B419CE" w:rsidRDefault="00B419CE" w:rsidP="00B419CE">
            <w:pPr>
              <w:jc w:val="right"/>
            </w:pPr>
            <w:r w:rsidRPr="00B419CE">
              <w:t>9 100 000</w:t>
            </w:r>
          </w:p>
        </w:tc>
        <w:tc>
          <w:tcPr>
            <w:tcW w:w="1020" w:type="dxa"/>
          </w:tcPr>
          <w:p w14:paraId="384F076D" w14:textId="77777777" w:rsidR="00B419CE" w:rsidRPr="00B419CE" w:rsidRDefault="00B419CE" w:rsidP="00B419CE">
            <w:pPr>
              <w:jc w:val="right"/>
            </w:pPr>
            <w:r w:rsidRPr="00B419CE">
              <w:t>8,4</w:t>
            </w:r>
          </w:p>
        </w:tc>
      </w:tr>
      <w:tr w:rsidR="00B419CE" w:rsidRPr="00B419CE" w14:paraId="3B52A8A4" w14:textId="77777777" w:rsidTr="00B419CE">
        <w:trPr>
          <w:trHeight w:val="640"/>
        </w:trPr>
        <w:tc>
          <w:tcPr>
            <w:tcW w:w="1020" w:type="dxa"/>
          </w:tcPr>
          <w:p w14:paraId="112E2942" w14:textId="77777777" w:rsidR="00B419CE" w:rsidRPr="00B419CE" w:rsidRDefault="00B419CE" w:rsidP="00B419CE">
            <w:r w:rsidRPr="00B419CE">
              <w:t>1634</w:t>
            </w:r>
          </w:p>
        </w:tc>
        <w:tc>
          <w:tcPr>
            <w:tcW w:w="4080" w:type="dxa"/>
          </w:tcPr>
          <w:p w14:paraId="32F18C30" w14:textId="77777777" w:rsidR="00B419CE" w:rsidRPr="00B419CE" w:rsidRDefault="00B419CE" w:rsidP="00B419CE">
            <w:r w:rsidRPr="00B419CE">
              <w:t xml:space="preserve">Kompensasjon for inntektssvikt som </w:t>
            </w:r>
            <w:proofErr w:type="spellStart"/>
            <w:r w:rsidRPr="00B419CE">
              <w:t>følgje</w:t>
            </w:r>
            <w:proofErr w:type="spellEnd"/>
            <w:r w:rsidRPr="00B419CE">
              <w:t xml:space="preserve"> av </w:t>
            </w:r>
            <w:proofErr w:type="spellStart"/>
            <w:r w:rsidRPr="00B419CE">
              <w:t>koronaviruset</w:t>
            </w:r>
            <w:proofErr w:type="spellEnd"/>
          </w:p>
        </w:tc>
        <w:tc>
          <w:tcPr>
            <w:tcW w:w="1020" w:type="dxa"/>
          </w:tcPr>
          <w:p w14:paraId="779BE4A7" w14:textId="77777777" w:rsidR="00B419CE" w:rsidRPr="00B419CE" w:rsidRDefault="00B419CE" w:rsidP="00B419CE">
            <w:pPr>
              <w:jc w:val="right"/>
            </w:pPr>
            <w:r w:rsidRPr="00B419CE">
              <w:t>7 570 350</w:t>
            </w:r>
          </w:p>
        </w:tc>
        <w:tc>
          <w:tcPr>
            <w:tcW w:w="1020" w:type="dxa"/>
          </w:tcPr>
          <w:p w14:paraId="329FC4FE" w14:textId="77777777" w:rsidR="00B419CE" w:rsidRPr="00B419CE" w:rsidRDefault="00B419CE" w:rsidP="00B419CE">
            <w:pPr>
              <w:jc w:val="right"/>
            </w:pPr>
            <w:r w:rsidRPr="00B419CE">
              <w:t>430 000</w:t>
            </w:r>
          </w:p>
        </w:tc>
        <w:tc>
          <w:tcPr>
            <w:tcW w:w="1020" w:type="dxa"/>
          </w:tcPr>
          <w:p w14:paraId="36551486" w14:textId="77777777" w:rsidR="00B419CE" w:rsidRPr="00B419CE" w:rsidRDefault="00B419CE" w:rsidP="00B419CE">
            <w:pPr>
              <w:jc w:val="right"/>
            </w:pPr>
          </w:p>
        </w:tc>
        <w:tc>
          <w:tcPr>
            <w:tcW w:w="1020" w:type="dxa"/>
          </w:tcPr>
          <w:p w14:paraId="790120C2" w14:textId="77777777" w:rsidR="00B419CE" w:rsidRPr="00B419CE" w:rsidRDefault="00B419CE" w:rsidP="00B419CE">
            <w:pPr>
              <w:jc w:val="right"/>
            </w:pPr>
            <w:r w:rsidRPr="00B419CE">
              <w:t>-100,0</w:t>
            </w:r>
          </w:p>
        </w:tc>
      </w:tr>
      <w:tr w:rsidR="00B419CE" w:rsidRPr="00B419CE" w14:paraId="26091458" w14:textId="77777777" w:rsidTr="00B419CE">
        <w:trPr>
          <w:trHeight w:val="640"/>
        </w:trPr>
        <w:tc>
          <w:tcPr>
            <w:tcW w:w="1020" w:type="dxa"/>
          </w:tcPr>
          <w:p w14:paraId="6D1C6049" w14:textId="77777777" w:rsidR="00B419CE" w:rsidRPr="00B419CE" w:rsidRDefault="00B419CE" w:rsidP="00B419CE">
            <w:r w:rsidRPr="00B419CE">
              <w:t>1645</w:t>
            </w:r>
          </w:p>
        </w:tc>
        <w:tc>
          <w:tcPr>
            <w:tcW w:w="4080" w:type="dxa"/>
          </w:tcPr>
          <w:p w14:paraId="74A6C003" w14:textId="77777777" w:rsidR="00B419CE" w:rsidRPr="00B419CE" w:rsidRDefault="00B419CE" w:rsidP="00B419CE">
            <w:proofErr w:type="spellStart"/>
            <w:r w:rsidRPr="00B419CE">
              <w:t>Statleg</w:t>
            </w:r>
            <w:proofErr w:type="spellEnd"/>
            <w:r w:rsidRPr="00B419CE">
              <w:t xml:space="preserve"> garantiordning for lån til små og mellomstore </w:t>
            </w:r>
            <w:proofErr w:type="spellStart"/>
            <w:r w:rsidRPr="00B419CE">
              <w:t>føretak</w:t>
            </w:r>
            <w:proofErr w:type="spellEnd"/>
          </w:p>
        </w:tc>
        <w:tc>
          <w:tcPr>
            <w:tcW w:w="1020" w:type="dxa"/>
          </w:tcPr>
          <w:p w14:paraId="3C2117B8" w14:textId="77777777" w:rsidR="00B419CE" w:rsidRPr="00B419CE" w:rsidRDefault="00B419CE" w:rsidP="00B419CE">
            <w:pPr>
              <w:jc w:val="right"/>
            </w:pPr>
            <w:r w:rsidRPr="00B419CE">
              <w:t>10 010 000</w:t>
            </w:r>
          </w:p>
        </w:tc>
        <w:tc>
          <w:tcPr>
            <w:tcW w:w="1020" w:type="dxa"/>
          </w:tcPr>
          <w:p w14:paraId="5C97C595" w14:textId="77777777" w:rsidR="00B419CE" w:rsidRPr="00B419CE" w:rsidRDefault="00B419CE" w:rsidP="00B419CE">
            <w:pPr>
              <w:jc w:val="right"/>
            </w:pPr>
            <w:r w:rsidRPr="00B419CE">
              <w:t>3 000</w:t>
            </w:r>
          </w:p>
        </w:tc>
        <w:tc>
          <w:tcPr>
            <w:tcW w:w="1020" w:type="dxa"/>
          </w:tcPr>
          <w:p w14:paraId="4583D9DE" w14:textId="77777777" w:rsidR="00B419CE" w:rsidRPr="00B419CE" w:rsidRDefault="00B419CE" w:rsidP="00B419CE">
            <w:pPr>
              <w:jc w:val="right"/>
            </w:pPr>
            <w:r w:rsidRPr="00B419CE">
              <w:t>4 000</w:t>
            </w:r>
          </w:p>
        </w:tc>
        <w:tc>
          <w:tcPr>
            <w:tcW w:w="1020" w:type="dxa"/>
          </w:tcPr>
          <w:p w14:paraId="6E49F356" w14:textId="77777777" w:rsidR="00B419CE" w:rsidRPr="00B419CE" w:rsidRDefault="00B419CE" w:rsidP="00B419CE">
            <w:pPr>
              <w:jc w:val="right"/>
            </w:pPr>
            <w:r w:rsidRPr="00B419CE">
              <w:t>33,3</w:t>
            </w:r>
          </w:p>
        </w:tc>
      </w:tr>
      <w:tr w:rsidR="00B419CE" w:rsidRPr="00B419CE" w14:paraId="48BC7250" w14:textId="77777777" w:rsidTr="00B419CE">
        <w:trPr>
          <w:trHeight w:val="380"/>
        </w:trPr>
        <w:tc>
          <w:tcPr>
            <w:tcW w:w="1020" w:type="dxa"/>
          </w:tcPr>
          <w:p w14:paraId="455E2F3D" w14:textId="77777777" w:rsidR="00B419CE" w:rsidRPr="00B419CE" w:rsidRDefault="00B419CE" w:rsidP="00B419CE"/>
        </w:tc>
        <w:tc>
          <w:tcPr>
            <w:tcW w:w="4080" w:type="dxa"/>
          </w:tcPr>
          <w:p w14:paraId="494704A3" w14:textId="77777777" w:rsidR="00B419CE" w:rsidRPr="00B419CE" w:rsidRDefault="00B419CE" w:rsidP="00B419CE">
            <w:r w:rsidRPr="00B419CE">
              <w:t>Sum kategori 23.40</w:t>
            </w:r>
          </w:p>
        </w:tc>
        <w:tc>
          <w:tcPr>
            <w:tcW w:w="1020" w:type="dxa"/>
          </w:tcPr>
          <w:p w14:paraId="4489B403" w14:textId="77777777" w:rsidR="00B419CE" w:rsidRPr="00B419CE" w:rsidRDefault="00B419CE" w:rsidP="00B419CE">
            <w:pPr>
              <w:jc w:val="right"/>
            </w:pPr>
            <w:r w:rsidRPr="00B419CE">
              <w:t>54 868 157</w:t>
            </w:r>
          </w:p>
        </w:tc>
        <w:tc>
          <w:tcPr>
            <w:tcW w:w="1020" w:type="dxa"/>
          </w:tcPr>
          <w:p w14:paraId="71CBA5E9" w14:textId="77777777" w:rsidR="00B419CE" w:rsidRPr="00B419CE" w:rsidRDefault="00B419CE" w:rsidP="00B419CE">
            <w:pPr>
              <w:jc w:val="right"/>
            </w:pPr>
            <w:r w:rsidRPr="00B419CE">
              <w:t>40 025 600</w:t>
            </w:r>
          </w:p>
        </w:tc>
        <w:tc>
          <w:tcPr>
            <w:tcW w:w="1020" w:type="dxa"/>
          </w:tcPr>
          <w:p w14:paraId="2CA8DF25" w14:textId="77777777" w:rsidR="00B419CE" w:rsidRPr="00B419CE" w:rsidRDefault="00B419CE" w:rsidP="00B419CE">
            <w:pPr>
              <w:jc w:val="right"/>
            </w:pPr>
            <w:r w:rsidRPr="00B419CE">
              <w:t>40 284 000</w:t>
            </w:r>
          </w:p>
        </w:tc>
        <w:tc>
          <w:tcPr>
            <w:tcW w:w="1020" w:type="dxa"/>
          </w:tcPr>
          <w:p w14:paraId="65855FE3" w14:textId="77777777" w:rsidR="00B419CE" w:rsidRPr="00B419CE" w:rsidRDefault="00B419CE" w:rsidP="00B419CE">
            <w:pPr>
              <w:jc w:val="right"/>
            </w:pPr>
            <w:r w:rsidRPr="00B419CE">
              <w:t>0,6</w:t>
            </w:r>
          </w:p>
        </w:tc>
      </w:tr>
    </w:tbl>
    <w:p w14:paraId="007A41A8" w14:textId="77777777" w:rsidR="00B419CE" w:rsidRPr="00B419CE" w:rsidRDefault="00B419CE" w:rsidP="00B419CE">
      <w:pPr>
        <w:pStyle w:val="b-budkaptit"/>
      </w:pPr>
      <w:r w:rsidRPr="00B419CE">
        <w:t xml:space="preserve">Kap. 1632 Kompensasjon for </w:t>
      </w:r>
      <w:proofErr w:type="spellStart"/>
      <w:r w:rsidRPr="00B419CE">
        <w:t>meirverdiavgift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26861FC8" w14:textId="77777777" w:rsidTr="00B419CE">
        <w:trPr>
          <w:trHeight w:val="640"/>
          <w:hidden/>
        </w:trPr>
        <w:tc>
          <w:tcPr>
            <w:tcW w:w="1140" w:type="dxa"/>
            <w:shd w:val="clear" w:color="auto" w:fill="FFFFFF"/>
          </w:tcPr>
          <w:p w14:paraId="6D356E4B" w14:textId="77777777" w:rsidR="00B419CE" w:rsidRPr="00B419CE" w:rsidRDefault="00B419CE" w:rsidP="00B419CE">
            <w:pPr>
              <w:pStyle w:val="Tabellnavn"/>
            </w:pPr>
            <w:r w:rsidRPr="00B419CE">
              <w:t>KPAL</w:t>
            </w:r>
          </w:p>
        </w:tc>
        <w:tc>
          <w:tcPr>
            <w:tcW w:w="4560" w:type="dxa"/>
          </w:tcPr>
          <w:p w14:paraId="35D53027" w14:textId="77777777" w:rsidR="00B419CE" w:rsidRPr="00B419CE" w:rsidRDefault="00B419CE" w:rsidP="00B419CE"/>
        </w:tc>
        <w:tc>
          <w:tcPr>
            <w:tcW w:w="1140" w:type="dxa"/>
          </w:tcPr>
          <w:p w14:paraId="4EA525C1" w14:textId="77777777" w:rsidR="00B419CE" w:rsidRPr="00B419CE" w:rsidRDefault="00B419CE" w:rsidP="00B419CE">
            <w:pPr>
              <w:jc w:val="right"/>
            </w:pPr>
          </w:p>
        </w:tc>
        <w:tc>
          <w:tcPr>
            <w:tcW w:w="1140" w:type="dxa"/>
          </w:tcPr>
          <w:p w14:paraId="30A631EF" w14:textId="77777777" w:rsidR="00B419CE" w:rsidRPr="00B419CE" w:rsidRDefault="00B419CE" w:rsidP="00B419CE">
            <w:pPr>
              <w:jc w:val="right"/>
            </w:pPr>
          </w:p>
        </w:tc>
        <w:tc>
          <w:tcPr>
            <w:tcW w:w="1140" w:type="dxa"/>
          </w:tcPr>
          <w:p w14:paraId="72D668F9" w14:textId="77777777" w:rsidR="00B419CE" w:rsidRPr="00B419CE" w:rsidRDefault="00B419CE" w:rsidP="00B419CE">
            <w:pPr>
              <w:jc w:val="right"/>
            </w:pPr>
            <w:r w:rsidRPr="00B419CE">
              <w:t>(i 1 000 kr)</w:t>
            </w:r>
          </w:p>
        </w:tc>
      </w:tr>
      <w:tr w:rsidR="00B419CE" w:rsidRPr="00B419CE" w14:paraId="5AB291AB" w14:textId="77777777" w:rsidTr="00B419CE">
        <w:trPr>
          <w:trHeight w:val="600"/>
        </w:trPr>
        <w:tc>
          <w:tcPr>
            <w:tcW w:w="1140" w:type="dxa"/>
          </w:tcPr>
          <w:p w14:paraId="027DF0EF" w14:textId="77777777" w:rsidR="00B419CE" w:rsidRPr="00B419CE" w:rsidRDefault="00B419CE" w:rsidP="00B419CE">
            <w:r w:rsidRPr="00B419CE">
              <w:t>Post</w:t>
            </w:r>
          </w:p>
        </w:tc>
        <w:tc>
          <w:tcPr>
            <w:tcW w:w="4560" w:type="dxa"/>
          </w:tcPr>
          <w:p w14:paraId="3490B9EC" w14:textId="77777777" w:rsidR="00B419CE" w:rsidRPr="00B419CE" w:rsidRDefault="00B419CE" w:rsidP="00B419CE">
            <w:proofErr w:type="spellStart"/>
            <w:r w:rsidRPr="00B419CE">
              <w:t>Nemning</w:t>
            </w:r>
            <w:proofErr w:type="spellEnd"/>
          </w:p>
        </w:tc>
        <w:tc>
          <w:tcPr>
            <w:tcW w:w="1140" w:type="dxa"/>
          </w:tcPr>
          <w:p w14:paraId="2F3955F3"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45A31322" w14:textId="77777777" w:rsidR="00B419CE" w:rsidRPr="00B419CE" w:rsidRDefault="00B419CE" w:rsidP="00B419CE">
            <w:pPr>
              <w:jc w:val="right"/>
            </w:pPr>
            <w:r w:rsidRPr="00B419CE">
              <w:t>Saldert</w:t>
            </w:r>
            <w:r w:rsidRPr="00B419CE">
              <w:br/>
              <w:t xml:space="preserve"> budsjett 2021</w:t>
            </w:r>
          </w:p>
        </w:tc>
        <w:tc>
          <w:tcPr>
            <w:tcW w:w="1140" w:type="dxa"/>
          </w:tcPr>
          <w:p w14:paraId="1C21E09C" w14:textId="77777777" w:rsidR="00B419CE" w:rsidRPr="00B419CE" w:rsidRDefault="00B419CE" w:rsidP="00B419CE">
            <w:pPr>
              <w:jc w:val="right"/>
            </w:pPr>
            <w:r w:rsidRPr="00B419CE">
              <w:t>Forslag</w:t>
            </w:r>
            <w:r w:rsidRPr="00B419CE">
              <w:br/>
              <w:t xml:space="preserve"> 2022</w:t>
            </w:r>
          </w:p>
        </w:tc>
      </w:tr>
      <w:tr w:rsidR="00B419CE" w:rsidRPr="00B419CE" w14:paraId="134CFCD1" w14:textId="77777777" w:rsidTr="00B419CE">
        <w:trPr>
          <w:trHeight w:val="640"/>
        </w:trPr>
        <w:tc>
          <w:tcPr>
            <w:tcW w:w="1140" w:type="dxa"/>
          </w:tcPr>
          <w:p w14:paraId="0F8B3487" w14:textId="77777777" w:rsidR="00B419CE" w:rsidRPr="00B419CE" w:rsidRDefault="00B419CE" w:rsidP="00B419CE">
            <w:r w:rsidRPr="00B419CE">
              <w:t>61</w:t>
            </w:r>
          </w:p>
        </w:tc>
        <w:tc>
          <w:tcPr>
            <w:tcW w:w="4560" w:type="dxa"/>
          </w:tcPr>
          <w:p w14:paraId="6A6AC5A1" w14:textId="77777777" w:rsidR="00B419CE" w:rsidRPr="00B419CE" w:rsidRDefault="00B419CE" w:rsidP="00B419CE">
            <w:proofErr w:type="spellStart"/>
            <w:r w:rsidRPr="00B419CE">
              <w:t>Tilskot</w:t>
            </w:r>
            <w:proofErr w:type="spellEnd"/>
            <w:r w:rsidRPr="00B419CE">
              <w:t xml:space="preserve"> til </w:t>
            </w:r>
            <w:proofErr w:type="spellStart"/>
            <w:r w:rsidRPr="00B419CE">
              <w:t>kommunar</w:t>
            </w:r>
            <w:proofErr w:type="spellEnd"/>
            <w:r w:rsidRPr="00B419CE">
              <w:t xml:space="preserve"> og </w:t>
            </w:r>
            <w:proofErr w:type="spellStart"/>
            <w:r w:rsidRPr="00B419CE">
              <w:t>fylkeskommunar</w:t>
            </w:r>
            <w:proofErr w:type="spellEnd"/>
            <w:r w:rsidRPr="00B419CE">
              <w:rPr>
                <w:rStyle w:val="kursiv"/>
              </w:rPr>
              <w:t xml:space="preserve">, </w:t>
            </w:r>
            <w:r w:rsidRPr="00B419CE">
              <w:rPr>
                <w:rStyle w:val="kursiv"/>
              </w:rPr>
              <w:br/>
              <w:t>overslagsløyving</w:t>
            </w:r>
          </w:p>
        </w:tc>
        <w:tc>
          <w:tcPr>
            <w:tcW w:w="1140" w:type="dxa"/>
          </w:tcPr>
          <w:p w14:paraId="1D2CA03C" w14:textId="77777777" w:rsidR="00B419CE" w:rsidRPr="00B419CE" w:rsidRDefault="00B419CE" w:rsidP="00B419CE">
            <w:pPr>
              <w:jc w:val="right"/>
            </w:pPr>
            <w:r w:rsidRPr="00B419CE">
              <w:t>27 009 275</w:t>
            </w:r>
          </w:p>
        </w:tc>
        <w:tc>
          <w:tcPr>
            <w:tcW w:w="1140" w:type="dxa"/>
          </w:tcPr>
          <w:p w14:paraId="540BE31B" w14:textId="77777777" w:rsidR="00B419CE" w:rsidRPr="00B419CE" w:rsidRDefault="00B419CE" w:rsidP="00B419CE">
            <w:pPr>
              <w:jc w:val="right"/>
            </w:pPr>
            <w:r w:rsidRPr="00B419CE">
              <w:t>28 950 000</w:t>
            </w:r>
          </w:p>
        </w:tc>
        <w:tc>
          <w:tcPr>
            <w:tcW w:w="1140" w:type="dxa"/>
          </w:tcPr>
          <w:p w14:paraId="67145D52" w14:textId="77777777" w:rsidR="00B419CE" w:rsidRPr="00B419CE" w:rsidRDefault="00B419CE" w:rsidP="00B419CE">
            <w:pPr>
              <w:jc w:val="right"/>
            </w:pPr>
            <w:r w:rsidRPr="00B419CE">
              <w:t>28 900 000</w:t>
            </w:r>
          </w:p>
        </w:tc>
      </w:tr>
      <w:tr w:rsidR="00B419CE" w:rsidRPr="00B419CE" w14:paraId="23C01555" w14:textId="77777777" w:rsidTr="00B419CE">
        <w:trPr>
          <w:trHeight w:val="640"/>
        </w:trPr>
        <w:tc>
          <w:tcPr>
            <w:tcW w:w="1140" w:type="dxa"/>
          </w:tcPr>
          <w:p w14:paraId="0B8B923B" w14:textId="77777777" w:rsidR="00B419CE" w:rsidRPr="00B419CE" w:rsidRDefault="00B419CE" w:rsidP="00B419CE">
            <w:r w:rsidRPr="00B419CE">
              <w:t>72</w:t>
            </w:r>
          </w:p>
        </w:tc>
        <w:tc>
          <w:tcPr>
            <w:tcW w:w="4560" w:type="dxa"/>
          </w:tcPr>
          <w:p w14:paraId="04758CAC" w14:textId="77777777" w:rsidR="00B419CE" w:rsidRPr="00B419CE" w:rsidRDefault="00B419CE" w:rsidP="00B419CE">
            <w:proofErr w:type="spellStart"/>
            <w:r w:rsidRPr="00B419CE">
              <w:t>Tilskot</w:t>
            </w:r>
            <w:proofErr w:type="spellEnd"/>
            <w:r w:rsidRPr="00B419CE">
              <w:t xml:space="preserve"> til private og ideelle </w:t>
            </w:r>
            <w:proofErr w:type="spellStart"/>
            <w:r w:rsidRPr="00B419CE">
              <w:t>verksemder</w:t>
            </w:r>
            <w:proofErr w:type="spellEnd"/>
            <w:r w:rsidRPr="00B419CE">
              <w:rPr>
                <w:rStyle w:val="kursiv"/>
              </w:rPr>
              <w:t xml:space="preserve">, </w:t>
            </w:r>
            <w:r w:rsidRPr="00B419CE">
              <w:rPr>
                <w:rStyle w:val="kursiv"/>
              </w:rPr>
              <w:br/>
              <w:t>overslagsløyving</w:t>
            </w:r>
          </w:p>
        </w:tc>
        <w:tc>
          <w:tcPr>
            <w:tcW w:w="1140" w:type="dxa"/>
          </w:tcPr>
          <w:p w14:paraId="2CA24E8B" w14:textId="77777777" w:rsidR="00B419CE" w:rsidRPr="00B419CE" w:rsidRDefault="00B419CE" w:rsidP="00B419CE">
            <w:pPr>
              <w:jc w:val="right"/>
            </w:pPr>
            <w:r w:rsidRPr="00B419CE">
              <w:t>2 146 701</w:t>
            </w:r>
          </w:p>
        </w:tc>
        <w:tc>
          <w:tcPr>
            <w:tcW w:w="1140" w:type="dxa"/>
          </w:tcPr>
          <w:p w14:paraId="69ABFCD7" w14:textId="77777777" w:rsidR="00B419CE" w:rsidRPr="00B419CE" w:rsidRDefault="00B419CE" w:rsidP="00B419CE">
            <w:pPr>
              <w:jc w:val="right"/>
            </w:pPr>
            <w:r w:rsidRPr="00B419CE">
              <w:t>2 250 000</w:t>
            </w:r>
          </w:p>
        </w:tc>
        <w:tc>
          <w:tcPr>
            <w:tcW w:w="1140" w:type="dxa"/>
          </w:tcPr>
          <w:p w14:paraId="060FB5DA" w14:textId="77777777" w:rsidR="00B419CE" w:rsidRPr="00B419CE" w:rsidRDefault="00B419CE" w:rsidP="00B419CE">
            <w:pPr>
              <w:jc w:val="right"/>
            </w:pPr>
            <w:r w:rsidRPr="00B419CE">
              <w:t>2 280 000</w:t>
            </w:r>
          </w:p>
        </w:tc>
      </w:tr>
      <w:tr w:rsidR="00B419CE" w:rsidRPr="00B419CE" w14:paraId="6E7E4ABA" w14:textId="77777777" w:rsidTr="00B419CE">
        <w:trPr>
          <w:trHeight w:val="380"/>
        </w:trPr>
        <w:tc>
          <w:tcPr>
            <w:tcW w:w="1140" w:type="dxa"/>
          </w:tcPr>
          <w:p w14:paraId="1AFF2D01" w14:textId="77777777" w:rsidR="00B419CE" w:rsidRPr="00B419CE" w:rsidRDefault="00B419CE" w:rsidP="00B419CE"/>
        </w:tc>
        <w:tc>
          <w:tcPr>
            <w:tcW w:w="4560" w:type="dxa"/>
          </w:tcPr>
          <w:p w14:paraId="4A6E5202" w14:textId="77777777" w:rsidR="00B419CE" w:rsidRPr="00B419CE" w:rsidRDefault="00B419CE" w:rsidP="00B419CE">
            <w:r w:rsidRPr="00B419CE">
              <w:t>Sum kap. 1632</w:t>
            </w:r>
          </w:p>
        </w:tc>
        <w:tc>
          <w:tcPr>
            <w:tcW w:w="1140" w:type="dxa"/>
          </w:tcPr>
          <w:p w14:paraId="054CFDFB" w14:textId="77777777" w:rsidR="00B419CE" w:rsidRPr="00B419CE" w:rsidRDefault="00B419CE" w:rsidP="00B419CE">
            <w:pPr>
              <w:jc w:val="right"/>
            </w:pPr>
            <w:r w:rsidRPr="00B419CE">
              <w:t>29 155 976</w:t>
            </w:r>
          </w:p>
        </w:tc>
        <w:tc>
          <w:tcPr>
            <w:tcW w:w="1140" w:type="dxa"/>
          </w:tcPr>
          <w:p w14:paraId="75B84532" w14:textId="77777777" w:rsidR="00B419CE" w:rsidRPr="00B419CE" w:rsidRDefault="00B419CE" w:rsidP="00B419CE">
            <w:pPr>
              <w:jc w:val="right"/>
            </w:pPr>
            <w:r w:rsidRPr="00B419CE">
              <w:t>31 200 000</w:t>
            </w:r>
          </w:p>
        </w:tc>
        <w:tc>
          <w:tcPr>
            <w:tcW w:w="1140" w:type="dxa"/>
          </w:tcPr>
          <w:p w14:paraId="39438627" w14:textId="77777777" w:rsidR="00B419CE" w:rsidRPr="00B419CE" w:rsidRDefault="00B419CE" w:rsidP="00B419CE">
            <w:pPr>
              <w:jc w:val="right"/>
            </w:pPr>
            <w:r w:rsidRPr="00B419CE">
              <w:t>31 180 000</w:t>
            </w:r>
          </w:p>
        </w:tc>
      </w:tr>
    </w:tbl>
    <w:p w14:paraId="7E05A320" w14:textId="77777777" w:rsidR="00B419CE" w:rsidRPr="00B419CE" w:rsidRDefault="00B419CE" w:rsidP="00B419CE">
      <w:pPr>
        <w:pStyle w:val="b-post"/>
      </w:pPr>
      <w:r w:rsidRPr="00B419CE">
        <w:lastRenderedPageBreak/>
        <w:t xml:space="preserve">Post 61 </w:t>
      </w:r>
      <w:proofErr w:type="spellStart"/>
      <w:r w:rsidRPr="00B419CE">
        <w:t>Tilskot</w:t>
      </w:r>
      <w:proofErr w:type="spellEnd"/>
      <w:r w:rsidRPr="00B419CE">
        <w:t xml:space="preserve"> til </w:t>
      </w:r>
      <w:proofErr w:type="spellStart"/>
      <w:r w:rsidRPr="00B419CE">
        <w:t>kommunar</w:t>
      </w:r>
      <w:proofErr w:type="spellEnd"/>
      <w:r w:rsidRPr="00B419CE">
        <w:t xml:space="preserve"> og </w:t>
      </w:r>
      <w:proofErr w:type="spellStart"/>
      <w:r w:rsidRPr="00B419CE">
        <w:t>fylkeskommunar</w:t>
      </w:r>
      <w:proofErr w:type="spellEnd"/>
      <w:r w:rsidRPr="00B419CE">
        <w:t>, overslagsløyving</w:t>
      </w:r>
    </w:p>
    <w:p w14:paraId="394FEFA5" w14:textId="77777777" w:rsidR="00B419CE" w:rsidRPr="00B419CE" w:rsidRDefault="00B419CE" w:rsidP="00B419CE">
      <w:r w:rsidRPr="00B419CE">
        <w:t xml:space="preserve">Med verknad </w:t>
      </w:r>
      <w:proofErr w:type="spellStart"/>
      <w:r w:rsidRPr="00B419CE">
        <w:t>frå</w:t>
      </w:r>
      <w:proofErr w:type="spellEnd"/>
      <w:r w:rsidRPr="00B419CE">
        <w:t xml:space="preserve"> 1. januar 2004 </w:t>
      </w:r>
      <w:proofErr w:type="spellStart"/>
      <w:r w:rsidRPr="00B419CE">
        <w:t>vart</w:t>
      </w:r>
      <w:proofErr w:type="spellEnd"/>
      <w:r w:rsidRPr="00B419CE">
        <w:t xml:space="preserve"> det innført ei allmenn ordning der </w:t>
      </w:r>
      <w:proofErr w:type="spellStart"/>
      <w:r w:rsidRPr="00B419CE">
        <w:t>kommunar</w:t>
      </w:r>
      <w:proofErr w:type="spellEnd"/>
      <w:r w:rsidRPr="00B419CE">
        <w:t xml:space="preserve"> og </w:t>
      </w:r>
      <w:proofErr w:type="spellStart"/>
      <w:r w:rsidRPr="00B419CE">
        <w:t>fylkeskommunar</w:t>
      </w:r>
      <w:proofErr w:type="spellEnd"/>
      <w:r w:rsidRPr="00B419CE">
        <w:t xml:space="preserve"> vert kompenserte for </w:t>
      </w:r>
      <w:proofErr w:type="spellStart"/>
      <w:r w:rsidRPr="00B419CE">
        <w:t>meirverdiavgift</w:t>
      </w:r>
      <w:proofErr w:type="spellEnd"/>
      <w:r w:rsidRPr="00B419CE">
        <w:t xml:space="preserve"> på kjøp av varer og </w:t>
      </w:r>
      <w:proofErr w:type="spellStart"/>
      <w:r w:rsidRPr="00B419CE">
        <w:t>tenester</w:t>
      </w:r>
      <w:proofErr w:type="spellEnd"/>
      <w:r w:rsidRPr="00B419CE">
        <w:t xml:space="preserve">. </w:t>
      </w:r>
      <w:proofErr w:type="spellStart"/>
      <w:r w:rsidRPr="00B419CE">
        <w:t>Føremålet</w:t>
      </w:r>
      <w:proofErr w:type="spellEnd"/>
      <w:r w:rsidRPr="00B419CE">
        <w:t xml:space="preserve"> med ordninga er at </w:t>
      </w:r>
      <w:proofErr w:type="spellStart"/>
      <w:r w:rsidRPr="00B419CE">
        <w:t>meirverdiavgifta</w:t>
      </w:r>
      <w:proofErr w:type="spellEnd"/>
      <w:r w:rsidRPr="00B419CE">
        <w:t xml:space="preserve"> i minst </w:t>
      </w:r>
      <w:proofErr w:type="spellStart"/>
      <w:r w:rsidRPr="00B419CE">
        <w:t>mogleg</w:t>
      </w:r>
      <w:proofErr w:type="spellEnd"/>
      <w:r w:rsidRPr="00B419CE">
        <w:t xml:space="preserve"> mon skal </w:t>
      </w:r>
      <w:proofErr w:type="spellStart"/>
      <w:r w:rsidRPr="00B419CE">
        <w:t>påverke</w:t>
      </w:r>
      <w:proofErr w:type="spellEnd"/>
      <w:r w:rsidRPr="00B419CE">
        <w:t xml:space="preserve"> avgjerdene som </w:t>
      </w:r>
      <w:proofErr w:type="spellStart"/>
      <w:r w:rsidRPr="00B419CE">
        <w:t>kommunane</w:t>
      </w:r>
      <w:proofErr w:type="spellEnd"/>
      <w:r w:rsidRPr="00B419CE">
        <w:t xml:space="preserve"> tek om </w:t>
      </w:r>
      <w:proofErr w:type="spellStart"/>
      <w:r w:rsidRPr="00B419CE">
        <w:t>anten</w:t>
      </w:r>
      <w:proofErr w:type="spellEnd"/>
      <w:r w:rsidRPr="00B419CE">
        <w:t xml:space="preserve"> å produsere avgiftspliktige </w:t>
      </w:r>
      <w:proofErr w:type="spellStart"/>
      <w:r w:rsidRPr="00B419CE">
        <w:t>tenester</w:t>
      </w:r>
      <w:proofErr w:type="spellEnd"/>
      <w:r w:rsidRPr="00B419CE">
        <w:t xml:space="preserve"> med eigne tilsette eller å kjøpe </w:t>
      </w:r>
      <w:proofErr w:type="spellStart"/>
      <w:r w:rsidRPr="00B419CE">
        <w:t>dei</w:t>
      </w:r>
      <w:proofErr w:type="spellEnd"/>
      <w:r w:rsidRPr="00B419CE">
        <w:t xml:space="preserve"> </w:t>
      </w:r>
      <w:proofErr w:type="spellStart"/>
      <w:r w:rsidRPr="00B419CE">
        <w:t>frå</w:t>
      </w:r>
      <w:proofErr w:type="spellEnd"/>
      <w:r w:rsidRPr="00B419CE">
        <w:t xml:space="preserve"> private. Ordninga </w:t>
      </w:r>
      <w:proofErr w:type="spellStart"/>
      <w:r w:rsidRPr="00B419CE">
        <w:t>vart</w:t>
      </w:r>
      <w:proofErr w:type="spellEnd"/>
      <w:r w:rsidRPr="00B419CE">
        <w:t xml:space="preserve"> finansiert med </w:t>
      </w:r>
      <w:proofErr w:type="spellStart"/>
      <w:r w:rsidRPr="00B419CE">
        <w:t>ein</w:t>
      </w:r>
      <w:proofErr w:type="spellEnd"/>
      <w:r w:rsidRPr="00B419CE">
        <w:t xml:space="preserve"> reduksjon i </w:t>
      </w:r>
      <w:proofErr w:type="spellStart"/>
      <w:r w:rsidRPr="00B419CE">
        <w:t>dei</w:t>
      </w:r>
      <w:proofErr w:type="spellEnd"/>
      <w:r w:rsidRPr="00B419CE">
        <w:t xml:space="preserve"> frie inntektene til </w:t>
      </w:r>
      <w:proofErr w:type="spellStart"/>
      <w:r w:rsidRPr="00B419CE">
        <w:t>kommunane</w:t>
      </w:r>
      <w:proofErr w:type="spellEnd"/>
      <w:r w:rsidRPr="00B419CE">
        <w:t xml:space="preserve">. Den allmenne kompensasjonsordninga kom i staden for ei avgrensa kompensasjonsordning som </w:t>
      </w:r>
      <w:proofErr w:type="spellStart"/>
      <w:r w:rsidRPr="00B419CE">
        <w:t>vart</w:t>
      </w:r>
      <w:proofErr w:type="spellEnd"/>
      <w:r w:rsidRPr="00B419CE">
        <w:t xml:space="preserve"> innført i 1995.</w:t>
      </w:r>
    </w:p>
    <w:p w14:paraId="4AA971DF" w14:textId="77777777" w:rsidR="00B419CE" w:rsidRPr="00B419CE" w:rsidRDefault="00B419CE" w:rsidP="00B419CE">
      <w:r w:rsidRPr="00B419CE">
        <w:t xml:space="preserve">I saldert budsjett for 2021 </w:t>
      </w:r>
      <w:proofErr w:type="spellStart"/>
      <w:r w:rsidRPr="00B419CE">
        <w:t>vart</w:t>
      </w:r>
      <w:proofErr w:type="spellEnd"/>
      <w:r w:rsidRPr="00B419CE">
        <w:t xml:space="preserve"> det lagt til grunn ei utgift på 28 950 mill. kroner i momskompensasjon til </w:t>
      </w:r>
      <w:proofErr w:type="spellStart"/>
      <w:r w:rsidRPr="00B419CE">
        <w:t>kommunar</w:t>
      </w:r>
      <w:proofErr w:type="spellEnd"/>
      <w:r w:rsidRPr="00B419CE">
        <w:t xml:space="preserve"> og </w:t>
      </w:r>
      <w:proofErr w:type="spellStart"/>
      <w:r w:rsidRPr="00B419CE">
        <w:t>fylkeskommunar</w:t>
      </w:r>
      <w:proofErr w:type="spellEnd"/>
      <w:r w:rsidRPr="00B419CE">
        <w:t xml:space="preserve">. Løyvinga </w:t>
      </w:r>
      <w:proofErr w:type="spellStart"/>
      <w:r w:rsidRPr="00B419CE">
        <w:t>vart</w:t>
      </w:r>
      <w:proofErr w:type="spellEnd"/>
      <w:r w:rsidRPr="00B419CE">
        <w:t xml:space="preserve"> redusert til 28 380 mill. kroner ved handsaminga av Revidert nasjonalbudsjett 2021.</w:t>
      </w:r>
    </w:p>
    <w:p w14:paraId="61824530" w14:textId="77777777" w:rsidR="00B419CE" w:rsidRPr="00B419CE" w:rsidRDefault="00B419CE" w:rsidP="00B419CE">
      <w:r w:rsidRPr="00B419CE">
        <w:t xml:space="preserve">Samla momskompensasjon til </w:t>
      </w:r>
      <w:proofErr w:type="spellStart"/>
      <w:r w:rsidRPr="00B419CE">
        <w:t>kommunar</w:t>
      </w:r>
      <w:proofErr w:type="spellEnd"/>
      <w:r w:rsidRPr="00B419CE">
        <w:t xml:space="preserve"> og </w:t>
      </w:r>
      <w:proofErr w:type="spellStart"/>
      <w:r w:rsidRPr="00B419CE">
        <w:t>fylkeskommunar</w:t>
      </w:r>
      <w:proofErr w:type="spellEnd"/>
      <w:r w:rsidRPr="00B419CE">
        <w:t xml:space="preserve"> i 2022 er talfesta til 28 900 mill. kroner.</w:t>
      </w:r>
    </w:p>
    <w:p w14:paraId="5DA51FB9" w14:textId="77777777" w:rsidR="00B419CE" w:rsidRPr="00B419CE" w:rsidRDefault="00B419CE" w:rsidP="00B419CE">
      <w:proofErr w:type="spellStart"/>
      <w:r w:rsidRPr="00B419CE">
        <w:t>Kommunane</w:t>
      </w:r>
      <w:proofErr w:type="spellEnd"/>
      <w:r w:rsidRPr="00B419CE">
        <w:t xml:space="preserve"> sender inn </w:t>
      </w:r>
      <w:proofErr w:type="spellStart"/>
      <w:r w:rsidRPr="00B419CE">
        <w:t>oppgåver</w:t>
      </w:r>
      <w:proofErr w:type="spellEnd"/>
      <w:r w:rsidRPr="00B419CE">
        <w:t xml:space="preserve"> over </w:t>
      </w:r>
      <w:proofErr w:type="spellStart"/>
      <w:r w:rsidRPr="00B419CE">
        <w:t>meirverdiavgiftskompensasjon</w:t>
      </w:r>
      <w:proofErr w:type="spellEnd"/>
      <w:r w:rsidRPr="00B419CE">
        <w:t xml:space="preserve"> til </w:t>
      </w:r>
      <w:proofErr w:type="spellStart"/>
      <w:r w:rsidRPr="00B419CE">
        <w:t>avgiftsstyresmaktene</w:t>
      </w:r>
      <w:proofErr w:type="spellEnd"/>
      <w:r w:rsidRPr="00B419CE">
        <w:t xml:space="preserve"> </w:t>
      </w:r>
      <w:proofErr w:type="spellStart"/>
      <w:r w:rsidRPr="00B419CE">
        <w:t>annankvar</w:t>
      </w:r>
      <w:proofErr w:type="spellEnd"/>
      <w:r w:rsidRPr="00B419CE">
        <w:t xml:space="preserve"> </w:t>
      </w:r>
      <w:proofErr w:type="spellStart"/>
      <w:r w:rsidRPr="00B419CE">
        <w:t>månad</w:t>
      </w:r>
      <w:proofErr w:type="spellEnd"/>
      <w:r w:rsidRPr="00B419CE">
        <w:t xml:space="preserve"> slik som i det ordinære </w:t>
      </w:r>
      <w:proofErr w:type="spellStart"/>
      <w:r w:rsidRPr="00B419CE">
        <w:t>meirverdiavgiftssystemet</w:t>
      </w:r>
      <w:proofErr w:type="spellEnd"/>
      <w:r w:rsidRPr="00B419CE">
        <w:t xml:space="preserve">, men det er òg </w:t>
      </w:r>
      <w:proofErr w:type="spellStart"/>
      <w:r w:rsidRPr="00B419CE">
        <w:t>mogleg</w:t>
      </w:r>
      <w:proofErr w:type="spellEnd"/>
      <w:r w:rsidRPr="00B419CE">
        <w:t xml:space="preserve"> å levere </w:t>
      </w:r>
      <w:proofErr w:type="spellStart"/>
      <w:r w:rsidRPr="00B419CE">
        <w:t>årsoppgåver</w:t>
      </w:r>
      <w:proofErr w:type="spellEnd"/>
      <w:r w:rsidRPr="00B419CE">
        <w:t xml:space="preserve">. </w:t>
      </w:r>
      <w:proofErr w:type="spellStart"/>
      <w:r w:rsidRPr="00B419CE">
        <w:t>Utbetalingane</w:t>
      </w:r>
      <w:proofErr w:type="spellEnd"/>
      <w:r w:rsidRPr="00B419CE">
        <w:t xml:space="preserve"> skjer etter kvart og </w:t>
      </w:r>
      <w:proofErr w:type="spellStart"/>
      <w:r w:rsidRPr="00B419CE">
        <w:t>innan</w:t>
      </w:r>
      <w:proofErr w:type="spellEnd"/>
      <w:r w:rsidRPr="00B419CE">
        <w:t xml:space="preserve"> tre veker etter innsending. Dokumentasjonskrava i samband med innsending av kompensasjonskrav er forenkla ved at krava </w:t>
      </w:r>
      <w:proofErr w:type="spellStart"/>
      <w:r w:rsidRPr="00B419CE">
        <w:t>berre</w:t>
      </w:r>
      <w:proofErr w:type="spellEnd"/>
      <w:r w:rsidRPr="00B419CE">
        <w:t xml:space="preserve"> skal ha stadfesting </w:t>
      </w:r>
      <w:proofErr w:type="spellStart"/>
      <w:r w:rsidRPr="00B419CE">
        <w:t>frå</w:t>
      </w:r>
      <w:proofErr w:type="spellEnd"/>
      <w:r w:rsidRPr="00B419CE">
        <w:t xml:space="preserve"> revisor. Kompensasjonskrav </w:t>
      </w:r>
      <w:proofErr w:type="spellStart"/>
      <w:r w:rsidRPr="00B419CE">
        <w:t>frå</w:t>
      </w:r>
      <w:proofErr w:type="spellEnd"/>
      <w:r w:rsidRPr="00B419CE">
        <w:t xml:space="preserve"> private </w:t>
      </w:r>
      <w:proofErr w:type="spellStart"/>
      <w:r w:rsidRPr="00B419CE">
        <w:t>tenesteprodusentar</w:t>
      </w:r>
      <w:proofErr w:type="spellEnd"/>
      <w:r w:rsidRPr="00B419CE">
        <w:t xml:space="preserve"> kan </w:t>
      </w:r>
      <w:proofErr w:type="spellStart"/>
      <w:r w:rsidRPr="00B419CE">
        <w:t>sendast</w:t>
      </w:r>
      <w:proofErr w:type="spellEnd"/>
      <w:r w:rsidRPr="00B419CE">
        <w:t xml:space="preserve"> direkte til </w:t>
      </w:r>
      <w:proofErr w:type="spellStart"/>
      <w:r w:rsidRPr="00B419CE">
        <w:t>avgiftsstyresmaktene</w:t>
      </w:r>
      <w:proofErr w:type="spellEnd"/>
      <w:r w:rsidRPr="00B419CE">
        <w:t xml:space="preserve">. Det er ei minstegrense på 20 000 kroner for kompensasjonsbeløp per år for at </w:t>
      </w:r>
      <w:proofErr w:type="spellStart"/>
      <w:r w:rsidRPr="00B419CE">
        <w:t>verksemder</w:t>
      </w:r>
      <w:proofErr w:type="spellEnd"/>
      <w:r w:rsidRPr="00B419CE">
        <w:t xml:space="preserve"> skal </w:t>
      </w:r>
      <w:proofErr w:type="spellStart"/>
      <w:r w:rsidRPr="00B419CE">
        <w:t>kome</w:t>
      </w:r>
      <w:proofErr w:type="spellEnd"/>
      <w:r w:rsidRPr="00B419CE">
        <w:t xml:space="preserve"> inn under ordninga. Ordninga gjeld </w:t>
      </w:r>
      <w:proofErr w:type="spellStart"/>
      <w:r w:rsidRPr="00B419CE">
        <w:t>nokre</w:t>
      </w:r>
      <w:proofErr w:type="spellEnd"/>
      <w:r w:rsidRPr="00B419CE">
        <w:t xml:space="preserve"> private og ideelle </w:t>
      </w:r>
      <w:proofErr w:type="spellStart"/>
      <w:r w:rsidRPr="00B419CE">
        <w:t>verksemder</w:t>
      </w:r>
      <w:proofErr w:type="spellEnd"/>
      <w:r w:rsidRPr="00B419CE">
        <w:t xml:space="preserve"> òg. Det er </w:t>
      </w:r>
      <w:proofErr w:type="spellStart"/>
      <w:r w:rsidRPr="00B419CE">
        <w:t>ein</w:t>
      </w:r>
      <w:proofErr w:type="spellEnd"/>
      <w:r w:rsidRPr="00B419CE">
        <w:t xml:space="preserve"> eigen </w:t>
      </w:r>
      <w:proofErr w:type="spellStart"/>
      <w:r w:rsidRPr="00B419CE">
        <w:t>tilskotspost</w:t>
      </w:r>
      <w:proofErr w:type="spellEnd"/>
      <w:r w:rsidRPr="00B419CE">
        <w:t xml:space="preserve"> for </w:t>
      </w:r>
      <w:proofErr w:type="spellStart"/>
      <w:r w:rsidRPr="00B419CE">
        <w:t>desse</w:t>
      </w:r>
      <w:proofErr w:type="spellEnd"/>
      <w:r w:rsidRPr="00B419CE">
        <w:t>, jf. post 72.</w:t>
      </w:r>
    </w:p>
    <w:p w14:paraId="22BEDB85" w14:textId="77777777" w:rsidR="00B419CE" w:rsidRPr="00B419CE" w:rsidRDefault="00B419CE" w:rsidP="00B419CE">
      <w:pPr>
        <w:pStyle w:val="b-post"/>
      </w:pPr>
      <w:r w:rsidRPr="00B419CE">
        <w:t xml:space="preserve">Post 72 </w:t>
      </w:r>
      <w:proofErr w:type="spellStart"/>
      <w:r w:rsidRPr="00B419CE">
        <w:t>Tilskot</w:t>
      </w:r>
      <w:proofErr w:type="spellEnd"/>
      <w:r w:rsidRPr="00B419CE">
        <w:t xml:space="preserve"> til private og ideelle </w:t>
      </w:r>
      <w:proofErr w:type="spellStart"/>
      <w:r w:rsidRPr="00B419CE">
        <w:t>verksemder</w:t>
      </w:r>
      <w:proofErr w:type="spellEnd"/>
      <w:r w:rsidRPr="00B419CE">
        <w:t>, overslagsløyving</w:t>
      </w:r>
    </w:p>
    <w:p w14:paraId="0EF83298" w14:textId="77777777" w:rsidR="00B419CE" w:rsidRPr="00B419CE" w:rsidRDefault="00B419CE" w:rsidP="00B419CE">
      <w:r w:rsidRPr="00B419CE">
        <w:t xml:space="preserve">For </w:t>
      </w:r>
      <w:proofErr w:type="spellStart"/>
      <w:r w:rsidRPr="00B419CE">
        <w:t>ikkje</w:t>
      </w:r>
      <w:proofErr w:type="spellEnd"/>
      <w:r w:rsidRPr="00B419CE">
        <w:t xml:space="preserve"> å </w:t>
      </w:r>
      <w:proofErr w:type="spellStart"/>
      <w:r w:rsidRPr="00B419CE">
        <w:t>medverke</w:t>
      </w:r>
      <w:proofErr w:type="spellEnd"/>
      <w:r w:rsidRPr="00B419CE">
        <w:t xml:space="preserve"> til </w:t>
      </w:r>
      <w:proofErr w:type="spellStart"/>
      <w:r w:rsidRPr="00B419CE">
        <w:t>konkurransevriding</w:t>
      </w:r>
      <w:proofErr w:type="spellEnd"/>
      <w:r w:rsidRPr="00B419CE">
        <w:t xml:space="preserve"> mellom kommunal og privat produksjon av sentrale </w:t>
      </w:r>
      <w:proofErr w:type="spellStart"/>
      <w:r w:rsidRPr="00B419CE">
        <w:t>velferdstenester</w:t>
      </w:r>
      <w:proofErr w:type="spellEnd"/>
      <w:r w:rsidRPr="00B419CE">
        <w:t xml:space="preserve"> er private og ideelle </w:t>
      </w:r>
      <w:proofErr w:type="spellStart"/>
      <w:r w:rsidRPr="00B419CE">
        <w:t>verksemder</w:t>
      </w:r>
      <w:proofErr w:type="spellEnd"/>
      <w:r w:rsidRPr="00B419CE">
        <w:t xml:space="preserve"> òg omfatta av ordninga. Det </w:t>
      </w:r>
      <w:proofErr w:type="spellStart"/>
      <w:r w:rsidRPr="00B419CE">
        <w:t>gjeld</w:t>
      </w:r>
      <w:proofErr w:type="spellEnd"/>
      <w:r w:rsidRPr="00B419CE">
        <w:t xml:space="preserve"> private og ideelle </w:t>
      </w:r>
      <w:proofErr w:type="spellStart"/>
      <w:r w:rsidRPr="00B419CE">
        <w:t>verksemder</w:t>
      </w:r>
      <w:proofErr w:type="spellEnd"/>
      <w:r w:rsidRPr="00B419CE">
        <w:t xml:space="preserve"> som utfører slike sosiale </w:t>
      </w:r>
      <w:proofErr w:type="spellStart"/>
      <w:r w:rsidRPr="00B419CE">
        <w:t>tenester</w:t>
      </w:r>
      <w:proofErr w:type="spellEnd"/>
      <w:r w:rsidRPr="00B419CE">
        <w:t xml:space="preserve"> og helse- og </w:t>
      </w:r>
      <w:proofErr w:type="spellStart"/>
      <w:r w:rsidRPr="00B419CE">
        <w:t>undervisningstenester</w:t>
      </w:r>
      <w:proofErr w:type="spellEnd"/>
      <w:r w:rsidRPr="00B419CE">
        <w:t xml:space="preserve"> som </w:t>
      </w:r>
      <w:proofErr w:type="spellStart"/>
      <w:r w:rsidRPr="00B419CE">
        <w:t>kommunane</w:t>
      </w:r>
      <w:proofErr w:type="spellEnd"/>
      <w:r w:rsidRPr="00B419CE">
        <w:t xml:space="preserve"> ved lov er pålagde å utføre. Det er på </w:t>
      </w:r>
      <w:proofErr w:type="spellStart"/>
      <w:r w:rsidRPr="00B419CE">
        <w:t>desse</w:t>
      </w:r>
      <w:proofErr w:type="spellEnd"/>
      <w:r w:rsidRPr="00B419CE">
        <w:t xml:space="preserve"> områda </w:t>
      </w:r>
      <w:proofErr w:type="spellStart"/>
      <w:r w:rsidRPr="00B419CE">
        <w:t>ein</w:t>
      </w:r>
      <w:proofErr w:type="spellEnd"/>
      <w:r w:rsidRPr="00B419CE">
        <w:t xml:space="preserve"> </w:t>
      </w:r>
      <w:proofErr w:type="spellStart"/>
      <w:r w:rsidRPr="00B419CE">
        <w:t>reknar</w:t>
      </w:r>
      <w:proofErr w:type="spellEnd"/>
      <w:r w:rsidRPr="00B419CE">
        <w:t xml:space="preserve"> med at kompensasjonsordninga i størst mon vil kunne </w:t>
      </w:r>
      <w:proofErr w:type="spellStart"/>
      <w:r w:rsidRPr="00B419CE">
        <w:t>gje</w:t>
      </w:r>
      <w:proofErr w:type="spellEnd"/>
      <w:r w:rsidRPr="00B419CE">
        <w:t xml:space="preserve"> </w:t>
      </w:r>
      <w:proofErr w:type="spellStart"/>
      <w:r w:rsidRPr="00B419CE">
        <w:t>kommunane</w:t>
      </w:r>
      <w:proofErr w:type="spellEnd"/>
      <w:r w:rsidRPr="00B419CE">
        <w:t xml:space="preserve"> </w:t>
      </w:r>
      <w:proofErr w:type="spellStart"/>
      <w:r w:rsidRPr="00B419CE">
        <w:t>ein</w:t>
      </w:r>
      <w:proofErr w:type="spellEnd"/>
      <w:r w:rsidRPr="00B419CE">
        <w:t xml:space="preserve"> </w:t>
      </w:r>
      <w:proofErr w:type="spellStart"/>
      <w:r w:rsidRPr="00B419CE">
        <w:t>konkurranseføremon</w:t>
      </w:r>
      <w:proofErr w:type="spellEnd"/>
      <w:r w:rsidRPr="00B419CE">
        <w:t xml:space="preserve"> framfor private </w:t>
      </w:r>
      <w:proofErr w:type="spellStart"/>
      <w:r w:rsidRPr="00B419CE">
        <w:t>verksemder</w:t>
      </w:r>
      <w:proofErr w:type="spellEnd"/>
      <w:r w:rsidRPr="00B419CE">
        <w:t xml:space="preserve"> </w:t>
      </w:r>
      <w:proofErr w:type="spellStart"/>
      <w:r w:rsidRPr="00B419CE">
        <w:t>utan</w:t>
      </w:r>
      <w:proofErr w:type="spellEnd"/>
      <w:r w:rsidRPr="00B419CE">
        <w:t xml:space="preserve"> avgiftsplikt. Dei private og ideelle </w:t>
      </w:r>
      <w:proofErr w:type="spellStart"/>
      <w:r w:rsidRPr="00B419CE">
        <w:t>verksemdene</w:t>
      </w:r>
      <w:proofErr w:type="spellEnd"/>
      <w:r w:rsidRPr="00B419CE">
        <w:t xml:space="preserve"> som er omfatta av ordninga, skal sende krav etter </w:t>
      </w:r>
      <w:proofErr w:type="spellStart"/>
      <w:r w:rsidRPr="00B419CE">
        <w:t>dei</w:t>
      </w:r>
      <w:proofErr w:type="spellEnd"/>
      <w:r w:rsidRPr="00B419CE">
        <w:t xml:space="preserve"> same kriteria som </w:t>
      </w:r>
      <w:proofErr w:type="spellStart"/>
      <w:r w:rsidRPr="00B419CE">
        <w:t>kommunane</w:t>
      </w:r>
      <w:proofErr w:type="spellEnd"/>
      <w:r w:rsidRPr="00B419CE">
        <w:t>.</w:t>
      </w:r>
    </w:p>
    <w:p w14:paraId="62B9AA50" w14:textId="77777777" w:rsidR="00B419CE" w:rsidRPr="00B419CE" w:rsidRDefault="00B419CE" w:rsidP="00B419CE">
      <w:r w:rsidRPr="00B419CE">
        <w:t xml:space="preserve">I saldert budsjett for 2021 </w:t>
      </w:r>
      <w:proofErr w:type="spellStart"/>
      <w:r w:rsidRPr="00B419CE">
        <w:t>vart</w:t>
      </w:r>
      <w:proofErr w:type="spellEnd"/>
      <w:r w:rsidRPr="00B419CE">
        <w:t xml:space="preserve"> det lagt til grunn ei utgift på 2 250 mill. kroner på denne posten. Departementet </w:t>
      </w:r>
      <w:proofErr w:type="spellStart"/>
      <w:r w:rsidRPr="00B419CE">
        <w:t>gjer</w:t>
      </w:r>
      <w:proofErr w:type="spellEnd"/>
      <w:r w:rsidRPr="00B419CE">
        <w:t xml:space="preserve"> framlegg om ei løyving på 2 280 mill. kroner under denne posten for 2022.</w:t>
      </w:r>
    </w:p>
    <w:p w14:paraId="07C7A8A4" w14:textId="77777777" w:rsidR="00B419CE" w:rsidRPr="00B419CE" w:rsidRDefault="00B419CE" w:rsidP="00B419CE">
      <w:pPr>
        <w:pStyle w:val="b-budkaptit"/>
      </w:pPr>
      <w:r w:rsidRPr="00B419CE">
        <w:t xml:space="preserve">Kap. 1633 Nettoordning, </w:t>
      </w:r>
      <w:proofErr w:type="spellStart"/>
      <w:r w:rsidRPr="00B419CE">
        <w:t>statleg</w:t>
      </w:r>
      <w:proofErr w:type="spellEnd"/>
      <w:r w:rsidRPr="00B419CE">
        <w:t xml:space="preserve"> betalt </w:t>
      </w:r>
      <w:proofErr w:type="spellStart"/>
      <w:r w:rsidRPr="00B419CE">
        <w:t>meirverdiavgift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15982730" w14:textId="77777777" w:rsidTr="00B419CE">
        <w:trPr>
          <w:trHeight w:val="640"/>
          <w:hidden/>
        </w:trPr>
        <w:tc>
          <w:tcPr>
            <w:tcW w:w="1140" w:type="dxa"/>
            <w:shd w:val="clear" w:color="auto" w:fill="FFFFFF"/>
          </w:tcPr>
          <w:p w14:paraId="119D4C6F" w14:textId="77777777" w:rsidR="00B419CE" w:rsidRPr="00B419CE" w:rsidRDefault="00B419CE" w:rsidP="00B419CE">
            <w:pPr>
              <w:pStyle w:val="Tabellnavn"/>
            </w:pPr>
            <w:r w:rsidRPr="00B419CE">
              <w:t>KPAL</w:t>
            </w:r>
          </w:p>
        </w:tc>
        <w:tc>
          <w:tcPr>
            <w:tcW w:w="4560" w:type="dxa"/>
          </w:tcPr>
          <w:p w14:paraId="5A8A0248" w14:textId="77777777" w:rsidR="00B419CE" w:rsidRPr="00B419CE" w:rsidRDefault="00B419CE" w:rsidP="00B419CE"/>
        </w:tc>
        <w:tc>
          <w:tcPr>
            <w:tcW w:w="1140" w:type="dxa"/>
          </w:tcPr>
          <w:p w14:paraId="7B867AB1" w14:textId="77777777" w:rsidR="00B419CE" w:rsidRPr="00B419CE" w:rsidRDefault="00B419CE" w:rsidP="00B419CE">
            <w:pPr>
              <w:jc w:val="right"/>
            </w:pPr>
          </w:p>
        </w:tc>
        <w:tc>
          <w:tcPr>
            <w:tcW w:w="1140" w:type="dxa"/>
          </w:tcPr>
          <w:p w14:paraId="711DBFC6" w14:textId="77777777" w:rsidR="00B419CE" w:rsidRPr="00B419CE" w:rsidRDefault="00B419CE" w:rsidP="00B419CE">
            <w:pPr>
              <w:jc w:val="right"/>
            </w:pPr>
          </w:p>
        </w:tc>
        <w:tc>
          <w:tcPr>
            <w:tcW w:w="1140" w:type="dxa"/>
          </w:tcPr>
          <w:p w14:paraId="1D53094A" w14:textId="77777777" w:rsidR="00B419CE" w:rsidRPr="00B419CE" w:rsidRDefault="00B419CE" w:rsidP="00B419CE">
            <w:pPr>
              <w:jc w:val="right"/>
            </w:pPr>
            <w:r w:rsidRPr="00B419CE">
              <w:t>(i 1 000 kr)</w:t>
            </w:r>
          </w:p>
        </w:tc>
      </w:tr>
      <w:tr w:rsidR="00B419CE" w:rsidRPr="00B419CE" w14:paraId="02B9F95A" w14:textId="77777777" w:rsidTr="00B419CE">
        <w:trPr>
          <w:trHeight w:val="600"/>
        </w:trPr>
        <w:tc>
          <w:tcPr>
            <w:tcW w:w="1140" w:type="dxa"/>
          </w:tcPr>
          <w:p w14:paraId="092424F9" w14:textId="77777777" w:rsidR="00B419CE" w:rsidRPr="00B419CE" w:rsidRDefault="00B419CE" w:rsidP="00B419CE">
            <w:r w:rsidRPr="00B419CE">
              <w:lastRenderedPageBreak/>
              <w:t>Post</w:t>
            </w:r>
          </w:p>
        </w:tc>
        <w:tc>
          <w:tcPr>
            <w:tcW w:w="4560" w:type="dxa"/>
          </w:tcPr>
          <w:p w14:paraId="4AAB1157" w14:textId="77777777" w:rsidR="00B419CE" w:rsidRPr="00B419CE" w:rsidRDefault="00B419CE" w:rsidP="00B419CE">
            <w:proofErr w:type="spellStart"/>
            <w:r w:rsidRPr="00B419CE">
              <w:t>Nemning</w:t>
            </w:r>
            <w:proofErr w:type="spellEnd"/>
          </w:p>
        </w:tc>
        <w:tc>
          <w:tcPr>
            <w:tcW w:w="1140" w:type="dxa"/>
          </w:tcPr>
          <w:p w14:paraId="1FC508E1"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4F26425" w14:textId="77777777" w:rsidR="00B419CE" w:rsidRPr="00B419CE" w:rsidRDefault="00B419CE" w:rsidP="00B419CE">
            <w:pPr>
              <w:jc w:val="right"/>
            </w:pPr>
            <w:r w:rsidRPr="00B419CE">
              <w:t>Saldert</w:t>
            </w:r>
            <w:r w:rsidRPr="00B419CE">
              <w:br/>
              <w:t xml:space="preserve"> budsjett 2021</w:t>
            </w:r>
          </w:p>
        </w:tc>
        <w:tc>
          <w:tcPr>
            <w:tcW w:w="1140" w:type="dxa"/>
          </w:tcPr>
          <w:p w14:paraId="41F8D96D" w14:textId="77777777" w:rsidR="00B419CE" w:rsidRPr="00B419CE" w:rsidRDefault="00B419CE" w:rsidP="00B419CE">
            <w:pPr>
              <w:jc w:val="right"/>
            </w:pPr>
            <w:r w:rsidRPr="00B419CE">
              <w:t>Forslag</w:t>
            </w:r>
            <w:r w:rsidRPr="00B419CE">
              <w:br/>
              <w:t xml:space="preserve"> 2022</w:t>
            </w:r>
          </w:p>
        </w:tc>
      </w:tr>
      <w:tr w:rsidR="00B419CE" w:rsidRPr="00B419CE" w14:paraId="6E4D8E92" w14:textId="77777777" w:rsidTr="00B419CE">
        <w:trPr>
          <w:trHeight w:val="380"/>
        </w:trPr>
        <w:tc>
          <w:tcPr>
            <w:tcW w:w="1140" w:type="dxa"/>
          </w:tcPr>
          <w:p w14:paraId="339FA180" w14:textId="77777777" w:rsidR="00B419CE" w:rsidRPr="00B419CE" w:rsidRDefault="00B419CE" w:rsidP="00B419CE">
            <w:r w:rsidRPr="00B419CE">
              <w:t>01</w:t>
            </w:r>
          </w:p>
        </w:tc>
        <w:tc>
          <w:tcPr>
            <w:tcW w:w="4560" w:type="dxa"/>
          </w:tcPr>
          <w:p w14:paraId="0E038100" w14:textId="77777777" w:rsidR="00B419CE" w:rsidRPr="00B419CE" w:rsidRDefault="00B419CE" w:rsidP="00B419CE">
            <w:r w:rsidRPr="00B419CE">
              <w:t>Driftsutgifter</w:t>
            </w:r>
            <w:r w:rsidRPr="00B419CE">
              <w:rPr>
                <w:rStyle w:val="kursiv"/>
              </w:rPr>
              <w:t>, overslagsløyving</w:t>
            </w:r>
          </w:p>
        </w:tc>
        <w:tc>
          <w:tcPr>
            <w:tcW w:w="1140" w:type="dxa"/>
          </w:tcPr>
          <w:p w14:paraId="37788AC8" w14:textId="77777777" w:rsidR="00B419CE" w:rsidRPr="00B419CE" w:rsidRDefault="00B419CE" w:rsidP="00B419CE">
            <w:pPr>
              <w:jc w:val="right"/>
            </w:pPr>
            <w:r w:rsidRPr="00B419CE">
              <w:t>8 131 831</w:t>
            </w:r>
          </w:p>
        </w:tc>
        <w:tc>
          <w:tcPr>
            <w:tcW w:w="1140" w:type="dxa"/>
          </w:tcPr>
          <w:p w14:paraId="2670F3D3" w14:textId="77777777" w:rsidR="00B419CE" w:rsidRPr="00B419CE" w:rsidRDefault="00B419CE" w:rsidP="00B419CE">
            <w:pPr>
              <w:jc w:val="right"/>
            </w:pPr>
            <w:r w:rsidRPr="00B419CE">
              <w:t>8 392 600</w:t>
            </w:r>
          </w:p>
        </w:tc>
        <w:tc>
          <w:tcPr>
            <w:tcW w:w="1140" w:type="dxa"/>
          </w:tcPr>
          <w:p w14:paraId="56469EF9" w14:textId="77777777" w:rsidR="00B419CE" w:rsidRPr="00B419CE" w:rsidRDefault="00B419CE" w:rsidP="00B419CE">
            <w:pPr>
              <w:jc w:val="right"/>
            </w:pPr>
            <w:r w:rsidRPr="00B419CE">
              <w:t>9 100 000</w:t>
            </w:r>
          </w:p>
        </w:tc>
      </w:tr>
      <w:tr w:rsidR="00B419CE" w:rsidRPr="00B419CE" w14:paraId="52704744" w14:textId="77777777" w:rsidTr="00B419CE">
        <w:trPr>
          <w:trHeight w:val="380"/>
        </w:trPr>
        <w:tc>
          <w:tcPr>
            <w:tcW w:w="1140" w:type="dxa"/>
          </w:tcPr>
          <w:p w14:paraId="30636842" w14:textId="77777777" w:rsidR="00B419CE" w:rsidRPr="00B419CE" w:rsidRDefault="00B419CE" w:rsidP="00B419CE"/>
        </w:tc>
        <w:tc>
          <w:tcPr>
            <w:tcW w:w="4560" w:type="dxa"/>
          </w:tcPr>
          <w:p w14:paraId="70A37122" w14:textId="77777777" w:rsidR="00B419CE" w:rsidRPr="00B419CE" w:rsidRDefault="00B419CE" w:rsidP="00B419CE">
            <w:r w:rsidRPr="00B419CE">
              <w:t>Sum kap. 1633</w:t>
            </w:r>
          </w:p>
        </w:tc>
        <w:tc>
          <w:tcPr>
            <w:tcW w:w="1140" w:type="dxa"/>
          </w:tcPr>
          <w:p w14:paraId="4938184B" w14:textId="77777777" w:rsidR="00B419CE" w:rsidRPr="00B419CE" w:rsidRDefault="00B419CE" w:rsidP="00B419CE">
            <w:pPr>
              <w:jc w:val="right"/>
            </w:pPr>
            <w:r w:rsidRPr="00B419CE">
              <w:t>8 131 831</w:t>
            </w:r>
          </w:p>
        </w:tc>
        <w:tc>
          <w:tcPr>
            <w:tcW w:w="1140" w:type="dxa"/>
          </w:tcPr>
          <w:p w14:paraId="0808C14D" w14:textId="77777777" w:rsidR="00B419CE" w:rsidRPr="00B419CE" w:rsidRDefault="00B419CE" w:rsidP="00B419CE">
            <w:pPr>
              <w:jc w:val="right"/>
            </w:pPr>
            <w:r w:rsidRPr="00B419CE">
              <w:t>8 392 600</w:t>
            </w:r>
          </w:p>
        </w:tc>
        <w:tc>
          <w:tcPr>
            <w:tcW w:w="1140" w:type="dxa"/>
          </w:tcPr>
          <w:p w14:paraId="52EC6876" w14:textId="77777777" w:rsidR="00B419CE" w:rsidRPr="00B419CE" w:rsidRDefault="00B419CE" w:rsidP="00B419CE">
            <w:pPr>
              <w:jc w:val="right"/>
            </w:pPr>
            <w:r w:rsidRPr="00B419CE">
              <w:t>9 100 000</w:t>
            </w:r>
          </w:p>
        </w:tc>
      </w:tr>
    </w:tbl>
    <w:p w14:paraId="386AD1B9" w14:textId="77777777" w:rsidR="00B419CE" w:rsidRPr="00B419CE" w:rsidRDefault="00B419CE" w:rsidP="00B419CE">
      <w:pPr>
        <w:pStyle w:val="b-post"/>
      </w:pPr>
      <w:r w:rsidRPr="00B419CE">
        <w:t>Post 01 Driftsutgifter, overslagsløyving</w:t>
      </w:r>
    </w:p>
    <w:p w14:paraId="74FC6DC3" w14:textId="77777777" w:rsidR="00B419CE" w:rsidRPr="00B419CE" w:rsidRDefault="00B419CE" w:rsidP="00B419CE">
      <w:r w:rsidRPr="00B419CE">
        <w:t xml:space="preserve">Med verknad </w:t>
      </w:r>
      <w:proofErr w:type="spellStart"/>
      <w:r w:rsidRPr="00B419CE">
        <w:t>frå</w:t>
      </w:r>
      <w:proofErr w:type="spellEnd"/>
      <w:r w:rsidRPr="00B419CE">
        <w:t xml:space="preserve"> 1. januar 2015 </w:t>
      </w:r>
      <w:proofErr w:type="spellStart"/>
      <w:r w:rsidRPr="00B419CE">
        <w:t>vart</w:t>
      </w:r>
      <w:proofErr w:type="spellEnd"/>
      <w:r w:rsidRPr="00B419CE">
        <w:t xml:space="preserve"> det innført ei ordning med nettoføring av </w:t>
      </w:r>
      <w:proofErr w:type="spellStart"/>
      <w:r w:rsidRPr="00B419CE">
        <w:t>meirverdiavgift</w:t>
      </w:r>
      <w:proofErr w:type="spellEnd"/>
      <w:r w:rsidRPr="00B419CE">
        <w:t xml:space="preserve"> i ordinære </w:t>
      </w:r>
      <w:proofErr w:type="spellStart"/>
      <w:r w:rsidRPr="00B419CE">
        <w:t>statlege</w:t>
      </w:r>
      <w:proofErr w:type="spellEnd"/>
      <w:r w:rsidRPr="00B419CE">
        <w:t xml:space="preserve"> forvaltningsorgan. Nettoføringsordninga </w:t>
      </w:r>
      <w:proofErr w:type="spellStart"/>
      <w:r w:rsidRPr="00B419CE">
        <w:t>inneber</w:t>
      </w:r>
      <w:proofErr w:type="spellEnd"/>
      <w:r w:rsidRPr="00B419CE">
        <w:t xml:space="preserve"> at forvaltningsorgana som er inkluderte i ordninga, </w:t>
      </w:r>
      <w:proofErr w:type="spellStart"/>
      <w:r w:rsidRPr="00B419CE">
        <w:t>ikkje</w:t>
      </w:r>
      <w:proofErr w:type="spellEnd"/>
      <w:r w:rsidRPr="00B419CE">
        <w:t xml:space="preserve"> vert belasta </w:t>
      </w:r>
      <w:proofErr w:type="spellStart"/>
      <w:r w:rsidRPr="00B419CE">
        <w:t>meirverdiavgift</w:t>
      </w:r>
      <w:proofErr w:type="spellEnd"/>
      <w:r w:rsidRPr="00B419CE">
        <w:t xml:space="preserve"> for utgifter på </w:t>
      </w:r>
      <w:proofErr w:type="spellStart"/>
      <w:r w:rsidRPr="00B419CE">
        <w:t>postane</w:t>
      </w:r>
      <w:proofErr w:type="spellEnd"/>
      <w:r w:rsidRPr="00B419CE">
        <w:t xml:space="preserve"> 01–49 i budsjetta og </w:t>
      </w:r>
      <w:proofErr w:type="spellStart"/>
      <w:r w:rsidRPr="00B419CE">
        <w:t>rekneskapane</w:t>
      </w:r>
      <w:proofErr w:type="spellEnd"/>
      <w:r w:rsidRPr="00B419CE">
        <w:t xml:space="preserve"> sine, men fører utgiftene til </w:t>
      </w:r>
      <w:proofErr w:type="spellStart"/>
      <w:r w:rsidRPr="00B419CE">
        <w:t>meirverdiavgift</w:t>
      </w:r>
      <w:proofErr w:type="spellEnd"/>
      <w:r w:rsidRPr="00B419CE">
        <w:t xml:space="preserve"> på </w:t>
      </w:r>
      <w:proofErr w:type="spellStart"/>
      <w:r w:rsidRPr="00B419CE">
        <w:t>eit</w:t>
      </w:r>
      <w:proofErr w:type="spellEnd"/>
      <w:r w:rsidRPr="00B419CE">
        <w:t xml:space="preserve"> sentralt kapittel for </w:t>
      </w:r>
      <w:proofErr w:type="spellStart"/>
      <w:r w:rsidRPr="00B419CE">
        <w:t>meirverdiavgift</w:t>
      </w:r>
      <w:proofErr w:type="spellEnd"/>
      <w:r w:rsidRPr="00B419CE">
        <w:t xml:space="preserve"> under Finansdepartementet (kap. 1633, post 01). Det vil </w:t>
      </w:r>
      <w:proofErr w:type="spellStart"/>
      <w:r w:rsidRPr="00B419CE">
        <w:t>vere</w:t>
      </w:r>
      <w:proofErr w:type="spellEnd"/>
      <w:r w:rsidRPr="00B419CE">
        <w:t xml:space="preserve"> uvisse om </w:t>
      </w:r>
      <w:proofErr w:type="spellStart"/>
      <w:r w:rsidRPr="00B419CE">
        <w:t>løyvingsbehovet</w:t>
      </w:r>
      <w:proofErr w:type="spellEnd"/>
      <w:r w:rsidRPr="00B419CE">
        <w:t xml:space="preserve"> til ordninga også i 2022. Regjeringa foreslår ei løyving på 9 100 mill. kroner.</w:t>
      </w:r>
    </w:p>
    <w:p w14:paraId="130BBD97" w14:textId="77777777" w:rsidR="00B419CE" w:rsidRPr="00B419CE" w:rsidRDefault="00B419CE" w:rsidP="00B419CE">
      <w:pPr>
        <w:pStyle w:val="b-budkaptit"/>
      </w:pPr>
      <w:r w:rsidRPr="00B419CE">
        <w:t xml:space="preserve">Kap. 1634 Kompensasjon for inntektssvikt som </w:t>
      </w:r>
      <w:proofErr w:type="spellStart"/>
      <w:r w:rsidRPr="00B419CE">
        <w:t>følgje</w:t>
      </w:r>
      <w:proofErr w:type="spellEnd"/>
      <w:r w:rsidRPr="00B419CE">
        <w:t xml:space="preserve"> av </w:t>
      </w:r>
      <w:proofErr w:type="spellStart"/>
      <w:r w:rsidRPr="00B419CE">
        <w:t>koronaviruset</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60616F7" w14:textId="77777777" w:rsidTr="00B419CE">
        <w:trPr>
          <w:trHeight w:val="640"/>
          <w:hidden/>
        </w:trPr>
        <w:tc>
          <w:tcPr>
            <w:tcW w:w="1140" w:type="dxa"/>
            <w:shd w:val="clear" w:color="auto" w:fill="FFFFFF"/>
          </w:tcPr>
          <w:p w14:paraId="44750520" w14:textId="77777777" w:rsidR="00B419CE" w:rsidRPr="00B419CE" w:rsidRDefault="00B419CE" w:rsidP="00B419CE">
            <w:pPr>
              <w:pStyle w:val="Tabellnavn"/>
            </w:pPr>
            <w:r w:rsidRPr="00B419CE">
              <w:t>KPAL</w:t>
            </w:r>
          </w:p>
        </w:tc>
        <w:tc>
          <w:tcPr>
            <w:tcW w:w="4560" w:type="dxa"/>
          </w:tcPr>
          <w:p w14:paraId="58526A1A" w14:textId="77777777" w:rsidR="00B419CE" w:rsidRPr="00B419CE" w:rsidRDefault="00B419CE" w:rsidP="00B419CE"/>
        </w:tc>
        <w:tc>
          <w:tcPr>
            <w:tcW w:w="1140" w:type="dxa"/>
          </w:tcPr>
          <w:p w14:paraId="6CBD3A3D" w14:textId="77777777" w:rsidR="00B419CE" w:rsidRPr="00B419CE" w:rsidRDefault="00B419CE" w:rsidP="00B419CE">
            <w:pPr>
              <w:jc w:val="right"/>
            </w:pPr>
          </w:p>
        </w:tc>
        <w:tc>
          <w:tcPr>
            <w:tcW w:w="1140" w:type="dxa"/>
          </w:tcPr>
          <w:p w14:paraId="32702B59" w14:textId="77777777" w:rsidR="00B419CE" w:rsidRPr="00B419CE" w:rsidRDefault="00B419CE" w:rsidP="00B419CE">
            <w:pPr>
              <w:jc w:val="right"/>
            </w:pPr>
          </w:p>
        </w:tc>
        <w:tc>
          <w:tcPr>
            <w:tcW w:w="1140" w:type="dxa"/>
          </w:tcPr>
          <w:p w14:paraId="143BD279" w14:textId="77777777" w:rsidR="00B419CE" w:rsidRPr="00B419CE" w:rsidRDefault="00B419CE" w:rsidP="00B419CE">
            <w:pPr>
              <w:jc w:val="right"/>
            </w:pPr>
            <w:r w:rsidRPr="00B419CE">
              <w:t>(i 1 000 kr)</w:t>
            </w:r>
          </w:p>
        </w:tc>
      </w:tr>
      <w:tr w:rsidR="00B419CE" w:rsidRPr="00B419CE" w14:paraId="007E3874" w14:textId="77777777" w:rsidTr="00B419CE">
        <w:trPr>
          <w:trHeight w:val="600"/>
        </w:trPr>
        <w:tc>
          <w:tcPr>
            <w:tcW w:w="1140" w:type="dxa"/>
          </w:tcPr>
          <w:p w14:paraId="42ABE59C" w14:textId="77777777" w:rsidR="00B419CE" w:rsidRPr="00B419CE" w:rsidRDefault="00B419CE" w:rsidP="00B419CE">
            <w:r w:rsidRPr="00B419CE">
              <w:t>Post</w:t>
            </w:r>
          </w:p>
        </w:tc>
        <w:tc>
          <w:tcPr>
            <w:tcW w:w="4560" w:type="dxa"/>
          </w:tcPr>
          <w:p w14:paraId="57947061" w14:textId="77777777" w:rsidR="00B419CE" w:rsidRPr="00B419CE" w:rsidRDefault="00B419CE" w:rsidP="00B419CE">
            <w:proofErr w:type="spellStart"/>
            <w:r w:rsidRPr="00B419CE">
              <w:t>Nemning</w:t>
            </w:r>
            <w:proofErr w:type="spellEnd"/>
          </w:p>
        </w:tc>
        <w:tc>
          <w:tcPr>
            <w:tcW w:w="1140" w:type="dxa"/>
          </w:tcPr>
          <w:p w14:paraId="74A829DA"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725A909F" w14:textId="77777777" w:rsidR="00B419CE" w:rsidRPr="00B419CE" w:rsidRDefault="00B419CE" w:rsidP="00B419CE">
            <w:pPr>
              <w:jc w:val="right"/>
            </w:pPr>
            <w:r w:rsidRPr="00B419CE">
              <w:t>Saldert</w:t>
            </w:r>
            <w:r w:rsidRPr="00B419CE">
              <w:br/>
              <w:t xml:space="preserve"> budsjett 2021</w:t>
            </w:r>
          </w:p>
        </w:tc>
        <w:tc>
          <w:tcPr>
            <w:tcW w:w="1140" w:type="dxa"/>
          </w:tcPr>
          <w:p w14:paraId="176B0A7E" w14:textId="77777777" w:rsidR="00B419CE" w:rsidRPr="00B419CE" w:rsidRDefault="00B419CE" w:rsidP="00B419CE">
            <w:pPr>
              <w:jc w:val="right"/>
            </w:pPr>
            <w:r w:rsidRPr="00B419CE">
              <w:t>Forslag</w:t>
            </w:r>
            <w:r w:rsidRPr="00B419CE">
              <w:br/>
              <w:t xml:space="preserve"> 2022</w:t>
            </w:r>
          </w:p>
        </w:tc>
      </w:tr>
      <w:tr w:rsidR="00B419CE" w:rsidRPr="00B419CE" w14:paraId="1F19C32C" w14:textId="77777777" w:rsidTr="00B419CE">
        <w:trPr>
          <w:trHeight w:val="380"/>
        </w:trPr>
        <w:tc>
          <w:tcPr>
            <w:tcW w:w="1140" w:type="dxa"/>
          </w:tcPr>
          <w:p w14:paraId="054861DB" w14:textId="77777777" w:rsidR="00B419CE" w:rsidRPr="00B419CE" w:rsidRDefault="00B419CE" w:rsidP="00B419CE">
            <w:r w:rsidRPr="00B419CE">
              <w:t>21</w:t>
            </w:r>
          </w:p>
        </w:tc>
        <w:tc>
          <w:tcPr>
            <w:tcW w:w="4560" w:type="dxa"/>
          </w:tcPr>
          <w:p w14:paraId="44DECC60" w14:textId="77777777" w:rsidR="00B419CE" w:rsidRPr="00B419CE" w:rsidRDefault="00B419CE" w:rsidP="00B419CE">
            <w:r w:rsidRPr="00B419CE">
              <w:t>Spesielle driftsutgifter</w:t>
            </w:r>
          </w:p>
        </w:tc>
        <w:tc>
          <w:tcPr>
            <w:tcW w:w="1140" w:type="dxa"/>
          </w:tcPr>
          <w:p w14:paraId="32535E98" w14:textId="77777777" w:rsidR="00B419CE" w:rsidRPr="00B419CE" w:rsidRDefault="00B419CE" w:rsidP="00B419CE">
            <w:pPr>
              <w:jc w:val="right"/>
            </w:pPr>
            <w:r w:rsidRPr="00B419CE">
              <w:t>218 796</w:t>
            </w:r>
          </w:p>
        </w:tc>
        <w:tc>
          <w:tcPr>
            <w:tcW w:w="1140" w:type="dxa"/>
          </w:tcPr>
          <w:p w14:paraId="4360AE08" w14:textId="77777777" w:rsidR="00B419CE" w:rsidRPr="00B419CE" w:rsidRDefault="00B419CE" w:rsidP="00B419CE">
            <w:pPr>
              <w:jc w:val="right"/>
            </w:pPr>
            <w:r w:rsidRPr="00B419CE">
              <w:t>130 000</w:t>
            </w:r>
          </w:p>
        </w:tc>
        <w:tc>
          <w:tcPr>
            <w:tcW w:w="1140" w:type="dxa"/>
          </w:tcPr>
          <w:p w14:paraId="6F014750" w14:textId="77777777" w:rsidR="00B419CE" w:rsidRPr="00B419CE" w:rsidRDefault="00B419CE" w:rsidP="00B419CE">
            <w:pPr>
              <w:jc w:val="right"/>
            </w:pPr>
          </w:p>
        </w:tc>
      </w:tr>
      <w:tr w:rsidR="00B419CE" w:rsidRPr="00B419CE" w14:paraId="7A460F49" w14:textId="77777777" w:rsidTr="00B419CE">
        <w:trPr>
          <w:trHeight w:val="380"/>
        </w:trPr>
        <w:tc>
          <w:tcPr>
            <w:tcW w:w="1140" w:type="dxa"/>
          </w:tcPr>
          <w:p w14:paraId="3A61333F" w14:textId="77777777" w:rsidR="00B419CE" w:rsidRPr="00B419CE" w:rsidRDefault="00B419CE" w:rsidP="00B419CE">
            <w:r w:rsidRPr="00B419CE">
              <w:t>70</w:t>
            </w:r>
          </w:p>
        </w:tc>
        <w:tc>
          <w:tcPr>
            <w:tcW w:w="4560" w:type="dxa"/>
          </w:tcPr>
          <w:p w14:paraId="3DF7BD92" w14:textId="77777777" w:rsidR="00B419CE" w:rsidRPr="00B419CE" w:rsidRDefault="00B419CE" w:rsidP="00B419CE">
            <w:r w:rsidRPr="00B419CE">
              <w:t xml:space="preserve">Tilskott til </w:t>
            </w:r>
            <w:proofErr w:type="spellStart"/>
            <w:r w:rsidRPr="00B419CE">
              <w:t>verksemder</w:t>
            </w:r>
            <w:proofErr w:type="spellEnd"/>
            <w:r w:rsidRPr="00B419CE">
              <w:t xml:space="preserve"> med rett til stønad</w:t>
            </w:r>
          </w:p>
        </w:tc>
        <w:tc>
          <w:tcPr>
            <w:tcW w:w="1140" w:type="dxa"/>
          </w:tcPr>
          <w:p w14:paraId="64306107" w14:textId="77777777" w:rsidR="00B419CE" w:rsidRPr="00B419CE" w:rsidRDefault="00B419CE" w:rsidP="00B419CE">
            <w:pPr>
              <w:jc w:val="right"/>
            </w:pPr>
            <w:r w:rsidRPr="00B419CE">
              <w:t>7 028 764</w:t>
            </w:r>
          </w:p>
        </w:tc>
        <w:tc>
          <w:tcPr>
            <w:tcW w:w="1140" w:type="dxa"/>
          </w:tcPr>
          <w:p w14:paraId="2F074553" w14:textId="77777777" w:rsidR="00B419CE" w:rsidRPr="00B419CE" w:rsidRDefault="00B419CE" w:rsidP="00B419CE">
            <w:pPr>
              <w:jc w:val="right"/>
            </w:pPr>
          </w:p>
        </w:tc>
        <w:tc>
          <w:tcPr>
            <w:tcW w:w="1140" w:type="dxa"/>
          </w:tcPr>
          <w:p w14:paraId="44FB5DB0" w14:textId="77777777" w:rsidR="00B419CE" w:rsidRPr="00B419CE" w:rsidRDefault="00B419CE" w:rsidP="00B419CE">
            <w:pPr>
              <w:jc w:val="right"/>
            </w:pPr>
          </w:p>
        </w:tc>
      </w:tr>
      <w:tr w:rsidR="00B419CE" w:rsidRPr="00B419CE" w14:paraId="470AE8F0" w14:textId="77777777" w:rsidTr="00B419CE">
        <w:trPr>
          <w:trHeight w:val="640"/>
        </w:trPr>
        <w:tc>
          <w:tcPr>
            <w:tcW w:w="1140" w:type="dxa"/>
          </w:tcPr>
          <w:p w14:paraId="6CC5685D" w14:textId="77777777" w:rsidR="00B419CE" w:rsidRPr="00B419CE" w:rsidRDefault="00B419CE" w:rsidP="00B419CE">
            <w:r w:rsidRPr="00B419CE">
              <w:t>71</w:t>
            </w:r>
          </w:p>
        </w:tc>
        <w:tc>
          <w:tcPr>
            <w:tcW w:w="4560" w:type="dxa"/>
          </w:tcPr>
          <w:p w14:paraId="6C41B9EF" w14:textId="77777777" w:rsidR="00B419CE" w:rsidRPr="00B419CE" w:rsidRDefault="00B419CE" w:rsidP="00B419CE">
            <w:r w:rsidRPr="00B419CE">
              <w:t xml:space="preserve">Kompensasjonsordning for </w:t>
            </w:r>
            <w:proofErr w:type="spellStart"/>
            <w:r w:rsidRPr="00B419CE">
              <w:t>arbeidsgjevare</w:t>
            </w:r>
            <w:proofErr w:type="spellEnd"/>
            <w:r w:rsidRPr="00B419CE">
              <w:t xml:space="preserve"> i tiltakssona og på Svalbard</w:t>
            </w:r>
          </w:p>
        </w:tc>
        <w:tc>
          <w:tcPr>
            <w:tcW w:w="1140" w:type="dxa"/>
          </w:tcPr>
          <w:p w14:paraId="3086F34C" w14:textId="77777777" w:rsidR="00B419CE" w:rsidRPr="00B419CE" w:rsidRDefault="00B419CE" w:rsidP="00B419CE">
            <w:pPr>
              <w:jc w:val="right"/>
            </w:pPr>
            <w:r w:rsidRPr="00B419CE">
              <w:t>160 104</w:t>
            </w:r>
          </w:p>
        </w:tc>
        <w:tc>
          <w:tcPr>
            <w:tcW w:w="1140" w:type="dxa"/>
          </w:tcPr>
          <w:p w14:paraId="44306C9F" w14:textId="77777777" w:rsidR="00B419CE" w:rsidRPr="00B419CE" w:rsidRDefault="00B419CE" w:rsidP="00B419CE">
            <w:pPr>
              <w:jc w:val="right"/>
            </w:pPr>
          </w:p>
        </w:tc>
        <w:tc>
          <w:tcPr>
            <w:tcW w:w="1140" w:type="dxa"/>
          </w:tcPr>
          <w:p w14:paraId="10C3EA94" w14:textId="77777777" w:rsidR="00B419CE" w:rsidRPr="00B419CE" w:rsidRDefault="00B419CE" w:rsidP="00B419CE">
            <w:pPr>
              <w:jc w:val="right"/>
            </w:pPr>
          </w:p>
        </w:tc>
      </w:tr>
      <w:tr w:rsidR="00B419CE" w:rsidRPr="00B419CE" w14:paraId="75E4A509" w14:textId="77777777" w:rsidTr="00B419CE">
        <w:trPr>
          <w:trHeight w:val="640"/>
        </w:trPr>
        <w:tc>
          <w:tcPr>
            <w:tcW w:w="1140" w:type="dxa"/>
          </w:tcPr>
          <w:p w14:paraId="0897095F" w14:textId="77777777" w:rsidR="00B419CE" w:rsidRPr="00B419CE" w:rsidRDefault="00B419CE" w:rsidP="00B419CE">
            <w:r w:rsidRPr="00B419CE">
              <w:t>72</w:t>
            </w:r>
          </w:p>
        </w:tc>
        <w:tc>
          <w:tcPr>
            <w:tcW w:w="4560" w:type="dxa"/>
          </w:tcPr>
          <w:p w14:paraId="254F2E3F" w14:textId="77777777" w:rsidR="00B419CE" w:rsidRPr="00B419CE" w:rsidRDefault="00B419CE" w:rsidP="00B419CE">
            <w:r w:rsidRPr="00B419CE">
              <w:t>Stønad for å ta permitterte tilbake i jobb</w:t>
            </w:r>
            <w:r w:rsidRPr="00B419CE">
              <w:rPr>
                <w:rStyle w:val="kursiv"/>
              </w:rPr>
              <w:t xml:space="preserve">, </w:t>
            </w:r>
            <w:r w:rsidRPr="00B419CE">
              <w:rPr>
                <w:rStyle w:val="kursiv"/>
              </w:rPr>
              <w:br/>
              <w:t>overslagsløyving</w:t>
            </w:r>
          </w:p>
        </w:tc>
        <w:tc>
          <w:tcPr>
            <w:tcW w:w="1140" w:type="dxa"/>
          </w:tcPr>
          <w:p w14:paraId="69ADEB38" w14:textId="77777777" w:rsidR="00B419CE" w:rsidRPr="00B419CE" w:rsidRDefault="00B419CE" w:rsidP="00B419CE">
            <w:pPr>
              <w:jc w:val="right"/>
            </w:pPr>
            <w:r w:rsidRPr="00B419CE">
              <w:t>162 686</w:t>
            </w:r>
          </w:p>
        </w:tc>
        <w:tc>
          <w:tcPr>
            <w:tcW w:w="1140" w:type="dxa"/>
          </w:tcPr>
          <w:p w14:paraId="5025B65C" w14:textId="77777777" w:rsidR="00B419CE" w:rsidRPr="00B419CE" w:rsidRDefault="00B419CE" w:rsidP="00B419CE">
            <w:pPr>
              <w:jc w:val="right"/>
            </w:pPr>
            <w:r w:rsidRPr="00B419CE">
              <w:t>300 000</w:t>
            </w:r>
          </w:p>
        </w:tc>
        <w:tc>
          <w:tcPr>
            <w:tcW w:w="1140" w:type="dxa"/>
          </w:tcPr>
          <w:p w14:paraId="51D1BA4B" w14:textId="77777777" w:rsidR="00B419CE" w:rsidRPr="00B419CE" w:rsidRDefault="00B419CE" w:rsidP="00B419CE">
            <w:pPr>
              <w:jc w:val="right"/>
            </w:pPr>
          </w:p>
        </w:tc>
      </w:tr>
      <w:tr w:rsidR="00B419CE" w:rsidRPr="00B419CE" w14:paraId="6299C2EC" w14:textId="77777777" w:rsidTr="00B419CE">
        <w:trPr>
          <w:trHeight w:val="380"/>
        </w:trPr>
        <w:tc>
          <w:tcPr>
            <w:tcW w:w="1140" w:type="dxa"/>
          </w:tcPr>
          <w:p w14:paraId="5F9C49A5" w14:textId="77777777" w:rsidR="00B419CE" w:rsidRPr="00B419CE" w:rsidRDefault="00B419CE" w:rsidP="00B419CE"/>
        </w:tc>
        <w:tc>
          <w:tcPr>
            <w:tcW w:w="4560" w:type="dxa"/>
          </w:tcPr>
          <w:p w14:paraId="09C2370E" w14:textId="77777777" w:rsidR="00B419CE" w:rsidRPr="00B419CE" w:rsidRDefault="00B419CE" w:rsidP="00B419CE">
            <w:r w:rsidRPr="00B419CE">
              <w:t>Sum kap. 1634</w:t>
            </w:r>
          </w:p>
        </w:tc>
        <w:tc>
          <w:tcPr>
            <w:tcW w:w="1140" w:type="dxa"/>
          </w:tcPr>
          <w:p w14:paraId="7AC6CE14" w14:textId="77777777" w:rsidR="00B419CE" w:rsidRPr="00B419CE" w:rsidRDefault="00B419CE" w:rsidP="00B419CE">
            <w:pPr>
              <w:jc w:val="right"/>
            </w:pPr>
            <w:r w:rsidRPr="00B419CE">
              <w:t>7 570 350</w:t>
            </w:r>
          </w:p>
        </w:tc>
        <w:tc>
          <w:tcPr>
            <w:tcW w:w="1140" w:type="dxa"/>
          </w:tcPr>
          <w:p w14:paraId="37DCC5BC" w14:textId="77777777" w:rsidR="00B419CE" w:rsidRPr="00B419CE" w:rsidRDefault="00B419CE" w:rsidP="00B419CE">
            <w:pPr>
              <w:jc w:val="right"/>
            </w:pPr>
            <w:r w:rsidRPr="00B419CE">
              <w:t>430 000</w:t>
            </w:r>
          </w:p>
        </w:tc>
        <w:tc>
          <w:tcPr>
            <w:tcW w:w="1140" w:type="dxa"/>
          </w:tcPr>
          <w:p w14:paraId="2B9A8980" w14:textId="77777777" w:rsidR="00B419CE" w:rsidRPr="00B419CE" w:rsidRDefault="00B419CE" w:rsidP="00B419CE">
            <w:pPr>
              <w:jc w:val="right"/>
            </w:pPr>
          </w:p>
        </w:tc>
      </w:tr>
    </w:tbl>
    <w:p w14:paraId="3FD7C641" w14:textId="77777777" w:rsidR="00B419CE" w:rsidRPr="00B419CE" w:rsidRDefault="00B419CE" w:rsidP="00B419CE">
      <w:pPr>
        <w:pStyle w:val="b-post"/>
      </w:pPr>
      <w:r w:rsidRPr="00B419CE">
        <w:t>Post 21 Spesielle driftsutgifter</w:t>
      </w:r>
    </w:p>
    <w:p w14:paraId="53DD8261" w14:textId="77777777" w:rsidR="00B419CE" w:rsidRPr="00B419CE" w:rsidRDefault="00B419CE" w:rsidP="00B419CE">
      <w:r w:rsidRPr="00B419CE">
        <w:t xml:space="preserve">Våren 2020 </w:t>
      </w:r>
      <w:proofErr w:type="spellStart"/>
      <w:r w:rsidRPr="00B419CE">
        <w:t>vart</w:t>
      </w:r>
      <w:proofErr w:type="spellEnd"/>
      <w:r w:rsidRPr="00B419CE">
        <w:t xml:space="preserve"> det etablert ei mellombels </w:t>
      </w:r>
      <w:proofErr w:type="spellStart"/>
      <w:r w:rsidRPr="00B419CE">
        <w:t>tilskotsordning</w:t>
      </w:r>
      <w:proofErr w:type="spellEnd"/>
      <w:r w:rsidRPr="00B419CE">
        <w:t xml:space="preserve"> for </w:t>
      </w:r>
      <w:proofErr w:type="spellStart"/>
      <w:r w:rsidRPr="00B419CE">
        <w:t>føretak</w:t>
      </w:r>
      <w:proofErr w:type="spellEnd"/>
      <w:r w:rsidRPr="00B419CE">
        <w:t xml:space="preserve"> med stort omsetningsfall. </w:t>
      </w:r>
      <w:proofErr w:type="spellStart"/>
      <w:r w:rsidRPr="00B419CE">
        <w:t>Føremålet</w:t>
      </w:r>
      <w:proofErr w:type="spellEnd"/>
      <w:r w:rsidRPr="00B419CE">
        <w:t xml:space="preserve"> var å hindre at elles levedyktige </w:t>
      </w:r>
      <w:proofErr w:type="spellStart"/>
      <w:r w:rsidRPr="00B419CE">
        <w:t>føretak</w:t>
      </w:r>
      <w:proofErr w:type="spellEnd"/>
      <w:r w:rsidRPr="00B419CE">
        <w:t xml:space="preserve"> går konkurs som </w:t>
      </w:r>
      <w:proofErr w:type="spellStart"/>
      <w:r w:rsidRPr="00B419CE">
        <w:t>følgje</w:t>
      </w:r>
      <w:proofErr w:type="spellEnd"/>
      <w:r w:rsidRPr="00B419CE">
        <w:t xml:space="preserve"> av </w:t>
      </w:r>
      <w:proofErr w:type="spellStart"/>
      <w:r w:rsidRPr="00B419CE">
        <w:t>virusutbrotet</w:t>
      </w:r>
      <w:proofErr w:type="spellEnd"/>
      <w:r w:rsidRPr="00B419CE">
        <w:t xml:space="preserve"> og </w:t>
      </w:r>
      <w:proofErr w:type="spellStart"/>
      <w:r w:rsidRPr="00B419CE">
        <w:t>dei</w:t>
      </w:r>
      <w:proofErr w:type="spellEnd"/>
      <w:r w:rsidRPr="00B419CE">
        <w:t xml:space="preserve"> smitteverntiltaka som vart innførte. </w:t>
      </w:r>
      <w:proofErr w:type="spellStart"/>
      <w:r w:rsidRPr="00B419CE">
        <w:t>Seinare</w:t>
      </w:r>
      <w:proofErr w:type="spellEnd"/>
      <w:r w:rsidRPr="00B419CE">
        <w:t xml:space="preserve"> kom det òg ei </w:t>
      </w:r>
      <w:r w:rsidRPr="00B419CE">
        <w:lastRenderedPageBreak/>
        <w:t xml:space="preserve">kompensasjonsordning for </w:t>
      </w:r>
      <w:proofErr w:type="spellStart"/>
      <w:r w:rsidRPr="00B419CE">
        <w:t>arbeidsgjevarar</w:t>
      </w:r>
      <w:proofErr w:type="spellEnd"/>
      <w:r w:rsidRPr="00B419CE">
        <w:t xml:space="preserve"> i tiltakssona og på Svalbard og ei ny, søknadsbasert ordning for å stimulere </w:t>
      </w:r>
      <w:proofErr w:type="spellStart"/>
      <w:r w:rsidRPr="00B419CE">
        <w:t>verksemder</w:t>
      </w:r>
      <w:proofErr w:type="spellEnd"/>
      <w:r w:rsidRPr="00B419CE">
        <w:t xml:space="preserve"> til å ta permitterte tilbake i jobb.</w:t>
      </w:r>
    </w:p>
    <w:p w14:paraId="73DFAA1D" w14:textId="77777777" w:rsidR="00B419CE" w:rsidRPr="00B419CE" w:rsidRDefault="00B419CE" w:rsidP="00B419CE">
      <w:r w:rsidRPr="00B419CE">
        <w:t xml:space="preserve">Skatteetaten </w:t>
      </w:r>
      <w:proofErr w:type="spellStart"/>
      <w:r w:rsidRPr="00B419CE">
        <w:t>fekk</w:t>
      </w:r>
      <w:proofErr w:type="spellEnd"/>
      <w:r w:rsidRPr="00B419CE">
        <w:t xml:space="preserve"> ansvar for å administrere alle </w:t>
      </w:r>
      <w:proofErr w:type="spellStart"/>
      <w:r w:rsidRPr="00B419CE">
        <w:t>ordningane</w:t>
      </w:r>
      <w:proofErr w:type="spellEnd"/>
      <w:r w:rsidRPr="00B419CE">
        <w:t xml:space="preserve"> ved rettleiing, søknadsbehandling, vedtak, registrering av vedtak, utbetaling og tilbakebetaling av </w:t>
      </w:r>
      <w:proofErr w:type="spellStart"/>
      <w:r w:rsidRPr="00B419CE">
        <w:t>tilskot</w:t>
      </w:r>
      <w:proofErr w:type="spellEnd"/>
      <w:r w:rsidRPr="00B419CE">
        <w:t>, oppfølging og kontroll.</w:t>
      </w:r>
    </w:p>
    <w:p w14:paraId="668E036F" w14:textId="77777777" w:rsidR="00B419CE" w:rsidRPr="00B419CE" w:rsidRDefault="00B419CE" w:rsidP="00B419CE">
      <w:proofErr w:type="spellStart"/>
      <w:r w:rsidRPr="00B419CE">
        <w:t>Ordningane</w:t>
      </w:r>
      <w:proofErr w:type="spellEnd"/>
      <w:r w:rsidRPr="00B419CE">
        <w:t xml:space="preserve"> innebar </w:t>
      </w:r>
      <w:proofErr w:type="spellStart"/>
      <w:r w:rsidRPr="00B419CE">
        <w:t>vesentleg</w:t>
      </w:r>
      <w:proofErr w:type="spellEnd"/>
      <w:r w:rsidRPr="00B419CE">
        <w:t xml:space="preserve"> ressursbehov i Skatteetaten i både 2020 og 2021. Arbeidet med etterkontroll og eventuell </w:t>
      </w:r>
      <w:proofErr w:type="spellStart"/>
      <w:r w:rsidRPr="00B419CE">
        <w:t>innkrevjing</w:t>
      </w:r>
      <w:proofErr w:type="spellEnd"/>
      <w:r w:rsidRPr="00B419CE">
        <w:t xml:space="preserve"> av for </w:t>
      </w:r>
      <w:proofErr w:type="spellStart"/>
      <w:r w:rsidRPr="00B419CE">
        <w:t>mykje</w:t>
      </w:r>
      <w:proofErr w:type="spellEnd"/>
      <w:r w:rsidRPr="00B419CE">
        <w:t xml:space="preserve"> utbetalt stønad er òg </w:t>
      </w:r>
      <w:proofErr w:type="spellStart"/>
      <w:r w:rsidRPr="00B419CE">
        <w:t>følgt</w:t>
      </w:r>
      <w:proofErr w:type="spellEnd"/>
      <w:r w:rsidRPr="00B419CE">
        <w:t xml:space="preserve"> opp etter </w:t>
      </w:r>
      <w:proofErr w:type="spellStart"/>
      <w:r w:rsidRPr="00B419CE">
        <w:t>rekneskapsavslutninga</w:t>
      </w:r>
      <w:proofErr w:type="spellEnd"/>
      <w:r w:rsidRPr="00B419CE">
        <w:t xml:space="preserve"> i 2021. På post 21 vart det for 2020 gjeve ei eiga løyving til etaten sitt arbeid her, og av denne vart 218,8 mill. kroner nytta. Løyvinga for 2021 på 130 mill. kroner vart ved handsaminga av </w:t>
      </w:r>
      <w:proofErr w:type="spellStart"/>
      <w:r w:rsidRPr="00B419CE">
        <w:t>Prop</w:t>
      </w:r>
      <w:proofErr w:type="spellEnd"/>
      <w:r w:rsidRPr="00B419CE">
        <w:t xml:space="preserve">. 94 LS og </w:t>
      </w:r>
      <w:proofErr w:type="spellStart"/>
      <w:r w:rsidRPr="00B419CE">
        <w:t>Innst</w:t>
      </w:r>
      <w:proofErr w:type="spellEnd"/>
      <w:r w:rsidRPr="00B419CE">
        <w:t xml:space="preserve">. 298 LS (2020–2021) </w:t>
      </w:r>
      <w:proofErr w:type="spellStart"/>
      <w:r w:rsidRPr="00B419CE">
        <w:t>auka</w:t>
      </w:r>
      <w:proofErr w:type="spellEnd"/>
      <w:r w:rsidRPr="00B419CE">
        <w:t xml:space="preserve"> til 223,7 mill. kroner i samband med at stimuleringsordninga for å ta permitterte tilbake i jobb vart </w:t>
      </w:r>
      <w:proofErr w:type="spellStart"/>
      <w:r w:rsidRPr="00B419CE">
        <w:t>forlengt</w:t>
      </w:r>
      <w:proofErr w:type="spellEnd"/>
      <w:r w:rsidRPr="00B419CE">
        <w:t xml:space="preserve">, men med endra innretning. På grunnlag av nye </w:t>
      </w:r>
      <w:proofErr w:type="spellStart"/>
      <w:r w:rsidRPr="00B419CE">
        <w:t>berekningar</w:t>
      </w:r>
      <w:proofErr w:type="spellEnd"/>
      <w:r w:rsidRPr="00B419CE">
        <w:t xml:space="preserve"> vart løyvinga sett ned til 180 mill. kroner ved budsjettrevisjonen våren 2021.</w:t>
      </w:r>
    </w:p>
    <w:p w14:paraId="71269E8D" w14:textId="77777777" w:rsidR="00B419CE" w:rsidRPr="00B419CE" w:rsidRDefault="00B419CE" w:rsidP="00B419CE">
      <w:proofErr w:type="spellStart"/>
      <w:r w:rsidRPr="00B419CE">
        <w:t>Fleire</w:t>
      </w:r>
      <w:proofErr w:type="spellEnd"/>
      <w:r w:rsidRPr="00B419CE">
        <w:t xml:space="preserve"> saker som </w:t>
      </w:r>
      <w:proofErr w:type="spellStart"/>
      <w:r w:rsidRPr="00B419CE">
        <w:t>gjeld</w:t>
      </w:r>
      <w:proofErr w:type="spellEnd"/>
      <w:r w:rsidRPr="00B419CE">
        <w:t xml:space="preserve"> </w:t>
      </w:r>
      <w:proofErr w:type="spellStart"/>
      <w:r w:rsidRPr="00B419CE">
        <w:t>ordningane</w:t>
      </w:r>
      <w:proofErr w:type="spellEnd"/>
      <w:r w:rsidRPr="00B419CE">
        <w:t xml:space="preserve"> som er omtalte </w:t>
      </w:r>
      <w:proofErr w:type="spellStart"/>
      <w:r w:rsidRPr="00B419CE">
        <w:t>ovanfor</w:t>
      </w:r>
      <w:proofErr w:type="spellEnd"/>
      <w:r w:rsidRPr="00B419CE">
        <w:t xml:space="preserve">, krev òg oppfølging og eventuelt </w:t>
      </w:r>
      <w:proofErr w:type="spellStart"/>
      <w:r w:rsidRPr="00B419CE">
        <w:t>innkrevjing</w:t>
      </w:r>
      <w:proofErr w:type="spellEnd"/>
      <w:r w:rsidRPr="00B419CE">
        <w:t xml:space="preserve"> i 2022. Utgiftene til dette og til andre kontroll- og </w:t>
      </w:r>
      <w:proofErr w:type="spellStart"/>
      <w:r w:rsidRPr="00B419CE">
        <w:t>innkrevjingstiltak</w:t>
      </w:r>
      <w:proofErr w:type="spellEnd"/>
      <w:r w:rsidRPr="00B419CE">
        <w:t xml:space="preserve"> der aktiviteten som </w:t>
      </w:r>
      <w:proofErr w:type="spellStart"/>
      <w:r w:rsidRPr="00B419CE">
        <w:t>følgje</w:t>
      </w:r>
      <w:proofErr w:type="spellEnd"/>
      <w:r w:rsidRPr="00B419CE">
        <w:t xml:space="preserve"> av pandemien har vorte </w:t>
      </w:r>
      <w:proofErr w:type="spellStart"/>
      <w:r w:rsidRPr="00B419CE">
        <w:t>lågare</w:t>
      </w:r>
      <w:proofErr w:type="spellEnd"/>
      <w:r w:rsidRPr="00B419CE">
        <w:t xml:space="preserve"> enn normalt, vert i 2022 dekte over kap. 1618, post 01.</w:t>
      </w:r>
    </w:p>
    <w:p w14:paraId="719D7045" w14:textId="77777777" w:rsidR="00B419CE" w:rsidRPr="00B419CE" w:rsidRDefault="00B419CE" w:rsidP="00B419CE">
      <w:pPr>
        <w:pStyle w:val="b-post"/>
      </w:pPr>
      <w:r w:rsidRPr="00B419CE">
        <w:t xml:space="preserve">Post 70 Tilskott til </w:t>
      </w:r>
      <w:proofErr w:type="spellStart"/>
      <w:r w:rsidRPr="00B419CE">
        <w:t>verksemder</w:t>
      </w:r>
      <w:proofErr w:type="spellEnd"/>
      <w:r w:rsidRPr="00B419CE">
        <w:t xml:space="preserve"> med rett til stønad</w:t>
      </w:r>
    </w:p>
    <w:p w14:paraId="3FE8FA62" w14:textId="77777777" w:rsidR="00B419CE" w:rsidRPr="00B419CE" w:rsidRDefault="00B419CE" w:rsidP="00B419CE">
      <w:r w:rsidRPr="00B419CE">
        <w:t xml:space="preserve">Kompensasjonsordning for </w:t>
      </w:r>
      <w:proofErr w:type="spellStart"/>
      <w:r w:rsidRPr="00B419CE">
        <w:t>føretak</w:t>
      </w:r>
      <w:proofErr w:type="spellEnd"/>
      <w:r w:rsidRPr="00B419CE">
        <w:t xml:space="preserve"> med stort omsetningsfall vart avslutta i 2020. Ved budsjettrevisjonen våren 2021, jf. </w:t>
      </w:r>
      <w:proofErr w:type="spellStart"/>
      <w:r w:rsidRPr="00B419CE">
        <w:t>Prop</w:t>
      </w:r>
      <w:proofErr w:type="spellEnd"/>
      <w:r w:rsidRPr="00B419CE">
        <w:t xml:space="preserve">. 195 S og </w:t>
      </w:r>
      <w:proofErr w:type="spellStart"/>
      <w:r w:rsidRPr="00B419CE">
        <w:t>Innst</w:t>
      </w:r>
      <w:proofErr w:type="spellEnd"/>
      <w:r w:rsidRPr="00B419CE">
        <w:t xml:space="preserve">. 600 S (2020–2021) vart det </w:t>
      </w:r>
      <w:proofErr w:type="spellStart"/>
      <w:r w:rsidRPr="00B419CE">
        <w:t>opna</w:t>
      </w:r>
      <w:proofErr w:type="spellEnd"/>
      <w:r w:rsidRPr="00B419CE">
        <w:t xml:space="preserve"> for inntektsføring på post 70 av frivillige </w:t>
      </w:r>
      <w:proofErr w:type="spellStart"/>
      <w:r w:rsidRPr="00B419CE">
        <w:t>tilbakebetalingar</w:t>
      </w:r>
      <w:proofErr w:type="spellEnd"/>
      <w:r w:rsidRPr="00B419CE">
        <w:t xml:space="preserve"> og </w:t>
      </w:r>
      <w:proofErr w:type="spellStart"/>
      <w:r w:rsidRPr="00B419CE">
        <w:t>tilbakebetalingar</w:t>
      </w:r>
      <w:proofErr w:type="spellEnd"/>
      <w:r w:rsidRPr="00B419CE">
        <w:t xml:space="preserve"> som </w:t>
      </w:r>
      <w:proofErr w:type="spellStart"/>
      <w:r w:rsidRPr="00B419CE">
        <w:t>følgje</w:t>
      </w:r>
      <w:proofErr w:type="spellEnd"/>
      <w:r w:rsidRPr="00B419CE">
        <w:t xml:space="preserve"> av </w:t>
      </w:r>
      <w:proofErr w:type="spellStart"/>
      <w:r w:rsidRPr="00B419CE">
        <w:t>kontrollar</w:t>
      </w:r>
      <w:proofErr w:type="spellEnd"/>
      <w:r w:rsidRPr="00B419CE">
        <w:t>. Per 31. august 2021 var det her inntektsført 263,8 mill. kroner.</w:t>
      </w:r>
    </w:p>
    <w:p w14:paraId="67DA4A0E" w14:textId="77777777" w:rsidR="00B419CE" w:rsidRPr="00B419CE" w:rsidRDefault="00B419CE" w:rsidP="00B419CE">
      <w:pPr>
        <w:pStyle w:val="b-post"/>
      </w:pPr>
      <w:r w:rsidRPr="00B419CE">
        <w:t>Post 72 Stønad for å ta permitterte tilbake i jobb, overslagsløyving</w:t>
      </w:r>
    </w:p>
    <w:p w14:paraId="3C57EDBA" w14:textId="77777777" w:rsidR="00B419CE" w:rsidRPr="00B419CE" w:rsidRDefault="00B419CE" w:rsidP="00B419CE">
      <w:proofErr w:type="spellStart"/>
      <w:r w:rsidRPr="00B419CE">
        <w:t>Tilskotsordninga</w:t>
      </w:r>
      <w:proofErr w:type="spellEnd"/>
      <w:r w:rsidRPr="00B419CE">
        <w:t xml:space="preserve"> for å ta permitterte tilbake i jobb vart </w:t>
      </w:r>
      <w:proofErr w:type="spellStart"/>
      <w:r w:rsidRPr="00B419CE">
        <w:t>opphavleg</w:t>
      </w:r>
      <w:proofErr w:type="spellEnd"/>
      <w:r w:rsidRPr="00B419CE">
        <w:t xml:space="preserve"> avgrensa til juli og august 2020, men vart </w:t>
      </w:r>
      <w:proofErr w:type="spellStart"/>
      <w:r w:rsidRPr="00B419CE">
        <w:t>seinare</w:t>
      </w:r>
      <w:proofErr w:type="spellEnd"/>
      <w:r w:rsidRPr="00B419CE">
        <w:t xml:space="preserve"> utvida til òg å gjelde oktober–desember same året med utbetaling i 2021. Som konsekvens av lenginga vart det i Saldert budsjett 2021 sett av 300 mill. kroner. Som konsekvens av ei </w:t>
      </w:r>
      <w:proofErr w:type="spellStart"/>
      <w:r w:rsidRPr="00B419CE">
        <w:t>ytterlegare</w:t>
      </w:r>
      <w:proofErr w:type="spellEnd"/>
      <w:r w:rsidRPr="00B419CE">
        <w:t xml:space="preserve"> lenging fram til 31. august 2021 ved handsaminga av </w:t>
      </w:r>
      <w:proofErr w:type="spellStart"/>
      <w:r w:rsidRPr="00B419CE">
        <w:t>Prop</w:t>
      </w:r>
      <w:proofErr w:type="spellEnd"/>
      <w:r w:rsidRPr="00B419CE">
        <w:t xml:space="preserve">. 94 LS og </w:t>
      </w:r>
      <w:proofErr w:type="spellStart"/>
      <w:r w:rsidRPr="00B419CE">
        <w:t>Innst</w:t>
      </w:r>
      <w:proofErr w:type="spellEnd"/>
      <w:r w:rsidRPr="00B419CE">
        <w:t xml:space="preserve">. 298 LS (2020–2021) vart løyvinga på post 72 </w:t>
      </w:r>
      <w:proofErr w:type="spellStart"/>
      <w:r w:rsidRPr="00B419CE">
        <w:t>auka</w:t>
      </w:r>
      <w:proofErr w:type="spellEnd"/>
      <w:r w:rsidRPr="00B419CE">
        <w:t xml:space="preserve"> til 1 200 mill. kroner.</w:t>
      </w:r>
    </w:p>
    <w:p w14:paraId="1447CEF7" w14:textId="77777777" w:rsidR="00B419CE" w:rsidRPr="00B419CE" w:rsidRDefault="00B419CE" w:rsidP="00B419CE">
      <w:proofErr w:type="spellStart"/>
      <w:r w:rsidRPr="00B419CE">
        <w:t>Stønadsordninga</w:t>
      </w:r>
      <w:proofErr w:type="spellEnd"/>
      <w:r w:rsidRPr="00B419CE">
        <w:t xml:space="preserve"> er </w:t>
      </w:r>
      <w:proofErr w:type="spellStart"/>
      <w:r w:rsidRPr="00B419CE">
        <w:t>no</w:t>
      </w:r>
      <w:proofErr w:type="spellEnd"/>
      <w:r w:rsidRPr="00B419CE">
        <w:t xml:space="preserve"> avslutta. Det vert </w:t>
      </w:r>
      <w:proofErr w:type="spellStart"/>
      <w:r w:rsidRPr="00B419CE">
        <w:t>difor</w:t>
      </w:r>
      <w:proofErr w:type="spellEnd"/>
      <w:r w:rsidRPr="00B419CE">
        <w:t xml:space="preserve"> </w:t>
      </w:r>
      <w:proofErr w:type="spellStart"/>
      <w:r w:rsidRPr="00B419CE">
        <w:t>ikkje</w:t>
      </w:r>
      <w:proofErr w:type="spellEnd"/>
      <w:r w:rsidRPr="00B419CE">
        <w:t xml:space="preserve"> gjort framlegg om løyving for 2022. På same vis som for post 70, jf. omtale </w:t>
      </w:r>
      <w:proofErr w:type="spellStart"/>
      <w:r w:rsidRPr="00B419CE">
        <w:t>ovanfor</w:t>
      </w:r>
      <w:proofErr w:type="spellEnd"/>
      <w:r w:rsidRPr="00B419CE">
        <w:t xml:space="preserve">, legg departementet til grunn at i den mon det kjem </w:t>
      </w:r>
      <w:proofErr w:type="spellStart"/>
      <w:r w:rsidRPr="00B419CE">
        <w:t>tilbakebetalingar</w:t>
      </w:r>
      <w:proofErr w:type="spellEnd"/>
      <w:r w:rsidRPr="00B419CE">
        <w:t xml:space="preserve"> som </w:t>
      </w:r>
      <w:proofErr w:type="spellStart"/>
      <w:r w:rsidRPr="00B419CE">
        <w:t>følgje</w:t>
      </w:r>
      <w:proofErr w:type="spellEnd"/>
      <w:r w:rsidRPr="00B419CE">
        <w:t xml:space="preserve"> av </w:t>
      </w:r>
      <w:proofErr w:type="spellStart"/>
      <w:r w:rsidRPr="00B419CE">
        <w:t>kontrollar</w:t>
      </w:r>
      <w:proofErr w:type="spellEnd"/>
      <w:r w:rsidRPr="00B419CE">
        <w:t xml:space="preserve"> eller frivillig </w:t>
      </w:r>
      <w:proofErr w:type="spellStart"/>
      <w:r w:rsidRPr="00B419CE">
        <w:t>frå</w:t>
      </w:r>
      <w:proofErr w:type="spellEnd"/>
      <w:r w:rsidRPr="00B419CE">
        <w:t xml:space="preserve"> </w:t>
      </w:r>
      <w:proofErr w:type="spellStart"/>
      <w:r w:rsidRPr="00B419CE">
        <w:t>mottakarar</w:t>
      </w:r>
      <w:proofErr w:type="spellEnd"/>
      <w:r w:rsidRPr="00B419CE">
        <w:t xml:space="preserve">, kan beløpa </w:t>
      </w:r>
      <w:proofErr w:type="spellStart"/>
      <w:r w:rsidRPr="00B419CE">
        <w:t>førast</w:t>
      </w:r>
      <w:proofErr w:type="spellEnd"/>
      <w:r w:rsidRPr="00B419CE">
        <w:t xml:space="preserve"> til inntekt på post 72.</w:t>
      </w:r>
    </w:p>
    <w:p w14:paraId="21DB9DC4" w14:textId="77777777" w:rsidR="00B419CE" w:rsidRPr="00B419CE" w:rsidRDefault="00B419CE" w:rsidP="00B419CE">
      <w:pPr>
        <w:pStyle w:val="b-budkaptit"/>
      </w:pPr>
      <w:r w:rsidRPr="00B419CE">
        <w:t xml:space="preserve">Kap. 1645 </w:t>
      </w:r>
      <w:proofErr w:type="spellStart"/>
      <w:r w:rsidRPr="00B419CE">
        <w:t>Statleg</w:t>
      </w:r>
      <w:proofErr w:type="spellEnd"/>
      <w:r w:rsidRPr="00B419CE">
        <w:t xml:space="preserve"> garantiordning for lån til små og mellomstore </w:t>
      </w:r>
      <w:proofErr w:type="spellStart"/>
      <w:r w:rsidRPr="00B419CE">
        <w:t>føretak</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5A8D2D6" w14:textId="77777777" w:rsidTr="00B419CE">
        <w:trPr>
          <w:trHeight w:val="640"/>
          <w:hidden/>
        </w:trPr>
        <w:tc>
          <w:tcPr>
            <w:tcW w:w="1140" w:type="dxa"/>
            <w:shd w:val="clear" w:color="auto" w:fill="FFFFFF"/>
          </w:tcPr>
          <w:p w14:paraId="01403F59" w14:textId="77777777" w:rsidR="00B419CE" w:rsidRPr="00B419CE" w:rsidRDefault="00B419CE" w:rsidP="00B419CE">
            <w:pPr>
              <w:pStyle w:val="Tabellnavn"/>
            </w:pPr>
            <w:r w:rsidRPr="00B419CE">
              <w:t>KPAL</w:t>
            </w:r>
          </w:p>
        </w:tc>
        <w:tc>
          <w:tcPr>
            <w:tcW w:w="4560" w:type="dxa"/>
          </w:tcPr>
          <w:p w14:paraId="18CAF654" w14:textId="77777777" w:rsidR="00B419CE" w:rsidRPr="00B419CE" w:rsidRDefault="00B419CE" w:rsidP="00B419CE"/>
        </w:tc>
        <w:tc>
          <w:tcPr>
            <w:tcW w:w="1140" w:type="dxa"/>
          </w:tcPr>
          <w:p w14:paraId="3D58A273" w14:textId="77777777" w:rsidR="00B419CE" w:rsidRPr="00B419CE" w:rsidRDefault="00B419CE" w:rsidP="00B419CE">
            <w:pPr>
              <w:jc w:val="right"/>
            </w:pPr>
          </w:p>
        </w:tc>
        <w:tc>
          <w:tcPr>
            <w:tcW w:w="1140" w:type="dxa"/>
          </w:tcPr>
          <w:p w14:paraId="0C5CE205" w14:textId="77777777" w:rsidR="00B419CE" w:rsidRPr="00B419CE" w:rsidRDefault="00B419CE" w:rsidP="00B419CE">
            <w:pPr>
              <w:jc w:val="right"/>
            </w:pPr>
          </w:p>
        </w:tc>
        <w:tc>
          <w:tcPr>
            <w:tcW w:w="1140" w:type="dxa"/>
          </w:tcPr>
          <w:p w14:paraId="62579981" w14:textId="77777777" w:rsidR="00B419CE" w:rsidRPr="00B419CE" w:rsidRDefault="00B419CE" w:rsidP="00B419CE">
            <w:pPr>
              <w:jc w:val="right"/>
            </w:pPr>
            <w:r w:rsidRPr="00B419CE">
              <w:t>(i 1 000 kr)</w:t>
            </w:r>
          </w:p>
        </w:tc>
      </w:tr>
      <w:tr w:rsidR="00B419CE" w:rsidRPr="00B419CE" w14:paraId="63340406" w14:textId="77777777" w:rsidTr="00B419CE">
        <w:trPr>
          <w:trHeight w:val="600"/>
        </w:trPr>
        <w:tc>
          <w:tcPr>
            <w:tcW w:w="1140" w:type="dxa"/>
          </w:tcPr>
          <w:p w14:paraId="48AD47F0" w14:textId="77777777" w:rsidR="00B419CE" w:rsidRPr="00B419CE" w:rsidRDefault="00B419CE" w:rsidP="00B419CE">
            <w:r w:rsidRPr="00B419CE">
              <w:lastRenderedPageBreak/>
              <w:t>Post</w:t>
            </w:r>
          </w:p>
        </w:tc>
        <w:tc>
          <w:tcPr>
            <w:tcW w:w="4560" w:type="dxa"/>
          </w:tcPr>
          <w:p w14:paraId="3AADA71E" w14:textId="77777777" w:rsidR="00B419CE" w:rsidRPr="00B419CE" w:rsidRDefault="00B419CE" w:rsidP="00B419CE">
            <w:proofErr w:type="spellStart"/>
            <w:r w:rsidRPr="00B419CE">
              <w:t>Nemning</w:t>
            </w:r>
            <w:proofErr w:type="spellEnd"/>
          </w:p>
        </w:tc>
        <w:tc>
          <w:tcPr>
            <w:tcW w:w="1140" w:type="dxa"/>
          </w:tcPr>
          <w:p w14:paraId="32F0F713"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1437130" w14:textId="77777777" w:rsidR="00B419CE" w:rsidRPr="00B419CE" w:rsidRDefault="00B419CE" w:rsidP="00B419CE">
            <w:pPr>
              <w:jc w:val="right"/>
            </w:pPr>
            <w:r w:rsidRPr="00B419CE">
              <w:t>Saldert</w:t>
            </w:r>
            <w:r w:rsidRPr="00B419CE">
              <w:br/>
              <w:t xml:space="preserve"> budsjett 2021</w:t>
            </w:r>
          </w:p>
        </w:tc>
        <w:tc>
          <w:tcPr>
            <w:tcW w:w="1140" w:type="dxa"/>
          </w:tcPr>
          <w:p w14:paraId="735A1DBE" w14:textId="77777777" w:rsidR="00B419CE" w:rsidRPr="00B419CE" w:rsidRDefault="00B419CE" w:rsidP="00B419CE">
            <w:pPr>
              <w:jc w:val="right"/>
            </w:pPr>
            <w:r w:rsidRPr="00B419CE">
              <w:t>Forslag</w:t>
            </w:r>
            <w:r w:rsidRPr="00B419CE">
              <w:br/>
              <w:t xml:space="preserve"> 2022</w:t>
            </w:r>
          </w:p>
        </w:tc>
      </w:tr>
      <w:tr w:rsidR="00B419CE" w:rsidRPr="00B419CE" w14:paraId="5030A686" w14:textId="77777777" w:rsidTr="00B419CE">
        <w:trPr>
          <w:trHeight w:val="640"/>
        </w:trPr>
        <w:tc>
          <w:tcPr>
            <w:tcW w:w="1140" w:type="dxa"/>
          </w:tcPr>
          <w:p w14:paraId="5D8B39B6" w14:textId="77777777" w:rsidR="00B419CE" w:rsidRPr="00B419CE" w:rsidRDefault="00B419CE" w:rsidP="00B419CE">
            <w:r w:rsidRPr="00B419CE">
              <w:t>23</w:t>
            </w:r>
          </w:p>
        </w:tc>
        <w:tc>
          <w:tcPr>
            <w:tcW w:w="4560" w:type="dxa"/>
          </w:tcPr>
          <w:p w14:paraId="4131EBA9" w14:textId="77777777" w:rsidR="00B419CE" w:rsidRPr="00B419CE" w:rsidRDefault="00B419CE" w:rsidP="00B419CE">
            <w:r w:rsidRPr="00B419CE">
              <w:t xml:space="preserve">Spesielle driftsutgifter til administrering av </w:t>
            </w:r>
            <w:proofErr w:type="spellStart"/>
            <w:r w:rsidRPr="00B419CE">
              <w:t>statleg</w:t>
            </w:r>
            <w:proofErr w:type="spellEnd"/>
            <w:r w:rsidRPr="00B419CE">
              <w:t xml:space="preserve"> garantiordning for små og mellomstore </w:t>
            </w:r>
            <w:proofErr w:type="spellStart"/>
            <w:r w:rsidRPr="00B419CE">
              <w:t>føretak</w:t>
            </w:r>
            <w:proofErr w:type="spellEnd"/>
          </w:p>
        </w:tc>
        <w:tc>
          <w:tcPr>
            <w:tcW w:w="1140" w:type="dxa"/>
          </w:tcPr>
          <w:p w14:paraId="332A857E" w14:textId="77777777" w:rsidR="00B419CE" w:rsidRPr="00B419CE" w:rsidRDefault="00B419CE" w:rsidP="00B419CE">
            <w:pPr>
              <w:jc w:val="right"/>
            </w:pPr>
            <w:r w:rsidRPr="00B419CE">
              <w:t>10 000</w:t>
            </w:r>
          </w:p>
        </w:tc>
        <w:tc>
          <w:tcPr>
            <w:tcW w:w="1140" w:type="dxa"/>
          </w:tcPr>
          <w:p w14:paraId="014FF71D" w14:textId="77777777" w:rsidR="00B419CE" w:rsidRPr="00B419CE" w:rsidRDefault="00B419CE" w:rsidP="00B419CE">
            <w:pPr>
              <w:jc w:val="right"/>
            </w:pPr>
            <w:r w:rsidRPr="00B419CE">
              <w:t>3 000</w:t>
            </w:r>
          </w:p>
        </w:tc>
        <w:tc>
          <w:tcPr>
            <w:tcW w:w="1140" w:type="dxa"/>
          </w:tcPr>
          <w:p w14:paraId="73C7B9D2" w14:textId="77777777" w:rsidR="00B419CE" w:rsidRPr="00B419CE" w:rsidRDefault="00B419CE" w:rsidP="00B419CE">
            <w:pPr>
              <w:jc w:val="right"/>
            </w:pPr>
            <w:r w:rsidRPr="00B419CE">
              <w:t>4 000</w:t>
            </w:r>
          </w:p>
        </w:tc>
      </w:tr>
      <w:tr w:rsidR="00B419CE" w:rsidRPr="00B419CE" w14:paraId="75992AEC" w14:textId="77777777" w:rsidTr="00B419CE">
        <w:trPr>
          <w:trHeight w:val="640"/>
        </w:trPr>
        <w:tc>
          <w:tcPr>
            <w:tcW w:w="1140" w:type="dxa"/>
          </w:tcPr>
          <w:p w14:paraId="75714402" w14:textId="77777777" w:rsidR="00B419CE" w:rsidRPr="00B419CE" w:rsidRDefault="00B419CE" w:rsidP="00B419CE">
            <w:r w:rsidRPr="00B419CE">
              <w:t>50</w:t>
            </w:r>
          </w:p>
        </w:tc>
        <w:tc>
          <w:tcPr>
            <w:tcW w:w="4560" w:type="dxa"/>
          </w:tcPr>
          <w:p w14:paraId="154AFF0F" w14:textId="77777777" w:rsidR="00B419CE" w:rsidRPr="00B419CE" w:rsidRDefault="00B419CE" w:rsidP="00B419CE">
            <w:proofErr w:type="spellStart"/>
            <w:r w:rsidRPr="00B419CE">
              <w:t>Tilskot</w:t>
            </w:r>
            <w:proofErr w:type="spellEnd"/>
            <w:r w:rsidRPr="00B419CE">
              <w:t xml:space="preserve"> til </w:t>
            </w:r>
            <w:proofErr w:type="spellStart"/>
            <w:r w:rsidRPr="00B419CE">
              <w:t>tapsavsetjing</w:t>
            </w:r>
            <w:proofErr w:type="spellEnd"/>
            <w:r w:rsidRPr="00B419CE">
              <w:t xml:space="preserve"> for </w:t>
            </w:r>
            <w:proofErr w:type="spellStart"/>
            <w:r w:rsidRPr="00B419CE">
              <w:t>statleg</w:t>
            </w:r>
            <w:proofErr w:type="spellEnd"/>
            <w:r w:rsidRPr="00B419CE">
              <w:t xml:space="preserve"> garantiordning for lån til små og mellomstore </w:t>
            </w:r>
            <w:proofErr w:type="spellStart"/>
            <w:r w:rsidRPr="00B419CE">
              <w:t>føretak</w:t>
            </w:r>
            <w:proofErr w:type="spellEnd"/>
          </w:p>
        </w:tc>
        <w:tc>
          <w:tcPr>
            <w:tcW w:w="1140" w:type="dxa"/>
          </w:tcPr>
          <w:p w14:paraId="79279F83" w14:textId="77777777" w:rsidR="00B419CE" w:rsidRPr="00B419CE" w:rsidRDefault="00B419CE" w:rsidP="00B419CE">
            <w:pPr>
              <w:jc w:val="right"/>
            </w:pPr>
            <w:r w:rsidRPr="00B419CE">
              <w:t>10 000 000</w:t>
            </w:r>
          </w:p>
        </w:tc>
        <w:tc>
          <w:tcPr>
            <w:tcW w:w="1140" w:type="dxa"/>
          </w:tcPr>
          <w:p w14:paraId="001F6638" w14:textId="77777777" w:rsidR="00B419CE" w:rsidRPr="00B419CE" w:rsidRDefault="00B419CE" w:rsidP="00B419CE">
            <w:pPr>
              <w:jc w:val="right"/>
            </w:pPr>
          </w:p>
        </w:tc>
        <w:tc>
          <w:tcPr>
            <w:tcW w:w="1140" w:type="dxa"/>
          </w:tcPr>
          <w:p w14:paraId="4FA12F1C" w14:textId="77777777" w:rsidR="00B419CE" w:rsidRPr="00B419CE" w:rsidRDefault="00B419CE" w:rsidP="00B419CE">
            <w:pPr>
              <w:jc w:val="right"/>
            </w:pPr>
          </w:p>
        </w:tc>
      </w:tr>
      <w:tr w:rsidR="00B419CE" w:rsidRPr="00B419CE" w14:paraId="56BEDDA7" w14:textId="77777777" w:rsidTr="00B419CE">
        <w:trPr>
          <w:trHeight w:val="380"/>
        </w:trPr>
        <w:tc>
          <w:tcPr>
            <w:tcW w:w="1140" w:type="dxa"/>
          </w:tcPr>
          <w:p w14:paraId="1010A197" w14:textId="77777777" w:rsidR="00B419CE" w:rsidRPr="00B419CE" w:rsidRDefault="00B419CE" w:rsidP="00B419CE"/>
        </w:tc>
        <w:tc>
          <w:tcPr>
            <w:tcW w:w="4560" w:type="dxa"/>
          </w:tcPr>
          <w:p w14:paraId="6913C916" w14:textId="77777777" w:rsidR="00B419CE" w:rsidRPr="00B419CE" w:rsidRDefault="00B419CE" w:rsidP="00B419CE">
            <w:r w:rsidRPr="00B419CE">
              <w:t>Sum kap. 1645</w:t>
            </w:r>
          </w:p>
        </w:tc>
        <w:tc>
          <w:tcPr>
            <w:tcW w:w="1140" w:type="dxa"/>
          </w:tcPr>
          <w:p w14:paraId="371649C7" w14:textId="77777777" w:rsidR="00B419CE" w:rsidRPr="00B419CE" w:rsidRDefault="00B419CE" w:rsidP="00B419CE">
            <w:pPr>
              <w:jc w:val="right"/>
            </w:pPr>
            <w:r w:rsidRPr="00B419CE">
              <w:t>10 010 000</w:t>
            </w:r>
          </w:p>
        </w:tc>
        <w:tc>
          <w:tcPr>
            <w:tcW w:w="1140" w:type="dxa"/>
          </w:tcPr>
          <w:p w14:paraId="6D1929A3" w14:textId="77777777" w:rsidR="00B419CE" w:rsidRPr="00B419CE" w:rsidRDefault="00B419CE" w:rsidP="00B419CE">
            <w:pPr>
              <w:jc w:val="right"/>
            </w:pPr>
            <w:r w:rsidRPr="00B419CE">
              <w:t>3 000</w:t>
            </w:r>
          </w:p>
        </w:tc>
        <w:tc>
          <w:tcPr>
            <w:tcW w:w="1140" w:type="dxa"/>
          </w:tcPr>
          <w:p w14:paraId="795F43F4" w14:textId="77777777" w:rsidR="00B419CE" w:rsidRPr="00B419CE" w:rsidRDefault="00B419CE" w:rsidP="00B419CE">
            <w:pPr>
              <w:jc w:val="right"/>
            </w:pPr>
            <w:r w:rsidRPr="00B419CE">
              <w:t>4 000</w:t>
            </w:r>
          </w:p>
        </w:tc>
      </w:tr>
    </w:tbl>
    <w:p w14:paraId="734A2CCD" w14:textId="77777777" w:rsidR="00B419CE" w:rsidRPr="00B419CE" w:rsidRDefault="00B419CE" w:rsidP="00B419CE">
      <w:pPr>
        <w:pStyle w:val="b-post"/>
      </w:pPr>
      <w:r w:rsidRPr="00B419CE">
        <w:t xml:space="preserve">Post 23 Spesielle driftsutgifter til administrering av </w:t>
      </w:r>
      <w:proofErr w:type="spellStart"/>
      <w:r w:rsidRPr="00B419CE">
        <w:t>statleg</w:t>
      </w:r>
      <w:proofErr w:type="spellEnd"/>
      <w:r w:rsidRPr="00B419CE">
        <w:t xml:space="preserve"> garantiordning for små og mellomstore </w:t>
      </w:r>
      <w:proofErr w:type="spellStart"/>
      <w:r w:rsidRPr="00B419CE">
        <w:t>føretak</w:t>
      </w:r>
      <w:proofErr w:type="spellEnd"/>
    </w:p>
    <w:p w14:paraId="7FA5AC34" w14:textId="77777777" w:rsidR="00B419CE" w:rsidRPr="00B419CE" w:rsidRDefault="00B419CE" w:rsidP="00B419CE">
      <w:r w:rsidRPr="00B419CE">
        <w:t xml:space="preserve">Våren 2020 vart det som </w:t>
      </w:r>
      <w:proofErr w:type="spellStart"/>
      <w:r w:rsidRPr="00B419CE">
        <w:t>eit</w:t>
      </w:r>
      <w:proofErr w:type="spellEnd"/>
      <w:r w:rsidRPr="00B419CE">
        <w:t xml:space="preserve"> av tiltaka for å avhjelpe verknader av koronapandemien etablert ei garantiordning for lån til små og mellomstore </w:t>
      </w:r>
      <w:proofErr w:type="spellStart"/>
      <w:r w:rsidRPr="00B419CE">
        <w:t>føretak</w:t>
      </w:r>
      <w:proofErr w:type="spellEnd"/>
      <w:r w:rsidRPr="00B419CE">
        <w:t xml:space="preserve"> og gjeve </w:t>
      </w:r>
      <w:proofErr w:type="spellStart"/>
      <w:r w:rsidRPr="00B419CE">
        <w:t>tilskot</w:t>
      </w:r>
      <w:proofErr w:type="spellEnd"/>
      <w:r w:rsidRPr="00B419CE">
        <w:t xml:space="preserve"> til </w:t>
      </w:r>
      <w:proofErr w:type="spellStart"/>
      <w:r w:rsidRPr="00B419CE">
        <w:t>tapsavsetjing</w:t>
      </w:r>
      <w:proofErr w:type="spellEnd"/>
      <w:r w:rsidRPr="00B419CE">
        <w:t xml:space="preserve"> under ordninga. Garantiinstituttet for eksportkreditt (GIEK) vart engasjert til å administrere ordninga. Til denne </w:t>
      </w:r>
      <w:proofErr w:type="spellStart"/>
      <w:r w:rsidRPr="00B419CE">
        <w:t>oppgåva</w:t>
      </w:r>
      <w:proofErr w:type="spellEnd"/>
      <w:r w:rsidRPr="00B419CE">
        <w:t xml:space="preserve"> vart det samstundes løyvd </w:t>
      </w:r>
      <w:proofErr w:type="spellStart"/>
      <w:r w:rsidRPr="00B419CE">
        <w:t>midlar</w:t>
      </w:r>
      <w:proofErr w:type="spellEnd"/>
      <w:r w:rsidRPr="00B419CE">
        <w:t xml:space="preserve"> på </w:t>
      </w:r>
      <w:r w:rsidRPr="00B419CE">
        <w:rPr>
          <w:rStyle w:val="kursiv"/>
        </w:rPr>
        <w:t xml:space="preserve">post 23 Spesielle driftsutgifter til administrering av </w:t>
      </w:r>
      <w:proofErr w:type="spellStart"/>
      <w:r w:rsidRPr="00B419CE">
        <w:rPr>
          <w:rStyle w:val="kursiv"/>
        </w:rPr>
        <w:t>statleg</w:t>
      </w:r>
      <w:proofErr w:type="spellEnd"/>
      <w:r w:rsidRPr="00B419CE">
        <w:rPr>
          <w:rStyle w:val="kursiv"/>
        </w:rPr>
        <w:t xml:space="preserve"> garantiordning for små og mellomstore </w:t>
      </w:r>
      <w:proofErr w:type="spellStart"/>
      <w:r w:rsidRPr="00B419CE">
        <w:rPr>
          <w:rStyle w:val="kursiv"/>
        </w:rPr>
        <w:t>føretak</w:t>
      </w:r>
      <w:proofErr w:type="spellEnd"/>
      <w:r w:rsidRPr="00B419CE">
        <w:t>.</w:t>
      </w:r>
    </w:p>
    <w:p w14:paraId="11CC5149" w14:textId="77777777" w:rsidR="00B419CE" w:rsidRPr="00B419CE" w:rsidRDefault="00B419CE" w:rsidP="00B419CE">
      <w:r w:rsidRPr="00B419CE">
        <w:t xml:space="preserve">Både i 2021 og 2022 er det </w:t>
      </w:r>
      <w:proofErr w:type="spellStart"/>
      <w:r w:rsidRPr="00B419CE">
        <w:t>trong</w:t>
      </w:r>
      <w:proofErr w:type="spellEnd"/>
      <w:r w:rsidRPr="00B419CE">
        <w:t xml:space="preserve"> for å </w:t>
      </w:r>
      <w:proofErr w:type="spellStart"/>
      <w:r w:rsidRPr="00B419CE">
        <w:t>følgje</w:t>
      </w:r>
      <w:proofErr w:type="spellEnd"/>
      <w:r w:rsidRPr="00B419CE">
        <w:t xml:space="preserve"> opp </w:t>
      </w:r>
      <w:proofErr w:type="spellStart"/>
      <w:r w:rsidRPr="00B419CE">
        <w:t>tilskotsordninga</w:t>
      </w:r>
      <w:proofErr w:type="spellEnd"/>
      <w:r w:rsidRPr="00B419CE">
        <w:t xml:space="preserve">, etter kvart </w:t>
      </w:r>
      <w:proofErr w:type="spellStart"/>
      <w:r w:rsidRPr="00B419CE">
        <w:t>særleg</w:t>
      </w:r>
      <w:proofErr w:type="spellEnd"/>
      <w:r w:rsidRPr="00B419CE">
        <w:t xml:space="preserve"> med behandling av krav på grunnlag av stilte </w:t>
      </w:r>
      <w:proofErr w:type="spellStart"/>
      <w:r w:rsidRPr="00B419CE">
        <w:t>garantiar</w:t>
      </w:r>
      <w:proofErr w:type="spellEnd"/>
      <w:r w:rsidRPr="00B419CE">
        <w:t xml:space="preserve">. Oppfølginga skjer ved Eksportfinansiering </w:t>
      </w:r>
      <w:proofErr w:type="spellStart"/>
      <w:r w:rsidRPr="00B419CE">
        <w:t>Noreg</w:t>
      </w:r>
      <w:proofErr w:type="spellEnd"/>
      <w:r w:rsidRPr="00B419CE">
        <w:t xml:space="preserve"> som GIEK </w:t>
      </w:r>
      <w:proofErr w:type="spellStart"/>
      <w:r w:rsidRPr="00B419CE">
        <w:t>frå</w:t>
      </w:r>
      <w:proofErr w:type="spellEnd"/>
      <w:r w:rsidRPr="00B419CE">
        <w:t xml:space="preserve"> 1. juli 2021 vart </w:t>
      </w:r>
      <w:proofErr w:type="spellStart"/>
      <w:r w:rsidRPr="00B419CE">
        <w:t>ein</w:t>
      </w:r>
      <w:proofErr w:type="spellEnd"/>
      <w:r w:rsidRPr="00B419CE">
        <w:t xml:space="preserve"> del av.</w:t>
      </w:r>
    </w:p>
    <w:p w14:paraId="665723E0" w14:textId="77777777" w:rsidR="00B419CE" w:rsidRPr="00B419CE" w:rsidRDefault="00B419CE" w:rsidP="00B419CE">
      <w:pPr>
        <w:pStyle w:val="b-progomr"/>
      </w:pPr>
      <w:r w:rsidRPr="00B419CE">
        <w:t xml:space="preserve">Programområde 24 </w:t>
      </w:r>
      <w:proofErr w:type="spellStart"/>
      <w:r w:rsidRPr="00B419CE">
        <w:t>Statleg</w:t>
      </w:r>
      <w:proofErr w:type="spellEnd"/>
      <w:r w:rsidRPr="00B419CE">
        <w:t xml:space="preserve"> gjeld og krav, renter og avdrag m.m.</w:t>
      </w:r>
    </w:p>
    <w:p w14:paraId="380837B8" w14:textId="77777777" w:rsidR="00B419CE" w:rsidRPr="00B419CE" w:rsidRDefault="00B419CE" w:rsidP="00B419CE">
      <w:pPr>
        <w:pStyle w:val="b-progkat"/>
      </w:pPr>
      <w:r w:rsidRPr="00B419CE">
        <w:t>Programkategori 24.10 Statsgjeld, renter og avdrag m.m.</w:t>
      </w:r>
    </w:p>
    <w:p w14:paraId="2E4E648A" w14:textId="77777777" w:rsidR="00B419CE" w:rsidRPr="00B419CE" w:rsidRDefault="00B419CE" w:rsidP="00B419CE">
      <w:pPr>
        <w:pStyle w:val="avsnitt-tittel"/>
      </w:pPr>
      <w:r w:rsidRPr="00B419CE">
        <w:t>Utgifter under programkategori 24.10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B419CE" w:rsidRPr="00B419CE" w14:paraId="664B50FD" w14:textId="77777777" w:rsidTr="00B419CE">
        <w:trPr>
          <w:trHeight w:val="640"/>
          <w:hidden/>
        </w:trPr>
        <w:tc>
          <w:tcPr>
            <w:tcW w:w="1020" w:type="dxa"/>
            <w:shd w:val="clear" w:color="auto" w:fill="FFFFFF"/>
          </w:tcPr>
          <w:p w14:paraId="1073BBAE" w14:textId="77777777" w:rsidR="00B419CE" w:rsidRPr="00B419CE" w:rsidRDefault="00B419CE" w:rsidP="00B419CE">
            <w:pPr>
              <w:pStyle w:val="Tabellnavn"/>
            </w:pPr>
            <w:r w:rsidRPr="00B419CE">
              <w:t>PIKL</w:t>
            </w:r>
          </w:p>
        </w:tc>
        <w:tc>
          <w:tcPr>
            <w:tcW w:w="4080" w:type="dxa"/>
          </w:tcPr>
          <w:p w14:paraId="42F3C8DE" w14:textId="77777777" w:rsidR="00B419CE" w:rsidRPr="00B419CE" w:rsidRDefault="00B419CE" w:rsidP="00B419CE"/>
        </w:tc>
        <w:tc>
          <w:tcPr>
            <w:tcW w:w="1020" w:type="dxa"/>
          </w:tcPr>
          <w:p w14:paraId="1D6DD181" w14:textId="77777777" w:rsidR="00B419CE" w:rsidRPr="00B419CE" w:rsidRDefault="00B419CE" w:rsidP="00B419CE">
            <w:pPr>
              <w:jc w:val="right"/>
            </w:pPr>
          </w:p>
        </w:tc>
        <w:tc>
          <w:tcPr>
            <w:tcW w:w="1020" w:type="dxa"/>
          </w:tcPr>
          <w:p w14:paraId="190B0813" w14:textId="77777777" w:rsidR="00B419CE" w:rsidRPr="00B419CE" w:rsidRDefault="00B419CE" w:rsidP="00B419CE">
            <w:pPr>
              <w:jc w:val="right"/>
            </w:pPr>
          </w:p>
        </w:tc>
        <w:tc>
          <w:tcPr>
            <w:tcW w:w="1020" w:type="dxa"/>
          </w:tcPr>
          <w:p w14:paraId="57417BF2" w14:textId="77777777" w:rsidR="00B419CE" w:rsidRPr="00B419CE" w:rsidRDefault="00B419CE" w:rsidP="00B419CE">
            <w:pPr>
              <w:jc w:val="right"/>
            </w:pPr>
          </w:p>
        </w:tc>
        <w:tc>
          <w:tcPr>
            <w:tcW w:w="1020" w:type="dxa"/>
          </w:tcPr>
          <w:p w14:paraId="063CD1DA" w14:textId="77777777" w:rsidR="00B419CE" w:rsidRPr="00B419CE" w:rsidRDefault="00B419CE" w:rsidP="00B419CE">
            <w:pPr>
              <w:jc w:val="right"/>
            </w:pPr>
            <w:r w:rsidRPr="00B419CE">
              <w:t>(i 1 000 kr)</w:t>
            </w:r>
          </w:p>
        </w:tc>
      </w:tr>
      <w:tr w:rsidR="00B419CE" w:rsidRPr="00B419CE" w14:paraId="3142E45B" w14:textId="77777777" w:rsidTr="00B419CE">
        <w:trPr>
          <w:trHeight w:val="600"/>
        </w:trPr>
        <w:tc>
          <w:tcPr>
            <w:tcW w:w="1020" w:type="dxa"/>
          </w:tcPr>
          <w:p w14:paraId="726EEDF9" w14:textId="77777777" w:rsidR="00B419CE" w:rsidRPr="00B419CE" w:rsidRDefault="00B419CE" w:rsidP="00B419CE">
            <w:r w:rsidRPr="00B419CE">
              <w:t>Kap.</w:t>
            </w:r>
          </w:p>
        </w:tc>
        <w:tc>
          <w:tcPr>
            <w:tcW w:w="4080" w:type="dxa"/>
          </w:tcPr>
          <w:p w14:paraId="24AC5129" w14:textId="77777777" w:rsidR="00B419CE" w:rsidRPr="00B419CE" w:rsidRDefault="00B419CE" w:rsidP="00B419CE">
            <w:proofErr w:type="spellStart"/>
            <w:r w:rsidRPr="00B419CE">
              <w:t>Nemning</w:t>
            </w:r>
            <w:proofErr w:type="spellEnd"/>
          </w:p>
        </w:tc>
        <w:tc>
          <w:tcPr>
            <w:tcW w:w="1020" w:type="dxa"/>
          </w:tcPr>
          <w:p w14:paraId="01B2545C" w14:textId="77777777" w:rsidR="00B419CE" w:rsidRPr="00B419CE" w:rsidRDefault="00B419CE" w:rsidP="00B419CE">
            <w:pPr>
              <w:jc w:val="right"/>
            </w:pPr>
            <w:proofErr w:type="spellStart"/>
            <w:r w:rsidRPr="00B419CE">
              <w:t>Rekneskap</w:t>
            </w:r>
            <w:proofErr w:type="spellEnd"/>
            <w:r w:rsidRPr="00B419CE">
              <w:t xml:space="preserve"> 2020</w:t>
            </w:r>
          </w:p>
        </w:tc>
        <w:tc>
          <w:tcPr>
            <w:tcW w:w="1020" w:type="dxa"/>
          </w:tcPr>
          <w:p w14:paraId="315B0552" w14:textId="77777777" w:rsidR="00B419CE" w:rsidRPr="00B419CE" w:rsidRDefault="00B419CE" w:rsidP="00B419CE">
            <w:pPr>
              <w:jc w:val="right"/>
            </w:pPr>
            <w:r w:rsidRPr="00B419CE">
              <w:t>Saldert</w:t>
            </w:r>
            <w:r w:rsidRPr="00B419CE">
              <w:br/>
              <w:t xml:space="preserve"> budsjett 2021</w:t>
            </w:r>
          </w:p>
        </w:tc>
        <w:tc>
          <w:tcPr>
            <w:tcW w:w="1020" w:type="dxa"/>
          </w:tcPr>
          <w:p w14:paraId="0BE7E19A" w14:textId="77777777" w:rsidR="00B419CE" w:rsidRPr="00B419CE" w:rsidRDefault="00B419CE" w:rsidP="00B419CE">
            <w:pPr>
              <w:jc w:val="right"/>
            </w:pPr>
            <w:r w:rsidRPr="00B419CE">
              <w:t>Forslag</w:t>
            </w:r>
            <w:r w:rsidRPr="00B419CE">
              <w:br/>
              <w:t xml:space="preserve"> 2022</w:t>
            </w:r>
          </w:p>
        </w:tc>
        <w:tc>
          <w:tcPr>
            <w:tcW w:w="1020" w:type="dxa"/>
          </w:tcPr>
          <w:p w14:paraId="59C68E03" w14:textId="77777777" w:rsidR="00B419CE" w:rsidRPr="00B419CE" w:rsidRDefault="00B419CE" w:rsidP="00B419CE">
            <w:pPr>
              <w:jc w:val="right"/>
            </w:pPr>
            <w:r w:rsidRPr="00B419CE">
              <w:t>Endring</w:t>
            </w:r>
            <w:r w:rsidRPr="00B419CE">
              <w:br/>
              <w:t xml:space="preserve"> i pst.</w:t>
            </w:r>
          </w:p>
        </w:tc>
      </w:tr>
      <w:tr w:rsidR="00B419CE" w:rsidRPr="00B419CE" w14:paraId="0C2AE641" w14:textId="77777777" w:rsidTr="00B419CE">
        <w:trPr>
          <w:trHeight w:val="380"/>
        </w:trPr>
        <w:tc>
          <w:tcPr>
            <w:tcW w:w="1020" w:type="dxa"/>
          </w:tcPr>
          <w:p w14:paraId="6E3F33AC" w14:textId="77777777" w:rsidR="00B419CE" w:rsidRPr="00B419CE" w:rsidRDefault="00B419CE" w:rsidP="00B419CE">
            <w:r w:rsidRPr="00B419CE">
              <w:t>1650</w:t>
            </w:r>
          </w:p>
        </w:tc>
        <w:tc>
          <w:tcPr>
            <w:tcW w:w="4080" w:type="dxa"/>
          </w:tcPr>
          <w:p w14:paraId="09AE4BAB" w14:textId="77777777" w:rsidR="00B419CE" w:rsidRPr="00B419CE" w:rsidRDefault="00B419CE" w:rsidP="00B419CE">
            <w:r w:rsidRPr="00B419CE">
              <w:t>Statsgjeld, renter m.m.</w:t>
            </w:r>
          </w:p>
        </w:tc>
        <w:tc>
          <w:tcPr>
            <w:tcW w:w="1020" w:type="dxa"/>
          </w:tcPr>
          <w:p w14:paraId="7E998E19" w14:textId="77777777" w:rsidR="00B419CE" w:rsidRPr="00B419CE" w:rsidRDefault="00B419CE" w:rsidP="00B419CE">
            <w:pPr>
              <w:jc w:val="right"/>
            </w:pPr>
            <w:r w:rsidRPr="00B419CE">
              <w:t>10 472 723</w:t>
            </w:r>
          </w:p>
        </w:tc>
        <w:tc>
          <w:tcPr>
            <w:tcW w:w="1020" w:type="dxa"/>
          </w:tcPr>
          <w:p w14:paraId="63ED5103" w14:textId="77777777" w:rsidR="00B419CE" w:rsidRPr="00B419CE" w:rsidRDefault="00B419CE" w:rsidP="00B419CE">
            <w:pPr>
              <w:jc w:val="right"/>
            </w:pPr>
            <w:r w:rsidRPr="00B419CE">
              <w:t>10 160 900</w:t>
            </w:r>
          </w:p>
        </w:tc>
        <w:tc>
          <w:tcPr>
            <w:tcW w:w="1020" w:type="dxa"/>
          </w:tcPr>
          <w:p w14:paraId="2249CAB7" w14:textId="77777777" w:rsidR="00B419CE" w:rsidRPr="00B419CE" w:rsidRDefault="00B419CE" w:rsidP="00B419CE">
            <w:pPr>
              <w:jc w:val="right"/>
            </w:pPr>
            <w:r w:rsidRPr="00B419CE">
              <w:t>10 250 600</w:t>
            </w:r>
          </w:p>
        </w:tc>
        <w:tc>
          <w:tcPr>
            <w:tcW w:w="1020" w:type="dxa"/>
          </w:tcPr>
          <w:p w14:paraId="03F2942B" w14:textId="77777777" w:rsidR="00B419CE" w:rsidRPr="00B419CE" w:rsidRDefault="00B419CE" w:rsidP="00B419CE">
            <w:pPr>
              <w:jc w:val="right"/>
            </w:pPr>
            <w:r w:rsidRPr="00B419CE">
              <w:t>0,9</w:t>
            </w:r>
          </w:p>
        </w:tc>
      </w:tr>
      <w:tr w:rsidR="00B419CE" w:rsidRPr="00B419CE" w14:paraId="00905862" w14:textId="77777777" w:rsidTr="00B419CE">
        <w:trPr>
          <w:trHeight w:val="380"/>
        </w:trPr>
        <w:tc>
          <w:tcPr>
            <w:tcW w:w="1020" w:type="dxa"/>
          </w:tcPr>
          <w:p w14:paraId="64CFFAAB" w14:textId="77777777" w:rsidR="00B419CE" w:rsidRPr="00B419CE" w:rsidRDefault="00B419CE" w:rsidP="00B419CE">
            <w:r w:rsidRPr="00B419CE">
              <w:lastRenderedPageBreak/>
              <w:t>1651</w:t>
            </w:r>
          </w:p>
        </w:tc>
        <w:tc>
          <w:tcPr>
            <w:tcW w:w="4080" w:type="dxa"/>
          </w:tcPr>
          <w:p w14:paraId="19D04EA9" w14:textId="77777777" w:rsidR="00B419CE" w:rsidRPr="00B419CE" w:rsidRDefault="00B419CE" w:rsidP="00B419CE">
            <w:r w:rsidRPr="00B419CE">
              <w:t>Statsgjeld, avdrag og innløysing</w:t>
            </w:r>
          </w:p>
        </w:tc>
        <w:tc>
          <w:tcPr>
            <w:tcW w:w="1020" w:type="dxa"/>
          </w:tcPr>
          <w:p w14:paraId="67666962" w14:textId="77777777" w:rsidR="00B419CE" w:rsidRPr="00B419CE" w:rsidRDefault="00B419CE" w:rsidP="00B419CE">
            <w:pPr>
              <w:jc w:val="right"/>
            </w:pPr>
            <w:r w:rsidRPr="00B419CE">
              <w:t>13 995 000</w:t>
            </w:r>
          </w:p>
        </w:tc>
        <w:tc>
          <w:tcPr>
            <w:tcW w:w="1020" w:type="dxa"/>
          </w:tcPr>
          <w:p w14:paraId="5EE5B316" w14:textId="77777777" w:rsidR="00B419CE" w:rsidRPr="00B419CE" w:rsidRDefault="00B419CE" w:rsidP="00B419CE">
            <w:pPr>
              <w:jc w:val="right"/>
            </w:pPr>
            <w:r w:rsidRPr="00B419CE">
              <w:t>88 000 000</w:t>
            </w:r>
          </w:p>
        </w:tc>
        <w:tc>
          <w:tcPr>
            <w:tcW w:w="1020" w:type="dxa"/>
          </w:tcPr>
          <w:p w14:paraId="2D142EB5" w14:textId="77777777" w:rsidR="00B419CE" w:rsidRPr="00B419CE" w:rsidRDefault="00B419CE" w:rsidP="00B419CE">
            <w:pPr>
              <w:jc w:val="right"/>
            </w:pPr>
          </w:p>
        </w:tc>
        <w:tc>
          <w:tcPr>
            <w:tcW w:w="1020" w:type="dxa"/>
          </w:tcPr>
          <w:p w14:paraId="7A5095D0" w14:textId="77777777" w:rsidR="00B419CE" w:rsidRPr="00B419CE" w:rsidRDefault="00B419CE" w:rsidP="00B419CE">
            <w:pPr>
              <w:jc w:val="right"/>
            </w:pPr>
            <w:r w:rsidRPr="00B419CE">
              <w:t>-100,0</w:t>
            </w:r>
          </w:p>
        </w:tc>
      </w:tr>
      <w:tr w:rsidR="00B419CE" w:rsidRPr="00B419CE" w14:paraId="123EE055" w14:textId="77777777" w:rsidTr="00B419CE">
        <w:trPr>
          <w:trHeight w:val="380"/>
        </w:trPr>
        <w:tc>
          <w:tcPr>
            <w:tcW w:w="1020" w:type="dxa"/>
          </w:tcPr>
          <w:p w14:paraId="3C9B58FB" w14:textId="77777777" w:rsidR="00B419CE" w:rsidRPr="00B419CE" w:rsidRDefault="00B419CE" w:rsidP="00B419CE"/>
        </w:tc>
        <w:tc>
          <w:tcPr>
            <w:tcW w:w="4080" w:type="dxa"/>
          </w:tcPr>
          <w:p w14:paraId="2EB16390" w14:textId="77777777" w:rsidR="00B419CE" w:rsidRPr="00B419CE" w:rsidRDefault="00B419CE" w:rsidP="00B419CE">
            <w:r w:rsidRPr="00B419CE">
              <w:t>Sum kategori 24.10</w:t>
            </w:r>
          </w:p>
        </w:tc>
        <w:tc>
          <w:tcPr>
            <w:tcW w:w="1020" w:type="dxa"/>
          </w:tcPr>
          <w:p w14:paraId="66454A1A" w14:textId="77777777" w:rsidR="00B419CE" w:rsidRPr="00B419CE" w:rsidRDefault="00B419CE" w:rsidP="00B419CE">
            <w:pPr>
              <w:jc w:val="right"/>
            </w:pPr>
            <w:r w:rsidRPr="00B419CE">
              <w:t>24 467 723</w:t>
            </w:r>
          </w:p>
        </w:tc>
        <w:tc>
          <w:tcPr>
            <w:tcW w:w="1020" w:type="dxa"/>
          </w:tcPr>
          <w:p w14:paraId="0B38A988" w14:textId="77777777" w:rsidR="00B419CE" w:rsidRPr="00B419CE" w:rsidRDefault="00B419CE" w:rsidP="00B419CE">
            <w:pPr>
              <w:jc w:val="right"/>
            </w:pPr>
            <w:r w:rsidRPr="00B419CE">
              <w:t>98 160 900</w:t>
            </w:r>
          </w:p>
        </w:tc>
        <w:tc>
          <w:tcPr>
            <w:tcW w:w="1020" w:type="dxa"/>
          </w:tcPr>
          <w:p w14:paraId="17CC70F8" w14:textId="77777777" w:rsidR="00B419CE" w:rsidRPr="00B419CE" w:rsidRDefault="00B419CE" w:rsidP="00B419CE">
            <w:pPr>
              <w:jc w:val="right"/>
            </w:pPr>
            <w:r w:rsidRPr="00B419CE">
              <w:t>10 250 600</w:t>
            </w:r>
          </w:p>
        </w:tc>
        <w:tc>
          <w:tcPr>
            <w:tcW w:w="1020" w:type="dxa"/>
          </w:tcPr>
          <w:p w14:paraId="1916942A" w14:textId="77777777" w:rsidR="00B419CE" w:rsidRPr="00B419CE" w:rsidRDefault="00B419CE" w:rsidP="00B419CE">
            <w:pPr>
              <w:jc w:val="right"/>
            </w:pPr>
            <w:r w:rsidRPr="00B419CE">
              <w:t>-89,6</w:t>
            </w:r>
          </w:p>
        </w:tc>
      </w:tr>
    </w:tbl>
    <w:p w14:paraId="1130E4E3" w14:textId="77777777" w:rsidR="00B419CE" w:rsidRPr="00B419CE" w:rsidRDefault="00B419CE" w:rsidP="00B419CE">
      <w:r w:rsidRPr="00B419CE">
        <w:t xml:space="preserve">Det oljekorrigerte </w:t>
      </w:r>
      <w:proofErr w:type="spellStart"/>
      <w:r w:rsidRPr="00B419CE">
        <w:t>underskotet</w:t>
      </w:r>
      <w:proofErr w:type="spellEnd"/>
      <w:r w:rsidRPr="00B419CE">
        <w:t xml:space="preserve"> på statsbudsjettet, slik det er berekna ved nysalderinga av budsjettet, vert finansiert med overføring </w:t>
      </w:r>
      <w:proofErr w:type="spellStart"/>
      <w:r w:rsidRPr="00B419CE">
        <w:t>frå</w:t>
      </w:r>
      <w:proofErr w:type="spellEnd"/>
      <w:r w:rsidRPr="00B419CE">
        <w:t xml:space="preserve"> Statens pensjonsfond utland. Finansieringsbehovet i statsbudsjettet, m.a. avdrag på statsgjelda, netto utlån og </w:t>
      </w:r>
      <w:proofErr w:type="spellStart"/>
      <w:r w:rsidRPr="00B419CE">
        <w:t>kapitalinnskot</w:t>
      </w:r>
      <w:proofErr w:type="spellEnd"/>
      <w:r w:rsidRPr="00B419CE">
        <w:t xml:space="preserve"> til </w:t>
      </w:r>
      <w:proofErr w:type="spellStart"/>
      <w:r w:rsidRPr="00B419CE">
        <w:t>statsbankane</w:t>
      </w:r>
      <w:proofErr w:type="spellEnd"/>
      <w:r w:rsidRPr="00B419CE">
        <w:t xml:space="preserve">, vert dekt med låneopptak i </w:t>
      </w:r>
      <w:proofErr w:type="spellStart"/>
      <w:r w:rsidRPr="00B419CE">
        <w:t>marknaden</w:t>
      </w:r>
      <w:proofErr w:type="spellEnd"/>
      <w:r w:rsidRPr="00B419CE">
        <w:t xml:space="preserve"> og/eller ved trekk på staten si </w:t>
      </w:r>
      <w:proofErr w:type="spellStart"/>
      <w:r w:rsidRPr="00B419CE">
        <w:t>kontantbehaldning</w:t>
      </w:r>
      <w:proofErr w:type="spellEnd"/>
      <w:r w:rsidRPr="00B419CE">
        <w:t>.</w:t>
      </w:r>
    </w:p>
    <w:p w14:paraId="1BC9A14C" w14:textId="77777777" w:rsidR="00B419CE" w:rsidRPr="00B419CE" w:rsidRDefault="00B419CE" w:rsidP="00B419CE">
      <w:r w:rsidRPr="00B419CE">
        <w:t xml:space="preserve">Det er lagt opp til at finansieringsbehovet til staten skal </w:t>
      </w:r>
      <w:proofErr w:type="spellStart"/>
      <w:r w:rsidRPr="00B419CE">
        <w:t>dekkjast</w:t>
      </w:r>
      <w:proofErr w:type="spellEnd"/>
      <w:r w:rsidRPr="00B419CE">
        <w:t xml:space="preserve"> ved å ta opp nye langsiktige lån </w:t>
      </w:r>
      <w:proofErr w:type="spellStart"/>
      <w:r w:rsidRPr="00B419CE">
        <w:t>innanlands</w:t>
      </w:r>
      <w:proofErr w:type="spellEnd"/>
      <w:r w:rsidRPr="00B419CE">
        <w:t xml:space="preserve">. Av omsyn til </w:t>
      </w:r>
      <w:proofErr w:type="spellStart"/>
      <w:r w:rsidRPr="00B419CE">
        <w:t>statspapirmarknaden</w:t>
      </w:r>
      <w:proofErr w:type="spellEnd"/>
      <w:r w:rsidRPr="00B419CE">
        <w:t xml:space="preserve"> vert det </w:t>
      </w:r>
      <w:proofErr w:type="spellStart"/>
      <w:r w:rsidRPr="00B419CE">
        <w:t>vanlegvis</w:t>
      </w:r>
      <w:proofErr w:type="spellEnd"/>
      <w:r w:rsidRPr="00B419CE">
        <w:t xml:space="preserve"> lagt opp til å glatte ut den langsiktige opplåninga over </w:t>
      </w:r>
      <w:proofErr w:type="spellStart"/>
      <w:r w:rsidRPr="00B419CE">
        <w:t>fleire</w:t>
      </w:r>
      <w:proofErr w:type="spellEnd"/>
      <w:r w:rsidRPr="00B419CE">
        <w:t xml:space="preserve"> år. Den kortsiktige opplåninga er mellom anna for å fange opp behovet i </w:t>
      </w:r>
      <w:proofErr w:type="spellStart"/>
      <w:r w:rsidRPr="00B419CE">
        <w:t>marknaden</w:t>
      </w:r>
      <w:proofErr w:type="spellEnd"/>
      <w:r w:rsidRPr="00B419CE">
        <w:t xml:space="preserve"> for kortsiktige papir. Finansdepartementets fullmakt til å låne i </w:t>
      </w:r>
      <w:proofErr w:type="spellStart"/>
      <w:r w:rsidRPr="00B419CE">
        <w:t>marknaden</w:t>
      </w:r>
      <w:proofErr w:type="spellEnd"/>
      <w:r w:rsidRPr="00B419CE">
        <w:t xml:space="preserve"> vart fram til 2015 fastsett av Stortinget på grunnlag av </w:t>
      </w:r>
      <w:proofErr w:type="spellStart"/>
      <w:r w:rsidRPr="00B419CE">
        <w:t>ein</w:t>
      </w:r>
      <w:proofErr w:type="spellEnd"/>
      <w:r w:rsidRPr="00B419CE">
        <w:t xml:space="preserve"> </w:t>
      </w:r>
      <w:proofErr w:type="spellStart"/>
      <w:r w:rsidRPr="00B419CE">
        <w:t>årleg</w:t>
      </w:r>
      <w:proofErr w:type="spellEnd"/>
      <w:r w:rsidRPr="00B419CE">
        <w:t xml:space="preserve"> proposisjon om lånefullmakter. For 2022 ber Finansdepartementet om fullmakter for </w:t>
      </w:r>
      <w:proofErr w:type="spellStart"/>
      <w:r w:rsidRPr="00B419CE">
        <w:t>statleg</w:t>
      </w:r>
      <w:proofErr w:type="spellEnd"/>
      <w:r w:rsidRPr="00B419CE">
        <w:t xml:space="preserve"> opplåning i </w:t>
      </w:r>
      <w:proofErr w:type="spellStart"/>
      <w:r w:rsidRPr="00B419CE">
        <w:t>Prop</w:t>
      </w:r>
      <w:proofErr w:type="spellEnd"/>
      <w:r w:rsidRPr="00B419CE">
        <w:t xml:space="preserve">. 1 S (2021–2022) </w:t>
      </w:r>
      <w:r w:rsidRPr="00B419CE">
        <w:rPr>
          <w:rStyle w:val="kursiv"/>
        </w:rPr>
        <w:t>Statsbudsjettet for budsjettåret 2022</w:t>
      </w:r>
      <w:r w:rsidRPr="00B419CE">
        <w:t xml:space="preserve"> (Gul bok).</w:t>
      </w:r>
    </w:p>
    <w:p w14:paraId="213DA95E" w14:textId="3DCBEB45" w:rsidR="00B419CE" w:rsidRDefault="00B419CE" w:rsidP="00B419CE">
      <w:r w:rsidRPr="00B419CE">
        <w:t xml:space="preserve">Tabell 6.10 syner den </w:t>
      </w:r>
      <w:proofErr w:type="spellStart"/>
      <w:r w:rsidRPr="00B419CE">
        <w:t>innanlandske</w:t>
      </w:r>
      <w:proofErr w:type="spellEnd"/>
      <w:r w:rsidRPr="00B419CE">
        <w:t xml:space="preserve"> statsgjelda per 31. desember 2020, </w:t>
      </w:r>
      <w:proofErr w:type="spellStart"/>
      <w:r w:rsidRPr="00B419CE">
        <w:t>medrekna</w:t>
      </w:r>
      <w:proofErr w:type="spellEnd"/>
      <w:r w:rsidRPr="00B419CE">
        <w:t xml:space="preserve"> kontolån </w:t>
      </w:r>
      <w:proofErr w:type="spellStart"/>
      <w:r w:rsidRPr="00B419CE">
        <w:t>frå</w:t>
      </w:r>
      <w:proofErr w:type="spellEnd"/>
      <w:r w:rsidRPr="00B419CE">
        <w:t xml:space="preserve"> ordinære fond i statskassa.</w:t>
      </w:r>
    </w:p>
    <w:p w14:paraId="530D81BE" w14:textId="48374165" w:rsidR="00920011" w:rsidRPr="00B419CE" w:rsidRDefault="00920011" w:rsidP="00920011">
      <w:pPr>
        <w:pStyle w:val="tabell-tittel"/>
      </w:pPr>
      <w:proofErr w:type="spellStart"/>
      <w:r w:rsidRPr="00B419CE">
        <w:t>Innanlandsk</w:t>
      </w:r>
      <w:proofErr w:type="spellEnd"/>
      <w:r w:rsidRPr="00B419CE">
        <w:t xml:space="preserve"> statsgjeld per 31. desember 2020</w:t>
      </w:r>
    </w:p>
    <w:p w14:paraId="55973CEF" w14:textId="77777777" w:rsidR="00B419CE" w:rsidRPr="00B419CE" w:rsidRDefault="00B419CE" w:rsidP="00B419CE">
      <w:pPr>
        <w:pStyle w:val="Tabellnavn"/>
      </w:pPr>
      <w:r w:rsidRPr="00B419CE">
        <w:t>02J1xt2</w:t>
      </w:r>
    </w:p>
    <w:tbl>
      <w:tblPr>
        <w:tblStyle w:val="StandardTabell"/>
        <w:tblW w:w="9200" w:type="dxa"/>
        <w:tblLayout w:type="fixed"/>
        <w:tblLook w:val="04A0" w:firstRow="1" w:lastRow="0" w:firstColumn="1" w:lastColumn="0" w:noHBand="0" w:noVBand="1"/>
      </w:tblPr>
      <w:tblGrid>
        <w:gridCol w:w="7360"/>
        <w:gridCol w:w="1840"/>
      </w:tblGrid>
      <w:tr w:rsidR="00B419CE" w:rsidRPr="00B419CE" w14:paraId="759B8A42" w14:textId="77777777" w:rsidTr="00920011">
        <w:trPr>
          <w:trHeight w:val="360"/>
        </w:trPr>
        <w:tc>
          <w:tcPr>
            <w:tcW w:w="7360" w:type="dxa"/>
            <w:shd w:val="clear" w:color="auto" w:fill="FFFFFF"/>
          </w:tcPr>
          <w:p w14:paraId="025DFB75" w14:textId="77777777" w:rsidR="00B419CE" w:rsidRPr="00B419CE" w:rsidRDefault="00B419CE" w:rsidP="00920011">
            <w:r w:rsidRPr="00B419CE">
              <w:t>Type lån</w:t>
            </w:r>
          </w:p>
        </w:tc>
        <w:tc>
          <w:tcPr>
            <w:tcW w:w="1840" w:type="dxa"/>
          </w:tcPr>
          <w:p w14:paraId="6A846ECC" w14:textId="77777777" w:rsidR="00B419CE" w:rsidRPr="00B419CE" w:rsidRDefault="00B419CE" w:rsidP="00920011">
            <w:pPr>
              <w:jc w:val="right"/>
            </w:pPr>
            <w:r w:rsidRPr="00B419CE">
              <w:t>Beløp (mill. kr)</w:t>
            </w:r>
          </w:p>
        </w:tc>
      </w:tr>
      <w:tr w:rsidR="00B419CE" w:rsidRPr="00B419CE" w14:paraId="52D966D0" w14:textId="77777777" w:rsidTr="00920011">
        <w:trPr>
          <w:trHeight w:val="380"/>
        </w:trPr>
        <w:tc>
          <w:tcPr>
            <w:tcW w:w="7360" w:type="dxa"/>
          </w:tcPr>
          <w:p w14:paraId="6B140A5F" w14:textId="77777777" w:rsidR="00B419CE" w:rsidRPr="00B419CE" w:rsidRDefault="00B419CE" w:rsidP="00920011">
            <w:r w:rsidRPr="00B419CE">
              <w:t xml:space="preserve">Faste </w:t>
            </w:r>
            <w:proofErr w:type="spellStart"/>
            <w:r w:rsidRPr="00B419CE">
              <w:t>innanlandske</w:t>
            </w:r>
            <w:proofErr w:type="spellEnd"/>
            <w:r w:rsidRPr="00B419CE">
              <w:t xml:space="preserve"> lån</w:t>
            </w:r>
          </w:p>
        </w:tc>
        <w:tc>
          <w:tcPr>
            <w:tcW w:w="1840" w:type="dxa"/>
          </w:tcPr>
          <w:p w14:paraId="7ADEDD36" w14:textId="77777777" w:rsidR="00B419CE" w:rsidRPr="00B419CE" w:rsidRDefault="00B419CE" w:rsidP="00920011">
            <w:pPr>
              <w:jc w:val="right"/>
            </w:pPr>
            <w:r w:rsidRPr="00B419CE">
              <w:t>469 005</w:t>
            </w:r>
          </w:p>
        </w:tc>
      </w:tr>
      <w:tr w:rsidR="00B419CE" w:rsidRPr="00B419CE" w14:paraId="6345A9F6" w14:textId="77777777" w:rsidTr="00920011">
        <w:trPr>
          <w:trHeight w:val="380"/>
        </w:trPr>
        <w:tc>
          <w:tcPr>
            <w:tcW w:w="7360" w:type="dxa"/>
          </w:tcPr>
          <w:p w14:paraId="794A1FB0" w14:textId="77777777" w:rsidR="00B419CE" w:rsidRPr="00B419CE" w:rsidRDefault="00B419CE" w:rsidP="00920011">
            <w:proofErr w:type="spellStart"/>
            <w:r w:rsidRPr="00B419CE">
              <w:t>Statskassevekslar</w:t>
            </w:r>
            <w:proofErr w:type="spellEnd"/>
          </w:p>
        </w:tc>
        <w:tc>
          <w:tcPr>
            <w:tcW w:w="1840" w:type="dxa"/>
          </w:tcPr>
          <w:p w14:paraId="2BAE92E2" w14:textId="77777777" w:rsidR="00B419CE" w:rsidRPr="00B419CE" w:rsidRDefault="00B419CE" w:rsidP="00920011">
            <w:pPr>
              <w:jc w:val="right"/>
            </w:pPr>
            <w:r w:rsidRPr="00B419CE">
              <w:t>61 000</w:t>
            </w:r>
          </w:p>
        </w:tc>
      </w:tr>
      <w:tr w:rsidR="00B419CE" w:rsidRPr="00B419CE" w14:paraId="4C4D0C6D" w14:textId="77777777" w:rsidTr="00920011">
        <w:trPr>
          <w:trHeight w:val="380"/>
        </w:trPr>
        <w:tc>
          <w:tcPr>
            <w:tcW w:w="7360" w:type="dxa"/>
          </w:tcPr>
          <w:p w14:paraId="0296359C" w14:textId="77777777" w:rsidR="00B419CE" w:rsidRPr="00B419CE" w:rsidRDefault="00B419CE" w:rsidP="00920011">
            <w:r w:rsidRPr="00B419CE">
              <w:t>Kortsiktige kontolån</w:t>
            </w:r>
          </w:p>
        </w:tc>
        <w:tc>
          <w:tcPr>
            <w:tcW w:w="1840" w:type="dxa"/>
          </w:tcPr>
          <w:p w14:paraId="57936315" w14:textId="77777777" w:rsidR="00B419CE" w:rsidRPr="00B419CE" w:rsidRDefault="00B419CE" w:rsidP="00920011">
            <w:pPr>
              <w:jc w:val="right"/>
            </w:pPr>
            <w:r w:rsidRPr="00B419CE">
              <w:t>107 958</w:t>
            </w:r>
          </w:p>
        </w:tc>
      </w:tr>
      <w:tr w:rsidR="00B419CE" w:rsidRPr="00B419CE" w14:paraId="3DEC93CA" w14:textId="77777777" w:rsidTr="00920011">
        <w:trPr>
          <w:trHeight w:val="380"/>
        </w:trPr>
        <w:tc>
          <w:tcPr>
            <w:tcW w:w="7360" w:type="dxa"/>
          </w:tcPr>
          <w:p w14:paraId="42E27C60" w14:textId="77777777" w:rsidR="00B419CE" w:rsidRPr="00B419CE" w:rsidRDefault="00B419CE" w:rsidP="00920011">
            <w:r w:rsidRPr="00B419CE">
              <w:t xml:space="preserve">Kontolån </w:t>
            </w:r>
            <w:proofErr w:type="spellStart"/>
            <w:r w:rsidRPr="00B419CE">
              <w:t>frå</w:t>
            </w:r>
            <w:proofErr w:type="spellEnd"/>
            <w:r w:rsidRPr="00B419CE">
              <w:t xml:space="preserve"> ordinære fond</w:t>
            </w:r>
            <w:r w:rsidRPr="00B419CE">
              <w:rPr>
                <w:rStyle w:val="skrift-hevet"/>
              </w:rPr>
              <w:t>1</w:t>
            </w:r>
          </w:p>
        </w:tc>
        <w:tc>
          <w:tcPr>
            <w:tcW w:w="1840" w:type="dxa"/>
          </w:tcPr>
          <w:p w14:paraId="05CA535C" w14:textId="77777777" w:rsidR="00B419CE" w:rsidRPr="00B419CE" w:rsidRDefault="00B419CE" w:rsidP="00920011">
            <w:pPr>
              <w:jc w:val="right"/>
            </w:pPr>
            <w:r w:rsidRPr="00B419CE">
              <w:t>171 037</w:t>
            </w:r>
          </w:p>
        </w:tc>
      </w:tr>
      <w:tr w:rsidR="00B419CE" w:rsidRPr="00B419CE" w14:paraId="0552C380" w14:textId="77777777" w:rsidTr="00920011">
        <w:trPr>
          <w:trHeight w:val="380"/>
        </w:trPr>
        <w:tc>
          <w:tcPr>
            <w:tcW w:w="7360" w:type="dxa"/>
          </w:tcPr>
          <w:p w14:paraId="37EE7C08" w14:textId="77777777" w:rsidR="00B419CE" w:rsidRPr="00B419CE" w:rsidRDefault="00B419CE" w:rsidP="00920011">
            <w:r w:rsidRPr="00B419CE">
              <w:t>Sum</w:t>
            </w:r>
          </w:p>
        </w:tc>
        <w:tc>
          <w:tcPr>
            <w:tcW w:w="1840" w:type="dxa"/>
          </w:tcPr>
          <w:p w14:paraId="53191BF7" w14:textId="77777777" w:rsidR="00B419CE" w:rsidRPr="00B419CE" w:rsidRDefault="00B419CE" w:rsidP="00920011">
            <w:pPr>
              <w:jc w:val="right"/>
            </w:pPr>
            <w:r w:rsidRPr="00B419CE">
              <w:t>809 000</w:t>
            </w:r>
          </w:p>
        </w:tc>
      </w:tr>
    </w:tbl>
    <w:p w14:paraId="5322C723" w14:textId="77777777" w:rsidR="00B419CE" w:rsidRPr="00B419CE" w:rsidRDefault="00B419CE" w:rsidP="00B419CE">
      <w:pPr>
        <w:pStyle w:val="tabell-noter"/>
      </w:pPr>
      <w:r w:rsidRPr="00B419CE">
        <w:rPr>
          <w:rStyle w:val="skrift-hevet"/>
        </w:rPr>
        <w:t>1</w:t>
      </w:r>
      <w:r w:rsidRPr="00B419CE">
        <w:tab/>
        <w:t xml:space="preserve">Gruppe 81 i </w:t>
      </w:r>
      <w:proofErr w:type="spellStart"/>
      <w:r w:rsidRPr="00B419CE">
        <w:t>Statsrekneskapen</w:t>
      </w:r>
      <w:proofErr w:type="spellEnd"/>
      <w:r w:rsidRPr="00B419CE">
        <w:t xml:space="preserve">. Er </w:t>
      </w:r>
      <w:proofErr w:type="spellStart"/>
      <w:r w:rsidRPr="00B419CE">
        <w:t>ikkje</w:t>
      </w:r>
      <w:proofErr w:type="spellEnd"/>
      <w:r w:rsidRPr="00B419CE">
        <w:t xml:space="preserve"> omfatta av </w:t>
      </w:r>
      <w:proofErr w:type="spellStart"/>
      <w:r w:rsidRPr="00B419CE">
        <w:t>dei</w:t>
      </w:r>
      <w:proofErr w:type="spellEnd"/>
      <w:r w:rsidRPr="00B419CE">
        <w:t xml:space="preserve"> ordinære lånefullmaktene.</w:t>
      </w:r>
    </w:p>
    <w:p w14:paraId="783E680C" w14:textId="77777777" w:rsidR="00B419CE" w:rsidRPr="00B419CE" w:rsidRDefault="00B419CE" w:rsidP="00B419CE">
      <w:pPr>
        <w:pStyle w:val="b-budkaptit"/>
      </w:pPr>
      <w:r w:rsidRPr="00B419CE">
        <w:t>Kap. 1650 Statsgjeld, renter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61B2D91E" w14:textId="77777777" w:rsidTr="00B419CE">
        <w:trPr>
          <w:trHeight w:val="640"/>
          <w:hidden/>
        </w:trPr>
        <w:tc>
          <w:tcPr>
            <w:tcW w:w="1140" w:type="dxa"/>
            <w:shd w:val="clear" w:color="auto" w:fill="FFFFFF"/>
          </w:tcPr>
          <w:p w14:paraId="0D2A8880" w14:textId="77777777" w:rsidR="00B419CE" w:rsidRPr="00B419CE" w:rsidRDefault="00B419CE" w:rsidP="00B419CE">
            <w:pPr>
              <w:pStyle w:val="Tabellnavn"/>
            </w:pPr>
            <w:r w:rsidRPr="00B419CE">
              <w:t>KPAL</w:t>
            </w:r>
          </w:p>
        </w:tc>
        <w:tc>
          <w:tcPr>
            <w:tcW w:w="4560" w:type="dxa"/>
          </w:tcPr>
          <w:p w14:paraId="33C35EF5" w14:textId="77777777" w:rsidR="00B419CE" w:rsidRPr="00B419CE" w:rsidRDefault="00B419CE" w:rsidP="00B419CE"/>
        </w:tc>
        <w:tc>
          <w:tcPr>
            <w:tcW w:w="1140" w:type="dxa"/>
          </w:tcPr>
          <w:p w14:paraId="691EA947" w14:textId="77777777" w:rsidR="00B419CE" w:rsidRPr="00B419CE" w:rsidRDefault="00B419CE" w:rsidP="00B419CE">
            <w:pPr>
              <w:jc w:val="right"/>
            </w:pPr>
          </w:p>
        </w:tc>
        <w:tc>
          <w:tcPr>
            <w:tcW w:w="1140" w:type="dxa"/>
          </w:tcPr>
          <w:p w14:paraId="5851058C" w14:textId="77777777" w:rsidR="00B419CE" w:rsidRPr="00B419CE" w:rsidRDefault="00B419CE" w:rsidP="00B419CE">
            <w:pPr>
              <w:jc w:val="right"/>
            </w:pPr>
          </w:p>
        </w:tc>
        <w:tc>
          <w:tcPr>
            <w:tcW w:w="1140" w:type="dxa"/>
          </w:tcPr>
          <w:p w14:paraId="374EB642" w14:textId="77777777" w:rsidR="00B419CE" w:rsidRPr="00B419CE" w:rsidRDefault="00B419CE" w:rsidP="00B419CE">
            <w:pPr>
              <w:jc w:val="right"/>
            </w:pPr>
            <w:r w:rsidRPr="00B419CE">
              <w:t>(i 1 000 kr)</w:t>
            </w:r>
          </w:p>
        </w:tc>
      </w:tr>
      <w:tr w:rsidR="00B419CE" w:rsidRPr="00B419CE" w14:paraId="799129F6" w14:textId="77777777" w:rsidTr="00B419CE">
        <w:trPr>
          <w:trHeight w:val="600"/>
        </w:trPr>
        <w:tc>
          <w:tcPr>
            <w:tcW w:w="1140" w:type="dxa"/>
          </w:tcPr>
          <w:p w14:paraId="25403741" w14:textId="77777777" w:rsidR="00B419CE" w:rsidRPr="00B419CE" w:rsidRDefault="00B419CE" w:rsidP="00B419CE">
            <w:r w:rsidRPr="00B419CE">
              <w:t>Post</w:t>
            </w:r>
          </w:p>
        </w:tc>
        <w:tc>
          <w:tcPr>
            <w:tcW w:w="4560" w:type="dxa"/>
          </w:tcPr>
          <w:p w14:paraId="2B948CE9" w14:textId="77777777" w:rsidR="00B419CE" w:rsidRPr="00B419CE" w:rsidRDefault="00B419CE" w:rsidP="00B419CE">
            <w:proofErr w:type="spellStart"/>
            <w:r w:rsidRPr="00B419CE">
              <w:t>Nemning</w:t>
            </w:r>
            <w:proofErr w:type="spellEnd"/>
          </w:p>
        </w:tc>
        <w:tc>
          <w:tcPr>
            <w:tcW w:w="1140" w:type="dxa"/>
          </w:tcPr>
          <w:p w14:paraId="7CEE8761"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5CC920A" w14:textId="77777777" w:rsidR="00B419CE" w:rsidRPr="00B419CE" w:rsidRDefault="00B419CE" w:rsidP="00B419CE">
            <w:pPr>
              <w:jc w:val="right"/>
            </w:pPr>
            <w:r w:rsidRPr="00B419CE">
              <w:t>Saldert</w:t>
            </w:r>
            <w:r w:rsidRPr="00B419CE">
              <w:br/>
              <w:t xml:space="preserve"> budsjett 2021</w:t>
            </w:r>
          </w:p>
        </w:tc>
        <w:tc>
          <w:tcPr>
            <w:tcW w:w="1140" w:type="dxa"/>
          </w:tcPr>
          <w:p w14:paraId="740B88EF" w14:textId="77777777" w:rsidR="00B419CE" w:rsidRPr="00B419CE" w:rsidRDefault="00B419CE" w:rsidP="00B419CE">
            <w:pPr>
              <w:jc w:val="right"/>
            </w:pPr>
            <w:r w:rsidRPr="00B419CE">
              <w:t>Forslag</w:t>
            </w:r>
            <w:r w:rsidRPr="00B419CE">
              <w:br/>
              <w:t xml:space="preserve"> 2022</w:t>
            </w:r>
          </w:p>
        </w:tc>
      </w:tr>
      <w:tr w:rsidR="00B419CE" w:rsidRPr="00B419CE" w14:paraId="321CC811" w14:textId="77777777" w:rsidTr="00B419CE">
        <w:trPr>
          <w:trHeight w:val="380"/>
        </w:trPr>
        <w:tc>
          <w:tcPr>
            <w:tcW w:w="1140" w:type="dxa"/>
          </w:tcPr>
          <w:p w14:paraId="5103CD5C" w14:textId="77777777" w:rsidR="00B419CE" w:rsidRPr="00B419CE" w:rsidRDefault="00B419CE" w:rsidP="00B419CE">
            <w:r w:rsidRPr="00B419CE">
              <w:t>01</w:t>
            </w:r>
          </w:p>
        </w:tc>
        <w:tc>
          <w:tcPr>
            <w:tcW w:w="4560" w:type="dxa"/>
          </w:tcPr>
          <w:p w14:paraId="19EA1A2A" w14:textId="77777777" w:rsidR="00B419CE" w:rsidRPr="00B419CE" w:rsidRDefault="00B419CE" w:rsidP="00B419CE">
            <w:r w:rsidRPr="00B419CE">
              <w:t>Driftsutgifter</w:t>
            </w:r>
          </w:p>
        </w:tc>
        <w:tc>
          <w:tcPr>
            <w:tcW w:w="1140" w:type="dxa"/>
          </w:tcPr>
          <w:p w14:paraId="44FA8BA2" w14:textId="77777777" w:rsidR="00B419CE" w:rsidRPr="00B419CE" w:rsidRDefault="00B419CE" w:rsidP="00B419CE">
            <w:pPr>
              <w:jc w:val="right"/>
            </w:pPr>
            <w:r w:rsidRPr="00B419CE">
              <w:t>10 185</w:t>
            </w:r>
          </w:p>
        </w:tc>
        <w:tc>
          <w:tcPr>
            <w:tcW w:w="1140" w:type="dxa"/>
          </w:tcPr>
          <w:p w14:paraId="5ACB9F8A" w14:textId="77777777" w:rsidR="00B419CE" w:rsidRPr="00B419CE" w:rsidRDefault="00B419CE" w:rsidP="00B419CE">
            <w:pPr>
              <w:jc w:val="right"/>
            </w:pPr>
          </w:p>
        </w:tc>
        <w:tc>
          <w:tcPr>
            <w:tcW w:w="1140" w:type="dxa"/>
          </w:tcPr>
          <w:p w14:paraId="50B45B3B" w14:textId="77777777" w:rsidR="00B419CE" w:rsidRPr="00B419CE" w:rsidRDefault="00B419CE" w:rsidP="00B419CE">
            <w:pPr>
              <w:jc w:val="right"/>
            </w:pPr>
          </w:p>
        </w:tc>
      </w:tr>
      <w:tr w:rsidR="00B419CE" w:rsidRPr="00B419CE" w14:paraId="19A6BF26" w14:textId="77777777" w:rsidTr="00B419CE">
        <w:trPr>
          <w:trHeight w:val="640"/>
        </w:trPr>
        <w:tc>
          <w:tcPr>
            <w:tcW w:w="1140" w:type="dxa"/>
          </w:tcPr>
          <w:p w14:paraId="153401A8" w14:textId="77777777" w:rsidR="00B419CE" w:rsidRPr="00B419CE" w:rsidRDefault="00B419CE" w:rsidP="00B419CE">
            <w:r w:rsidRPr="00B419CE">
              <w:lastRenderedPageBreak/>
              <w:t>89</w:t>
            </w:r>
          </w:p>
        </w:tc>
        <w:tc>
          <w:tcPr>
            <w:tcW w:w="4560" w:type="dxa"/>
          </w:tcPr>
          <w:p w14:paraId="07303678" w14:textId="77777777" w:rsidR="00B419CE" w:rsidRPr="00B419CE" w:rsidRDefault="00B419CE" w:rsidP="00B419CE">
            <w:r w:rsidRPr="00B419CE">
              <w:t xml:space="preserve">Renter og provisjon m.m. på </w:t>
            </w:r>
            <w:proofErr w:type="spellStart"/>
            <w:r w:rsidRPr="00B419CE">
              <w:t>innanlandsk</w:t>
            </w:r>
            <w:proofErr w:type="spellEnd"/>
            <w:r w:rsidRPr="00B419CE">
              <w:t xml:space="preserve"> statsgjeld</w:t>
            </w:r>
            <w:r w:rsidRPr="00B419CE">
              <w:rPr>
                <w:rStyle w:val="kursiv"/>
              </w:rPr>
              <w:t>, overslagsløyving</w:t>
            </w:r>
          </w:p>
        </w:tc>
        <w:tc>
          <w:tcPr>
            <w:tcW w:w="1140" w:type="dxa"/>
          </w:tcPr>
          <w:p w14:paraId="5FA6420E" w14:textId="77777777" w:rsidR="00B419CE" w:rsidRPr="00B419CE" w:rsidRDefault="00B419CE" w:rsidP="00B419CE">
            <w:pPr>
              <w:jc w:val="right"/>
            </w:pPr>
            <w:r w:rsidRPr="00B419CE">
              <w:t>10 462 538</w:t>
            </w:r>
          </w:p>
        </w:tc>
        <w:tc>
          <w:tcPr>
            <w:tcW w:w="1140" w:type="dxa"/>
          </w:tcPr>
          <w:p w14:paraId="0840F03A" w14:textId="77777777" w:rsidR="00B419CE" w:rsidRPr="00B419CE" w:rsidRDefault="00B419CE" w:rsidP="00B419CE">
            <w:pPr>
              <w:jc w:val="right"/>
            </w:pPr>
            <w:r w:rsidRPr="00B419CE">
              <w:t>10 160 900</w:t>
            </w:r>
          </w:p>
        </w:tc>
        <w:tc>
          <w:tcPr>
            <w:tcW w:w="1140" w:type="dxa"/>
          </w:tcPr>
          <w:p w14:paraId="3E4C8C14" w14:textId="77777777" w:rsidR="00B419CE" w:rsidRPr="00B419CE" w:rsidRDefault="00B419CE" w:rsidP="00B419CE">
            <w:pPr>
              <w:jc w:val="right"/>
            </w:pPr>
            <w:r w:rsidRPr="00B419CE">
              <w:t>10 250 600</w:t>
            </w:r>
          </w:p>
        </w:tc>
      </w:tr>
      <w:tr w:rsidR="00B419CE" w:rsidRPr="00B419CE" w14:paraId="04B1105D" w14:textId="77777777" w:rsidTr="00B419CE">
        <w:trPr>
          <w:trHeight w:val="380"/>
        </w:trPr>
        <w:tc>
          <w:tcPr>
            <w:tcW w:w="1140" w:type="dxa"/>
          </w:tcPr>
          <w:p w14:paraId="2CFFCD27" w14:textId="77777777" w:rsidR="00B419CE" w:rsidRPr="00B419CE" w:rsidRDefault="00B419CE" w:rsidP="00B419CE"/>
        </w:tc>
        <w:tc>
          <w:tcPr>
            <w:tcW w:w="4560" w:type="dxa"/>
          </w:tcPr>
          <w:p w14:paraId="6C6E1B6B" w14:textId="77777777" w:rsidR="00B419CE" w:rsidRPr="00B419CE" w:rsidRDefault="00B419CE" w:rsidP="00B419CE">
            <w:r w:rsidRPr="00B419CE">
              <w:t>Sum kap. 1650</w:t>
            </w:r>
          </w:p>
        </w:tc>
        <w:tc>
          <w:tcPr>
            <w:tcW w:w="1140" w:type="dxa"/>
          </w:tcPr>
          <w:p w14:paraId="571ED84C" w14:textId="77777777" w:rsidR="00B419CE" w:rsidRPr="00B419CE" w:rsidRDefault="00B419CE" w:rsidP="00B419CE">
            <w:pPr>
              <w:jc w:val="right"/>
            </w:pPr>
            <w:r w:rsidRPr="00B419CE">
              <w:t>10 472 723</w:t>
            </w:r>
          </w:p>
        </w:tc>
        <w:tc>
          <w:tcPr>
            <w:tcW w:w="1140" w:type="dxa"/>
          </w:tcPr>
          <w:p w14:paraId="555CC256" w14:textId="77777777" w:rsidR="00B419CE" w:rsidRPr="00B419CE" w:rsidRDefault="00B419CE" w:rsidP="00B419CE">
            <w:pPr>
              <w:jc w:val="right"/>
            </w:pPr>
            <w:r w:rsidRPr="00B419CE">
              <w:t>10 160 900</w:t>
            </w:r>
          </w:p>
        </w:tc>
        <w:tc>
          <w:tcPr>
            <w:tcW w:w="1140" w:type="dxa"/>
          </w:tcPr>
          <w:p w14:paraId="62983834" w14:textId="77777777" w:rsidR="00B419CE" w:rsidRPr="00B419CE" w:rsidRDefault="00B419CE" w:rsidP="00B419CE">
            <w:pPr>
              <w:jc w:val="right"/>
            </w:pPr>
            <w:r w:rsidRPr="00B419CE">
              <w:t>10 250 600</w:t>
            </w:r>
          </w:p>
        </w:tc>
      </w:tr>
    </w:tbl>
    <w:p w14:paraId="17CD81BA" w14:textId="77777777" w:rsidR="00B419CE" w:rsidRPr="00B419CE" w:rsidRDefault="00B419CE" w:rsidP="00B419CE">
      <w:pPr>
        <w:pStyle w:val="b-post"/>
      </w:pPr>
      <w:r w:rsidRPr="00B419CE">
        <w:t xml:space="preserve">Post 89 Renter og provisjon m.m. på </w:t>
      </w:r>
      <w:proofErr w:type="spellStart"/>
      <w:r w:rsidRPr="00B419CE">
        <w:t>innanlandsk</w:t>
      </w:r>
      <w:proofErr w:type="spellEnd"/>
      <w:r w:rsidRPr="00B419CE">
        <w:t xml:space="preserve"> statsgjeld, overslagsløyving</w:t>
      </w:r>
    </w:p>
    <w:p w14:paraId="41F66A0D" w14:textId="77777777" w:rsidR="00B419CE" w:rsidRPr="00B419CE" w:rsidRDefault="00B419CE" w:rsidP="00B419CE">
      <w:pPr>
        <w:pStyle w:val="Tabellnavn"/>
      </w:pPr>
      <w:r w:rsidRPr="00B419CE">
        <w:t>05N2tx2</w:t>
      </w:r>
    </w:p>
    <w:tbl>
      <w:tblPr>
        <w:tblStyle w:val="StandardTabell"/>
        <w:tblW w:w="9120" w:type="dxa"/>
        <w:tblLayout w:type="fixed"/>
        <w:tblLook w:val="04A0" w:firstRow="1" w:lastRow="0" w:firstColumn="1" w:lastColumn="0" w:noHBand="0" w:noVBand="1"/>
      </w:tblPr>
      <w:tblGrid>
        <w:gridCol w:w="1413"/>
        <w:gridCol w:w="4287"/>
        <w:gridCol w:w="1140"/>
        <w:gridCol w:w="1140"/>
        <w:gridCol w:w="1140"/>
      </w:tblGrid>
      <w:tr w:rsidR="00B419CE" w:rsidRPr="00B419CE" w14:paraId="27ADAD10" w14:textId="77777777" w:rsidTr="00920011">
        <w:trPr>
          <w:trHeight w:val="360"/>
        </w:trPr>
        <w:tc>
          <w:tcPr>
            <w:tcW w:w="1413" w:type="dxa"/>
            <w:shd w:val="clear" w:color="auto" w:fill="FFFFFF"/>
          </w:tcPr>
          <w:p w14:paraId="254F5861" w14:textId="77777777" w:rsidR="00B419CE" w:rsidRPr="00B419CE" w:rsidRDefault="00B419CE" w:rsidP="00920011"/>
        </w:tc>
        <w:tc>
          <w:tcPr>
            <w:tcW w:w="4287" w:type="dxa"/>
          </w:tcPr>
          <w:p w14:paraId="6FFE4B0A" w14:textId="77777777" w:rsidR="00B419CE" w:rsidRPr="00B419CE" w:rsidRDefault="00B419CE" w:rsidP="00B419CE"/>
        </w:tc>
        <w:tc>
          <w:tcPr>
            <w:tcW w:w="1140" w:type="dxa"/>
          </w:tcPr>
          <w:p w14:paraId="0991BB9E" w14:textId="77777777" w:rsidR="00B419CE" w:rsidRPr="00B419CE" w:rsidRDefault="00B419CE" w:rsidP="00B419CE">
            <w:pPr>
              <w:jc w:val="right"/>
            </w:pPr>
          </w:p>
        </w:tc>
        <w:tc>
          <w:tcPr>
            <w:tcW w:w="1140" w:type="dxa"/>
          </w:tcPr>
          <w:p w14:paraId="36D74EFA" w14:textId="77777777" w:rsidR="00B419CE" w:rsidRPr="00B419CE" w:rsidRDefault="00B419CE" w:rsidP="00B419CE">
            <w:pPr>
              <w:jc w:val="right"/>
            </w:pPr>
          </w:p>
        </w:tc>
        <w:tc>
          <w:tcPr>
            <w:tcW w:w="1140" w:type="dxa"/>
          </w:tcPr>
          <w:p w14:paraId="7CFD9798" w14:textId="77777777" w:rsidR="00B419CE" w:rsidRPr="00B419CE" w:rsidRDefault="00B419CE" w:rsidP="00B419CE">
            <w:pPr>
              <w:jc w:val="right"/>
            </w:pPr>
            <w:r w:rsidRPr="00B419CE">
              <w:t>(mill. kr)</w:t>
            </w:r>
          </w:p>
        </w:tc>
      </w:tr>
      <w:tr w:rsidR="00B419CE" w:rsidRPr="00B419CE" w14:paraId="1FCA3D60" w14:textId="77777777" w:rsidTr="00920011">
        <w:trPr>
          <w:trHeight w:val="600"/>
        </w:trPr>
        <w:tc>
          <w:tcPr>
            <w:tcW w:w="1413" w:type="dxa"/>
          </w:tcPr>
          <w:p w14:paraId="4CD5089E" w14:textId="77777777" w:rsidR="00B419CE" w:rsidRPr="00B419CE" w:rsidRDefault="00B419CE" w:rsidP="00920011">
            <w:r w:rsidRPr="00B419CE">
              <w:t>Underpost</w:t>
            </w:r>
          </w:p>
        </w:tc>
        <w:tc>
          <w:tcPr>
            <w:tcW w:w="4287" w:type="dxa"/>
          </w:tcPr>
          <w:p w14:paraId="23B86C05" w14:textId="77777777" w:rsidR="00B419CE" w:rsidRPr="00B419CE" w:rsidRDefault="00B419CE" w:rsidP="00B419CE">
            <w:proofErr w:type="spellStart"/>
            <w:r w:rsidRPr="00B419CE">
              <w:t>Underpostnamn</w:t>
            </w:r>
            <w:proofErr w:type="spellEnd"/>
          </w:p>
        </w:tc>
        <w:tc>
          <w:tcPr>
            <w:tcW w:w="1140" w:type="dxa"/>
          </w:tcPr>
          <w:p w14:paraId="7514AE64" w14:textId="77777777" w:rsidR="00B419CE" w:rsidRPr="00B419CE" w:rsidRDefault="00B419CE" w:rsidP="00B419CE">
            <w:pPr>
              <w:jc w:val="right"/>
            </w:pPr>
            <w:proofErr w:type="spellStart"/>
            <w:r w:rsidRPr="00B419CE">
              <w:t>Rekneskap</w:t>
            </w:r>
            <w:proofErr w:type="spellEnd"/>
            <w:r w:rsidRPr="00B419CE">
              <w:t xml:space="preserve"> </w:t>
            </w:r>
            <w:r w:rsidRPr="00B419CE">
              <w:br/>
              <w:t>2020</w:t>
            </w:r>
            <w:r w:rsidRPr="00B419CE">
              <w:rPr>
                <w:rStyle w:val="skrift-hevet"/>
              </w:rPr>
              <w:t>1</w:t>
            </w:r>
          </w:p>
        </w:tc>
        <w:tc>
          <w:tcPr>
            <w:tcW w:w="1140" w:type="dxa"/>
          </w:tcPr>
          <w:p w14:paraId="35732379" w14:textId="77777777" w:rsidR="00B419CE" w:rsidRPr="00B419CE" w:rsidRDefault="00B419CE" w:rsidP="00B419CE">
            <w:pPr>
              <w:jc w:val="right"/>
            </w:pPr>
            <w:r w:rsidRPr="00B419CE">
              <w:t xml:space="preserve">Saldert </w:t>
            </w:r>
            <w:r w:rsidRPr="00B419CE">
              <w:br/>
              <w:t>budsjett 2021</w:t>
            </w:r>
          </w:p>
        </w:tc>
        <w:tc>
          <w:tcPr>
            <w:tcW w:w="1140" w:type="dxa"/>
          </w:tcPr>
          <w:p w14:paraId="1D24973A" w14:textId="77777777" w:rsidR="00B419CE" w:rsidRPr="00B419CE" w:rsidRDefault="00B419CE" w:rsidP="00B419CE">
            <w:pPr>
              <w:jc w:val="right"/>
            </w:pPr>
            <w:r w:rsidRPr="00B419CE">
              <w:t>Forslag</w:t>
            </w:r>
            <w:r w:rsidRPr="00B419CE">
              <w:br/>
              <w:t>2022</w:t>
            </w:r>
          </w:p>
        </w:tc>
      </w:tr>
      <w:tr w:rsidR="00B419CE" w:rsidRPr="00B419CE" w14:paraId="3C973870" w14:textId="77777777" w:rsidTr="00920011">
        <w:trPr>
          <w:trHeight w:val="380"/>
        </w:trPr>
        <w:tc>
          <w:tcPr>
            <w:tcW w:w="1413" w:type="dxa"/>
          </w:tcPr>
          <w:p w14:paraId="2CA15348" w14:textId="77777777" w:rsidR="00B419CE" w:rsidRPr="00B419CE" w:rsidRDefault="00B419CE" w:rsidP="00920011">
            <w:r w:rsidRPr="00B419CE">
              <w:t>89.11</w:t>
            </w:r>
          </w:p>
        </w:tc>
        <w:tc>
          <w:tcPr>
            <w:tcW w:w="4287" w:type="dxa"/>
          </w:tcPr>
          <w:p w14:paraId="4404CEF7" w14:textId="77777777" w:rsidR="00B419CE" w:rsidRPr="00B419CE" w:rsidRDefault="00B419CE" w:rsidP="00B419CE">
            <w:r w:rsidRPr="00B419CE">
              <w:t>Faste lån</w:t>
            </w:r>
          </w:p>
        </w:tc>
        <w:tc>
          <w:tcPr>
            <w:tcW w:w="1140" w:type="dxa"/>
          </w:tcPr>
          <w:p w14:paraId="0784C375" w14:textId="77777777" w:rsidR="00B419CE" w:rsidRPr="00B419CE" w:rsidRDefault="00B419CE" w:rsidP="00B419CE">
            <w:pPr>
              <w:jc w:val="right"/>
            </w:pPr>
            <w:r w:rsidRPr="00B419CE">
              <w:t>8 076</w:t>
            </w:r>
          </w:p>
        </w:tc>
        <w:tc>
          <w:tcPr>
            <w:tcW w:w="1140" w:type="dxa"/>
          </w:tcPr>
          <w:p w14:paraId="0B4B1E4C" w14:textId="77777777" w:rsidR="00B419CE" w:rsidRPr="00B419CE" w:rsidRDefault="00B419CE" w:rsidP="00B419CE">
            <w:pPr>
              <w:jc w:val="right"/>
            </w:pPr>
            <w:r w:rsidRPr="00B419CE">
              <w:t>6 784</w:t>
            </w:r>
          </w:p>
        </w:tc>
        <w:tc>
          <w:tcPr>
            <w:tcW w:w="1140" w:type="dxa"/>
          </w:tcPr>
          <w:p w14:paraId="5BD60553" w14:textId="77777777" w:rsidR="00B419CE" w:rsidRPr="00B419CE" w:rsidRDefault="00B419CE" w:rsidP="00B419CE">
            <w:pPr>
              <w:jc w:val="right"/>
            </w:pPr>
            <w:r w:rsidRPr="00B419CE">
              <w:t>6 902</w:t>
            </w:r>
          </w:p>
        </w:tc>
      </w:tr>
      <w:tr w:rsidR="00B419CE" w:rsidRPr="00B419CE" w14:paraId="3D5407C1" w14:textId="77777777" w:rsidTr="00920011">
        <w:trPr>
          <w:trHeight w:val="380"/>
        </w:trPr>
        <w:tc>
          <w:tcPr>
            <w:tcW w:w="1413" w:type="dxa"/>
          </w:tcPr>
          <w:p w14:paraId="105D0120" w14:textId="77777777" w:rsidR="00B419CE" w:rsidRPr="00B419CE" w:rsidRDefault="00B419CE" w:rsidP="00920011">
            <w:r w:rsidRPr="00B419CE">
              <w:t>89.12</w:t>
            </w:r>
          </w:p>
        </w:tc>
        <w:tc>
          <w:tcPr>
            <w:tcW w:w="4287" w:type="dxa"/>
          </w:tcPr>
          <w:p w14:paraId="5B00D355" w14:textId="77777777" w:rsidR="00B419CE" w:rsidRPr="00B419CE" w:rsidRDefault="00B419CE" w:rsidP="00B419CE">
            <w:r w:rsidRPr="00B419CE">
              <w:t xml:space="preserve">Gjenkjøps- og </w:t>
            </w:r>
            <w:proofErr w:type="spellStart"/>
            <w:r w:rsidRPr="00B419CE">
              <w:t>rentebyteavtalar</w:t>
            </w:r>
            <w:proofErr w:type="spellEnd"/>
          </w:p>
        </w:tc>
        <w:tc>
          <w:tcPr>
            <w:tcW w:w="1140" w:type="dxa"/>
          </w:tcPr>
          <w:p w14:paraId="49B8523F" w14:textId="77777777" w:rsidR="00B419CE" w:rsidRPr="00B419CE" w:rsidRDefault="00B419CE" w:rsidP="00B419CE">
            <w:pPr>
              <w:jc w:val="right"/>
            </w:pPr>
            <w:r w:rsidRPr="00B419CE">
              <w:t>-1 171</w:t>
            </w:r>
          </w:p>
        </w:tc>
        <w:tc>
          <w:tcPr>
            <w:tcW w:w="1140" w:type="dxa"/>
          </w:tcPr>
          <w:p w14:paraId="3F382A15" w14:textId="77777777" w:rsidR="00B419CE" w:rsidRPr="00B419CE" w:rsidRDefault="00B419CE" w:rsidP="00B419CE">
            <w:pPr>
              <w:jc w:val="right"/>
            </w:pPr>
            <w:r w:rsidRPr="00B419CE">
              <w:t>-553</w:t>
            </w:r>
          </w:p>
        </w:tc>
        <w:tc>
          <w:tcPr>
            <w:tcW w:w="1140" w:type="dxa"/>
          </w:tcPr>
          <w:p w14:paraId="68B33062" w14:textId="77777777" w:rsidR="00B419CE" w:rsidRPr="00B419CE" w:rsidRDefault="00B419CE" w:rsidP="00B419CE">
            <w:pPr>
              <w:jc w:val="right"/>
            </w:pPr>
            <w:r w:rsidRPr="00B419CE">
              <w:t>-55</w:t>
            </w:r>
          </w:p>
        </w:tc>
      </w:tr>
      <w:tr w:rsidR="00B419CE" w:rsidRPr="00B419CE" w14:paraId="5BE85199" w14:textId="77777777" w:rsidTr="00920011">
        <w:trPr>
          <w:trHeight w:val="380"/>
        </w:trPr>
        <w:tc>
          <w:tcPr>
            <w:tcW w:w="1413" w:type="dxa"/>
          </w:tcPr>
          <w:p w14:paraId="5BBA3D05" w14:textId="77777777" w:rsidR="00B419CE" w:rsidRPr="00B419CE" w:rsidRDefault="00B419CE" w:rsidP="00920011">
            <w:r w:rsidRPr="00B419CE">
              <w:t>89.13</w:t>
            </w:r>
          </w:p>
        </w:tc>
        <w:tc>
          <w:tcPr>
            <w:tcW w:w="4287" w:type="dxa"/>
          </w:tcPr>
          <w:p w14:paraId="12C3D4B7" w14:textId="77777777" w:rsidR="00B419CE" w:rsidRPr="00B419CE" w:rsidRDefault="00B419CE" w:rsidP="00B419CE">
            <w:r w:rsidRPr="00B419CE">
              <w:t>Kontolån</w:t>
            </w:r>
          </w:p>
        </w:tc>
        <w:tc>
          <w:tcPr>
            <w:tcW w:w="1140" w:type="dxa"/>
          </w:tcPr>
          <w:p w14:paraId="7DC43988" w14:textId="77777777" w:rsidR="00B419CE" w:rsidRPr="00B419CE" w:rsidRDefault="00B419CE" w:rsidP="00B419CE">
            <w:pPr>
              <w:jc w:val="right"/>
            </w:pPr>
            <w:r w:rsidRPr="00B419CE">
              <w:t>101</w:t>
            </w:r>
          </w:p>
        </w:tc>
        <w:tc>
          <w:tcPr>
            <w:tcW w:w="1140" w:type="dxa"/>
          </w:tcPr>
          <w:p w14:paraId="6BE01A6D" w14:textId="77777777" w:rsidR="00B419CE" w:rsidRPr="00B419CE" w:rsidRDefault="00B419CE" w:rsidP="00B419CE">
            <w:pPr>
              <w:jc w:val="right"/>
            </w:pPr>
            <w:r w:rsidRPr="00B419CE">
              <w:t>88</w:t>
            </w:r>
          </w:p>
        </w:tc>
        <w:tc>
          <w:tcPr>
            <w:tcW w:w="1140" w:type="dxa"/>
          </w:tcPr>
          <w:p w14:paraId="0F62C9E7" w14:textId="77777777" w:rsidR="00B419CE" w:rsidRPr="00B419CE" w:rsidRDefault="00B419CE" w:rsidP="00B419CE">
            <w:pPr>
              <w:jc w:val="right"/>
            </w:pPr>
            <w:r w:rsidRPr="00B419CE">
              <w:t>26</w:t>
            </w:r>
          </w:p>
        </w:tc>
      </w:tr>
      <w:tr w:rsidR="00B419CE" w:rsidRPr="00B419CE" w14:paraId="084ACE81" w14:textId="77777777" w:rsidTr="00920011">
        <w:trPr>
          <w:trHeight w:val="380"/>
        </w:trPr>
        <w:tc>
          <w:tcPr>
            <w:tcW w:w="1413" w:type="dxa"/>
          </w:tcPr>
          <w:p w14:paraId="7A8F3AA3" w14:textId="77777777" w:rsidR="00B419CE" w:rsidRPr="00B419CE" w:rsidRDefault="00B419CE" w:rsidP="00920011">
            <w:r w:rsidRPr="00B419CE">
              <w:t>89.14</w:t>
            </w:r>
          </w:p>
        </w:tc>
        <w:tc>
          <w:tcPr>
            <w:tcW w:w="4287" w:type="dxa"/>
          </w:tcPr>
          <w:p w14:paraId="63C97A2C" w14:textId="77777777" w:rsidR="00B419CE" w:rsidRPr="00B419CE" w:rsidRDefault="00B419CE" w:rsidP="00B419CE">
            <w:r w:rsidRPr="00B419CE">
              <w:t xml:space="preserve">Kontolån </w:t>
            </w:r>
            <w:proofErr w:type="spellStart"/>
            <w:r w:rsidRPr="00B419CE">
              <w:t>frå</w:t>
            </w:r>
            <w:proofErr w:type="spellEnd"/>
            <w:r w:rsidRPr="00B419CE">
              <w:t xml:space="preserve"> ordinære fond</w:t>
            </w:r>
          </w:p>
        </w:tc>
        <w:tc>
          <w:tcPr>
            <w:tcW w:w="1140" w:type="dxa"/>
          </w:tcPr>
          <w:p w14:paraId="4360C6AC" w14:textId="77777777" w:rsidR="00B419CE" w:rsidRPr="00B419CE" w:rsidRDefault="00B419CE" w:rsidP="00B419CE">
            <w:pPr>
              <w:jc w:val="right"/>
            </w:pPr>
            <w:r w:rsidRPr="00B419CE">
              <w:t>2 223</w:t>
            </w:r>
          </w:p>
        </w:tc>
        <w:tc>
          <w:tcPr>
            <w:tcW w:w="1140" w:type="dxa"/>
          </w:tcPr>
          <w:p w14:paraId="72B28268" w14:textId="77777777" w:rsidR="00B419CE" w:rsidRPr="00B419CE" w:rsidRDefault="00B419CE" w:rsidP="00B419CE">
            <w:pPr>
              <w:jc w:val="right"/>
            </w:pPr>
            <w:r w:rsidRPr="00B419CE">
              <w:t>2 322</w:t>
            </w:r>
          </w:p>
        </w:tc>
        <w:tc>
          <w:tcPr>
            <w:tcW w:w="1140" w:type="dxa"/>
          </w:tcPr>
          <w:p w14:paraId="4541CC63" w14:textId="77777777" w:rsidR="00B419CE" w:rsidRPr="00B419CE" w:rsidRDefault="00B419CE" w:rsidP="00B419CE">
            <w:pPr>
              <w:jc w:val="right"/>
            </w:pPr>
            <w:r w:rsidRPr="00B419CE">
              <w:t>2 239</w:t>
            </w:r>
          </w:p>
        </w:tc>
      </w:tr>
      <w:tr w:rsidR="00B419CE" w:rsidRPr="00B419CE" w14:paraId="19A954ED" w14:textId="77777777" w:rsidTr="00920011">
        <w:trPr>
          <w:trHeight w:val="380"/>
        </w:trPr>
        <w:tc>
          <w:tcPr>
            <w:tcW w:w="1413" w:type="dxa"/>
          </w:tcPr>
          <w:p w14:paraId="38E0EADA" w14:textId="77777777" w:rsidR="00B419CE" w:rsidRPr="00B419CE" w:rsidRDefault="00B419CE" w:rsidP="00920011">
            <w:r w:rsidRPr="00B419CE">
              <w:t>89.15</w:t>
            </w:r>
          </w:p>
        </w:tc>
        <w:tc>
          <w:tcPr>
            <w:tcW w:w="4287" w:type="dxa"/>
          </w:tcPr>
          <w:p w14:paraId="279E8BAF" w14:textId="77777777" w:rsidR="00B419CE" w:rsidRPr="00B419CE" w:rsidRDefault="00B419CE" w:rsidP="00B419CE">
            <w:proofErr w:type="spellStart"/>
            <w:r w:rsidRPr="00B419CE">
              <w:t>Statskassevekslar</w:t>
            </w:r>
            <w:proofErr w:type="spellEnd"/>
            <w:r w:rsidRPr="00B419CE">
              <w:t xml:space="preserve"> </w:t>
            </w:r>
          </w:p>
        </w:tc>
        <w:tc>
          <w:tcPr>
            <w:tcW w:w="1140" w:type="dxa"/>
          </w:tcPr>
          <w:p w14:paraId="08616DED" w14:textId="77777777" w:rsidR="00B419CE" w:rsidRPr="00B419CE" w:rsidRDefault="00B419CE" w:rsidP="00B419CE">
            <w:pPr>
              <w:jc w:val="right"/>
            </w:pPr>
            <w:r w:rsidRPr="00B419CE">
              <w:t>568</w:t>
            </w:r>
          </w:p>
        </w:tc>
        <w:tc>
          <w:tcPr>
            <w:tcW w:w="1140" w:type="dxa"/>
          </w:tcPr>
          <w:p w14:paraId="1CC2DD2A" w14:textId="77777777" w:rsidR="00B419CE" w:rsidRPr="00B419CE" w:rsidRDefault="00B419CE" w:rsidP="00B419CE">
            <w:pPr>
              <w:jc w:val="right"/>
            </w:pPr>
            <w:r w:rsidRPr="00B419CE">
              <w:t>611</w:t>
            </w:r>
          </w:p>
        </w:tc>
        <w:tc>
          <w:tcPr>
            <w:tcW w:w="1140" w:type="dxa"/>
          </w:tcPr>
          <w:p w14:paraId="7AAB5358" w14:textId="77777777" w:rsidR="00B419CE" w:rsidRPr="00B419CE" w:rsidRDefault="00B419CE" w:rsidP="00B419CE">
            <w:pPr>
              <w:jc w:val="right"/>
            </w:pPr>
            <w:r w:rsidRPr="00B419CE">
              <w:t>168</w:t>
            </w:r>
          </w:p>
        </w:tc>
      </w:tr>
      <w:tr w:rsidR="00B419CE" w:rsidRPr="00B419CE" w14:paraId="684A73B4" w14:textId="77777777" w:rsidTr="00920011">
        <w:trPr>
          <w:trHeight w:val="380"/>
        </w:trPr>
        <w:tc>
          <w:tcPr>
            <w:tcW w:w="1413" w:type="dxa"/>
          </w:tcPr>
          <w:p w14:paraId="102BC89D" w14:textId="77777777" w:rsidR="00B419CE" w:rsidRPr="00B419CE" w:rsidRDefault="00B419CE" w:rsidP="00920011">
            <w:r w:rsidRPr="00B419CE">
              <w:t>89.17</w:t>
            </w:r>
          </w:p>
        </w:tc>
        <w:tc>
          <w:tcPr>
            <w:tcW w:w="4287" w:type="dxa"/>
          </w:tcPr>
          <w:p w14:paraId="7ABBF191" w14:textId="77777777" w:rsidR="00B419CE" w:rsidRPr="00B419CE" w:rsidRDefault="00B419CE" w:rsidP="00B419CE">
            <w:r w:rsidRPr="00B419CE">
              <w:t>Nye faste lån</w:t>
            </w:r>
          </w:p>
        </w:tc>
        <w:tc>
          <w:tcPr>
            <w:tcW w:w="1140" w:type="dxa"/>
          </w:tcPr>
          <w:p w14:paraId="172F5345" w14:textId="77777777" w:rsidR="00B419CE" w:rsidRPr="00B419CE" w:rsidRDefault="00B419CE" w:rsidP="00B419CE">
            <w:pPr>
              <w:jc w:val="right"/>
            </w:pPr>
          </w:p>
        </w:tc>
        <w:tc>
          <w:tcPr>
            <w:tcW w:w="1140" w:type="dxa"/>
          </w:tcPr>
          <w:p w14:paraId="0D9A40D5" w14:textId="77777777" w:rsidR="00B419CE" w:rsidRPr="00B419CE" w:rsidRDefault="00B419CE" w:rsidP="00B419CE">
            <w:pPr>
              <w:jc w:val="right"/>
            </w:pPr>
            <w:r w:rsidRPr="00B419CE">
              <w:t>764</w:t>
            </w:r>
          </w:p>
        </w:tc>
        <w:tc>
          <w:tcPr>
            <w:tcW w:w="1140" w:type="dxa"/>
          </w:tcPr>
          <w:p w14:paraId="71B5D8C8" w14:textId="77777777" w:rsidR="00B419CE" w:rsidRPr="00B419CE" w:rsidRDefault="00B419CE" w:rsidP="00B419CE">
            <w:pPr>
              <w:jc w:val="right"/>
            </w:pPr>
            <w:r w:rsidRPr="00B419CE">
              <w:t>971</w:t>
            </w:r>
          </w:p>
        </w:tc>
      </w:tr>
      <w:tr w:rsidR="00B419CE" w:rsidRPr="00B419CE" w14:paraId="56919681" w14:textId="77777777" w:rsidTr="00920011">
        <w:trPr>
          <w:trHeight w:val="380"/>
        </w:trPr>
        <w:tc>
          <w:tcPr>
            <w:tcW w:w="1413" w:type="dxa"/>
          </w:tcPr>
          <w:p w14:paraId="0B45B4C2" w14:textId="77777777" w:rsidR="00B419CE" w:rsidRPr="00B419CE" w:rsidRDefault="00B419CE" w:rsidP="00920011"/>
        </w:tc>
        <w:tc>
          <w:tcPr>
            <w:tcW w:w="4287" w:type="dxa"/>
          </w:tcPr>
          <w:p w14:paraId="0C342D54" w14:textId="77777777" w:rsidR="00B419CE" w:rsidRPr="00B419CE" w:rsidRDefault="00B419CE" w:rsidP="00B419CE">
            <w:r w:rsidRPr="00B419CE">
              <w:t>Sum kap. 1650, post 89</w:t>
            </w:r>
          </w:p>
        </w:tc>
        <w:tc>
          <w:tcPr>
            <w:tcW w:w="1140" w:type="dxa"/>
          </w:tcPr>
          <w:p w14:paraId="48BBA17E" w14:textId="77777777" w:rsidR="00B419CE" w:rsidRPr="00B419CE" w:rsidRDefault="00B419CE" w:rsidP="00B419CE">
            <w:pPr>
              <w:jc w:val="right"/>
            </w:pPr>
            <w:r w:rsidRPr="00B419CE">
              <w:t>9 796</w:t>
            </w:r>
          </w:p>
        </w:tc>
        <w:tc>
          <w:tcPr>
            <w:tcW w:w="1140" w:type="dxa"/>
          </w:tcPr>
          <w:p w14:paraId="612F3E88" w14:textId="77777777" w:rsidR="00B419CE" w:rsidRPr="00B419CE" w:rsidRDefault="00B419CE" w:rsidP="00B419CE">
            <w:pPr>
              <w:jc w:val="right"/>
            </w:pPr>
            <w:r w:rsidRPr="00B419CE">
              <w:t>10 016</w:t>
            </w:r>
          </w:p>
        </w:tc>
        <w:tc>
          <w:tcPr>
            <w:tcW w:w="1140" w:type="dxa"/>
          </w:tcPr>
          <w:p w14:paraId="6C7EC67D" w14:textId="77777777" w:rsidR="00B419CE" w:rsidRPr="00B419CE" w:rsidRDefault="00B419CE" w:rsidP="00B419CE">
            <w:pPr>
              <w:jc w:val="right"/>
            </w:pPr>
            <w:r w:rsidRPr="00B419CE">
              <w:t>10 251</w:t>
            </w:r>
          </w:p>
        </w:tc>
      </w:tr>
    </w:tbl>
    <w:p w14:paraId="2A47BEB0" w14:textId="77777777" w:rsidR="00B419CE" w:rsidRPr="00B419CE" w:rsidRDefault="00B419CE" w:rsidP="00B419CE">
      <w:pPr>
        <w:pStyle w:val="tabell-noter"/>
      </w:pPr>
      <w:r w:rsidRPr="00B419CE">
        <w:rPr>
          <w:rStyle w:val="skrift-hevet"/>
        </w:rPr>
        <w:t>1</w:t>
      </w:r>
      <w:r w:rsidRPr="00B419CE">
        <w:rPr>
          <w:rStyle w:val="skrift-hevet"/>
        </w:rPr>
        <w:tab/>
      </w:r>
      <w:r w:rsidRPr="00B419CE">
        <w:t xml:space="preserve">I </w:t>
      </w:r>
      <w:proofErr w:type="spellStart"/>
      <w:r w:rsidRPr="00B419CE">
        <w:t>rekneskapen</w:t>
      </w:r>
      <w:proofErr w:type="spellEnd"/>
      <w:r w:rsidRPr="00B419CE">
        <w:t xml:space="preserve"> vert faste lån og nye faste lån ført samla.</w:t>
      </w:r>
    </w:p>
    <w:p w14:paraId="1D6B2807" w14:textId="77777777" w:rsidR="00B419CE" w:rsidRPr="00B419CE" w:rsidRDefault="00B419CE" w:rsidP="00B419CE">
      <w:r w:rsidRPr="00B419CE">
        <w:t xml:space="preserve">Til grunn for overslaget for renteutgiftene under kap. 1650, post 89, ligg dels </w:t>
      </w:r>
      <w:proofErr w:type="spellStart"/>
      <w:r w:rsidRPr="00B419CE">
        <w:t>eksisterande</w:t>
      </w:r>
      <w:proofErr w:type="spellEnd"/>
      <w:r w:rsidRPr="00B419CE">
        <w:t xml:space="preserve"> lån og dels overslag over behovet for låneopptak i 2022. Renteutgiftene vert </w:t>
      </w:r>
      <w:proofErr w:type="spellStart"/>
      <w:r w:rsidRPr="00B419CE">
        <w:t>påverka</w:t>
      </w:r>
      <w:proofErr w:type="spellEnd"/>
      <w:r w:rsidRPr="00B419CE">
        <w:t xml:space="preserve"> av omfanget av ny opplåning, førtidig </w:t>
      </w:r>
      <w:proofErr w:type="spellStart"/>
      <w:r w:rsidRPr="00B419CE">
        <w:t>innfriing</w:t>
      </w:r>
      <w:proofErr w:type="spellEnd"/>
      <w:r w:rsidRPr="00B419CE">
        <w:t xml:space="preserve"> og </w:t>
      </w:r>
      <w:proofErr w:type="spellStart"/>
      <w:r w:rsidRPr="00B419CE">
        <w:t>endringar</w:t>
      </w:r>
      <w:proofErr w:type="spellEnd"/>
      <w:r w:rsidRPr="00B419CE">
        <w:t xml:space="preserve"> i statens portefølje av </w:t>
      </w:r>
      <w:proofErr w:type="spellStart"/>
      <w:r w:rsidRPr="00B419CE">
        <w:t>rentebyteavtalar</w:t>
      </w:r>
      <w:proofErr w:type="spellEnd"/>
      <w:r w:rsidRPr="00B419CE">
        <w:t xml:space="preserve">. Renteutgiftene vert òg </w:t>
      </w:r>
      <w:proofErr w:type="spellStart"/>
      <w:r w:rsidRPr="00B419CE">
        <w:t>påverka</w:t>
      </w:r>
      <w:proofErr w:type="spellEnd"/>
      <w:r w:rsidRPr="00B419CE">
        <w:t xml:space="preserve"> av utviklinga i </w:t>
      </w:r>
      <w:proofErr w:type="spellStart"/>
      <w:r w:rsidRPr="00B419CE">
        <w:t>marknadsrentene</w:t>
      </w:r>
      <w:proofErr w:type="spellEnd"/>
      <w:r w:rsidRPr="00B419CE">
        <w:t>. Overslaget over renteutgifter er usikkert.</w:t>
      </w:r>
    </w:p>
    <w:p w14:paraId="32EB4FF6" w14:textId="77777777" w:rsidR="00B419CE" w:rsidRPr="00B419CE" w:rsidRDefault="00B419CE" w:rsidP="00B419CE">
      <w:pPr>
        <w:pStyle w:val="b-underpost"/>
      </w:pPr>
      <w:r w:rsidRPr="00B419CE">
        <w:t>Underpost 89.11 Faste lån</w:t>
      </w:r>
    </w:p>
    <w:p w14:paraId="08676BC9" w14:textId="77777777" w:rsidR="00B419CE" w:rsidRPr="00B419CE" w:rsidRDefault="00B419CE" w:rsidP="00B419CE">
      <w:r w:rsidRPr="00B419CE">
        <w:t xml:space="preserve">Under denne posten vert det budsjettert renteutgifter på obligasjonslån som er </w:t>
      </w:r>
      <w:proofErr w:type="spellStart"/>
      <w:r w:rsidRPr="00B419CE">
        <w:t>tekne</w:t>
      </w:r>
      <w:proofErr w:type="spellEnd"/>
      <w:r w:rsidRPr="00B419CE">
        <w:t xml:space="preserve"> opp før 1. januar 2021. Ved opptak av statsobligasjonslån kan det på grunn av skilnad mellom kupongrenta på det aktuelle lånet og </w:t>
      </w:r>
      <w:proofErr w:type="spellStart"/>
      <w:r w:rsidRPr="00B419CE">
        <w:t>marknadsrenta</w:t>
      </w:r>
      <w:proofErr w:type="spellEnd"/>
      <w:r w:rsidRPr="00B419CE">
        <w:t xml:space="preserve"> på lånetidspunktet oppstå </w:t>
      </w:r>
      <w:proofErr w:type="spellStart"/>
      <w:r w:rsidRPr="00B419CE">
        <w:t>ein</w:t>
      </w:r>
      <w:proofErr w:type="spellEnd"/>
      <w:r w:rsidRPr="00B419CE">
        <w:t xml:space="preserve"> over- eller underkurs. For å </w:t>
      </w:r>
      <w:proofErr w:type="spellStart"/>
      <w:r w:rsidRPr="00B419CE">
        <w:t>gje</w:t>
      </w:r>
      <w:proofErr w:type="spellEnd"/>
      <w:r w:rsidRPr="00B419CE">
        <w:t xml:space="preserve"> </w:t>
      </w:r>
      <w:proofErr w:type="spellStart"/>
      <w:r w:rsidRPr="00B419CE">
        <w:t>eit</w:t>
      </w:r>
      <w:proofErr w:type="spellEnd"/>
      <w:r w:rsidRPr="00B419CE">
        <w:t xml:space="preserve"> </w:t>
      </w:r>
      <w:proofErr w:type="spellStart"/>
      <w:r w:rsidRPr="00B419CE">
        <w:t>meir</w:t>
      </w:r>
      <w:proofErr w:type="spellEnd"/>
      <w:r w:rsidRPr="00B419CE">
        <w:t xml:space="preserve"> korrekt </w:t>
      </w:r>
      <w:proofErr w:type="spellStart"/>
      <w:r w:rsidRPr="00B419CE">
        <w:t>bilete</w:t>
      </w:r>
      <w:proofErr w:type="spellEnd"/>
      <w:r w:rsidRPr="00B419CE">
        <w:t xml:space="preserve"> av </w:t>
      </w:r>
      <w:proofErr w:type="spellStart"/>
      <w:r w:rsidRPr="00B419CE">
        <w:t>dei</w:t>
      </w:r>
      <w:proofErr w:type="spellEnd"/>
      <w:r w:rsidRPr="00B419CE">
        <w:t xml:space="preserve"> </w:t>
      </w:r>
      <w:proofErr w:type="spellStart"/>
      <w:r w:rsidRPr="00B419CE">
        <w:t>årlege</w:t>
      </w:r>
      <w:proofErr w:type="spellEnd"/>
      <w:r w:rsidRPr="00B419CE">
        <w:t xml:space="preserve"> finansieringskostnadene for staten, vert </w:t>
      </w:r>
      <w:proofErr w:type="spellStart"/>
      <w:r w:rsidRPr="00B419CE">
        <w:t>ein</w:t>
      </w:r>
      <w:proofErr w:type="spellEnd"/>
      <w:r w:rsidRPr="00B419CE">
        <w:t xml:space="preserve"> slik over- eller underkurs </w:t>
      </w:r>
      <w:proofErr w:type="spellStart"/>
      <w:r w:rsidRPr="00B419CE">
        <w:t>ikkje</w:t>
      </w:r>
      <w:proofErr w:type="spellEnd"/>
      <w:r w:rsidRPr="00B419CE">
        <w:t xml:space="preserve"> inntekts- eller utgiftsført på lånetidspunktet, men </w:t>
      </w:r>
      <w:proofErr w:type="spellStart"/>
      <w:r w:rsidRPr="00B419CE">
        <w:t>avrekna</w:t>
      </w:r>
      <w:proofErr w:type="spellEnd"/>
      <w:r w:rsidRPr="00B419CE">
        <w:t xml:space="preserve"> mot </w:t>
      </w:r>
      <w:proofErr w:type="spellStart"/>
      <w:r w:rsidRPr="00B419CE">
        <w:t>ein</w:t>
      </w:r>
      <w:proofErr w:type="spellEnd"/>
      <w:r w:rsidRPr="00B419CE">
        <w:t xml:space="preserve"> balansekonto i </w:t>
      </w:r>
      <w:proofErr w:type="spellStart"/>
      <w:r w:rsidRPr="00B419CE">
        <w:t>statsrekneskapen</w:t>
      </w:r>
      <w:proofErr w:type="spellEnd"/>
      <w:r w:rsidRPr="00B419CE">
        <w:t xml:space="preserve"> (gruppe 77) og inntekts- eller utgiftsført på post 89.11 over den løpetida som står att for lånet. Renteutgiftene på faste lån i 2022 kjem dermed fram som kupongrenta, justert for den delen av over- eller underkursen som vert inntekts- eller utgiftsført i 2022.</w:t>
      </w:r>
    </w:p>
    <w:p w14:paraId="029EA237" w14:textId="77777777" w:rsidR="00B419CE" w:rsidRPr="00B419CE" w:rsidRDefault="00B419CE" w:rsidP="00B419CE">
      <w:r w:rsidRPr="00B419CE">
        <w:t>Renteutgiftene på faste lån er anslått til 6 902 mill. kroner i 2021.</w:t>
      </w:r>
    </w:p>
    <w:p w14:paraId="1AC1C132" w14:textId="77777777" w:rsidR="00B419CE" w:rsidRPr="00B419CE" w:rsidRDefault="00B419CE" w:rsidP="00B419CE">
      <w:pPr>
        <w:pStyle w:val="b-underpost"/>
      </w:pPr>
      <w:r w:rsidRPr="00B419CE">
        <w:lastRenderedPageBreak/>
        <w:t xml:space="preserve">Underpost 89.12 Gjenkjøps- og </w:t>
      </w:r>
      <w:proofErr w:type="spellStart"/>
      <w:r w:rsidRPr="00B419CE">
        <w:t>rentebyteavtalar</w:t>
      </w:r>
      <w:proofErr w:type="spellEnd"/>
    </w:p>
    <w:p w14:paraId="161D4AE6" w14:textId="77777777" w:rsidR="00B419CE" w:rsidRPr="00B419CE" w:rsidRDefault="00B419CE" w:rsidP="00B419CE">
      <w:r w:rsidRPr="00B419CE">
        <w:t xml:space="preserve">Posten </w:t>
      </w:r>
      <w:proofErr w:type="spellStart"/>
      <w:r w:rsidRPr="00B419CE">
        <w:t>omfattar</w:t>
      </w:r>
      <w:proofErr w:type="spellEnd"/>
      <w:r w:rsidRPr="00B419CE">
        <w:t xml:space="preserve"> dels renteutgifter i samband med utlån av statspapir til </w:t>
      </w:r>
      <w:proofErr w:type="spellStart"/>
      <w:r w:rsidRPr="00B419CE">
        <w:t>primærmeklarane</w:t>
      </w:r>
      <w:proofErr w:type="spellEnd"/>
      <w:r w:rsidRPr="00B419CE">
        <w:t xml:space="preserve"> (</w:t>
      </w:r>
      <w:proofErr w:type="spellStart"/>
      <w:r w:rsidRPr="00B419CE">
        <w:t>gjenkjøpsavtalar</w:t>
      </w:r>
      <w:proofErr w:type="spellEnd"/>
      <w:r w:rsidRPr="00B419CE">
        <w:t xml:space="preserve">). Staten betaler rente på </w:t>
      </w:r>
      <w:proofErr w:type="spellStart"/>
      <w:r w:rsidRPr="00B419CE">
        <w:t>kontantinnskotet</w:t>
      </w:r>
      <w:proofErr w:type="spellEnd"/>
      <w:r w:rsidRPr="00B419CE">
        <w:t xml:space="preserve"> som </w:t>
      </w:r>
      <w:proofErr w:type="spellStart"/>
      <w:r w:rsidRPr="00B419CE">
        <w:t>primærmeklarane</w:t>
      </w:r>
      <w:proofErr w:type="spellEnd"/>
      <w:r w:rsidRPr="00B419CE">
        <w:t xml:space="preserve"> stiller som </w:t>
      </w:r>
      <w:proofErr w:type="spellStart"/>
      <w:r w:rsidRPr="00B419CE">
        <w:t>sikkerheit</w:t>
      </w:r>
      <w:proofErr w:type="spellEnd"/>
      <w:r w:rsidRPr="00B419CE">
        <w:t xml:space="preserve"> i utlånsperioden. I tillegg vert nettoeffekten på renteutgiftene </w:t>
      </w:r>
      <w:proofErr w:type="spellStart"/>
      <w:r w:rsidRPr="00B419CE">
        <w:t>frå</w:t>
      </w:r>
      <w:proofErr w:type="spellEnd"/>
      <w:r w:rsidRPr="00B419CE">
        <w:t xml:space="preserve"> </w:t>
      </w:r>
      <w:proofErr w:type="spellStart"/>
      <w:r w:rsidRPr="00B419CE">
        <w:t>rentebyteavtalar</w:t>
      </w:r>
      <w:proofErr w:type="spellEnd"/>
      <w:r w:rsidRPr="00B419CE">
        <w:t xml:space="preserve"> i norske kroner ført på denne posten. Staten har for tida ei netto inntekt </w:t>
      </w:r>
      <w:proofErr w:type="spellStart"/>
      <w:r w:rsidRPr="00B419CE">
        <w:t>frå</w:t>
      </w:r>
      <w:proofErr w:type="spellEnd"/>
      <w:r w:rsidRPr="00B419CE">
        <w:t xml:space="preserve"> </w:t>
      </w:r>
      <w:proofErr w:type="spellStart"/>
      <w:r w:rsidRPr="00B419CE">
        <w:t>desse</w:t>
      </w:r>
      <w:proofErr w:type="spellEnd"/>
      <w:r w:rsidRPr="00B419CE">
        <w:t xml:space="preserve"> </w:t>
      </w:r>
      <w:proofErr w:type="spellStart"/>
      <w:r w:rsidRPr="00B419CE">
        <w:t>avtalane</w:t>
      </w:r>
      <w:proofErr w:type="spellEnd"/>
      <w:r w:rsidRPr="00B419CE">
        <w:t xml:space="preserve">. Staten mottek ei fast langsiktig rente og betaler ei kortsiktig </w:t>
      </w:r>
      <w:proofErr w:type="spellStart"/>
      <w:r w:rsidRPr="00B419CE">
        <w:t>pengemarknadsrente</w:t>
      </w:r>
      <w:proofErr w:type="spellEnd"/>
      <w:r w:rsidRPr="00B419CE">
        <w:t xml:space="preserve"> i </w:t>
      </w:r>
      <w:proofErr w:type="spellStart"/>
      <w:r w:rsidRPr="00B419CE">
        <w:t>rentebyteavtalane</w:t>
      </w:r>
      <w:proofErr w:type="spellEnd"/>
      <w:r w:rsidRPr="00B419CE">
        <w:t xml:space="preserve">. Ettersom </w:t>
      </w:r>
      <w:proofErr w:type="spellStart"/>
      <w:r w:rsidRPr="00B419CE">
        <w:t>ein</w:t>
      </w:r>
      <w:proofErr w:type="spellEnd"/>
      <w:r w:rsidRPr="00B419CE">
        <w:t xml:space="preserve"> </w:t>
      </w:r>
      <w:proofErr w:type="spellStart"/>
      <w:r w:rsidRPr="00B419CE">
        <w:t>ventar</w:t>
      </w:r>
      <w:proofErr w:type="spellEnd"/>
      <w:r w:rsidRPr="00B419CE">
        <w:t xml:space="preserve"> framleis låge </w:t>
      </w:r>
      <w:proofErr w:type="spellStart"/>
      <w:r w:rsidRPr="00B419CE">
        <w:t>pengemarknadsrenter</w:t>
      </w:r>
      <w:proofErr w:type="spellEnd"/>
      <w:r w:rsidRPr="00B419CE">
        <w:t xml:space="preserve">, </w:t>
      </w:r>
      <w:proofErr w:type="spellStart"/>
      <w:r w:rsidRPr="00B419CE">
        <w:t>reknar</w:t>
      </w:r>
      <w:proofErr w:type="spellEnd"/>
      <w:r w:rsidRPr="00B419CE">
        <w:t xml:space="preserve"> </w:t>
      </w:r>
      <w:proofErr w:type="spellStart"/>
      <w:r w:rsidRPr="00B419CE">
        <w:t>ein</w:t>
      </w:r>
      <w:proofErr w:type="spellEnd"/>
      <w:r w:rsidRPr="00B419CE">
        <w:t xml:space="preserve"> med ei nettoinntekt på denne posten på 55 mill. kroner i 2022.</w:t>
      </w:r>
    </w:p>
    <w:p w14:paraId="7CCF18B7" w14:textId="77777777" w:rsidR="00B419CE" w:rsidRPr="00B419CE" w:rsidRDefault="00B419CE" w:rsidP="00B419CE">
      <w:pPr>
        <w:pStyle w:val="b-underpost"/>
      </w:pPr>
      <w:r w:rsidRPr="00B419CE">
        <w:t>Underpost 89.13 Kontolån</w:t>
      </w:r>
    </w:p>
    <w:p w14:paraId="2FF42968" w14:textId="77777777" w:rsidR="00B419CE" w:rsidRPr="00B419CE" w:rsidRDefault="00B419CE" w:rsidP="00B419CE">
      <w:proofErr w:type="spellStart"/>
      <w:r w:rsidRPr="00B419CE">
        <w:t>Statsinstitusjonar</w:t>
      </w:r>
      <w:proofErr w:type="spellEnd"/>
      <w:r w:rsidRPr="00B419CE">
        <w:t xml:space="preserve"> og </w:t>
      </w:r>
      <w:proofErr w:type="spellStart"/>
      <w:r w:rsidRPr="00B419CE">
        <w:t>statlege</w:t>
      </w:r>
      <w:proofErr w:type="spellEnd"/>
      <w:r w:rsidRPr="00B419CE">
        <w:t xml:space="preserve"> fond skal etter avtale plassere ledige </w:t>
      </w:r>
      <w:proofErr w:type="spellStart"/>
      <w:r w:rsidRPr="00B419CE">
        <w:t>midlar</w:t>
      </w:r>
      <w:proofErr w:type="spellEnd"/>
      <w:r w:rsidRPr="00B419CE">
        <w:t xml:space="preserve"> som </w:t>
      </w:r>
      <w:proofErr w:type="spellStart"/>
      <w:r w:rsidRPr="00B419CE">
        <w:t>innskot</w:t>
      </w:r>
      <w:proofErr w:type="spellEnd"/>
      <w:r w:rsidRPr="00B419CE">
        <w:t xml:space="preserve"> (kontolån) i statskassa. For </w:t>
      </w:r>
      <w:proofErr w:type="spellStart"/>
      <w:r w:rsidRPr="00B419CE">
        <w:t>dei</w:t>
      </w:r>
      <w:proofErr w:type="spellEnd"/>
      <w:r w:rsidRPr="00B419CE">
        <w:t xml:space="preserve"> fleste av </w:t>
      </w:r>
      <w:proofErr w:type="spellStart"/>
      <w:r w:rsidRPr="00B419CE">
        <w:t>desse</w:t>
      </w:r>
      <w:proofErr w:type="spellEnd"/>
      <w:r w:rsidRPr="00B419CE">
        <w:t xml:space="preserve"> </w:t>
      </w:r>
      <w:proofErr w:type="spellStart"/>
      <w:r w:rsidRPr="00B419CE">
        <w:t>innskota</w:t>
      </w:r>
      <w:proofErr w:type="spellEnd"/>
      <w:r w:rsidRPr="00B419CE">
        <w:t xml:space="preserve"> betaler staten rente. </w:t>
      </w:r>
      <w:proofErr w:type="spellStart"/>
      <w:r w:rsidRPr="00B419CE">
        <w:t>Kontolånsplasseringar</w:t>
      </w:r>
      <w:proofErr w:type="spellEnd"/>
      <w:r w:rsidRPr="00B419CE">
        <w:t xml:space="preserve"> som kjem </w:t>
      </w:r>
      <w:proofErr w:type="spellStart"/>
      <w:r w:rsidRPr="00B419CE">
        <w:t>frå</w:t>
      </w:r>
      <w:proofErr w:type="spellEnd"/>
      <w:r w:rsidRPr="00B419CE">
        <w:t xml:space="preserve"> </w:t>
      </w:r>
      <w:proofErr w:type="spellStart"/>
      <w:r w:rsidRPr="00B419CE">
        <w:t>overskotslikviditet</w:t>
      </w:r>
      <w:proofErr w:type="spellEnd"/>
      <w:r w:rsidRPr="00B419CE">
        <w:t xml:space="preserve"> i samband med skatte- og </w:t>
      </w:r>
      <w:proofErr w:type="spellStart"/>
      <w:r w:rsidRPr="00B419CE">
        <w:t>avgiftsbetalingar</w:t>
      </w:r>
      <w:proofErr w:type="spellEnd"/>
      <w:r w:rsidRPr="00B419CE">
        <w:t xml:space="preserve">, vert </w:t>
      </w:r>
      <w:proofErr w:type="spellStart"/>
      <w:r w:rsidRPr="00B419CE">
        <w:t>ikkje</w:t>
      </w:r>
      <w:proofErr w:type="spellEnd"/>
      <w:r w:rsidRPr="00B419CE">
        <w:t xml:space="preserve"> forrenta. Renteutgiftene på kontolån er anslått til 25,9 mill. kroner i 2022.</w:t>
      </w:r>
    </w:p>
    <w:p w14:paraId="44E53740" w14:textId="77777777" w:rsidR="00B419CE" w:rsidRPr="00B419CE" w:rsidRDefault="00B419CE" w:rsidP="00B419CE">
      <w:pPr>
        <w:pStyle w:val="b-underpost"/>
      </w:pPr>
      <w:r w:rsidRPr="00B419CE">
        <w:t xml:space="preserve">Underpost 89.14 Kontolån </w:t>
      </w:r>
      <w:proofErr w:type="spellStart"/>
      <w:r w:rsidRPr="00B419CE">
        <w:t>frå</w:t>
      </w:r>
      <w:proofErr w:type="spellEnd"/>
      <w:r w:rsidRPr="00B419CE">
        <w:t xml:space="preserve"> ordinære fond</w:t>
      </w:r>
    </w:p>
    <w:p w14:paraId="28855C22" w14:textId="77777777" w:rsidR="00B419CE" w:rsidRPr="00B419CE" w:rsidRDefault="00B419CE" w:rsidP="00B419CE">
      <w:proofErr w:type="spellStart"/>
      <w:r w:rsidRPr="00B419CE">
        <w:t>Inneståande</w:t>
      </w:r>
      <w:proofErr w:type="spellEnd"/>
      <w:r w:rsidRPr="00B419CE">
        <w:t xml:space="preserve"> kontolån </w:t>
      </w:r>
      <w:proofErr w:type="spellStart"/>
      <w:r w:rsidRPr="00B419CE">
        <w:t>frå</w:t>
      </w:r>
      <w:proofErr w:type="spellEnd"/>
      <w:r w:rsidRPr="00B419CE">
        <w:t xml:space="preserve"> ordinære fond (gruppe 81 i </w:t>
      </w:r>
      <w:proofErr w:type="spellStart"/>
      <w:r w:rsidRPr="00B419CE">
        <w:t>Statsrekneskapen</w:t>
      </w:r>
      <w:proofErr w:type="spellEnd"/>
      <w:r w:rsidRPr="00B419CE">
        <w:t>) var ved utgangen av 2020 på 171,0 mrd. kroner (</w:t>
      </w:r>
      <w:proofErr w:type="spellStart"/>
      <w:r w:rsidRPr="00B419CE">
        <w:t>medrekna</w:t>
      </w:r>
      <w:proofErr w:type="spellEnd"/>
      <w:r w:rsidRPr="00B419CE">
        <w:t xml:space="preserve"> kapitaliserte renter). For 2022 vert rentene på kontolån </w:t>
      </w:r>
      <w:proofErr w:type="spellStart"/>
      <w:r w:rsidRPr="00B419CE">
        <w:t>frå</w:t>
      </w:r>
      <w:proofErr w:type="spellEnd"/>
      <w:r w:rsidRPr="00B419CE">
        <w:t xml:space="preserve"> ordinære fond anslått til 2 239 mill. kroner.</w:t>
      </w:r>
    </w:p>
    <w:p w14:paraId="1F2C3B93" w14:textId="77777777" w:rsidR="00B419CE" w:rsidRPr="00B419CE" w:rsidRDefault="00B419CE" w:rsidP="00B419CE">
      <w:pPr>
        <w:pStyle w:val="b-underpost"/>
      </w:pPr>
      <w:r w:rsidRPr="00B419CE">
        <w:t xml:space="preserve">Underpost 89.15 </w:t>
      </w:r>
      <w:proofErr w:type="spellStart"/>
      <w:r w:rsidRPr="00B419CE">
        <w:t>Statskassevekslar</w:t>
      </w:r>
      <w:proofErr w:type="spellEnd"/>
    </w:p>
    <w:p w14:paraId="7EF64B38" w14:textId="77777777" w:rsidR="00B419CE" w:rsidRPr="00B419CE" w:rsidRDefault="00B419CE" w:rsidP="00B419CE">
      <w:r w:rsidRPr="00B419CE">
        <w:t xml:space="preserve">Den ordinære kortsiktige opplåninga i </w:t>
      </w:r>
      <w:proofErr w:type="spellStart"/>
      <w:r w:rsidRPr="00B419CE">
        <w:t>marknaden</w:t>
      </w:r>
      <w:proofErr w:type="spellEnd"/>
      <w:r w:rsidRPr="00B419CE">
        <w:t xml:space="preserve"> skjer gjennom auksjon av </w:t>
      </w:r>
      <w:proofErr w:type="spellStart"/>
      <w:r w:rsidRPr="00B419CE">
        <w:t>statskassevekslar</w:t>
      </w:r>
      <w:proofErr w:type="spellEnd"/>
      <w:r w:rsidRPr="00B419CE">
        <w:t xml:space="preserve">. Dette er </w:t>
      </w:r>
      <w:proofErr w:type="spellStart"/>
      <w:r w:rsidRPr="00B419CE">
        <w:t>renteberande</w:t>
      </w:r>
      <w:proofErr w:type="spellEnd"/>
      <w:r w:rsidRPr="00B419CE">
        <w:t xml:space="preserve"> papir </w:t>
      </w:r>
      <w:proofErr w:type="spellStart"/>
      <w:r w:rsidRPr="00B419CE">
        <w:t>utan</w:t>
      </w:r>
      <w:proofErr w:type="spellEnd"/>
      <w:r w:rsidRPr="00B419CE">
        <w:t xml:space="preserve"> kupongrente, der rentekostnaden følgjer av underkursen som papira vert lagde ut til. Den effektive renta på </w:t>
      </w:r>
      <w:proofErr w:type="spellStart"/>
      <w:r w:rsidRPr="00B419CE">
        <w:t>statskassevekslane</w:t>
      </w:r>
      <w:proofErr w:type="spellEnd"/>
      <w:r w:rsidRPr="00B419CE">
        <w:t xml:space="preserve"> er såleis avhengig av kursen som staten oppnår i </w:t>
      </w:r>
      <w:proofErr w:type="spellStart"/>
      <w:r w:rsidRPr="00B419CE">
        <w:t>auksjonane</w:t>
      </w:r>
      <w:proofErr w:type="spellEnd"/>
      <w:r w:rsidRPr="00B419CE">
        <w:t>.</w:t>
      </w:r>
    </w:p>
    <w:p w14:paraId="49B094DC" w14:textId="77777777" w:rsidR="00B419CE" w:rsidRPr="00B419CE" w:rsidRDefault="00B419CE" w:rsidP="00B419CE">
      <w:r w:rsidRPr="00B419CE">
        <w:t>Dei samla renteutgiftene til staten under denne posten er anslått til 168 mill. kroner i 2022.</w:t>
      </w:r>
    </w:p>
    <w:p w14:paraId="164B9CF5" w14:textId="77777777" w:rsidR="00B419CE" w:rsidRPr="00B419CE" w:rsidRDefault="00B419CE" w:rsidP="00B419CE">
      <w:pPr>
        <w:pStyle w:val="b-underpost"/>
      </w:pPr>
      <w:r w:rsidRPr="00B419CE">
        <w:t>Underpost 89.17 Nye faste lån</w:t>
      </w:r>
    </w:p>
    <w:p w14:paraId="6DD11F18" w14:textId="77777777" w:rsidR="00B419CE" w:rsidRPr="00B419CE" w:rsidRDefault="00B419CE" w:rsidP="00B419CE">
      <w:r w:rsidRPr="00B419CE">
        <w:t xml:space="preserve">Underposten </w:t>
      </w:r>
      <w:proofErr w:type="spellStart"/>
      <w:r w:rsidRPr="00B419CE">
        <w:t>omfattar</w:t>
      </w:r>
      <w:proofErr w:type="spellEnd"/>
      <w:r w:rsidRPr="00B419CE">
        <w:t xml:space="preserve"> renteutgifter på </w:t>
      </w:r>
      <w:proofErr w:type="spellStart"/>
      <w:r w:rsidRPr="00B419CE">
        <w:t>innanlandske</w:t>
      </w:r>
      <w:proofErr w:type="spellEnd"/>
      <w:r w:rsidRPr="00B419CE">
        <w:t xml:space="preserve"> obligasjonslån med faste rente- og </w:t>
      </w:r>
      <w:proofErr w:type="spellStart"/>
      <w:r w:rsidRPr="00B419CE">
        <w:t>avdragsterminar</w:t>
      </w:r>
      <w:proofErr w:type="spellEnd"/>
      <w:r w:rsidRPr="00B419CE">
        <w:t xml:space="preserve">, </w:t>
      </w:r>
      <w:proofErr w:type="spellStart"/>
      <w:r w:rsidRPr="00B419CE">
        <w:t>tekne</w:t>
      </w:r>
      <w:proofErr w:type="spellEnd"/>
      <w:r w:rsidRPr="00B419CE">
        <w:t xml:space="preserve"> opp etter 1. januar 2021. Over- eller underkurs er budsjettert som omtalt under post 89.11. For 2022 er renteutgiftene på nye faste lån anslått til 971 mill. kroner.</w:t>
      </w:r>
    </w:p>
    <w:p w14:paraId="0AA2CF7D" w14:textId="77777777" w:rsidR="00B419CE" w:rsidRPr="00B419CE" w:rsidRDefault="00B419CE" w:rsidP="00B419CE">
      <w:pPr>
        <w:pStyle w:val="b-budkaptit"/>
      </w:pPr>
      <w:r w:rsidRPr="00B419CE">
        <w:t>Kap. 1651 Statsgjeld, avdrag og innløysing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2F7EB8F" w14:textId="77777777" w:rsidTr="00B419CE">
        <w:trPr>
          <w:trHeight w:val="640"/>
          <w:hidden/>
        </w:trPr>
        <w:tc>
          <w:tcPr>
            <w:tcW w:w="1140" w:type="dxa"/>
            <w:shd w:val="clear" w:color="auto" w:fill="FFFFFF"/>
          </w:tcPr>
          <w:p w14:paraId="22FE93F4" w14:textId="77777777" w:rsidR="00B419CE" w:rsidRPr="00B419CE" w:rsidRDefault="00B419CE" w:rsidP="00B419CE">
            <w:pPr>
              <w:pStyle w:val="Tabellnavn"/>
            </w:pPr>
            <w:r w:rsidRPr="00B419CE">
              <w:t>KPAL</w:t>
            </w:r>
          </w:p>
        </w:tc>
        <w:tc>
          <w:tcPr>
            <w:tcW w:w="4560" w:type="dxa"/>
          </w:tcPr>
          <w:p w14:paraId="1B7EAB32" w14:textId="77777777" w:rsidR="00B419CE" w:rsidRPr="00B419CE" w:rsidRDefault="00B419CE" w:rsidP="00B419CE"/>
        </w:tc>
        <w:tc>
          <w:tcPr>
            <w:tcW w:w="1140" w:type="dxa"/>
          </w:tcPr>
          <w:p w14:paraId="657A4F70" w14:textId="77777777" w:rsidR="00B419CE" w:rsidRPr="00B419CE" w:rsidRDefault="00B419CE" w:rsidP="00B419CE">
            <w:pPr>
              <w:jc w:val="right"/>
            </w:pPr>
          </w:p>
        </w:tc>
        <w:tc>
          <w:tcPr>
            <w:tcW w:w="1140" w:type="dxa"/>
          </w:tcPr>
          <w:p w14:paraId="20467752" w14:textId="77777777" w:rsidR="00B419CE" w:rsidRPr="00B419CE" w:rsidRDefault="00B419CE" w:rsidP="00B419CE">
            <w:pPr>
              <w:jc w:val="right"/>
            </w:pPr>
          </w:p>
        </w:tc>
        <w:tc>
          <w:tcPr>
            <w:tcW w:w="1140" w:type="dxa"/>
          </w:tcPr>
          <w:p w14:paraId="4A5C5363" w14:textId="77777777" w:rsidR="00B419CE" w:rsidRPr="00B419CE" w:rsidRDefault="00B419CE" w:rsidP="00B419CE">
            <w:pPr>
              <w:jc w:val="right"/>
            </w:pPr>
            <w:r w:rsidRPr="00B419CE">
              <w:t>(i 1 000 kr)</w:t>
            </w:r>
          </w:p>
        </w:tc>
      </w:tr>
      <w:tr w:rsidR="00B419CE" w:rsidRPr="00B419CE" w14:paraId="13084D27" w14:textId="77777777" w:rsidTr="00B419CE">
        <w:trPr>
          <w:trHeight w:val="600"/>
        </w:trPr>
        <w:tc>
          <w:tcPr>
            <w:tcW w:w="1140" w:type="dxa"/>
          </w:tcPr>
          <w:p w14:paraId="0C14AAB0" w14:textId="77777777" w:rsidR="00B419CE" w:rsidRPr="00B419CE" w:rsidRDefault="00B419CE" w:rsidP="00B419CE">
            <w:r w:rsidRPr="00B419CE">
              <w:t>Post</w:t>
            </w:r>
          </w:p>
        </w:tc>
        <w:tc>
          <w:tcPr>
            <w:tcW w:w="4560" w:type="dxa"/>
          </w:tcPr>
          <w:p w14:paraId="0FE4DE55" w14:textId="77777777" w:rsidR="00B419CE" w:rsidRPr="00B419CE" w:rsidRDefault="00B419CE" w:rsidP="00B419CE">
            <w:proofErr w:type="spellStart"/>
            <w:r w:rsidRPr="00B419CE">
              <w:t>Nemning</w:t>
            </w:r>
            <w:proofErr w:type="spellEnd"/>
          </w:p>
        </w:tc>
        <w:tc>
          <w:tcPr>
            <w:tcW w:w="1140" w:type="dxa"/>
          </w:tcPr>
          <w:p w14:paraId="5A3225CA"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50E09817" w14:textId="77777777" w:rsidR="00B419CE" w:rsidRPr="00B419CE" w:rsidRDefault="00B419CE" w:rsidP="00B419CE">
            <w:pPr>
              <w:jc w:val="right"/>
            </w:pPr>
            <w:r w:rsidRPr="00B419CE">
              <w:t>Saldert</w:t>
            </w:r>
            <w:r w:rsidRPr="00B419CE">
              <w:br/>
              <w:t xml:space="preserve"> budsjett 2021</w:t>
            </w:r>
          </w:p>
        </w:tc>
        <w:tc>
          <w:tcPr>
            <w:tcW w:w="1140" w:type="dxa"/>
          </w:tcPr>
          <w:p w14:paraId="53377ECC" w14:textId="77777777" w:rsidR="00B419CE" w:rsidRPr="00B419CE" w:rsidRDefault="00B419CE" w:rsidP="00B419CE">
            <w:pPr>
              <w:jc w:val="right"/>
            </w:pPr>
            <w:r w:rsidRPr="00B419CE">
              <w:t>Forslag</w:t>
            </w:r>
            <w:r w:rsidRPr="00B419CE">
              <w:br/>
              <w:t xml:space="preserve"> 2022</w:t>
            </w:r>
          </w:p>
        </w:tc>
      </w:tr>
      <w:tr w:rsidR="00B419CE" w:rsidRPr="00B419CE" w14:paraId="4DE0D10B" w14:textId="77777777" w:rsidTr="00B419CE">
        <w:trPr>
          <w:trHeight w:val="380"/>
        </w:trPr>
        <w:tc>
          <w:tcPr>
            <w:tcW w:w="1140" w:type="dxa"/>
          </w:tcPr>
          <w:p w14:paraId="40847A01" w14:textId="77777777" w:rsidR="00B419CE" w:rsidRPr="00B419CE" w:rsidRDefault="00B419CE" w:rsidP="00B419CE">
            <w:r w:rsidRPr="00B419CE">
              <w:lastRenderedPageBreak/>
              <w:t>98</w:t>
            </w:r>
          </w:p>
        </w:tc>
        <w:tc>
          <w:tcPr>
            <w:tcW w:w="4560" w:type="dxa"/>
          </w:tcPr>
          <w:p w14:paraId="354951FA" w14:textId="77777777" w:rsidR="00B419CE" w:rsidRPr="00B419CE" w:rsidRDefault="00B419CE" w:rsidP="00B419CE">
            <w:r w:rsidRPr="00B419CE">
              <w:t xml:space="preserve">Avdrag på </w:t>
            </w:r>
            <w:proofErr w:type="spellStart"/>
            <w:r w:rsidRPr="00B419CE">
              <w:t>innanlandsk</w:t>
            </w:r>
            <w:proofErr w:type="spellEnd"/>
            <w:r w:rsidRPr="00B419CE">
              <w:t xml:space="preserve"> statsgjeld</w:t>
            </w:r>
            <w:r w:rsidRPr="00B419CE">
              <w:rPr>
                <w:rStyle w:val="kursiv"/>
              </w:rPr>
              <w:t>, overslagsløyving</w:t>
            </w:r>
          </w:p>
        </w:tc>
        <w:tc>
          <w:tcPr>
            <w:tcW w:w="1140" w:type="dxa"/>
          </w:tcPr>
          <w:p w14:paraId="58DAC6F3" w14:textId="77777777" w:rsidR="00B419CE" w:rsidRPr="00B419CE" w:rsidRDefault="00B419CE" w:rsidP="00B419CE">
            <w:pPr>
              <w:jc w:val="right"/>
            </w:pPr>
            <w:r w:rsidRPr="00B419CE">
              <w:t>13 995 000</w:t>
            </w:r>
          </w:p>
        </w:tc>
        <w:tc>
          <w:tcPr>
            <w:tcW w:w="1140" w:type="dxa"/>
          </w:tcPr>
          <w:p w14:paraId="5C0F3E07" w14:textId="77777777" w:rsidR="00B419CE" w:rsidRPr="00B419CE" w:rsidRDefault="00B419CE" w:rsidP="00B419CE">
            <w:pPr>
              <w:jc w:val="right"/>
            </w:pPr>
            <w:r w:rsidRPr="00B419CE">
              <w:t>88 000 000</w:t>
            </w:r>
          </w:p>
        </w:tc>
        <w:tc>
          <w:tcPr>
            <w:tcW w:w="1140" w:type="dxa"/>
          </w:tcPr>
          <w:p w14:paraId="4FCB8602" w14:textId="77777777" w:rsidR="00B419CE" w:rsidRPr="00B419CE" w:rsidRDefault="00B419CE" w:rsidP="00B419CE">
            <w:pPr>
              <w:jc w:val="right"/>
            </w:pPr>
          </w:p>
        </w:tc>
      </w:tr>
      <w:tr w:rsidR="00B419CE" w:rsidRPr="00B419CE" w14:paraId="56035325" w14:textId="77777777" w:rsidTr="00B419CE">
        <w:trPr>
          <w:trHeight w:val="380"/>
        </w:trPr>
        <w:tc>
          <w:tcPr>
            <w:tcW w:w="1140" w:type="dxa"/>
          </w:tcPr>
          <w:p w14:paraId="44C0766D" w14:textId="77777777" w:rsidR="00B419CE" w:rsidRPr="00B419CE" w:rsidRDefault="00B419CE" w:rsidP="00B419CE"/>
        </w:tc>
        <w:tc>
          <w:tcPr>
            <w:tcW w:w="4560" w:type="dxa"/>
          </w:tcPr>
          <w:p w14:paraId="268C0EDD" w14:textId="77777777" w:rsidR="00B419CE" w:rsidRPr="00B419CE" w:rsidRDefault="00B419CE" w:rsidP="00B419CE">
            <w:r w:rsidRPr="00B419CE">
              <w:t>Sum kap. 1651</w:t>
            </w:r>
          </w:p>
        </w:tc>
        <w:tc>
          <w:tcPr>
            <w:tcW w:w="1140" w:type="dxa"/>
          </w:tcPr>
          <w:p w14:paraId="6622F0E6" w14:textId="77777777" w:rsidR="00B419CE" w:rsidRPr="00B419CE" w:rsidRDefault="00B419CE" w:rsidP="00B419CE">
            <w:pPr>
              <w:jc w:val="right"/>
            </w:pPr>
            <w:r w:rsidRPr="00B419CE">
              <w:t>13 995 000</w:t>
            </w:r>
          </w:p>
        </w:tc>
        <w:tc>
          <w:tcPr>
            <w:tcW w:w="1140" w:type="dxa"/>
          </w:tcPr>
          <w:p w14:paraId="6580A5BB" w14:textId="77777777" w:rsidR="00B419CE" w:rsidRPr="00B419CE" w:rsidRDefault="00B419CE" w:rsidP="00B419CE">
            <w:pPr>
              <w:jc w:val="right"/>
            </w:pPr>
            <w:r w:rsidRPr="00B419CE">
              <w:t>88 000 000</w:t>
            </w:r>
          </w:p>
        </w:tc>
        <w:tc>
          <w:tcPr>
            <w:tcW w:w="1140" w:type="dxa"/>
          </w:tcPr>
          <w:p w14:paraId="1362F2A5" w14:textId="77777777" w:rsidR="00B419CE" w:rsidRPr="00B419CE" w:rsidRDefault="00B419CE" w:rsidP="00B419CE">
            <w:pPr>
              <w:jc w:val="right"/>
            </w:pPr>
          </w:p>
        </w:tc>
      </w:tr>
    </w:tbl>
    <w:p w14:paraId="58999CEA" w14:textId="77777777" w:rsidR="00B419CE" w:rsidRPr="00B419CE" w:rsidRDefault="00B419CE" w:rsidP="00B419CE">
      <w:pPr>
        <w:pStyle w:val="b-post"/>
      </w:pPr>
      <w:r w:rsidRPr="00B419CE">
        <w:t xml:space="preserve">Post 98 Avdrag på </w:t>
      </w:r>
      <w:proofErr w:type="spellStart"/>
      <w:r w:rsidRPr="00B419CE">
        <w:t>innanlandsk</w:t>
      </w:r>
      <w:proofErr w:type="spellEnd"/>
      <w:r w:rsidRPr="00B419CE">
        <w:t xml:space="preserve"> statsgjeld, overslagsløyving</w:t>
      </w:r>
    </w:p>
    <w:p w14:paraId="18259B1F" w14:textId="77777777" w:rsidR="00B419CE" w:rsidRPr="00B419CE" w:rsidRDefault="00B419CE" w:rsidP="00B419CE">
      <w:r w:rsidRPr="00B419CE">
        <w:t xml:space="preserve">Posten </w:t>
      </w:r>
      <w:proofErr w:type="spellStart"/>
      <w:r w:rsidRPr="00B419CE">
        <w:t>omfattar</w:t>
      </w:r>
      <w:proofErr w:type="spellEnd"/>
      <w:r w:rsidRPr="00B419CE">
        <w:t xml:space="preserve"> avdrag på langsiktige statsobligasjonslån. I 2022 er det </w:t>
      </w:r>
      <w:proofErr w:type="spellStart"/>
      <w:r w:rsidRPr="00B419CE">
        <w:t>ikkje</w:t>
      </w:r>
      <w:proofErr w:type="spellEnd"/>
      <w:r w:rsidRPr="00B419CE">
        <w:t xml:space="preserve"> forfall av langsiktige statsobligasjonslån. </w:t>
      </w:r>
      <w:proofErr w:type="spellStart"/>
      <w:r w:rsidRPr="00B419CE">
        <w:t>Noregs</w:t>
      </w:r>
      <w:proofErr w:type="spellEnd"/>
      <w:r w:rsidRPr="00B419CE">
        <w:t xml:space="preserve"> Bank vil </w:t>
      </w:r>
      <w:proofErr w:type="spellStart"/>
      <w:r w:rsidRPr="00B419CE">
        <w:t>venteleg</w:t>
      </w:r>
      <w:proofErr w:type="spellEnd"/>
      <w:r w:rsidRPr="00B419CE">
        <w:t xml:space="preserve"> arrangere </w:t>
      </w:r>
      <w:proofErr w:type="spellStart"/>
      <w:r w:rsidRPr="00B419CE">
        <w:t>tilbakekjøpsauksjonar</w:t>
      </w:r>
      <w:proofErr w:type="spellEnd"/>
      <w:r w:rsidRPr="00B419CE">
        <w:t xml:space="preserve"> i </w:t>
      </w:r>
      <w:proofErr w:type="spellStart"/>
      <w:r w:rsidRPr="00B419CE">
        <w:t>marknaden</w:t>
      </w:r>
      <w:proofErr w:type="spellEnd"/>
      <w:r w:rsidRPr="00B419CE">
        <w:t xml:space="preserve"> i 2022 i lånet som </w:t>
      </w:r>
      <w:proofErr w:type="spellStart"/>
      <w:r w:rsidRPr="00B419CE">
        <w:t>forfell</w:t>
      </w:r>
      <w:proofErr w:type="spellEnd"/>
      <w:r w:rsidRPr="00B419CE">
        <w:t xml:space="preserve"> i 2023. Det kjøpte beløpet vert då å </w:t>
      </w:r>
      <w:proofErr w:type="spellStart"/>
      <w:r w:rsidRPr="00B419CE">
        <w:t>rekne</w:t>
      </w:r>
      <w:proofErr w:type="spellEnd"/>
      <w:r w:rsidRPr="00B419CE">
        <w:t xml:space="preserve"> som avdrag i 2022 og vil samstundes redusere forfallet i 2023. Det er </w:t>
      </w:r>
      <w:proofErr w:type="spellStart"/>
      <w:r w:rsidRPr="00B419CE">
        <w:t>ikkje</w:t>
      </w:r>
      <w:proofErr w:type="spellEnd"/>
      <w:r w:rsidRPr="00B419CE">
        <w:t xml:space="preserve"> </w:t>
      </w:r>
      <w:proofErr w:type="spellStart"/>
      <w:r w:rsidRPr="00B419CE">
        <w:t>mogleg</w:t>
      </w:r>
      <w:proofErr w:type="spellEnd"/>
      <w:r w:rsidRPr="00B419CE">
        <w:t xml:space="preserve"> å </w:t>
      </w:r>
      <w:proofErr w:type="spellStart"/>
      <w:r w:rsidRPr="00B419CE">
        <w:t>gje</w:t>
      </w:r>
      <w:proofErr w:type="spellEnd"/>
      <w:r w:rsidRPr="00B419CE">
        <w:t xml:space="preserve"> gode overslag for omfanget av tilbakekjøp, og slike er </w:t>
      </w:r>
      <w:proofErr w:type="spellStart"/>
      <w:r w:rsidRPr="00B419CE">
        <w:t>difor</w:t>
      </w:r>
      <w:proofErr w:type="spellEnd"/>
      <w:r w:rsidRPr="00B419CE">
        <w:t xml:space="preserve"> </w:t>
      </w:r>
      <w:proofErr w:type="spellStart"/>
      <w:r w:rsidRPr="00B419CE">
        <w:t>ikkje</w:t>
      </w:r>
      <w:proofErr w:type="spellEnd"/>
      <w:r w:rsidRPr="00B419CE">
        <w:t xml:space="preserve"> </w:t>
      </w:r>
      <w:proofErr w:type="spellStart"/>
      <w:r w:rsidRPr="00B419CE">
        <w:t>teke</w:t>
      </w:r>
      <w:proofErr w:type="spellEnd"/>
      <w:r w:rsidRPr="00B419CE">
        <w:t xml:space="preserve"> omsyn til i budsjettforslaget. Det er heller </w:t>
      </w:r>
      <w:proofErr w:type="spellStart"/>
      <w:r w:rsidRPr="00B419CE">
        <w:t>ikkje</w:t>
      </w:r>
      <w:proofErr w:type="spellEnd"/>
      <w:r w:rsidRPr="00B419CE">
        <w:t xml:space="preserve"> </w:t>
      </w:r>
      <w:proofErr w:type="spellStart"/>
      <w:r w:rsidRPr="00B419CE">
        <w:t>ynskjeleg</w:t>
      </w:r>
      <w:proofErr w:type="spellEnd"/>
      <w:r w:rsidRPr="00B419CE">
        <w:t xml:space="preserve"> å gå ut med overslag her, </w:t>
      </w:r>
      <w:proofErr w:type="spellStart"/>
      <w:r w:rsidRPr="00B419CE">
        <w:t>sidan</w:t>
      </w:r>
      <w:proofErr w:type="spellEnd"/>
      <w:r w:rsidRPr="00B419CE">
        <w:t xml:space="preserve"> dette kan </w:t>
      </w:r>
      <w:proofErr w:type="spellStart"/>
      <w:r w:rsidRPr="00B419CE">
        <w:t>gje</w:t>
      </w:r>
      <w:proofErr w:type="spellEnd"/>
      <w:r w:rsidRPr="00B419CE">
        <w:t xml:space="preserve"> staten mindre handlefridom i </w:t>
      </w:r>
      <w:proofErr w:type="spellStart"/>
      <w:r w:rsidRPr="00B419CE">
        <w:t>marknaden</w:t>
      </w:r>
      <w:proofErr w:type="spellEnd"/>
      <w:r w:rsidRPr="00B419CE">
        <w:t>.</w:t>
      </w:r>
    </w:p>
    <w:p w14:paraId="75BCAD21" w14:textId="77777777" w:rsidR="00B419CE" w:rsidRPr="00B419CE" w:rsidRDefault="00B419CE" w:rsidP="00B419CE">
      <w:pPr>
        <w:pStyle w:val="b-progkat"/>
      </w:pPr>
      <w:r w:rsidRPr="00B419CE">
        <w:t xml:space="preserve">Programkategori 24.20 </w:t>
      </w:r>
      <w:proofErr w:type="spellStart"/>
      <w:r w:rsidRPr="00B419CE">
        <w:t>Statlege</w:t>
      </w:r>
      <w:proofErr w:type="spellEnd"/>
      <w:r w:rsidRPr="00B419CE">
        <w:t xml:space="preserve"> krav, </w:t>
      </w:r>
      <w:proofErr w:type="spellStart"/>
      <w:r w:rsidRPr="00B419CE">
        <w:t>avsetningar</w:t>
      </w:r>
      <w:proofErr w:type="spellEnd"/>
      <w:r w:rsidRPr="00B419CE">
        <w:t xml:space="preserve"> m.m.</w:t>
      </w:r>
    </w:p>
    <w:p w14:paraId="624AC605" w14:textId="77777777" w:rsidR="00B419CE" w:rsidRPr="00B419CE" w:rsidRDefault="00B419CE" w:rsidP="00B419CE">
      <w:r w:rsidRPr="00B419CE">
        <w:t xml:space="preserve">Den nordiske investeringsbanken (NIB), som har </w:t>
      </w:r>
      <w:proofErr w:type="spellStart"/>
      <w:r w:rsidRPr="00B419CE">
        <w:t>hovudsete</w:t>
      </w:r>
      <w:proofErr w:type="spellEnd"/>
      <w:r w:rsidRPr="00B419CE">
        <w:t xml:space="preserve"> i Helsingfors, Finland, vart skipa i 1975 etter avtale mellom </w:t>
      </w:r>
      <w:proofErr w:type="spellStart"/>
      <w:r w:rsidRPr="00B419CE">
        <w:t>regjeringane</w:t>
      </w:r>
      <w:proofErr w:type="spellEnd"/>
      <w:r w:rsidRPr="00B419CE">
        <w:t xml:space="preserve"> i </w:t>
      </w:r>
      <w:proofErr w:type="spellStart"/>
      <w:r w:rsidRPr="00B419CE">
        <w:t>dei</w:t>
      </w:r>
      <w:proofErr w:type="spellEnd"/>
      <w:r w:rsidRPr="00B419CE">
        <w:t xml:space="preserve"> nordiske landa. Avtalen er </w:t>
      </w:r>
      <w:proofErr w:type="spellStart"/>
      <w:r w:rsidRPr="00B419CE">
        <w:t>seinare</w:t>
      </w:r>
      <w:proofErr w:type="spellEnd"/>
      <w:r w:rsidRPr="00B419CE">
        <w:t xml:space="preserve"> revidert etter semje 23. oktober 1998. </w:t>
      </w:r>
      <w:proofErr w:type="spellStart"/>
      <w:r w:rsidRPr="00B419CE">
        <w:t>Frå</w:t>
      </w:r>
      <w:proofErr w:type="spellEnd"/>
      <w:r w:rsidRPr="00B419CE">
        <w:t xml:space="preserve"> 1. januar 2005 vart Estland, Latvia og Litauen </w:t>
      </w:r>
      <w:proofErr w:type="spellStart"/>
      <w:r w:rsidRPr="00B419CE">
        <w:t>medlemar</w:t>
      </w:r>
      <w:proofErr w:type="spellEnd"/>
      <w:r w:rsidRPr="00B419CE">
        <w:t xml:space="preserve"> av banken.</w:t>
      </w:r>
    </w:p>
    <w:p w14:paraId="699B918B" w14:textId="77777777" w:rsidR="00B419CE" w:rsidRPr="00B419CE" w:rsidRDefault="00B419CE" w:rsidP="00B419CE">
      <w:r w:rsidRPr="00B419CE">
        <w:t xml:space="preserve">Avtalen om NIB vart endra igjen </w:t>
      </w:r>
      <w:proofErr w:type="spellStart"/>
      <w:r w:rsidRPr="00B419CE">
        <w:t>frå</w:t>
      </w:r>
      <w:proofErr w:type="spellEnd"/>
      <w:r w:rsidRPr="00B419CE">
        <w:t xml:space="preserve"> 29. juli 2020, mellom anna for å betre risikostyringa for banken si </w:t>
      </w:r>
      <w:proofErr w:type="spellStart"/>
      <w:r w:rsidRPr="00B419CE">
        <w:t>verksemd</w:t>
      </w:r>
      <w:proofErr w:type="spellEnd"/>
      <w:r w:rsidRPr="00B419CE">
        <w:t xml:space="preserve">. </w:t>
      </w:r>
      <w:proofErr w:type="spellStart"/>
      <w:r w:rsidRPr="00B419CE">
        <w:t>Endringane</w:t>
      </w:r>
      <w:proofErr w:type="spellEnd"/>
      <w:r w:rsidRPr="00B419CE">
        <w:t xml:space="preserve"> innebar mellom anna at </w:t>
      </w:r>
      <w:proofErr w:type="spellStart"/>
      <w:r w:rsidRPr="00B419CE">
        <w:t>ordningane</w:t>
      </w:r>
      <w:proofErr w:type="spellEnd"/>
      <w:r w:rsidRPr="00B419CE">
        <w:t xml:space="preserve"> med lån til </w:t>
      </w:r>
      <w:proofErr w:type="spellStart"/>
      <w:r w:rsidRPr="00B419CE">
        <w:t>prosjektinvesteringar</w:t>
      </w:r>
      <w:proofErr w:type="spellEnd"/>
      <w:r w:rsidRPr="00B419CE">
        <w:t xml:space="preserve"> </w:t>
      </w:r>
      <w:proofErr w:type="spellStart"/>
      <w:r w:rsidRPr="00B419CE">
        <w:t>utanfor</w:t>
      </w:r>
      <w:proofErr w:type="spellEnd"/>
      <w:r w:rsidRPr="00B419CE">
        <w:t xml:space="preserve"> Norden (PIL) og miljøinvesteringslån i nærområda til medlemslanda (MIL) vart avvikla. Dei avsette </w:t>
      </w:r>
      <w:proofErr w:type="spellStart"/>
      <w:r w:rsidRPr="00B419CE">
        <w:t>midlane</w:t>
      </w:r>
      <w:proofErr w:type="spellEnd"/>
      <w:r w:rsidRPr="00B419CE">
        <w:t xml:space="preserve"> i kredittrisikofondet for PIL og garantien til PIL vart samstundes konverterte til </w:t>
      </w:r>
      <w:proofErr w:type="spellStart"/>
      <w:r w:rsidRPr="00B419CE">
        <w:t>høvesvis</w:t>
      </w:r>
      <w:proofErr w:type="spellEnd"/>
      <w:r w:rsidRPr="00B419CE">
        <w:t xml:space="preserve"> innbetalt grunnkapital og garantiansvar i banken. </w:t>
      </w:r>
      <w:proofErr w:type="spellStart"/>
      <w:r w:rsidRPr="00B419CE">
        <w:t>Tilsvarande</w:t>
      </w:r>
      <w:proofErr w:type="spellEnd"/>
      <w:r w:rsidRPr="00B419CE">
        <w:t xml:space="preserve"> vart </w:t>
      </w:r>
      <w:proofErr w:type="spellStart"/>
      <w:r w:rsidRPr="00B419CE">
        <w:t>ikkje</w:t>
      </w:r>
      <w:proofErr w:type="spellEnd"/>
      <w:r w:rsidRPr="00B419CE">
        <w:t xml:space="preserve"> gjort for MIL-ordninga, der det </w:t>
      </w:r>
      <w:proofErr w:type="spellStart"/>
      <w:r w:rsidRPr="00B419CE">
        <w:t>ikkje</w:t>
      </w:r>
      <w:proofErr w:type="spellEnd"/>
      <w:r w:rsidRPr="00B419CE">
        <w:t xml:space="preserve"> var sett av </w:t>
      </w:r>
      <w:proofErr w:type="spellStart"/>
      <w:r w:rsidRPr="00B419CE">
        <w:t>midlar</w:t>
      </w:r>
      <w:proofErr w:type="spellEnd"/>
      <w:r w:rsidRPr="00B419CE">
        <w:t xml:space="preserve"> til </w:t>
      </w:r>
      <w:proofErr w:type="spellStart"/>
      <w:r w:rsidRPr="00B419CE">
        <w:t>eit</w:t>
      </w:r>
      <w:proofErr w:type="spellEnd"/>
      <w:r w:rsidRPr="00B419CE">
        <w:t xml:space="preserve"> kredittrisikofond.</w:t>
      </w:r>
    </w:p>
    <w:p w14:paraId="102B78A3" w14:textId="77777777" w:rsidR="00B419CE" w:rsidRPr="00B419CE" w:rsidRDefault="00B419CE" w:rsidP="00B419CE">
      <w:r w:rsidRPr="00B419CE">
        <w:t xml:space="preserve">I tillegg til nedlegginga av MIL og PIL </w:t>
      </w:r>
      <w:proofErr w:type="spellStart"/>
      <w:r w:rsidRPr="00B419CE">
        <w:t>vart</w:t>
      </w:r>
      <w:proofErr w:type="spellEnd"/>
      <w:r w:rsidRPr="00B419CE">
        <w:t xml:space="preserve"> det gjort </w:t>
      </w:r>
      <w:proofErr w:type="spellStart"/>
      <w:r w:rsidRPr="00B419CE">
        <w:t>fleire</w:t>
      </w:r>
      <w:proofErr w:type="spellEnd"/>
      <w:r w:rsidRPr="00B419CE">
        <w:t xml:space="preserve"> </w:t>
      </w:r>
      <w:proofErr w:type="spellStart"/>
      <w:r w:rsidRPr="00B419CE">
        <w:t>endringar</w:t>
      </w:r>
      <w:proofErr w:type="spellEnd"/>
      <w:r w:rsidRPr="00B419CE">
        <w:t xml:space="preserve"> i avtalen og </w:t>
      </w:r>
      <w:proofErr w:type="spellStart"/>
      <w:r w:rsidRPr="00B419CE">
        <w:t>statuttane</w:t>
      </w:r>
      <w:proofErr w:type="spellEnd"/>
      <w:r w:rsidRPr="00B419CE">
        <w:t xml:space="preserve"> for NIB. Sjå </w:t>
      </w:r>
      <w:proofErr w:type="spellStart"/>
      <w:r w:rsidRPr="00B419CE">
        <w:t>nærmare</w:t>
      </w:r>
      <w:proofErr w:type="spellEnd"/>
      <w:r w:rsidRPr="00B419CE">
        <w:t xml:space="preserve"> i </w:t>
      </w:r>
      <w:proofErr w:type="spellStart"/>
      <w:r w:rsidRPr="00B419CE">
        <w:t>Prop</w:t>
      </w:r>
      <w:proofErr w:type="spellEnd"/>
      <w:r w:rsidRPr="00B419CE">
        <w:t xml:space="preserve">. 1 S (2019–2020) </w:t>
      </w:r>
      <w:proofErr w:type="spellStart"/>
      <w:r w:rsidRPr="00B419CE">
        <w:t>frå</w:t>
      </w:r>
      <w:proofErr w:type="spellEnd"/>
      <w:r w:rsidRPr="00B419CE">
        <w:t xml:space="preserve"> Finansdepartementet, s. 107.</w:t>
      </w:r>
    </w:p>
    <w:p w14:paraId="6EBFB158" w14:textId="77777777" w:rsidR="00B419CE" w:rsidRPr="00B419CE" w:rsidRDefault="00B419CE" w:rsidP="00B419CE">
      <w:pPr>
        <w:pStyle w:val="Undertittel"/>
      </w:pPr>
      <w:r w:rsidRPr="00B419CE">
        <w:t>Låne- og garantiordninga i NIB</w:t>
      </w:r>
    </w:p>
    <w:p w14:paraId="4B037CA5" w14:textId="77777777" w:rsidR="00B419CE" w:rsidRPr="00B419CE" w:rsidRDefault="00B419CE" w:rsidP="00B419CE">
      <w:r w:rsidRPr="00B419CE">
        <w:t xml:space="preserve">Etter </w:t>
      </w:r>
      <w:proofErr w:type="spellStart"/>
      <w:r w:rsidRPr="00B419CE">
        <w:t>endringane</w:t>
      </w:r>
      <w:proofErr w:type="spellEnd"/>
      <w:r w:rsidRPr="00B419CE">
        <w:t xml:space="preserve"> i avtalen om NIB </w:t>
      </w:r>
      <w:proofErr w:type="spellStart"/>
      <w:r w:rsidRPr="00B419CE">
        <w:t>utgjer</w:t>
      </w:r>
      <w:proofErr w:type="spellEnd"/>
      <w:r w:rsidRPr="00B419CE">
        <w:t xml:space="preserve"> </w:t>
      </w:r>
      <w:proofErr w:type="spellStart"/>
      <w:r w:rsidRPr="00B419CE">
        <w:t>hovudtyngda</w:t>
      </w:r>
      <w:proofErr w:type="spellEnd"/>
      <w:r w:rsidRPr="00B419CE">
        <w:t xml:space="preserve"> av </w:t>
      </w:r>
      <w:proofErr w:type="spellStart"/>
      <w:r w:rsidRPr="00B419CE">
        <w:t>verksemda</w:t>
      </w:r>
      <w:proofErr w:type="spellEnd"/>
      <w:r w:rsidRPr="00B419CE">
        <w:t xml:space="preserve"> til banken </w:t>
      </w:r>
      <w:proofErr w:type="spellStart"/>
      <w:r w:rsidRPr="00B419CE">
        <w:t>vanlege</w:t>
      </w:r>
      <w:proofErr w:type="spellEnd"/>
      <w:r w:rsidRPr="00B419CE">
        <w:t xml:space="preserve"> investeringsutlån og </w:t>
      </w:r>
      <w:proofErr w:type="spellStart"/>
      <w:r w:rsidRPr="00B419CE">
        <w:t>garantiar</w:t>
      </w:r>
      <w:proofErr w:type="spellEnd"/>
      <w:r w:rsidRPr="00B419CE">
        <w:t xml:space="preserve"> til </w:t>
      </w:r>
      <w:proofErr w:type="spellStart"/>
      <w:r w:rsidRPr="00B419CE">
        <w:t>aktivitetar</w:t>
      </w:r>
      <w:proofErr w:type="spellEnd"/>
      <w:r w:rsidRPr="00B419CE">
        <w:t xml:space="preserve"> i </w:t>
      </w:r>
      <w:proofErr w:type="spellStart"/>
      <w:r w:rsidRPr="00B419CE">
        <w:t>eigarlanda</w:t>
      </w:r>
      <w:proofErr w:type="spellEnd"/>
      <w:r w:rsidRPr="00B419CE">
        <w:t xml:space="preserve">. Det aller meste av utlåna går med til </w:t>
      </w:r>
      <w:proofErr w:type="spellStart"/>
      <w:r w:rsidRPr="00B419CE">
        <w:t>fremje</w:t>
      </w:r>
      <w:proofErr w:type="spellEnd"/>
      <w:r w:rsidRPr="00B419CE">
        <w:t xml:space="preserve"> av miljø og/eller produktivitet. Utlåna vert finansierte med grunnkapitalen til banken.</w:t>
      </w:r>
    </w:p>
    <w:p w14:paraId="5FD1B38F" w14:textId="77777777" w:rsidR="00B419CE" w:rsidRPr="00B419CE" w:rsidRDefault="00B419CE" w:rsidP="00B419CE">
      <w:pPr>
        <w:pStyle w:val="avsnitt-undertittel"/>
      </w:pPr>
      <w:r w:rsidRPr="00B419CE">
        <w:t>Grunnkapitalen</w:t>
      </w:r>
    </w:p>
    <w:p w14:paraId="0AE26B31" w14:textId="77777777" w:rsidR="00B419CE" w:rsidRPr="00B419CE" w:rsidRDefault="00B419CE" w:rsidP="00B419CE">
      <w:r w:rsidRPr="00B419CE">
        <w:t xml:space="preserve">Grunnkapitalen er dels innbetalt kapital og dels garantikapital </w:t>
      </w:r>
      <w:proofErr w:type="spellStart"/>
      <w:r w:rsidRPr="00B419CE">
        <w:t>frå</w:t>
      </w:r>
      <w:proofErr w:type="spellEnd"/>
      <w:r w:rsidRPr="00B419CE">
        <w:t xml:space="preserve"> medlemslanda. Den norske kapitalen </w:t>
      </w:r>
      <w:proofErr w:type="spellStart"/>
      <w:r w:rsidRPr="00B419CE">
        <w:t>utgjer</w:t>
      </w:r>
      <w:proofErr w:type="spellEnd"/>
      <w:r w:rsidRPr="00B419CE">
        <w:t xml:space="preserve"> 21,5 prosent av den samla kapitalen i NIB. Etter at avtalen om </w:t>
      </w:r>
      <w:proofErr w:type="spellStart"/>
      <w:r w:rsidRPr="00B419CE">
        <w:t>endringar</w:t>
      </w:r>
      <w:proofErr w:type="spellEnd"/>
      <w:r w:rsidRPr="00B419CE">
        <w:t xml:space="preserve"> i NIB </w:t>
      </w:r>
      <w:proofErr w:type="spellStart"/>
      <w:r w:rsidRPr="00B419CE">
        <w:t>vart</w:t>
      </w:r>
      <w:proofErr w:type="spellEnd"/>
      <w:r w:rsidRPr="00B419CE">
        <w:t xml:space="preserve"> sett i verk, </w:t>
      </w:r>
      <w:proofErr w:type="spellStart"/>
      <w:r w:rsidRPr="00B419CE">
        <w:t>utgjer</w:t>
      </w:r>
      <w:proofErr w:type="spellEnd"/>
      <w:r w:rsidRPr="00B419CE">
        <w:t xml:space="preserve"> </w:t>
      </w:r>
      <w:proofErr w:type="spellStart"/>
      <w:r w:rsidRPr="00B419CE">
        <w:t>Noregs</w:t>
      </w:r>
      <w:proofErr w:type="spellEnd"/>
      <w:r w:rsidRPr="00B419CE">
        <w:t xml:space="preserve"> innbetalte kapital 181 832 487 euro, </w:t>
      </w:r>
      <w:proofErr w:type="spellStart"/>
      <w:r w:rsidRPr="00B419CE">
        <w:t>medan</w:t>
      </w:r>
      <w:proofErr w:type="spellEnd"/>
      <w:r w:rsidRPr="00B419CE">
        <w:t xml:space="preserve"> </w:t>
      </w:r>
      <w:r w:rsidRPr="00B419CE">
        <w:lastRenderedPageBreak/>
        <w:t xml:space="preserve">garantikapitalen </w:t>
      </w:r>
      <w:proofErr w:type="spellStart"/>
      <w:r w:rsidRPr="00B419CE">
        <w:t>fråtrekt</w:t>
      </w:r>
      <w:proofErr w:type="spellEnd"/>
      <w:r w:rsidRPr="00B419CE">
        <w:t xml:space="preserve"> innbetalt kapital er 1 617 872 454,48 euro. Dette er uendra </w:t>
      </w:r>
      <w:proofErr w:type="spellStart"/>
      <w:r w:rsidRPr="00B419CE">
        <w:t>frå</w:t>
      </w:r>
      <w:proofErr w:type="spellEnd"/>
      <w:r w:rsidRPr="00B419CE">
        <w:t xml:space="preserve"> 2021-framlegget.</w:t>
      </w:r>
    </w:p>
    <w:p w14:paraId="2B36DC0B" w14:textId="77777777" w:rsidR="00B419CE" w:rsidRPr="00B419CE" w:rsidRDefault="00B419CE" w:rsidP="00B419CE">
      <w:r w:rsidRPr="00B419CE">
        <w:t xml:space="preserve">I tråd med </w:t>
      </w:r>
      <w:proofErr w:type="spellStart"/>
      <w:r w:rsidRPr="00B419CE">
        <w:t>ovannemnde</w:t>
      </w:r>
      <w:proofErr w:type="spellEnd"/>
      <w:r w:rsidRPr="00B419CE">
        <w:t xml:space="preserve"> tilrår departementet at Stortinget gjev Finansdepartementet fullmakt til å </w:t>
      </w:r>
      <w:proofErr w:type="spellStart"/>
      <w:r w:rsidRPr="00B419CE">
        <w:t>gje</w:t>
      </w:r>
      <w:proofErr w:type="spellEnd"/>
      <w:r w:rsidRPr="00B419CE">
        <w:t xml:space="preserve"> </w:t>
      </w:r>
      <w:proofErr w:type="spellStart"/>
      <w:r w:rsidRPr="00B419CE">
        <w:t>garantiar</w:t>
      </w:r>
      <w:proofErr w:type="spellEnd"/>
      <w:r w:rsidRPr="00B419CE">
        <w:t xml:space="preserve"> i 2022 for </w:t>
      </w:r>
      <w:proofErr w:type="spellStart"/>
      <w:r w:rsidRPr="00B419CE">
        <w:t>Noregs</w:t>
      </w:r>
      <w:proofErr w:type="spellEnd"/>
      <w:r w:rsidRPr="00B419CE">
        <w:t xml:space="preserve"> del av grunnkapitalen til NIB, </w:t>
      </w:r>
      <w:proofErr w:type="spellStart"/>
      <w:r w:rsidRPr="00B419CE">
        <w:t>fråtrekt</w:t>
      </w:r>
      <w:proofErr w:type="spellEnd"/>
      <w:r w:rsidRPr="00B419CE">
        <w:t xml:space="preserve"> innbetalt kapital, </w:t>
      </w:r>
      <w:proofErr w:type="spellStart"/>
      <w:r w:rsidRPr="00B419CE">
        <w:t>innanfor</w:t>
      </w:r>
      <w:proofErr w:type="spellEnd"/>
      <w:r w:rsidRPr="00B419CE">
        <w:t xml:space="preserve"> ei samla ramme for nye </w:t>
      </w:r>
      <w:proofErr w:type="spellStart"/>
      <w:r w:rsidRPr="00B419CE">
        <w:t>tilsegner</w:t>
      </w:r>
      <w:proofErr w:type="spellEnd"/>
      <w:r w:rsidRPr="00B419CE">
        <w:t xml:space="preserve"> og gammalt ansvar på 1 617 872 454,48 euro, jf. framlegg til </w:t>
      </w:r>
      <w:proofErr w:type="spellStart"/>
      <w:r w:rsidRPr="00B419CE">
        <w:t>romartalsvedtak</w:t>
      </w:r>
      <w:proofErr w:type="spellEnd"/>
      <w:r w:rsidRPr="00B419CE">
        <w:t xml:space="preserve"> VI.</w:t>
      </w:r>
    </w:p>
    <w:p w14:paraId="72A45009" w14:textId="77777777" w:rsidR="00B419CE" w:rsidRPr="00B419CE" w:rsidRDefault="00B419CE" w:rsidP="00B419CE">
      <w:pPr>
        <w:pStyle w:val="b-budkaptit"/>
      </w:pPr>
      <w:r w:rsidRPr="00B419CE">
        <w:t>Kap. 4670 Den nordiske investeringsbanken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2B3BCE36" w14:textId="77777777" w:rsidTr="00B419CE">
        <w:trPr>
          <w:trHeight w:val="640"/>
          <w:hidden/>
        </w:trPr>
        <w:tc>
          <w:tcPr>
            <w:tcW w:w="1140" w:type="dxa"/>
            <w:shd w:val="clear" w:color="auto" w:fill="FFFFFF"/>
          </w:tcPr>
          <w:p w14:paraId="249F5265" w14:textId="77777777" w:rsidR="00B419CE" w:rsidRPr="00B419CE" w:rsidRDefault="00B419CE" w:rsidP="00B419CE">
            <w:pPr>
              <w:pStyle w:val="Tabellnavn"/>
            </w:pPr>
            <w:r w:rsidRPr="00B419CE">
              <w:t>KPAL</w:t>
            </w:r>
          </w:p>
        </w:tc>
        <w:tc>
          <w:tcPr>
            <w:tcW w:w="4560" w:type="dxa"/>
          </w:tcPr>
          <w:p w14:paraId="0F28C08A" w14:textId="77777777" w:rsidR="00B419CE" w:rsidRPr="00B419CE" w:rsidRDefault="00B419CE" w:rsidP="00B419CE">
            <w:pPr>
              <w:pStyle w:val="Tabellnavn"/>
            </w:pPr>
          </w:p>
        </w:tc>
        <w:tc>
          <w:tcPr>
            <w:tcW w:w="1140" w:type="dxa"/>
          </w:tcPr>
          <w:p w14:paraId="296F2B6D" w14:textId="77777777" w:rsidR="00B419CE" w:rsidRPr="00B419CE" w:rsidRDefault="00B419CE" w:rsidP="00B419CE">
            <w:pPr>
              <w:pStyle w:val="Tabellnavn"/>
              <w:jc w:val="right"/>
            </w:pPr>
          </w:p>
        </w:tc>
        <w:tc>
          <w:tcPr>
            <w:tcW w:w="1140" w:type="dxa"/>
          </w:tcPr>
          <w:p w14:paraId="28E1BE67" w14:textId="77777777" w:rsidR="00B419CE" w:rsidRPr="00B419CE" w:rsidRDefault="00B419CE" w:rsidP="00B419CE">
            <w:pPr>
              <w:pStyle w:val="Tabellnavn"/>
              <w:jc w:val="right"/>
            </w:pPr>
          </w:p>
        </w:tc>
        <w:tc>
          <w:tcPr>
            <w:tcW w:w="1140" w:type="dxa"/>
          </w:tcPr>
          <w:p w14:paraId="77524C08" w14:textId="77777777" w:rsidR="00B419CE" w:rsidRPr="00B419CE" w:rsidRDefault="00B419CE" w:rsidP="00B419CE">
            <w:pPr>
              <w:jc w:val="right"/>
            </w:pPr>
            <w:r w:rsidRPr="00B419CE">
              <w:t>(i 1 000 kr)</w:t>
            </w:r>
          </w:p>
        </w:tc>
      </w:tr>
      <w:tr w:rsidR="00B419CE" w:rsidRPr="00B419CE" w14:paraId="69EA4308" w14:textId="77777777" w:rsidTr="00B419CE">
        <w:trPr>
          <w:trHeight w:val="600"/>
        </w:trPr>
        <w:tc>
          <w:tcPr>
            <w:tcW w:w="1140" w:type="dxa"/>
          </w:tcPr>
          <w:p w14:paraId="3062B879" w14:textId="77777777" w:rsidR="00B419CE" w:rsidRPr="00B419CE" w:rsidRDefault="00B419CE" w:rsidP="00B419CE">
            <w:r w:rsidRPr="00B419CE">
              <w:t>Post</w:t>
            </w:r>
          </w:p>
        </w:tc>
        <w:tc>
          <w:tcPr>
            <w:tcW w:w="4560" w:type="dxa"/>
          </w:tcPr>
          <w:p w14:paraId="564BBF0A" w14:textId="77777777" w:rsidR="00B419CE" w:rsidRPr="00B419CE" w:rsidRDefault="00B419CE" w:rsidP="00B419CE">
            <w:proofErr w:type="spellStart"/>
            <w:r w:rsidRPr="00B419CE">
              <w:t>Nemning</w:t>
            </w:r>
            <w:proofErr w:type="spellEnd"/>
          </w:p>
        </w:tc>
        <w:tc>
          <w:tcPr>
            <w:tcW w:w="1140" w:type="dxa"/>
          </w:tcPr>
          <w:p w14:paraId="32ECCE9B"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41BEE055" w14:textId="77777777" w:rsidR="00B419CE" w:rsidRPr="00B419CE" w:rsidRDefault="00B419CE" w:rsidP="00B419CE">
            <w:pPr>
              <w:jc w:val="right"/>
            </w:pPr>
            <w:r w:rsidRPr="00B419CE">
              <w:t>Saldert</w:t>
            </w:r>
            <w:r w:rsidRPr="00B419CE">
              <w:br/>
              <w:t xml:space="preserve"> budsjett 2021</w:t>
            </w:r>
          </w:p>
        </w:tc>
        <w:tc>
          <w:tcPr>
            <w:tcW w:w="1140" w:type="dxa"/>
          </w:tcPr>
          <w:p w14:paraId="52B0F66B" w14:textId="77777777" w:rsidR="00B419CE" w:rsidRPr="00B419CE" w:rsidRDefault="00B419CE" w:rsidP="00B419CE">
            <w:pPr>
              <w:jc w:val="right"/>
            </w:pPr>
            <w:r w:rsidRPr="00B419CE">
              <w:t>Forslag</w:t>
            </w:r>
            <w:r w:rsidRPr="00B419CE">
              <w:br/>
              <w:t xml:space="preserve"> 2022</w:t>
            </w:r>
          </w:p>
        </w:tc>
      </w:tr>
      <w:tr w:rsidR="00B419CE" w:rsidRPr="00B419CE" w14:paraId="66587ECE" w14:textId="77777777" w:rsidTr="00B419CE">
        <w:trPr>
          <w:trHeight w:val="380"/>
        </w:trPr>
        <w:tc>
          <w:tcPr>
            <w:tcW w:w="1140" w:type="dxa"/>
          </w:tcPr>
          <w:p w14:paraId="5B1A73C7" w14:textId="77777777" w:rsidR="00B419CE" w:rsidRPr="00B419CE" w:rsidRDefault="00B419CE" w:rsidP="00B419CE">
            <w:r w:rsidRPr="00B419CE">
              <w:t>50</w:t>
            </w:r>
          </w:p>
        </w:tc>
        <w:tc>
          <w:tcPr>
            <w:tcW w:w="4560" w:type="dxa"/>
          </w:tcPr>
          <w:p w14:paraId="20D88C63" w14:textId="77777777" w:rsidR="00B419CE" w:rsidRPr="00B419CE" w:rsidRDefault="00B419CE" w:rsidP="00B419CE">
            <w:r w:rsidRPr="00B419CE">
              <w:t xml:space="preserve">Tilbakeføring av </w:t>
            </w:r>
            <w:proofErr w:type="spellStart"/>
            <w:r w:rsidRPr="00B419CE">
              <w:t>tapsfondsmidlar</w:t>
            </w:r>
            <w:proofErr w:type="spellEnd"/>
          </w:p>
        </w:tc>
        <w:tc>
          <w:tcPr>
            <w:tcW w:w="1140" w:type="dxa"/>
          </w:tcPr>
          <w:p w14:paraId="2E8E6571" w14:textId="77777777" w:rsidR="00B419CE" w:rsidRPr="00B419CE" w:rsidRDefault="00B419CE" w:rsidP="00B419CE">
            <w:pPr>
              <w:jc w:val="right"/>
            </w:pPr>
            <w:r w:rsidRPr="00B419CE">
              <w:t>70 237</w:t>
            </w:r>
          </w:p>
        </w:tc>
        <w:tc>
          <w:tcPr>
            <w:tcW w:w="1140" w:type="dxa"/>
          </w:tcPr>
          <w:p w14:paraId="27D671B9" w14:textId="77777777" w:rsidR="00B419CE" w:rsidRPr="00B419CE" w:rsidRDefault="00B419CE" w:rsidP="00B419CE">
            <w:pPr>
              <w:jc w:val="right"/>
            </w:pPr>
          </w:p>
        </w:tc>
        <w:tc>
          <w:tcPr>
            <w:tcW w:w="1140" w:type="dxa"/>
          </w:tcPr>
          <w:p w14:paraId="68D59F98" w14:textId="77777777" w:rsidR="00B419CE" w:rsidRPr="00B419CE" w:rsidRDefault="00B419CE" w:rsidP="00B419CE">
            <w:pPr>
              <w:jc w:val="right"/>
            </w:pPr>
          </w:p>
        </w:tc>
      </w:tr>
      <w:tr w:rsidR="00B419CE" w:rsidRPr="00B419CE" w14:paraId="16149556" w14:textId="77777777" w:rsidTr="00B419CE">
        <w:trPr>
          <w:trHeight w:val="380"/>
        </w:trPr>
        <w:tc>
          <w:tcPr>
            <w:tcW w:w="1140" w:type="dxa"/>
          </w:tcPr>
          <w:p w14:paraId="6C0596F3" w14:textId="77777777" w:rsidR="00B419CE" w:rsidRPr="00B419CE" w:rsidRDefault="00B419CE" w:rsidP="00B419CE"/>
        </w:tc>
        <w:tc>
          <w:tcPr>
            <w:tcW w:w="4560" w:type="dxa"/>
          </w:tcPr>
          <w:p w14:paraId="2D7CDA9F" w14:textId="77777777" w:rsidR="00B419CE" w:rsidRPr="00B419CE" w:rsidRDefault="00B419CE" w:rsidP="00B419CE">
            <w:r w:rsidRPr="00B419CE">
              <w:t>Sum kap. 4670</w:t>
            </w:r>
          </w:p>
        </w:tc>
        <w:tc>
          <w:tcPr>
            <w:tcW w:w="1140" w:type="dxa"/>
          </w:tcPr>
          <w:p w14:paraId="29DBC06F" w14:textId="77777777" w:rsidR="00B419CE" w:rsidRPr="00B419CE" w:rsidRDefault="00B419CE" w:rsidP="00B419CE">
            <w:pPr>
              <w:jc w:val="right"/>
            </w:pPr>
            <w:r w:rsidRPr="00B419CE">
              <w:t>70 237</w:t>
            </w:r>
          </w:p>
        </w:tc>
        <w:tc>
          <w:tcPr>
            <w:tcW w:w="1140" w:type="dxa"/>
          </w:tcPr>
          <w:p w14:paraId="6E721E6A" w14:textId="77777777" w:rsidR="00B419CE" w:rsidRPr="00B419CE" w:rsidRDefault="00B419CE" w:rsidP="00B419CE">
            <w:pPr>
              <w:jc w:val="right"/>
            </w:pPr>
          </w:p>
        </w:tc>
        <w:tc>
          <w:tcPr>
            <w:tcW w:w="1140" w:type="dxa"/>
          </w:tcPr>
          <w:p w14:paraId="2B05BC46" w14:textId="77777777" w:rsidR="00B419CE" w:rsidRPr="00B419CE" w:rsidRDefault="00B419CE" w:rsidP="00B419CE">
            <w:pPr>
              <w:jc w:val="right"/>
            </w:pPr>
          </w:p>
        </w:tc>
      </w:tr>
    </w:tbl>
    <w:p w14:paraId="2EB1B7CB" w14:textId="77777777" w:rsidR="00B419CE" w:rsidRPr="00B419CE" w:rsidRDefault="00B419CE" w:rsidP="00B419CE">
      <w:r w:rsidRPr="00B419CE">
        <w:t xml:space="preserve">I åra 1999–2000, 2002–2004 og 2015–2018 vart det gjeve </w:t>
      </w:r>
      <w:proofErr w:type="spellStart"/>
      <w:r w:rsidRPr="00B419CE">
        <w:t>løyvingar</w:t>
      </w:r>
      <w:proofErr w:type="spellEnd"/>
      <w:r w:rsidRPr="00B419CE">
        <w:t xml:space="preserve"> over kap. 1670 </w:t>
      </w:r>
      <w:proofErr w:type="spellStart"/>
      <w:r w:rsidRPr="00B419CE">
        <w:rPr>
          <w:rStyle w:val="kursiv"/>
        </w:rPr>
        <w:t>Avsetningar</w:t>
      </w:r>
      <w:proofErr w:type="spellEnd"/>
      <w:r w:rsidRPr="00B419CE">
        <w:rPr>
          <w:rStyle w:val="kursiv"/>
        </w:rPr>
        <w:t xml:space="preserve"> til Den nordiske investeringsbanken</w:t>
      </w:r>
      <w:r w:rsidRPr="00B419CE">
        <w:t xml:space="preserve">, post 50 </w:t>
      </w:r>
      <w:r w:rsidRPr="00B419CE">
        <w:rPr>
          <w:rStyle w:val="kursiv"/>
        </w:rPr>
        <w:t>Tapsfond for miljølåneordninga.</w:t>
      </w:r>
      <w:r w:rsidRPr="00B419CE">
        <w:t xml:space="preserve"> </w:t>
      </w:r>
      <w:proofErr w:type="spellStart"/>
      <w:r w:rsidRPr="00B419CE">
        <w:t>Desse</w:t>
      </w:r>
      <w:proofErr w:type="spellEnd"/>
      <w:r w:rsidRPr="00B419CE">
        <w:t xml:space="preserve"> </w:t>
      </w:r>
      <w:proofErr w:type="spellStart"/>
      <w:r w:rsidRPr="00B419CE">
        <w:t>avsetningane</w:t>
      </w:r>
      <w:proofErr w:type="spellEnd"/>
      <w:r w:rsidRPr="00B419CE">
        <w:t xml:space="preserve"> sto i </w:t>
      </w:r>
      <w:proofErr w:type="spellStart"/>
      <w:r w:rsidRPr="00B419CE">
        <w:t>statsrekneskapen</w:t>
      </w:r>
      <w:proofErr w:type="spellEnd"/>
      <w:r w:rsidRPr="00B419CE">
        <w:t xml:space="preserve"> som skyldnader. </w:t>
      </w:r>
      <w:proofErr w:type="spellStart"/>
      <w:r w:rsidRPr="00B419CE">
        <w:t>Sidan</w:t>
      </w:r>
      <w:proofErr w:type="spellEnd"/>
      <w:r w:rsidRPr="00B419CE">
        <w:t xml:space="preserve"> garantiordninga for både miljø- og </w:t>
      </w:r>
      <w:proofErr w:type="spellStart"/>
      <w:r w:rsidRPr="00B419CE">
        <w:t>prosjektlåneordningane</w:t>
      </w:r>
      <w:proofErr w:type="spellEnd"/>
      <w:r w:rsidRPr="00B419CE">
        <w:t xml:space="preserve"> fall bort i 2020, vart </w:t>
      </w:r>
      <w:proofErr w:type="spellStart"/>
      <w:r w:rsidRPr="00B419CE">
        <w:t>desse</w:t>
      </w:r>
      <w:proofErr w:type="spellEnd"/>
      <w:r w:rsidRPr="00B419CE">
        <w:t xml:space="preserve"> </w:t>
      </w:r>
      <w:proofErr w:type="spellStart"/>
      <w:r w:rsidRPr="00B419CE">
        <w:t>avsetjingane</w:t>
      </w:r>
      <w:proofErr w:type="spellEnd"/>
      <w:r w:rsidRPr="00B419CE">
        <w:t xml:space="preserve"> </w:t>
      </w:r>
      <w:proofErr w:type="spellStart"/>
      <w:r w:rsidRPr="00B419CE">
        <w:t>tekne</w:t>
      </w:r>
      <w:proofErr w:type="spellEnd"/>
      <w:r w:rsidRPr="00B419CE">
        <w:t xml:space="preserve"> til inntekt med til </w:t>
      </w:r>
      <w:proofErr w:type="spellStart"/>
      <w:r w:rsidRPr="00B419CE">
        <w:t>saman</w:t>
      </w:r>
      <w:proofErr w:type="spellEnd"/>
      <w:r w:rsidRPr="00B419CE">
        <w:t xml:space="preserve"> 70 237 000 kroner.</w:t>
      </w:r>
    </w:p>
    <w:p w14:paraId="72E4BF62" w14:textId="77777777" w:rsidR="00B419CE" w:rsidRPr="00B419CE" w:rsidRDefault="00B419CE" w:rsidP="00B419CE">
      <w:pPr>
        <w:pStyle w:val="b-budkaptit"/>
      </w:pPr>
      <w:r w:rsidRPr="00B419CE">
        <w:t xml:space="preserve">Kap. 5341 Avdrag på </w:t>
      </w:r>
      <w:proofErr w:type="spellStart"/>
      <w:r w:rsidRPr="00B419CE">
        <w:t>uteståande</w:t>
      </w:r>
      <w:proofErr w:type="spellEnd"/>
      <w:r w:rsidRPr="00B419CE">
        <w:t xml:space="preserve"> </w:t>
      </w:r>
      <w:proofErr w:type="spellStart"/>
      <w:r w:rsidRPr="00B419CE">
        <w:t>fordringar</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32876329" w14:textId="77777777" w:rsidTr="00B419CE">
        <w:trPr>
          <w:trHeight w:val="640"/>
          <w:hidden/>
        </w:trPr>
        <w:tc>
          <w:tcPr>
            <w:tcW w:w="1140" w:type="dxa"/>
            <w:shd w:val="clear" w:color="auto" w:fill="FFFFFF"/>
          </w:tcPr>
          <w:p w14:paraId="4C8F0E3C" w14:textId="77777777" w:rsidR="00B419CE" w:rsidRPr="00B419CE" w:rsidRDefault="00B419CE" w:rsidP="00B419CE">
            <w:pPr>
              <w:pStyle w:val="Tabellnavn"/>
            </w:pPr>
            <w:r w:rsidRPr="00B419CE">
              <w:t>KPAL</w:t>
            </w:r>
          </w:p>
        </w:tc>
        <w:tc>
          <w:tcPr>
            <w:tcW w:w="4560" w:type="dxa"/>
          </w:tcPr>
          <w:p w14:paraId="2721E28C" w14:textId="77777777" w:rsidR="00B419CE" w:rsidRPr="00B419CE" w:rsidRDefault="00B419CE" w:rsidP="00B419CE">
            <w:pPr>
              <w:pStyle w:val="Tabellnavn"/>
            </w:pPr>
          </w:p>
        </w:tc>
        <w:tc>
          <w:tcPr>
            <w:tcW w:w="1140" w:type="dxa"/>
          </w:tcPr>
          <w:p w14:paraId="59FCEB07" w14:textId="77777777" w:rsidR="00B419CE" w:rsidRPr="00B419CE" w:rsidRDefault="00B419CE" w:rsidP="00B419CE">
            <w:pPr>
              <w:pStyle w:val="Tabellnavn"/>
              <w:jc w:val="right"/>
            </w:pPr>
          </w:p>
        </w:tc>
        <w:tc>
          <w:tcPr>
            <w:tcW w:w="1140" w:type="dxa"/>
          </w:tcPr>
          <w:p w14:paraId="56D14109" w14:textId="77777777" w:rsidR="00B419CE" w:rsidRPr="00B419CE" w:rsidRDefault="00B419CE" w:rsidP="00B419CE">
            <w:pPr>
              <w:pStyle w:val="Tabellnavn"/>
              <w:jc w:val="right"/>
            </w:pPr>
          </w:p>
        </w:tc>
        <w:tc>
          <w:tcPr>
            <w:tcW w:w="1140" w:type="dxa"/>
          </w:tcPr>
          <w:p w14:paraId="34B8D9C6" w14:textId="77777777" w:rsidR="00B419CE" w:rsidRPr="00B419CE" w:rsidRDefault="00B419CE" w:rsidP="00B419CE">
            <w:pPr>
              <w:jc w:val="right"/>
            </w:pPr>
            <w:r w:rsidRPr="00B419CE">
              <w:t>(i 1 000 kr)</w:t>
            </w:r>
          </w:p>
        </w:tc>
      </w:tr>
      <w:tr w:rsidR="00B419CE" w:rsidRPr="00B419CE" w14:paraId="123806F0" w14:textId="77777777" w:rsidTr="00B419CE">
        <w:trPr>
          <w:trHeight w:val="600"/>
        </w:trPr>
        <w:tc>
          <w:tcPr>
            <w:tcW w:w="1140" w:type="dxa"/>
          </w:tcPr>
          <w:p w14:paraId="0EF3FAC2" w14:textId="77777777" w:rsidR="00B419CE" w:rsidRPr="00B419CE" w:rsidRDefault="00B419CE" w:rsidP="00B419CE">
            <w:r w:rsidRPr="00B419CE">
              <w:t>Post</w:t>
            </w:r>
          </w:p>
        </w:tc>
        <w:tc>
          <w:tcPr>
            <w:tcW w:w="4560" w:type="dxa"/>
          </w:tcPr>
          <w:p w14:paraId="40E7964E" w14:textId="77777777" w:rsidR="00B419CE" w:rsidRPr="00B419CE" w:rsidRDefault="00B419CE" w:rsidP="00B419CE">
            <w:proofErr w:type="spellStart"/>
            <w:r w:rsidRPr="00B419CE">
              <w:t>Nemning</w:t>
            </w:r>
            <w:proofErr w:type="spellEnd"/>
          </w:p>
        </w:tc>
        <w:tc>
          <w:tcPr>
            <w:tcW w:w="1140" w:type="dxa"/>
          </w:tcPr>
          <w:p w14:paraId="0F7E0029"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6FD8E5DB" w14:textId="77777777" w:rsidR="00B419CE" w:rsidRPr="00B419CE" w:rsidRDefault="00B419CE" w:rsidP="00B419CE">
            <w:pPr>
              <w:jc w:val="right"/>
            </w:pPr>
            <w:r w:rsidRPr="00B419CE">
              <w:t>Saldert</w:t>
            </w:r>
            <w:r w:rsidRPr="00B419CE">
              <w:br/>
              <w:t xml:space="preserve"> budsjett 2021</w:t>
            </w:r>
          </w:p>
        </w:tc>
        <w:tc>
          <w:tcPr>
            <w:tcW w:w="1140" w:type="dxa"/>
          </w:tcPr>
          <w:p w14:paraId="6EF6EEE7" w14:textId="77777777" w:rsidR="00B419CE" w:rsidRPr="00B419CE" w:rsidRDefault="00B419CE" w:rsidP="00B419CE">
            <w:pPr>
              <w:jc w:val="right"/>
            </w:pPr>
            <w:r w:rsidRPr="00B419CE">
              <w:t>Forslag</w:t>
            </w:r>
            <w:r w:rsidRPr="00B419CE">
              <w:br/>
              <w:t xml:space="preserve"> 2022</w:t>
            </w:r>
          </w:p>
        </w:tc>
      </w:tr>
      <w:tr w:rsidR="00B419CE" w:rsidRPr="00B419CE" w14:paraId="55E356FF" w14:textId="77777777" w:rsidTr="00B419CE">
        <w:trPr>
          <w:trHeight w:val="380"/>
        </w:trPr>
        <w:tc>
          <w:tcPr>
            <w:tcW w:w="1140" w:type="dxa"/>
          </w:tcPr>
          <w:p w14:paraId="0A6ED1C6" w14:textId="77777777" w:rsidR="00B419CE" w:rsidRPr="00B419CE" w:rsidRDefault="00B419CE" w:rsidP="00B419CE">
            <w:r w:rsidRPr="00B419CE">
              <w:t>91</w:t>
            </w:r>
          </w:p>
        </w:tc>
        <w:tc>
          <w:tcPr>
            <w:tcW w:w="4560" w:type="dxa"/>
          </w:tcPr>
          <w:p w14:paraId="58724F54" w14:textId="77777777" w:rsidR="00B419CE" w:rsidRPr="00B419CE" w:rsidRDefault="00B419CE" w:rsidP="00B419CE">
            <w:proofErr w:type="spellStart"/>
            <w:r w:rsidRPr="00B419CE">
              <w:t>Vanlege</w:t>
            </w:r>
            <w:proofErr w:type="spellEnd"/>
            <w:r w:rsidRPr="00B419CE">
              <w:t xml:space="preserve"> </w:t>
            </w:r>
            <w:proofErr w:type="spellStart"/>
            <w:r w:rsidRPr="00B419CE">
              <w:t>fordringar</w:t>
            </w:r>
            <w:proofErr w:type="spellEnd"/>
          </w:p>
        </w:tc>
        <w:tc>
          <w:tcPr>
            <w:tcW w:w="1140" w:type="dxa"/>
          </w:tcPr>
          <w:p w14:paraId="345A1E69" w14:textId="77777777" w:rsidR="00B419CE" w:rsidRPr="00B419CE" w:rsidRDefault="00B419CE" w:rsidP="00B419CE">
            <w:pPr>
              <w:jc w:val="right"/>
            </w:pPr>
            <w:r w:rsidRPr="00B419CE">
              <w:t>8 428</w:t>
            </w:r>
          </w:p>
        </w:tc>
        <w:tc>
          <w:tcPr>
            <w:tcW w:w="1140" w:type="dxa"/>
          </w:tcPr>
          <w:p w14:paraId="004D7445" w14:textId="77777777" w:rsidR="00B419CE" w:rsidRPr="00B419CE" w:rsidRDefault="00B419CE" w:rsidP="00B419CE">
            <w:pPr>
              <w:jc w:val="right"/>
            </w:pPr>
          </w:p>
        </w:tc>
        <w:tc>
          <w:tcPr>
            <w:tcW w:w="1140" w:type="dxa"/>
          </w:tcPr>
          <w:p w14:paraId="3672318A" w14:textId="77777777" w:rsidR="00B419CE" w:rsidRPr="00B419CE" w:rsidRDefault="00B419CE" w:rsidP="00B419CE">
            <w:pPr>
              <w:jc w:val="right"/>
            </w:pPr>
          </w:p>
        </w:tc>
      </w:tr>
      <w:tr w:rsidR="00B419CE" w:rsidRPr="00B419CE" w14:paraId="1F07E2FC" w14:textId="77777777" w:rsidTr="00B419CE">
        <w:trPr>
          <w:trHeight w:val="380"/>
        </w:trPr>
        <w:tc>
          <w:tcPr>
            <w:tcW w:w="1140" w:type="dxa"/>
          </w:tcPr>
          <w:p w14:paraId="0D8D5107" w14:textId="77777777" w:rsidR="00B419CE" w:rsidRPr="00B419CE" w:rsidRDefault="00B419CE" w:rsidP="00B419CE">
            <w:r w:rsidRPr="00B419CE">
              <w:t>95</w:t>
            </w:r>
          </w:p>
        </w:tc>
        <w:tc>
          <w:tcPr>
            <w:tcW w:w="4560" w:type="dxa"/>
          </w:tcPr>
          <w:p w14:paraId="016A2B99" w14:textId="77777777" w:rsidR="00B419CE" w:rsidRPr="00B419CE" w:rsidRDefault="00B419CE" w:rsidP="00B419CE">
            <w:r w:rsidRPr="00B419CE">
              <w:t xml:space="preserve">Avdrag på lån til andre </w:t>
            </w:r>
            <w:proofErr w:type="spellStart"/>
            <w:r w:rsidRPr="00B419CE">
              <w:t>statar</w:t>
            </w:r>
            <w:proofErr w:type="spellEnd"/>
          </w:p>
        </w:tc>
        <w:tc>
          <w:tcPr>
            <w:tcW w:w="1140" w:type="dxa"/>
          </w:tcPr>
          <w:p w14:paraId="61174CF2" w14:textId="77777777" w:rsidR="00B419CE" w:rsidRPr="00B419CE" w:rsidRDefault="00B419CE" w:rsidP="00B419CE">
            <w:pPr>
              <w:jc w:val="right"/>
            </w:pPr>
            <w:r w:rsidRPr="00B419CE">
              <w:t>636</w:t>
            </w:r>
          </w:p>
        </w:tc>
        <w:tc>
          <w:tcPr>
            <w:tcW w:w="1140" w:type="dxa"/>
          </w:tcPr>
          <w:p w14:paraId="55EFBAE1" w14:textId="77777777" w:rsidR="00B419CE" w:rsidRPr="00B419CE" w:rsidRDefault="00B419CE" w:rsidP="00B419CE">
            <w:pPr>
              <w:jc w:val="right"/>
            </w:pPr>
            <w:r w:rsidRPr="00B419CE">
              <w:t>700</w:t>
            </w:r>
          </w:p>
        </w:tc>
        <w:tc>
          <w:tcPr>
            <w:tcW w:w="1140" w:type="dxa"/>
          </w:tcPr>
          <w:p w14:paraId="68E11C4F" w14:textId="77777777" w:rsidR="00B419CE" w:rsidRPr="00B419CE" w:rsidRDefault="00B419CE" w:rsidP="00B419CE">
            <w:pPr>
              <w:jc w:val="right"/>
            </w:pPr>
            <w:r w:rsidRPr="00B419CE">
              <w:t>700</w:t>
            </w:r>
          </w:p>
        </w:tc>
      </w:tr>
      <w:tr w:rsidR="00B419CE" w:rsidRPr="00B419CE" w14:paraId="7B751EDF" w14:textId="77777777" w:rsidTr="00B419CE">
        <w:trPr>
          <w:trHeight w:val="380"/>
        </w:trPr>
        <w:tc>
          <w:tcPr>
            <w:tcW w:w="1140" w:type="dxa"/>
          </w:tcPr>
          <w:p w14:paraId="0C9BA0B0" w14:textId="77777777" w:rsidR="00B419CE" w:rsidRPr="00B419CE" w:rsidRDefault="00B419CE" w:rsidP="00B419CE">
            <w:r w:rsidRPr="00B419CE">
              <w:t>98</w:t>
            </w:r>
          </w:p>
        </w:tc>
        <w:tc>
          <w:tcPr>
            <w:tcW w:w="4560" w:type="dxa"/>
          </w:tcPr>
          <w:p w14:paraId="497029D2" w14:textId="77777777" w:rsidR="00B419CE" w:rsidRPr="00B419CE" w:rsidRDefault="00B419CE" w:rsidP="00B419CE">
            <w:r w:rsidRPr="00B419CE">
              <w:t xml:space="preserve">Avdrag på </w:t>
            </w:r>
            <w:proofErr w:type="spellStart"/>
            <w:r w:rsidRPr="00B419CE">
              <w:t>eigenbehaldning</w:t>
            </w:r>
            <w:proofErr w:type="spellEnd"/>
            <w:r w:rsidRPr="00B419CE">
              <w:t xml:space="preserve"> </w:t>
            </w:r>
            <w:proofErr w:type="spellStart"/>
            <w:r w:rsidRPr="00B419CE">
              <w:t>statsobligasjonar</w:t>
            </w:r>
            <w:proofErr w:type="spellEnd"/>
          </w:p>
        </w:tc>
        <w:tc>
          <w:tcPr>
            <w:tcW w:w="1140" w:type="dxa"/>
          </w:tcPr>
          <w:p w14:paraId="6F014BBB" w14:textId="77777777" w:rsidR="00B419CE" w:rsidRPr="00B419CE" w:rsidRDefault="00B419CE" w:rsidP="00B419CE">
            <w:pPr>
              <w:jc w:val="right"/>
            </w:pPr>
          </w:p>
        </w:tc>
        <w:tc>
          <w:tcPr>
            <w:tcW w:w="1140" w:type="dxa"/>
          </w:tcPr>
          <w:p w14:paraId="1FC33B19" w14:textId="77777777" w:rsidR="00B419CE" w:rsidRPr="00B419CE" w:rsidRDefault="00B419CE" w:rsidP="00B419CE">
            <w:pPr>
              <w:jc w:val="right"/>
            </w:pPr>
            <w:r w:rsidRPr="00B419CE">
              <w:t>6 000 000</w:t>
            </w:r>
          </w:p>
        </w:tc>
        <w:tc>
          <w:tcPr>
            <w:tcW w:w="1140" w:type="dxa"/>
          </w:tcPr>
          <w:p w14:paraId="1FBEF2CB" w14:textId="77777777" w:rsidR="00B419CE" w:rsidRPr="00B419CE" w:rsidRDefault="00B419CE" w:rsidP="00B419CE">
            <w:pPr>
              <w:jc w:val="right"/>
            </w:pPr>
          </w:p>
        </w:tc>
      </w:tr>
      <w:tr w:rsidR="00B419CE" w:rsidRPr="00B419CE" w14:paraId="016A02D3" w14:textId="77777777" w:rsidTr="00B419CE">
        <w:trPr>
          <w:trHeight w:val="380"/>
        </w:trPr>
        <w:tc>
          <w:tcPr>
            <w:tcW w:w="1140" w:type="dxa"/>
          </w:tcPr>
          <w:p w14:paraId="572E5C01" w14:textId="77777777" w:rsidR="00B419CE" w:rsidRPr="00B419CE" w:rsidRDefault="00B419CE" w:rsidP="00B419CE"/>
        </w:tc>
        <w:tc>
          <w:tcPr>
            <w:tcW w:w="4560" w:type="dxa"/>
          </w:tcPr>
          <w:p w14:paraId="288C6A1B" w14:textId="77777777" w:rsidR="00B419CE" w:rsidRPr="00B419CE" w:rsidRDefault="00B419CE" w:rsidP="00B419CE">
            <w:r w:rsidRPr="00B419CE">
              <w:t>Sum kap. 5341</w:t>
            </w:r>
          </w:p>
        </w:tc>
        <w:tc>
          <w:tcPr>
            <w:tcW w:w="1140" w:type="dxa"/>
          </w:tcPr>
          <w:p w14:paraId="2DCF5C2F" w14:textId="77777777" w:rsidR="00B419CE" w:rsidRPr="00B419CE" w:rsidRDefault="00B419CE" w:rsidP="00B419CE">
            <w:pPr>
              <w:jc w:val="right"/>
            </w:pPr>
            <w:r w:rsidRPr="00B419CE">
              <w:t>9 064</w:t>
            </w:r>
          </w:p>
        </w:tc>
        <w:tc>
          <w:tcPr>
            <w:tcW w:w="1140" w:type="dxa"/>
          </w:tcPr>
          <w:p w14:paraId="071050C4" w14:textId="77777777" w:rsidR="00B419CE" w:rsidRPr="00B419CE" w:rsidRDefault="00B419CE" w:rsidP="00B419CE">
            <w:pPr>
              <w:jc w:val="right"/>
            </w:pPr>
            <w:r w:rsidRPr="00B419CE">
              <w:t>6 000 700</w:t>
            </w:r>
          </w:p>
        </w:tc>
        <w:tc>
          <w:tcPr>
            <w:tcW w:w="1140" w:type="dxa"/>
          </w:tcPr>
          <w:p w14:paraId="17F732F1" w14:textId="77777777" w:rsidR="00B419CE" w:rsidRPr="00B419CE" w:rsidRDefault="00B419CE" w:rsidP="00B419CE">
            <w:pPr>
              <w:jc w:val="right"/>
            </w:pPr>
            <w:r w:rsidRPr="00B419CE">
              <w:t>700</w:t>
            </w:r>
          </w:p>
        </w:tc>
      </w:tr>
    </w:tbl>
    <w:p w14:paraId="5AFAFFC3" w14:textId="77777777" w:rsidR="00B419CE" w:rsidRPr="00B419CE" w:rsidRDefault="00B419CE" w:rsidP="00B419CE">
      <w:pPr>
        <w:pStyle w:val="b-post"/>
      </w:pPr>
      <w:r w:rsidRPr="00B419CE">
        <w:t xml:space="preserve">Post 91 </w:t>
      </w:r>
      <w:proofErr w:type="spellStart"/>
      <w:r w:rsidRPr="00B419CE">
        <w:t>Vanlege</w:t>
      </w:r>
      <w:proofErr w:type="spellEnd"/>
      <w:r w:rsidRPr="00B419CE">
        <w:t xml:space="preserve"> </w:t>
      </w:r>
      <w:proofErr w:type="spellStart"/>
      <w:r w:rsidRPr="00B419CE">
        <w:t>fordringar</w:t>
      </w:r>
      <w:proofErr w:type="spellEnd"/>
    </w:p>
    <w:p w14:paraId="6A32D4FF" w14:textId="77777777" w:rsidR="00B419CE" w:rsidRPr="00B419CE" w:rsidRDefault="00B419CE" w:rsidP="00B419CE">
      <w:r w:rsidRPr="00B419CE">
        <w:t xml:space="preserve">På denne posten vert det ført eventuelle avdrag på lån, m.a. til </w:t>
      </w:r>
      <w:proofErr w:type="spellStart"/>
      <w:r w:rsidRPr="00B419CE">
        <w:t>næringsverksemd</w:t>
      </w:r>
      <w:proofErr w:type="spellEnd"/>
      <w:r w:rsidRPr="00B419CE">
        <w:t>.</w:t>
      </w:r>
    </w:p>
    <w:p w14:paraId="3B223B4A" w14:textId="77777777" w:rsidR="00B419CE" w:rsidRPr="00B419CE" w:rsidRDefault="00B419CE" w:rsidP="00B419CE">
      <w:pPr>
        <w:pStyle w:val="b-post"/>
      </w:pPr>
      <w:r w:rsidRPr="00B419CE">
        <w:lastRenderedPageBreak/>
        <w:t xml:space="preserve">Post 95 Avdrag på lån til andre </w:t>
      </w:r>
      <w:proofErr w:type="spellStart"/>
      <w:r w:rsidRPr="00B419CE">
        <w:t>statar</w:t>
      </w:r>
      <w:proofErr w:type="spellEnd"/>
    </w:p>
    <w:p w14:paraId="2B495B01" w14:textId="77777777" w:rsidR="00B419CE" w:rsidRPr="00B419CE" w:rsidRDefault="00B419CE" w:rsidP="00B419CE">
      <w:r w:rsidRPr="00B419CE">
        <w:t xml:space="preserve">Posten gjeld avdrag på </w:t>
      </w:r>
      <w:proofErr w:type="spellStart"/>
      <w:r w:rsidRPr="00B419CE">
        <w:t>eit</w:t>
      </w:r>
      <w:proofErr w:type="spellEnd"/>
      <w:r w:rsidRPr="00B419CE">
        <w:t xml:space="preserve"> lån som vart gjeve til Jugoslavia i 1983. Den delen av lånet som står att, vert </w:t>
      </w:r>
      <w:proofErr w:type="spellStart"/>
      <w:r w:rsidRPr="00B419CE">
        <w:t>no</w:t>
      </w:r>
      <w:proofErr w:type="spellEnd"/>
      <w:r w:rsidRPr="00B419CE">
        <w:t xml:space="preserve"> betalt av Serbia og Montenegro. Sjå </w:t>
      </w:r>
      <w:proofErr w:type="spellStart"/>
      <w:r w:rsidRPr="00B419CE">
        <w:t>nærare</w:t>
      </w:r>
      <w:proofErr w:type="spellEnd"/>
      <w:r w:rsidRPr="00B419CE">
        <w:t xml:space="preserve"> omtale i </w:t>
      </w:r>
      <w:proofErr w:type="spellStart"/>
      <w:r w:rsidRPr="00B419CE">
        <w:t>Prop</w:t>
      </w:r>
      <w:proofErr w:type="spellEnd"/>
      <w:r w:rsidRPr="00B419CE">
        <w:t xml:space="preserve">. 1 S (2015–2016) </w:t>
      </w:r>
      <w:proofErr w:type="spellStart"/>
      <w:r w:rsidRPr="00B419CE">
        <w:t>frå</w:t>
      </w:r>
      <w:proofErr w:type="spellEnd"/>
      <w:r w:rsidRPr="00B419CE">
        <w:t xml:space="preserve"> Finansdepartementet.</w:t>
      </w:r>
    </w:p>
    <w:p w14:paraId="3834F607" w14:textId="77777777" w:rsidR="00B419CE" w:rsidRPr="00B419CE" w:rsidRDefault="00B419CE" w:rsidP="00B419CE">
      <w:pPr>
        <w:pStyle w:val="b-post"/>
      </w:pPr>
      <w:r w:rsidRPr="00B419CE">
        <w:t xml:space="preserve">Post 98 Avdrag på </w:t>
      </w:r>
      <w:proofErr w:type="spellStart"/>
      <w:r w:rsidRPr="00B419CE">
        <w:t>eigenbehaldning</w:t>
      </w:r>
      <w:proofErr w:type="spellEnd"/>
      <w:r w:rsidRPr="00B419CE">
        <w:t xml:space="preserve"> </w:t>
      </w:r>
      <w:proofErr w:type="spellStart"/>
      <w:r w:rsidRPr="00B419CE">
        <w:t>statsobligasjonar</w:t>
      </w:r>
      <w:proofErr w:type="spellEnd"/>
    </w:p>
    <w:p w14:paraId="62CF3B04" w14:textId="77777777" w:rsidR="00B419CE" w:rsidRPr="00B419CE" w:rsidRDefault="00B419CE" w:rsidP="00B419CE">
      <w:r w:rsidRPr="00B419CE">
        <w:t xml:space="preserve">Posten </w:t>
      </w:r>
      <w:proofErr w:type="spellStart"/>
      <w:r w:rsidRPr="00B419CE">
        <w:t>omfattar</w:t>
      </w:r>
      <w:proofErr w:type="spellEnd"/>
      <w:r w:rsidRPr="00B419CE">
        <w:t xml:space="preserve"> avdrag som staten får innbetalt på </w:t>
      </w:r>
      <w:proofErr w:type="spellStart"/>
      <w:r w:rsidRPr="00B419CE">
        <w:t>eigenbehaldning</w:t>
      </w:r>
      <w:proofErr w:type="spellEnd"/>
      <w:r w:rsidRPr="00B419CE">
        <w:t xml:space="preserve"> av </w:t>
      </w:r>
      <w:proofErr w:type="spellStart"/>
      <w:r w:rsidRPr="00B419CE">
        <w:t>statsobligasjonar</w:t>
      </w:r>
      <w:proofErr w:type="spellEnd"/>
      <w:r w:rsidRPr="00B419CE">
        <w:t xml:space="preserve"> som vert nytta til </w:t>
      </w:r>
      <w:proofErr w:type="spellStart"/>
      <w:r w:rsidRPr="00B419CE">
        <w:t>marknadspleie</w:t>
      </w:r>
      <w:proofErr w:type="spellEnd"/>
      <w:r w:rsidRPr="00B419CE">
        <w:t xml:space="preserve">. I 2022 er det </w:t>
      </w:r>
      <w:proofErr w:type="spellStart"/>
      <w:r w:rsidRPr="00B419CE">
        <w:t>ikkje</w:t>
      </w:r>
      <w:proofErr w:type="spellEnd"/>
      <w:r w:rsidRPr="00B419CE">
        <w:t xml:space="preserve"> forfall av langsiktige statsobligasjonslån.</w:t>
      </w:r>
    </w:p>
    <w:p w14:paraId="4317E570" w14:textId="77777777" w:rsidR="00B419CE" w:rsidRPr="00B419CE" w:rsidRDefault="00B419CE" w:rsidP="00B419CE">
      <w:pPr>
        <w:pStyle w:val="b-budkaptit"/>
      </w:pPr>
      <w:r w:rsidRPr="00B419CE">
        <w:t xml:space="preserve">Kap. 5351 Overføring </w:t>
      </w:r>
      <w:proofErr w:type="spellStart"/>
      <w:r w:rsidRPr="00B419CE">
        <w:t>frå</w:t>
      </w:r>
      <w:proofErr w:type="spellEnd"/>
      <w:r w:rsidRPr="00B419CE">
        <w:t xml:space="preserve"> </w:t>
      </w:r>
      <w:proofErr w:type="spellStart"/>
      <w:r w:rsidRPr="00B419CE">
        <w:t>Noregs</w:t>
      </w:r>
      <w:proofErr w:type="spellEnd"/>
      <w:r w:rsidRPr="00B419CE">
        <w:t xml:space="preserve"> Bank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2763980F" w14:textId="77777777" w:rsidTr="00B419CE">
        <w:trPr>
          <w:trHeight w:val="640"/>
          <w:hidden/>
        </w:trPr>
        <w:tc>
          <w:tcPr>
            <w:tcW w:w="1140" w:type="dxa"/>
            <w:shd w:val="clear" w:color="auto" w:fill="FFFFFF"/>
          </w:tcPr>
          <w:p w14:paraId="06C9E37D" w14:textId="77777777" w:rsidR="00B419CE" w:rsidRPr="00B419CE" w:rsidRDefault="00B419CE" w:rsidP="00B419CE">
            <w:pPr>
              <w:pStyle w:val="Tabellnavn"/>
            </w:pPr>
            <w:r w:rsidRPr="00B419CE">
              <w:t>KPAL</w:t>
            </w:r>
          </w:p>
        </w:tc>
        <w:tc>
          <w:tcPr>
            <w:tcW w:w="4560" w:type="dxa"/>
          </w:tcPr>
          <w:p w14:paraId="0A28F82C" w14:textId="77777777" w:rsidR="00B419CE" w:rsidRPr="00B419CE" w:rsidRDefault="00B419CE" w:rsidP="00B419CE">
            <w:pPr>
              <w:pStyle w:val="Tabellnavn"/>
            </w:pPr>
          </w:p>
        </w:tc>
        <w:tc>
          <w:tcPr>
            <w:tcW w:w="1140" w:type="dxa"/>
          </w:tcPr>
          <w:p w14:paraId="60C56794" w14:textId="77777777" w:rsidR="00B419CE" w:rsidRPr="00B419CE" w:rsidRDefault="00B419CE" w:rsidP="00B419CE">
            <w:pPr>
              <w:pStyle w:val="Tabellnavn"/>
              <w:jc w:val="right"/>
            </w:pPr>
          </w:p>
        </w:tc>
        <w:tc>
          <w:tcPr>
            <w:tcW w:w="1140" w:type="dxa"/>
          </w:tcPr>
          <w:p w14:paraId="1023906E" w14:textId="77777777" w:rsidR="00B419CE" w:rsidRPr="00B419CE" w:rsidRDefault="00B419CE" w:rsidP="00B419CE">
            <w:pPr>
              <w:pStyle w:val="Tabellnavn"/>
              <w:jc w:val="right"/>
            </w:pPr>
          </w:p>
        </w:tc>
        <w:tc>
          <w:tcPr>
            <w:tcW w:w="1140" w:type="dxa"/>
          </w:tcPr>
          <w:p w14:paraId="3F688282" w14:textId="77777777" w:rsidR="00B419CE" w:rsidRPr="00B419CE" w:rsidRDefault="00B419CE" w:rsidP="00B419CE">
            <w:pPr>
              <w:jc w:val="right"/>
            </w:pPr>
            <w:r w:rsidRPr="00B419CE">
              <w:t>(i 1 000 kr)</w:t>
            </w:r>
          </w:p>
        </w:tc>
      </w:tr>
      <w:tr w:rsidR="00B419CE" w:rsidRPr="00B419CE" w14:paraId="7A58E396" w14:textId="77777777" w:rsidTr="00B419CE">
        <w:trPr>
          <w:trHeight w:val="600"/>
        </w:trPr>
        <w:tc>
          <w:tcPr>
            <w:tcW w:w="1140" w:type="dxa"/>
          </w:tcPr>
          <w:p w14:paraId="32CD4154" w14:textId="77777777" w:rsidR="00B419CE" w:rsidRPr="00B419CE" w:rsidRDefault="00B419CE" w:rsidP="00B419CE">
            <w:r w:rsidRPr="00B419CE">
              <w:t>Post</w:t>
            </w:r>
          </w:p>
        </w:tc>
        <w:tc>
          <w:tcPr>
            <w:tcW w:w="4560" w:type="dxa"/>
          </w:tcPr>
          <w:p w14:paraId="0750111B" w14:textId="77777777" w:rsidR="00B419CE" w:rsidRPr="00B419CE" w:rsidRDefault="00B419CE" w:rsidP="00B419CE">
            <w:proofErr w:type="spellStart"/>
            <w:r w:rsidRPr="00B419CE">
              <w:t>Nemning</w:t>
            </w:r>
            <w:proofErr w:type="spellEnd"/>
          </w:p>
        </w:tc>
        <w:tc>
          <w:tcPr>
            <w:tcW w:w="1140" w:type="dxa"/>
          </w:tcPr>
          <w:p w14:paraId="25ACE744"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7530E6DA" w14:textId="77777777" w:rsidR="00B419CE" w:rsidRPr="00B419CE" w:rsidRDefault="00B419CE" w:rsidP="00B419CE">
            <w:pPr>
              <w:jc w:val="right"/>
            </w:pPr>
            <w:r w:rsidRPr="00B419CE">
              <w:t>Saldert</w:t>
            </w:r>
            <w:r w:rsidRPr="00B419CE">
              <w:br/>
              <w:t xml:space="preserve"> budsjett 2021</w:t>
            </w:r>
          </w:p>
        </w:tc>
        <w:tc>
          <w:tcPr>
            <w:tcW w:w="1140" w:type="dxa"/>
          </w:tcPr>
          <w:p w14:paraId="70154083" w14:textId="77777777" w:rsidR="00B419CE" w:rsidRPr="00B419CE" w:rsidRDefault="00B419CE" w:rsidP="00B419CE">
            <w:pPr>
              <w:jc w:val="right"/>
            </w:pPr>
            <w:r w:rsidRPr="00B419CE">
              <w:t>Forslag</w:t>
            </w:r>
            <w:r w:rsidRPr="00B419CE">
              <w:br/>
              <w:t xml:space="preserve"> 2022</w:t>
            </w:r>
          </w:p>
        </w:tc>
      </w:tr>
      <w:tr w:rsidR="00B419CE" w:rsidRPr="00B419CE" w14:paraId="4166230D" w14:textId="77777777" w:rsidTr="00B419CE">
        <w:trPr>
          <w:trHeight w:val="380"/>
        </w:trPr>
        <w:tc>
          <w:tcPr>
            <w:tcW w:w="1140" w:type="dxa"/>
          </w:tcPr>
          <w:p w14:paraId="3F1FF764" w14:textId="77777777" w:rsidR="00B419CE" w:rsidRPr="00B419CE" w:rsidRDefault="00B419CE" w:rsidP="00B419CE">
            <w:r w:rsidRPr="00B419CE">
              <w:t>85</w:t>
            </w:r>
          </w:p>
        </w:tc>
        <w:tc>
          <w:tcPr>
            <w:tcW w:w="4560" w:type="dxa"/>
          </w:tcPr>
          <w:p w14:paraId="48628195" w14:textId="77777777" w:rsidR="00B419CE" w:rsidRPr="00B419CE" w:rsidRDefault="00B419CE" w:rsidP="00B419CE">
            <w:r w:rsidRPr="00B419CE">
              <w:t>Overføring</w:t>
            </w:r>
          </w:p>
        </w:tc>
        <w:tc>
          <w:tcPr>
            <w:tcW w:w="1140" w:type="dxa"/>
          </w:tcPr>
          <w:p w14:paraId="06120B32" w14:textId="77777777" w:rsidR="00B419CE" w:rsidRPr="00B419CE" w:rsidRDefault="00B419CE" w:rsidP="00B419CE">
            <w:pPr>
              <w:jc w:val="right"/>
            </w:pPr>
            <w:r w:rsidRPr="00B419CE">
              <w:t>19 706 302</w:t>
            </w:r>
          </w:p>
        </w:tc>
        <w:tc>
          <w:tcPr>
            <w:tcW w:w="1140" w:type="dxa"/>
          </w:tcPr>
          <w:p w14:paraId="7D443D60" w14:textId="77777777" w:rsidR="00B419CE" w:rsidRPr="00B419CE" w:rsidRDefault="00B419CE" w:rsidP="00B419CE">
            <w:pPr>
              <w:jc w:val="right"/>
            </w:pPr>
            <w:r w:rsidRPr="00B419CE">
              <w:t>18 600 000</w:t>
            </w:r>
          </w:p>
        </w:tc>
        <w:tc>
          <w:tcPr>
            <w:tcW w:w="1140" w:type="dxa"/>
          </w:tcPr>
          <w:p w14:paraId="3DF37F44" w14:textId="77777777" w:rsidR="00B419CE" w:rsidRPr="00B419CE" w:rsidRDefault="00B419CE" w:rsidP="00B419CE">
            <w:pPr>
              <w:jc w:val="right"/>
            </w:pPr>
            <w:r w:rsidRPr="00B419CE">
              <w:t>10 113 000</w:t>
            </w:r>
          </w:p>
        </w:tc>
      </w:tr>
      <w:tr w:rsidR="00B419CE" w:rsidRPr="00B419CE" w14:paraId="351ECD92" w14:textId="77777777" w:rsidTr="00B419CE">
        <w:trPr>
          <w:trHeight w:val="380"/>
        </w:trPr>
        <w:tc>
          <w:tcPr>
            <w:tcW w:w="1140" w:type="dxa"/>
          </w:tcPr>
          <w:p w14:paraId="065B9147" w14:textId="77777777" w:rsidR="00B419CE" w:rsidRPr="00B419CE" w:rsidRDefault="00B419CE" w:rsidP="00B419CE"/>
        </w:tc>
        <w:tc>
          <w:tcPr>
            <w:tcW w:w="4560" w:type="dxa"/>
          </w:tcPr>
          <w:p w14:paraId="01E10552" w14:textId="77777777" w:rsidR="00B419CE" w:rsidRPr="00B419CE" w:rsidRDefault="00B419CE" w:rsidP="00B419CE">
            <w:r w:rsidRPr="00B419CE">
              <w:t>Sum kap. 5351</w:t>
            </w:r>
          </w:p>
        </w:tc>
        <w:tc>
          <w:tcPr>
            <w:tcW w:w="1140" w:type="dxa"/>
          </w:tcPr>
          <w:p w14:paraId="3095DAEE" w14:textId="77777777" w:rsidR="00B419CE" w:rsidRPr="00B419CE" w:rsidRDefault="00B419CE" w:rsidP="00B419CE">
            <w:pPr>
              <w:jc w:val="right"/>
            </w:pPr>
            <w:r w:rsidRPr="00B419CE">
              <w:t>19 706 302</w:t>
            </w:r>
          </w:p>
        </w:tc>
        <w:tc>
          <w:tcPr>
            <w:tcW w:w="1140" w:type="dxa"/>
          </w:tcPr>
          <w:p w14:paraId="7FFCA285" w14:textId="77777777" w:rsidR="00B419CE" w:rsidRPr="00B419CE" w:rsidRDefault="00B419CE" w:rsidP="00B419CE">
            <w:pPr>
              <w:jc w:val="right"/>
            </w:pPr>
            <w:r w:rsidRPr="00B419CE">
              <w:t>18 600 000</w:t>
            </w:r>
          </w:p>
        </w:tc>
        <w:tc>
          <w:tcPr>
            <w:tcW w:w="1140" w:type="dxa"/>
          </w:tcPr>
          <w:p w14:paraId="19F3B2CB" w14:textId="77777777" w:rsidR="00B419CE" w:rsidRPr="00B419CE" w:rsidRDefault="00B419CE" w:rsidP="00B419CE">
            <w:pPr>
              <w:jc w:val="right"/>
            </w:pPr>
            <w:r w:rsidRPr="00B419CE">
              <w:t>10 113 000</w:t>
            </w:r>
          </w:p>
        </w:tc>
      </w:tr>
    </w:tbl>
    <w:p w14:paraId="79C119E0" w14:textId="77777777" w:rsidR="00B419CE" w:rsidRPr="00B419CE" w:rsidRDefault="00B419CE" w:rsidP="00B419CE">
      <w:r w:rsidRPr="00B419CE">
        <w:t xml:space="preserve">Etter </w:t>
      </w:r>
      <w:proofErr w:type="spellStart"/>
      <w:r w:rsidRPr="00B419CE">
        <w:t>retningslinene</w:t>
      </w:r>
      <w:proofErr w:type="spellEnd"/>
      <w:r w:rsidRPr="00B419CE">
        <w:t xml:space="preserve"> for </w:t>
      </w:r>
      <w:proofErr w:type="spellStart"/>
      <w:r w:rsidRPr="00B419CE">
        <w:t>Noregs</w:t>
      </w:r>
      <w:proofErr w:type="spellEnd"/>
      <w:r w:rsidRPr="00B419CE">
        <w:t xml:space="preserve"> Banks </w:t>
      </w:r>
      <w:proofErr w:type="spellStart"/>
      <w:r w:rsidRPr="00B419CE">
        <w:t>årsoppgjersdisposisjonar</w:t>
      </w:r>
      <w:proofErr w:type="spellEnd"/>
      <w:r w:rsidRPr="00B419CE">
        <w:t xml:space="preserve">, fastsette ved </w:t>
      </w:r>
      <w:proofErr w:type="gramStart"/>
      <w:r w:rsidRPr="00B419CE">
        <w:t>kgl. res.</w:t>
      </w:r>
      <w:proofErr w:type="gramEnd"/>
      <w:r w:rsidRPr="00B419CE">
        <w:t xml:space="preserve"> 21. desember 2000, skal </w:t>
      </w:r>
      <w:proofErr w:type="spellStart"/>
      <w:r w:rsidRPr="00B419CE">
        <w:t>eit</w:t>
      </w:r>
      <w:proofErr w:type="spellEnd"/>
      <w:r w:rsidRPr="00B419CE">
        <w:t xml:space="preserve"> eventuelt </w:t>
      </w:r>
      <w:proofErr w:type="spellStart"/>
      <w:r w:rsidRPr="00B419CE">
        <w:t>overskot</w:t>
      </w:r>
      <w:proofErr w:type="spellEnd"/>
      <w:r w:rsidRPr="00B419CE">
        <w:t xml:space="preserve"> </w:t>
      </w:r>
      <w:proofErr w:type="spellStart"/>
      <w:r w:rsidRPr="00B419CE">
        <w:t>setjast</w:t>
      </w:r>
      <w:proofErr w:type="spellEnd"/>
      <w:r w:rsidRPr="00B419CE">
        <w:t xml:space="preserve"> av til bankens kursreguleringsfond inntil fondet </w:t>
      </w:r>
      <w:proofErr w:type="spellStart"/>
      <w:r w:rsidRPr="00B419CE">
        <w:t>utgjer</w:t>
      </w:r>
      <w:proofErr w:type="spellEnd"/>
      <w:r w:rsidRPr="00B419CE">
        <w:t xml:space="preserve"> </w:t>
      </w:r>
      <w:proofErr w:type="spellStart"/>
      <w:r w:rsidRPr="00B419CE">
        <w:t>ein</w:t>
      </w:r>
      <w:proofErr w:type="spellEnd"/>
      <w:r w:rsidRPr="00B419CE">
        <w:t xml:space="preserve"> bestemt del av </w:t>
      </w:r>
      <w:proofErr w:type="spellStart"/>
      <w:r w:rsidRPr="00B419CE">
        <w:t>dei</w:t>
      </w:r>
      <w:proofErr w:type="spellEnd"/>
      <w:r w:rsidRPr="00B419CE">
        <w:t xml:space="preserve"> </w:t>
      </w:r>
      <w:proofErr w:type="spellStart"/>
      <w:r w:rsidRPr="00B419CE">
        <w:t>innanlandske</w:t>
      </w:r>
      <w:proofErr w:type="spellEnd"/>
      <w:r w:rsidRPr="00B419CE">
        <w:t xml:space="preserve"> og </w:t>
      </w:r>
      <w:proofErr w:type="spellStart"/>
      <w:r w:rsidRPr="00B419CE">
        <w:t>utanlandske</w:t>
      </w:r>
      <w:proofErr w:type="spellEnd"/>
      <w:r w:rsidRPr="00B419CE">
        <w:t xml:space="preserve"> aktiva som </w:t>
      </w:r>
      <w:proofErr w:type="spellStart"/>
      <w:r w:rsidRPr="00B419CE">
        <w:t>inneber</w:t>
      </w:r>
      <w:proofErr w:type="spellEnd"/>
      <w:r w:rsidRPr="00B419CE">
        <w:t xml:space="preserve"> </w:t>
      </w:r>
      <w:proofErr w:type="spellStart"/>
      <w:r w:rsidRPr="00B419CE">
        <w:t>ein</w:t>
      </w:r>
      <w:proofErr w:type="spellEnd"/>
      <w:r w:rsidRPr="00B419CE">
        <w:t xml:space="preserve"> kursrisiko for banken. Eventuelt </w:t>
      </w:r>
      <w:proofErr w:type="spellStart"/>
      <w:r w:rsidRPr="00B419CE">
        <w:t>overskot</w:t>
      </w:r>
      <w:proofErr w:type="spellEnd"/>
      <w:r w:rsidRPr="00B419CE">
        <w:t xml:space="preserve"> etter </w:t>
      </w:r>
      <w:proofErr w:type="spellStart"/>
      <w:r w:rsidRPr="00B419CE">
        <w:t>avsetjingar</w:t>
      </w:r>
      <w:proofErr w:type="spellEnd"/>
      <w:r w:rsidRPr="00B419CE">
        <w:t xml:space="preserve"> til kursreguleringsfondet skal </w:t>
      </w:r>
      <w:proofErr w:type="spellStart"/>
      <w:r w:rsidRPr="00B419CE">
        <w:t>setjast</w:t>
      </w:r>
      <w:proofErr w:type="spellEnd"/>
      <w:r w:rsidRPr="00B419CE">
        <w:t xml:space="preserve"> av i </w:t>
      </w:r>
      <w:proofErr w:type="spellStart"/>
      <w:r w:rsidRPr="00B419CE">
        <w:t>eit</w:t>
      </w:r>
      <w:proofErr w:type="spellEnd"/>
      <w:r w:rsidRPr="00B419CE">
        <w:t xml:space="preserve"> overføringsfond. Ved kvart </w:t>
      </w:r>
      <w:proofErr w:type="spellStart"/>
      <w:r w:rsidRPr="00B419CE">
        <w:t>årsoppgjer</w:t>
      </w:r>
      <w:proofErr w:type="spellEnd"/>
      <w:r w:rsidRPr="00B419CE">
        <w:t xml:space="preserve"> skal </w:t>
      </w:r>
      <w:proofErr w:type="spellStart"/>
      <w:r w:rsidRPr="00B419CE">
        <w:t>eit</w:t>
      </w:r>
      <w:proofErr w:type="spellEnd"/>
      <w:r w:rsidRPr="00B419CE">
        <w:t xml:space="preserve"> beløp </w:t>
      </w:r>
      <w:proofErr w:type="spellStart"/>
      <w:r w:rsidRPr="00B419CE">
        <w:t>svarande</w:t>
      </w:r>
      <w:proofErr w:type="spellEnd"/>
      <w:r w:rsidRPr="00B419CE">
        <w:t xml:space="preserve"> til </w:t>
      </w:r>
      <w:proofErr w:type="spellStart"/>
      <w:r w:rsidRPr="00B419CE">
        <w:t>ein</w:t>
      </w:r>
      <w:proofErr w:type="spellEnd"/>
      <w:r w:rsidRPr="00B419CE">
        <w:t xml:space="preserve"> tredel av </w:t>
      </w:r>
      <w:proofErr w:type="spellStart"/>
      <w:r w:rsidRPr="00B419CE">
        <w:t>inneståande</w:t>
      </w:r>
      <w:proofErr w:type="spellEnd"/>
      <w:r w:rsidRPr="00B419CE">
        <w:t xml:space="preserve"> beløp i overføringsfondet </w:t>
      </w:r>
      <w:proofErr w:type="spellStart"/>
      <w:r w:rsidRPr="00B419CE">
        <w:t>overførast</w:t>
      </w:r>
      <w:proofErr w:type="spellEnd"/>
      <w:r w:rsidRPr="00B419CE">
        <w:t xml:space="preserve"> til statskassa.</w:t>
      </w:r>
    </w:p>
    <w:p w14:paraId="000A9D4A" w14:textId="77777777" w:rsidR="00B419CE" w:rsidRPr="00B419CE" w:rsidRDefault="00B419CE" w:rsidP="00B419CE">
      <w:r w:rsidRPr="00B419CE">
        <w:t xml:space="preserve">Basert på </w:t>
      </w:r>
      <w:proofErr w:type="spellStart"/>
      <w:r w:rsidRPr="00B419CE">
        <w:t>vurderingar</w:t>
      </w:r>
      <w:proofErr w:type="spellEnd"/>
      <w:r w:rsidRPr="00B419CE">
        <w:t xml:space="preserve"> av risikoen for </w:t>
      </w:r>
      <w:proofErr w:type="spellStart"/>
      <w:r w:rsidRPr="00B419CE">
        <w:t>svingingar</w:t>
      </w:r>
      <w:proofErr w:type="spellEnd"/>
      <w:r w:rsidRPr="00B419CE">
        <w:t xml:space="preserve"> i resultatet til </w:t>
      </w:r>
      <w:proofErr w:type="spellStart"/>
      <w:r w:rsidRPr="00B419CE">
        <w:t>Noregs</w:t>
      </w:r>
      <w:proofErr w:type="spellEnd"/>
      <w:r w:rsidRPr="00B419CE">
        <w:t xml:space="preserve"> Bank i åra framover, er storleiken på kursreguleringsfondet sett til 40 pst. av bankens netto internasjonale </w:t>
      </w:r>
      <w:proofErr w:type="spellStart"/>
      <w:r w:rsidRPr="00B419CE">
        <w:t>fordringar</w:t>
      </w:r>
      <w:proofErr w:type="spellEnd"/>
      <w:r w:rsidRPr="00B419CE">
        <w:t xml:space="preserve"> og 5 pst. av bankens </w:t>
      </w:r>
      <w:proofErr w:type="spellStart"/>
      <w:r w:rsidRPr="00B419CE">
        <w:t>behaldning</w:t>
      </w:r>
      <w:proofErr w:type="spellEnd"/>
      <w:r w:rsidRPr="00B419CE">
        <w:t xml:space="preserve"> av </w:t>
      </w:r>
      <w:proofErr w:type="spellStart"/>
      <w:r w:rsidRPr="00B419CE">
        <w:t>innanlandske</w:t>
      </w:r>
      <w:proofErr w:type="spellEnd"/>
      <w:r w:rsidRPr="00B419CE">
        <w:t xml:space="preserve"> verdipapir. </w:t>
      </w:r>
      <w:proofErr w:type="spellStart"/>
      <w:r w:rsidRPr="00B419CE">
        <w:t>Retningslinene</w:t>
      </w:r>
      <w:proofErr w:type="spellEnd"/>
      <w:r w:rsidRPr="00B419CE">
        <w:t xml:space="preserve"> er </w:t>
      </w:r>
      <w:proofErr w:type="spellStart"/>
      <w:r w:rsidRPr="00B419CE">
        <w:t>nærare</w:t>
      </w:r>
      <w:proofErr w:type="spellEnd"/>
      <w:r w:rsidRPr="00B419CE">
        <w:t xml:space="preserve"> omtalte i St.prp. nr. 40 (2002–2003). Kursreguleringsfondet var i </w:t>
      </w:r>
      <w:proofErr w:type="spellStart"/>
      <w:r w:rsidRPr="00B419CE">
        <w:t>fleire</w:t>
      </w:r>
      <w:proofErr w:type="spellEnd"/>
      <w:r w:rsidRPr="00B419CE">
        <w:t xml:space="preserve"> år </w:t>
      </w:r>
      <w:proofErr w:type="spellStart"/>
      <w:r w:rsidRPr="00B419CE">
        <w:t>lågare</w:t>
      </w:r>
      <w:proofErr w:type="spellEnd"/>
      <w:r w:rsidRPr="00B419CE">
        <w:t xml:space="preserve"> enn minstekravet i </w:t>
      </w:r>
      <w:proofErr w:type="spellStart"/>
      <w:r w:rsidRPr="00B419CE">
        <w:t>retningslinene</w:t>
      </w:r>
      <w:proofErr w:type="spellEnd"/>
      <w:r w:rsidRPr="00B419CE">
        <w:t xml:space="preserve">, og det vart </w:t>
      </w:r>
      <w:proofErr w:type="spellStart"/>
      <w:r w:rsidRPr="00B419CE">
        <w:t>difor</w:t>
      </w:r>
      <w:proofErr w:type="spellEnd"/>
      <w:r w:rsidRPr="00B419CE">
        <w:t xml:space="preserve"> </w:t>
      </w:r>
      <w:proofErr w:type="spellStart"/>
      <w:r w:rsidRPr="00B419CE">
        <w:t>ikkje</w:t>
      </w:r>
      <w:proofErr w:type="spellEnd"/>
      <w:r w:rsidRPr="00B419CE">
        <w:t xml:space="preserve"> sett av </w:t>
      </w:r>
      <w:proofErr w:type="spellStart"/>
      <w:r w:rsidRPr="00B419CE">
        <w:t>midlar</w:t>
      </w:r>
      <w:proofErr w:type="spellEnd"/>
      <w:r w:rsidRPr="00B419CE">
        <w:t xml:space="preserve"> til overføringsfondet. Dette har endra seg </w:t>
      </w:r>
      <w:proofErr w:type="spellStart"/>
      <w:r w:rsidRPr="00B419CE">
        <w:t>frå</w:t>
      </w:r>
      <w:proofErr w:type="spellEnd"/>
      <w:r w:rsidRPr="00B419CE">
        <w:t xml:space="preserve"> 2015 av. I 2020 </w:t>
      </w:r>
      <w:proofErr w:type="spellStart"/>
      <w:r w:rsidRPr="00B419CE">
        <w:t>vart</w:t>
      </w:r>
      <w:proofErr w:type="spellEnd"/>
      <w:r w:rsidRPr="00B419CE">
        <w:t xml:space="preserve"> det overført 19,7 mrd. kroner til statskassa og i 2021 var overføringa 15,2 mrd. kroner. </w:t>
      </w:r>
      <w:proofErr w:type="spellStart"/>
      <w:r w:rsidRPr="00B419CE">
        <w:t>Ein</w:t>
      </w:r>
      <w:proofErr w:type="spellEnd"/>
      <w:r w:rsidRPr="00B419CE">
        <w:t xml:space="preserve"> </w:t>
      </w:r>
      <w:proofErr w:type="spellStart"/>
      <w:r w:rsidRPr="00B419CE">
        <w:t>reknar</w:t>
      </w:r>
      <w:proofErr w:type="spellEnd"/>
      <w:r w:rsidRPr="00B419CE">
        <w:t xml:space="preserve"> førebels med at det vil </w:t>
      </w:r>
      <w:proofErr w:type="spellStart"/>
      <w:r w:rsidRPr="00B419CE">
        <w:t>vere</w:t>
      </w:r>
      <w:proofErr w:type="spellEnd"/>
      <w:r w:rsidRPr="00B419CE">
        <w:t xml:space="preserve"> grunnlag for </w:t>
      </w:r>
      <w:proofErr w:type="spellStart"/>
      <w:r w:rsidRPr="00B419CE">
        <w:t>overføringar</w:t>
      </w:r>
      <w:proofErr w:type="spellEnd"/>
      <w:r w:rsidRPr="00B419CE">
        <w:t xml:space="preserve"> til staten i 2022 på 10,1 mrd. kroner. </w:t>
      </w:r>
      <w:proofErr w:type="spellStart"/>
      <w:r w:rsidRPr="00B419CE">
        <w:t>Endeleg</w:t>
      </w:r>
      <w:proofErr w:type="spellEnd"/>
      <w:r w:rsidRPr="00B419CE">
        <w:t xml:space="preserve"> beløp vert fastlagt ved </w:t>
      </w:r>
      <w:proofErr w:type="spellStart"/>
      <w:r w:rsidRPr="00B419CE">
        <w:t>Noregs</w:t>
      </w:r>
      <w:proofErr w:type="spellEnd"/>
      <w:r w:rsidRPr="00B419CE">
        <w:t xml:space="preserve"> Banks avslutning av </w:t>
      </w:r>
      <w:proofErr w:type="spellStart"/>
      <w:r w:rsidRPr="00B419CE">
        <w:t>rekneskapen</w:t>
      </w:r>
      <w:proofErr w:type="spellEnd"/>
      <w:r w:rsidRPr="00B419CE">
        <w:t xml:space="preserve"> for 2021.</w:t>
      </w:r>
    </w:p>
    <w:p w14:paraId="3240DD8D" w14:textId="77777777" w:rsidR="00B419CE" w:rsidRPr="00B419CE" w:rsidRDefault="00B419CE" w:rsidP="00B419CE">
      <w:pPr>
        <w:pStyle w:val="b-budkaptit"/>
      </w:pPr>
      <w:r w:rsidRPr="00B419CE">
        <w:t xml:space="preserve">Kap. 5605 Renter av </w:t>
      </w:r>
      <w:proofErr w:type="spellStart"/>
      <w:r w:rsidRPr="00B419CE">
        <w:t>kontantar</w:t>
      </w:r>
      <w:proofErr w:type="spellEnd"/>
      <w:r w:rsidRPr="00B419CE">
        <w:t xml:space="preserve"> i statskassa og av andre </w:t>
      </w:r>
      <w:proofErr w:type="spellStart"/>
      <w:r w:rsidRPr="00B419CE">
        <w:t>fordringar</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7B59EE98" w14:textId="77777777" w:rsidTr="00B419CE">
        <w:trPr>
          <w:trHeight w:val="640"/>
          <w:hidden/>
        </w:trPr>
        <w:tc>
          <w:tcPr>
            <w:tcW w:w="1140" w:type="dxa"/>
            <w:shd w:val="clear" w:color="auto" w:fill="FFFFFF"/>
          </w:tcPr>
          <w:p w14:paraId="7D803081" w14:textId="77777777" w:rsidR="00B419CE" w:rsidRPr="00B419CE" w:rsidRDefault="00B419CE" w:rsidP="00B419CE">
            <w:pPr>
              <w:pStyle w:val="Tabellnavn"/>
            </w:pPr>
            <w:r w:rsidRPr="00B419CE">
              <w:t>KPAL</w:t>
            </w:r>
          </w:p>
        </w:tc>
        <w:tc>
          <w:tcPr>
            <w:tcW w:w="4560" w:type="dxa"/>
          </w:tcPr>
          <w:p w14:paraId="39D1BAE0" w14:textId="77777777" w:rsidR="00B419CE" w:rsidRPr="00B419CE" w:rsidRDefault="00B419CE" w:rsidP="00B419CE">
            <w:pPr>
              <w:pStyle w:val="Tabellnavn"/>
            </w:pPr>
          </w:p>
        </w:tc>
        <w:tc>
          <w:tcPr>
            <w:tcW w:w="1140" w:type="dxa"/>
          </w:tcPr>
          <w:p w14:paraId="3DFB0083" w14:textId="77777777" w:rsidR="00B419CE" w:rsidRPr="00B419CE" w:rsidRDefault="00B419CE" w:rsidP="00B419CE">
            <w:pPr>
              <w:pStyle w:val="Tabellnavn"/>
              <w:jc w:val="right"/>
            </w:pPr>
          </w:p>
        </w:tc>
        <w:tc>
          <w:tcPr>
            <w:tcW w:w="1140" w:type="dxa"/>
          </w:tcPr>
          <w:p w14:paraId="614F72F6" w14:textId="77777777" w:rsidR="00B419CE" w:rsidRPr="00B419CE" w:rsidRDefault="00B419CE" w:rsidP="00B419CE">
            <w:pPr>
              <w:pStyle w:val="Tabellnavn"/>
              <w:jc w:val="right"/>
            </w:pPr>
          </w:p>
        </w:tc>
        <w:tc>
          <w:tcPr>
            <w:tcW w:w="1140" w:type="dxa"/>
          </w:tcPr>
          <w:p w14:paraId="3FFA2B3F" w14:textId="77777777" w:rsidR="00B419CE" w:rsidRPr="00B419CE" w:rsidRDefault="00B419CE" w:rsidP="00B419CE">
            <w:pPr>
              <w:jc w:val="right"/>
            </w:pPr>
            <w:r w:rsidRPr="00B419CE">
              <w:t>(i 1 000 kr)</w:t>
            </w:r>
          </w:p>
        </w:tc>
      </w:tr>
      <w:tr w:rsidR="00B419CE" w:rsidRPr="00B419CE" w14:paraId="32099CD2" w14:textId="77777777" w:rsidTr="00B419CE">
        <w:trPr>
          <w:trHeight w:val="600"/>
        </w:trPr>
        <w:tc>
          <w:tcPr>
            <w:tcW w:w="1140" w:type="dxa"/>
          </w:tcPr>
          <w:p w14:paraId="44232DD6" w14:textId="77777777" w:rsidR="00B419CE" w:rsidRPr="00B419CE" w:rsidRDefault="00B419CE" w:rsidP="00B419CE">
            <w:r w:rsidRPr="00B419CE">
              <w:lastRenderedPageBreak/>
              <w:t>Post</w:t>
            </w:r>
          </w:p>
        </w:tc>
        <w:tc>
          <w:tcPr>
            <w:tcW w:w="4560" w:type="dxa"/>
          </w:tcPr>
          <w:p w14:paraId="14A244E2" w14:textId="77777777" w:rsidR="00B419CE" w:rsidRPr="00B419CE" w:rsidRDefault="00B419CE" w:rsidP="00B419CE">
            <w:proofErr w:type="spellStart"/>
            <w:r w:rsidRPr="00B419CE">
              <w:t>Nemning</w:t>
            </w:r>
            <w:proofErr w:type="spellEnd"/>
          </w:p>
        </w:tc>
        <w:tc>
          <w:tcPr>
            <w:tcW w:w="1140" w:type="dxa"/>
          </w:tcPr>
          <w:p w14:paraId="30395949"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23230E6D" w14:textId="77777777" w:rsidR="00B419CE" w:rsidRPr="00B419CE" w:rsidRDefault="00B419CE" w:rsidP="00B419CE">
            <w:pPr>
              <w:jc w:val="right"/>
            </w:pPr>
            <w:r w:rsidRPr="00B419CE">
              <w:t>Saldert</w:t>
            </w:r>
            <w:r w:rsidRPr="00B419CE">
              <w:br/>
              <w:t xml:space="preserve"> budsjett 2021</w:t>
            </w:r>
          </w:p>
        </w:tc>
        <w:tc>
          <w:tcPr>
            <w:tcW w:w="1140" w:type="dxa"/>
          </w:tcPr>
          <w:p w14:paraId="12ED3B53" w14:textId="77777777" w:rsidR="00B419CE" w:rsidRPr="00B419CE" w:rsidRDefault="00B419CE" w:rsidP="00B419CE">
            <w:pPr>
              <w:jc w:val="right"/>
            </w:pPr>
            <w:r w:rsidRPr="00B419CE">
              <w:t>Forslag</w:t>
            </w:r>
            <w:r w:rsidRPr="00B419CE">
              <w:br/>
              <w:t xml:space="preserve"> 2022</w:t>
            </w:r>
          </w:p>
        </w:tc>
      </w:tr>
      <w:tr w:rsidR="00B419CE" w:rsidRPr="00B419CE" w14:paraId="32931ED9" w14:textId="77777777" w:rsidTr="00B419CE">
        <w:trPr>
          <w:trHeight w:val="380"/>
        </w:trPr>
        <w:tc>
          <w:tcPr>
            <w:tcW w:w="1140" w:type="dxa"/>
          </w:tcPr>
          <w:p w14:paraId="35D1EA93" w14:textId="77777777" w:rsidR="00B419CE" w:rsidRPr="00B419CE" w:rsidRDefault="00B419CE" w:rsidP="00B419CE">
            <w:r w:rsidRPr="00B419CE">
              <w:t>80</w:t>
            </w:r>
          </w:p>
        </w:tc>
        <w:tc>
          <w:tcPr>
            <w:tcW w:w="4560" w:type="dxa"/>
          </w:tcPr>
          <w:p w14:paraId="5120CB6A" w14:textId="77777777" w:rsidR="00B419CE" w:rsidRPr="00B419CE" w:rsidRDefault="00B419CE" w:rsidP="00B419CE">
            <w:r w:rsidRPr="00B419CE">
              <w:t xml:space="preserve">Av statskassas foliokonto i </w:t>
            </w:r>
            <w:proofErr w:type="spellStart"/>
            <w:r w:rsidRPr="00B419CE">
              <w:t>Noregs</w:t>
            </w:r>
            <w:proofErr w:type="spellEnd"/>
            <w:r w:rsidRPr="00B419CE">
              <w:t xml:space="preserve"> Bank</w:t>
            </w:r>
          </w:p>
        </w:tc>
        <w:tc>
          <w:tcPr>
            <w:tcW w:w="1140" w:type="dxa"/>
          </w:tcPr>
          <w:p w14:paraId="72287C51" w14:textId="77777777" w:rsidR="00B419CE" w:rsidRPr="00B419CE" w:rsidRDefault="00B419CE" w:rsidP="00B419CE">
            <w:pPr>
              <w:jc w:val="right"/>
            </w:pPr>
            <w:r w:rsidRPr="00B419CE">
              <w:t>669 893</w:t>
            </w:r>
          </w:p>
        </w:tc>
        <w:tc>
          <w:tcPr>
            <w:tcW w:w="1140" w:type="dxa"/>
          </w:tcPr>
          <w:p w14:paraId="16363553" w14:textId="77777777" w:rsidR="00B419CE" w:rsidRPr="00B419CE" w:rsidRDefault="00B419CE" w:rsidP="00B419CE">
            <w:pPr>
              <w:jc w:val="right"/>
            </w:pPr>
          </w:p>
        </w:tc>
        <w:tc>
          <w:tcPr>
            <w:tcW w:w="1140" w:type="dxa"/>
          </w:tcPr>
          <w:p w14:paraId="38A87B68" w14:textId="77777777" w:rsidR="00B419CE" w:rsidRPr="00B419CE" w:rsidRDefault="00B419CE" w:rsidP="00B419CE">
            <w:pPr>
              <w:jc w:val="right"/>
            </w:pPr>
          </w:p>
        </w:tc>
      </w:tr>
      <w:tr w:rsidR="00B419CE" w:rsidRPr="00B419CE" w14:paraId="32F135FB" w14:textId="77777777" w:rsidTr="00B419CE">
        <w:trPr>
          <w:trHeight w:val="380"/>
        </w:trPr>
        <w:tc>
          <w:tcPr>
            <w:tcW w:w="1140" w:type="dxa"/>
          </w:tcPr>
          <w:p w14:paraId="51132B0B" w14:textId="77777777" w:rsidR="00B419CE" w:rsidRPr="00B419CE" w:rsidRDefault="00B419CE" w:rsidP="00B419CE">
            <w:r w:rsidRPr="00B419CE">
              <w:t>81</w:t>
            </w:r>
          </w:p>
        </w:tc>
        <w:tc>
          <w:tcPr>
            <w:tcW w:w="4560" w:type="dxa"/>
          </w:tcPr>
          <w:p w14:paraId="67673862" w14:textId="77777777" w:rsidR="00B419CE" w:rsidRPr="00B419CE" w:rsidRDefault="00B419CE" w:rsidP="00B419CE">
            <w:r w:rsidRPr="00B419CE">
              <w:t xml:space="preserve">Av verdipapir og </w:t>
            </w:r>
            <w:proofErr w:type="spellStart"/>
            <w:r w:rsidRPr="00B419CE">
              <w:t>bankinnskot</w:t>
            </w:r>
            <w:proofErr w:type="spellEnd"/>
            <w:r w:rsidRPr="00B419CE">
              <w:t xml:space="preserve"> i </w:t>
            </w:r>
            <w:proofErr w:type="spellStart"/>
            <w:r w:rsidRPr="00B419CE">
              <w:t>utanlandsk</w:t>
            </w:r>
            <w:proofErr w:type="spellEnd"/>
            <w:r w:rsidRPr="00B419CE">
              <w:t xml:space="preserve"> valuta</w:t>
            </w:r>
          </w:p>
        </w:tc>
        <w:tc>
          <w:tcPr>
            <w:tcW w:w="1140" w:type="dxa"/>
          </w:tcPr>
          <w:p w14:paraId="7DEAFD4F" w14:textId="77777777" w:rsidR="00B419CE" w:rsidRPr="00B419CE" w:rsidRDefault="00B419CE" w:rsidP="00B419CE">
            <w:pPr>
              <w:jc w:val="right"/>
            </w:pPr>
            <w:r w:rsidRPr="00B419CE">
              <w:t>168</w:t>
            </w:r>
          </w:p>
        </w:tc>
        <w:tc>
          <w:tcPr>
            <w:tcW w:w="1140" w:type="dxa"/>
          </w:tcPr>
          <w:p w14:paraId="3B04CD9D" w14:textId="77777777" w:rsidR="00B419CE" w:rsidRPr="00B419CE" w:rsidRDefault="00B419CE" w:rsidP="00B419CE">
            <w:pPr>
              <w:jc w:val="right"/>
            </w:pPr>
            <w:r w:rsidRPr="00B419CE">
              <w:t>200</w:t>
            </w:r>
          </w:p>
        </w:tc>
        <w:tc>
          <w:tcPr>
            <w:tcW w:w="1140" w:type="dxa"/>
          </w:tcPr>
          <w:p w14:paraId="4250DB13" w14:textId="77777777" w:rsidR="00B419CE" w:rsidRPr="00B419CE" w:rsidRDefault="00B419CE" w:rsidP="00B419CE">
            <w:pPr>
              <w:jc w:val="right"/>
            </w:pPr>
            <w:r w:rsidRPr="00B419CE">
              <w:t>200</w:t>
            </w:r>
          </w:p>
        </w:tc>
      </w:tr>
      <w:tr w:rsidR="00B419CE" w:rsidRPr="00B419CE" w14:paraId="3EC8FB8D" w14:textId="77777777" w:rsidTr="00B419CE">
        <w:trPr>
          <w:trHeight w:val="380"/>
        </w:trPr>
        <w:tc>
          <w:tcPr>
            <w:tcW w:w="1140" w:type="dxa"/>
          </w:tcPr>
          <w:p w14:paraId="6AB09BFF" w14:textId="77777777" w:rsidR="00B419CE" w:rsidRPr="00B419CE" w:rsidRDefault="00B419CE" w:rsidP="00B419CE">
            <w:r w:rsidRPr="00B419CE">
              <w:t>82</w:t>
            </w:r>
          </w:p>
        </w:tc>
        <w:tc>
          <w:tcPr>
            <w:tcW w:w="4560" w:type="dxa"/>
          </w:tcPr>
          <w:p w14:paraId="145D8039" w14:textId="77777777" w:rsidR="00B419CE" w:rsidRPr="00B419CE" w:rsidRDefault="00B419CE" w:rsidP="00B419CE">
            <w:r w:rsidRPr="00B419CE">
              <w:t xml:space="preserve">Av </w:t>
            </w:r>
            <w:proofErr w:type="spellStart"/>
            <w:r w:rsidRPr="00B419CE">
              <w:t>innanlandske</w:t>
            </w:r>
            <w:proofErr w:type="spellEnd"/>
            <w:r w:rsidRPr="00B419CE">
              <w:t xml:space="preserve"> verdipapir</w:t>
            </w:r>
          </w:p>
        </w:tc>
        <w:tc>
          <w:tcPr>
            <w:tcW w:w="1140" w:type="dxa"/>
          </w:tcPr>
          <w:p w14:paraId="620CC47A" w14:textId="77777777" w:rsidR="00B419CE" w:rsidRPr="00B419CE" w:rsidRDefault="00B419CE" w:rsidP="00B419CE">
            <w:pPr>
              <w:jc w:val="right"/>
            </w:pPr>
            <w:r w:rsidRPr="00B419CE">
              <w:t>912 371</w:t>
            </w:r>
          </w:p>
        </w:tc>
        <w:tc>
          <w:tcPr>
            <w:tcW w:w="1140" w:type="dxa"/>
          </w:tcPr>
          <w:p w14:paraId="1EDA57E3" w14:textId="77777777" w:rsidR="00B419CE" w:rsidRPr="00B419CE" w:rsidRDefault="00B419CE" w:rsidP="00B419CE">
            <w:pPr>
              <w:jc w:val="right"/>
            </w:pPr>
            <w:r w:rsidRPr="00B419CE">
              <w:t>787 900</w:t>
            </w:r>
          </w:p>
        </w:tc>
        <w:tc>
          <w:tcPr>
            <w:tcW w:w="1140" w:type="dxa"/>
          </w:tcPr>
          <w:p w14:paraId="396A5198" w14:textId="77777777" w:rsidR="00B419CE" w:rsidRPr="00B419CE" w:rsidRDefault="00B419CE" w:rsidP="00B419CE">
            <w:pPr>
              <w:jc w:val="right"/>
            </w:pPr>
            <w:r w:rsidRPr="00B419CE">
              <w:t>925 000</w:t>
            </w:r>
          </w:p>
        </w:tc>
      </w:tr>
      <w:tr w:rsidR="00B419CE" w:rsidRPr="00B419CE" w14:paraId="17ED9B74" w14:textId="77777777" w:rsidTr="00B419CE">
        <w:trPr>
          <w:trHeight w:val="380"/>
        </w:trPr>
        <w:tc>
          <w:tcPr>
            <w:tcW w:w="1140" w:type="dxa"/>
          </w:tcPr>
          <w:p w14:paraId="3F672711" w14:textId="77777777" w:rsidR="00B419CE" w:rsidRPr="00B419CE" w:rsidRDefault="00B419CE" w:rsidP="00B419CE">
            <w:r w:rsidRPr="00B419CE">
              <w:t>83</w:t>
            </w:r>
          </w:p>
        </w:tc>
        <w:tc>
          <w:tcPr>
            <w:tcW w:w="4560" w:type="dxa"/>
          </w:tcPr>
          <w:p w14:paraId="73527EA8" w14:textId="77777777" w:rsidR="00B419CE" w:rsidRPr="00B419CE" w:rsidRDefault="00B419CE" w:rsidP="00B419CE">
            <w:r w:rsidRPr="00B419CE">
              <w:t xml:space="preserve">Av </w:t>
            </w:r>
            <w:proofErr w:type="spellStart"/>
            <w:r w:rsidRPr="00B419CE">
              <w:t>alminnelege</w:t>
            </w:r>
            <w:proofErr w:type="spellEnd"/>
            <w:r w:rsidRPr="00B419CE">
              <w:t xml:space="preserve"> </w:t>
            </w:r>
            <w:proofErr w:type="spellStart"/>
            <w:r w:rsidRPr="00B419CE">
              <w:t>fordringar</w:t>
            </w:r>
            <w:proofErr w:type="spellEnd"/>
          </w:p>
        </w:tc>
        <w:tc>
          <w:tcPr>
            <w:tcW w:w="1140" w:type="dxa"/>
          </w:tcPr>
          <w:p w14:paraId="3ED1D7CF" w14:textId="77777777" w:rsidR="00B419CE" w:rsidRPr="00B419CE" w:rsidRDefault="00B419CE" w:rsidP="00B419CE">
            <w:pPr>
              <w:jc w:val="right"/>
            </w:pPr>
            <w:r w:rsidRPr="00B419CE">
              <w:t>55 734</w:t>
            </w:r>
          </w:p>
        </w:tc>
        <w:tc>
          <w:tcPr>
            <w:tcW w:w="1140" w:type="dxa"/>
          </w:tcPr>
          <w:p w14:paraId="135105E1" w14:textId="77777777" w:rsidR="00B419CE" w:rsidRPr="00B419CE" w:rsidRDefault="00B419CE" w:rsidP="00B419CE">
            <w:pPr>
              <w:jc w:val="right"/>
            </w:pPr>
            <w:r w:rsidRPr="00B419CE">
              <w:t>125 000</w:t>
            </w:r>
          </w:p>
        </w:tc>
        <w:tc>
          <w:tcPr>
            <w:tcW w:w="1140" w:type="dxa"/>
          </w:tcPr>
          <w:p w14:paraId="265B4EE0" w14:textId="77777777" w:rsidR="00B419CE" w:rsidRPr="00B419CE" w:rsidRDefault="00B419CE" w:rsidP="00B419CE">
            <w:pPr>
              <w:jc w:val="right"/>
            </w:pPr>
            <w:r w:rsidRPr="00B419CE">
              <w:t>120 000</w:t>
            </w:r>
          </w:p>
        </w:tc>
      </w:tr>
      <w:tr w:rsidR="00B419CE" w:rsidRPr="00B419CE" w14:paraId="13C048C6" w14:textId="77777777" w:rsidTr="00B419CE">
        <w:trPr>
          <w:trHeight w:val="380"/>
        </w:trPr>
        <w:tc>
          <w:tcPr>
            <w:tcW w:w="1140" w:type="dxa"/>
          </w:tcPr>
          <w:p w14:paraId="11716DD6" w14:textId="77777777" w:rsidR="00B419CE" w:rsidRPr="00B419CE" w:rsidRDefault="00B419CE" w:rsidP="00B419CE">
            <w:r w:rsidRPr="00B419CE">
              <w:t>84</w:t>
            </w:r>
          </w:p>
        </w:tc>
        <w:tc>
          <w:tcPr>
            <w:tcW w:w="4560" w:type="dxa"/>
          </w:tcPr>
          <w:p w14:paraId="478F632A" w14:textId="77777777" w:rsidR="00B419CE" w:rsidRPr="00B419CE" w:rsidRDefault="00B419CE" w:rsidP="00B419CE">
            <w:r w:rsidRPr="00B419CE">
              <w:t xml:space="preserve">Av driftskreditt til </w:t>
            </w:r>
            <w:proofErr w:type="spellStart"/>
            <w:r w:rsidRPr="00B419CE">
              <w:t>statsverksemder</w:t>
            </w:r>
            <w:proofErr w:type="spellEnd"/>
          </w:p>
        </w:tc>
        <w:tc>
          <w:tcPr>
            <w:tcW w:w="1140" w:type="dxa"/>
          </w:tcPr>
          <w:p w14:paraId="62DC137A" w14:textId="77777777" w:rsidR="00B419CE" w:rsidRPr="00B419CE" w:rsidRDefault="00B419CE" w:rsidP="00B419CE">
            <w:pPr>
              <w:jc w:val="right"/>
            </w:pPr>
            <w:r w:rsidRPr="00B419CE">
              <w:t>132 246</w:t>
            </w:r>
          </w:p>
        </w:tc>
        <w:tc>
          <w:tcPr>
            <w:tcW w:w="1140" w:type="dxa"/>
          </w:tcPr>
          <w:p w14:paraId="2FE42BA1" w14:textId="77777777" w:rsidR="00B419CE" w:rsidRPr="00B419CE" w:rsidRDefault="00B419CE" w:rsidP="00B419CE">
            <w:pPr>
              <w:jc w:val="right"/>
            </w:pPr>
            <w:r w:rsidRPr="00B419CE">
              <w:t>223 500</w:t>
            </w:r>
          </w:p>
        </w:tc>
        <w:tc>
          <w:tcPr>
            <w:tcW w:w="1140" w:type="dxa"/>
          </w:tcPr>
          <w:p w14:paraId="5F6A8013" w14:textId="77777777" w:rsidR="00B419CE" w:rsidRPr="00B419CE" w:rsidRDefault="00B419CE" w:rsidP="00B419CE">
            <w:pPr>
              <w:jc w:val="right"/>
            </w:pPr>
            <w:r w:rsidRPr="00B419CE">
              <w:t>413 000</w:t>
            </w:r>
          </w:p>
        </w:tc>
      </w:tr>
      <w:tr w:rsidR="00B419CE" w:rsidRPr="00B419CE" w14:paraId="3DE9DDFE" w14:textId="77777777" w:rsidTr="00B419CE">
        <w:trPr>
          <w:trHeight w:val="380"/>
        </w:trPr>
        <w:tc>
          <w:tcPr>
            <w:tcW w:w="1140" w:type="dxa"/>
          </w:tcPr>
          <w:p w14:paraId="52B48EAC" w14:textId="77777777" w:rsidR="00B419CE" w:rsidRPr="00B419CE" w:rsidRDefault="00B419CE" w:rsidP="00B419CE">
            <w:r w:rsidRPr="00B419CE">
              <w:t>86</w:t>
            </w:r>
          </w:p>
        </w:tc>
        <w:tc>
          <w:tcPr>
            <w:tcW w:w="4560" w:type="dxa"/>
          </w:tcPr>
          <w:p w14:paraId="73D245E8" w14:textId="77777777" w:rsidR="00B419CE" w:rsidRPr="00B419CE" w:rsidRDefault="00B419CE" w:rsidP="00B419CE">
            <w:r w:rsidRPr="00B419CE">
              <w:t xml:space="preserve">Renter av lån til andre </w:t>
            </w:r>
            <w:proofErr w:type="spellStart"/>
            <w:r w:rsidRPr="00B419CE">
              <w:t>statar</w:t>
            </w:r>
            <w:proofErr w:type="spellEnd"/>
          </w:p>
        </w:tc>
        <w:tc>
          <w:tcPr>
            <w:tcW w:w="1140" w:type="dxa"/>
          </w:tcPr>
          <w:p w14:paraId="64D0C4EC" w14:textId="77777777" w:rsidR="00B419CE" w:rsidRPr="00B419CE" w:rsidRDefault="00B419CE" w:rsidP="00B419CE">
            <w:pPr>
              <w:jc w:val="right"/>
            </w:pPr>
            <w:r w:rsidRPr="00B419CE">
              <w:t>70</w:t>
            </w:r>
          </w:p>
        </w:tc>
        <w:tc>
          <w:tcPr>
            <w:tcW w:w="1140" w:type="dxa"/>
          </w:tcPr>
          <w:p w14:paraId="381F8473" w14:textId="77777777" w:rsidR="00B419CE" w:rsidRPr="00B419CE" w:rsidRDefault="00B419CE" w:rsidP="00B419CE">
            <w:pPr>
              <w:jc w:val="right"/>
            </w:pPr>
            <w:r w:rsidRPr="00B419CE">
              <w:t>100</w:t>
            </w:r>
          </w:p>
        </w:tc>
        <w:tc>
          <w:tcPr>
            <w:tcW w:w="1140" w:type="dxa"/>
          </w:tcPr>
          <w:p w14:paraId="2C290D24" w14:textId="77777777" w:rsidR="00B419CE" w:rsidRPr="00B419CE" w:rsidRDefault="00B419CE" w:rsidP="00B419CE">
            <w:pPr>
              <w:jc w:val="right"/>
            </w:pPr>
            <w:r w:rsidRPr="00B419CE">
              <w:t>100</w:t>
            </w:r>
          </w:p>
        </w:tc>
      </w:tr>
      <w:tr w:rsidR="00B419CE" w:rsidRPr="00B419CE" w14:paraId="082678C2" w14:textId="77777777" w:rsidTr="00B419CE">
        <w:trPr>
          <w:trHeight w:val="380"/>
        </w:trPr>
        <w:tc>
          <w:tcPr>
            <w:tcW w:w="1140" w:type="dxa"/>
          </w:tcPr>
          <w:p w14:paraId="4FF630CA" w14:textId="77777777" w:rsidR="00B419CE" w:rsidRPr="00B419CE" w:rsidRDefault="00B419CE" w:rsidP="00B419CE">
            <w:r w:rsidRPr="00B419CE">
              <w:t>89</w:t>
            </w:r>
          </w:p>
        </w:tc>
        <w:tc>
          <w:tcPr>
            <w:tcW w:w="4560" w:type="dxa"/>
          </w:tcPr>
          <w:p w14:paraId="32BA9538" w14:textId="77777777" w:rsidR="00B419CE" w:rsidRPr="00B419CE" w:rsidRDefault="00B419CE" w:rsidP="00B419CE">
            <w:r w:rsidRPr="00B419CE">
              <w:t>Garantiprovisjon</w:t>
            </w:r>
          </w:p>
        </w:tc>
        <w:tc>
          <w:tcPr>
            <w:tcW w:w="1140" w:type="dxa"/>
          </w:tcPr>
          <w:p w14:paraId="3AFB4509" w14:textId="77777777" w:rsidR="00B419CE" w:rsidRPr="00B419CE" w:rsidRDefault="00B419CE" w:rsidP="00B419CE">
            <w:pPr>
              <w:jc w:val="right"/>
            </w:pPr>
            <w:r w:rsidRPr="00B419CE">
              <w:t>67 862</w:t>
            </w:r>
          </w:p>
        </w:tc>
        <w:tc>
          <w:tcPr>
            <w:tcW w:w="1140" w:type="dxa"/>
          </w:tcPr>
          <w:p w14:paraId="54942CE1" w14:textId="77777777" w:rsidR="00B419CE" w:rsidRPr="00B419CE" w:rsidRDefault="00B419CE" w:rsidP="00B419CE">
            <w:pPr>
              <w:jc w:val="right"/>
            </w:pPr>
            <w:r w:rsidRPr="00B419CE">
              <w:t>64 000</w:t>
            </w:r>
          </w:p>
        </w:tc>
        <w:tc>
          <w:tcPr>
            <w:tcW w:w="1140" w:type="dxa"/>
          </w:tcPr>
          <w:p w14:paraId="538A9FEF" w14:textId="77777777" w:rsidR="00B419CE" w:rsidRPr="00B419CE" w:rsidRDefault="00B419CE" w:rsidP="00B419CE">
            <w:pPr>
              <w:jc w:val="right"/>
            </w:pPr>
            <w:r w:rsidRPr="00B419CE">
              <w:t>43 500</w:t>
            </w:r>
          </w:p>
        </w:tc>
      </w:tr>
      <w:tr w:rsidR="00B419CE" w:rsidRPr="00B419CE" w14:paraId="49FEF4B5" w14:textId="77777777" w:rsidTr="00B419CE">
        <w:trPr>
          <w:trHeight w:val="380"/>
        </w:trPr>
        <w:tc>
          <w:tcPr>
            <w:tcW w:w="1140" w:type="dxa"/>
          </w:tcPr>
          <w:p w14:paraId="46F3514A" w14:textId="77777777" w:rsidR="00B419CE" w:rsidRPr="00B419CE" w:rsidRDefault="00B419CE" w:rsidP="00B419CE"/>
        </w:tc>
        <w:tc>
          <w:tcPr>
            <w:tcW w:w="4560" w:type="dxa"/>
          </w:tcPr>
          <w:p w14:paraId="7F82612A" w14:textId="77777777" w:rsidR="00B419CE" w:rsidRPr="00B419CE" w:rsidRDefault="00B419CE" w:rsidP="00B419CE">
            <w:r w:rsidRPr="00B419CE">
              <w:t>Sum kap. 5605</w:t>
            </w:r>
          </w:p>
        </w:tc>
        <w:tc>
          <w:tcPr>
            <w:tcW w:w="1140" w:type="dxa"/>
          </w:tcPr>
          <w:p w14:paraId="47D68DEE" w14:textId="77777777" w:rsidR="00B419CE" w:rsidRPr="00B419CE" w:rsidRDefault="00B419CE" w:rsidP="00B419CE">
            <w:pPr>
              <w:jc w:val="right"/>
            </w:pPr>
            <w:r w:rsidRPr="00B419CE">
              <w:t>1 838 344</w:t>
            </w:r>
          </w:p>
        </w:tc>
        <w:tc>
          <w:tcPr>
            <w:tcW w:w="1140" w:type="dxa"/>
          </w:tcPr>
          <w:p w14:paraId="0D0FBF1A" w14:textId="77777777" w:rsidR="00B419CE" w:rsidRPr="00B419CE" w:rsidRDefault="00B419CE" w:rsidP="00B419CE">
            <w:pPr>
              <w:jc w:val="right"/>
            </w:pPr>
            <w:r w:rsidRPr="00B419CE">
              <w:t>1 200 700</w:t>
            </w:r>
          </w:p>
        </w:tc>
        <w:tc>
          <w:tcPr>
            <w:tcW w:w="1140" w:type="dxa"/>
          </w:tcPr>
          <w:p w14:paraId="3023018B" w14:textId="77777777" w:rsidR="00B419CE" w:rsidRPr="00B419CE" w:rsidRDefault="00B419CE" w:rsidP="00B419CE">
            <w:pPr>
              <w:jc w:val="right"/>
            </w:pPr>
            <w:r w:rsidRPr="00B419CE">
              <w:t>1 501 800</w:t>
            </w:r>
          </w:p>
        </w:tc>
      </w:tr>
    </w:tbl>
    <w:p w14:paraId="54FE9AF8" w14:textId="77777777" w:rsidR="00B419CE" w:rsidRPr="00B419CE" w:rsidRDefault="00B419CE" w:rsidP="00B419CE">
      <w:pPr>
        <w:pStyle w:val="b-post"/>
      </w:pPr>
      <w:r w:rsidRPr="00B419CE">
        <w:t xml:space="preserve">Post 80 Av statskassas foliokonto i </w:t>
      </w:r>
      <w:proofErr w:type="spellStart"/>
      <w:r w:rsidRPr="00B419CE">
        <w:t>Noregs</w:t>
      </w:r>
      <w:proofErr w:type="spellEnd"/>
      <w:r w:rsidRPr="00B419CE">
        <w:t xml:space="preserve"> Bank</w:t>
      </w:r>
    </w:p>
    <w:p w14:paraId="468C066B" w14:textId="77777777" w:rsidR="00B419CE" w:rsidRPr="00B419CE" w:rsidRDefault="00B419CE" w:rsidP="00B419CE">
      <w:r w:rsidRPr="00B419CE">
        <w:t xml:space="preserve">Ved utgangen av 2020 var staten si </w:t>
      </w:r>
      <w:proofErr w:type="spellStart"/>
      <w:r w:rsidRPr="00B419CE">
        <w:t>kontantbehaldning</w:t>
      </w:r>
      <w:proofErr w:type="spellEnd"/>
      <w:r w:rsidRPr="00B419CE">
        <w:t xml:space="preserve"> i </w:t>
      </w:r>
      <w:proofErr w:type="spellStart"/>
      <w:r w:rsidRPr="00B419CE">
        <w:t>Noregs</w:t>
      </w:r>
      <w:proofErr w:type="spellEnd"/>
      <w:r w:rsidRPr="00B419CE">
        <w:t xml:space="preserve"> Bank om lag 313 mrd. kroner, som er 125 mrd. kroner </w:t>
      </w:r>
      <w:proofErr w:type="spellStart"/>
      <w:r w:rsidRPr="00B419CE">
        <w:t>høgare</w:t>
      </w:r>
      <w:proofErr w:type="spellEnd"/>
      <w:r w:rsidRPr="00B419CE">
        <w:t xml:space="preserve"> enn ved utgangen av 2019.</w:t>
      </w:r>
    </w:p>
    <w:p w14:paraId="04DF070C" w14:textId="77777777" w:rsidR="00B419CE" w:rsidRPr="00B419CE" w:rsidRDefault="00B419CE" w:rsidP="00B419CE">
      <w:r w:rsidRPr="00B419CE">
        <w:t xml:space="preserve">Alle </w:t>
      </w:r>
      <w:proofErr w:type="spellStart"/>
      <w:r w:rsidRPr="00B419CE">
        <w:t>betalingar</w:t>
      </w:r>
      <w:proofErr w:type="spellEnd"/>
      <w:r w:rsidRPr="00B419CE">
        <w:t xml:space="preserve"> til og </w:t>
      </w:r>
      <w:proofErr w:type="spellStart"/>
      <w:r w:rsidRPr="00B419CE">
        <w:t>frå</w:t>
      </w:r>
      <w:proofErr w:type="spellEnd"/>
      <w:r w:rsidRPr="00B419CE">
        <w:t xml:space="preserve"> staten vert </w:t>
      </w:r>
      <w:proofErr w:type="spellStart"/>
      <w:r w:rsidRPr="00B419CE">
        <w:t>avrekna</w:t>
      </w:r>
      <w:proofErr w:type="spellEnd"/>
      <w:r w:rsidRPr="00B419CE">
        <w:t xml:space="preserve"> mot staten sin foliokonto i </w:t>
      </w:r>
      <w:proofErr w:type="spellStart"/>
      <w:r w:rsidRPr="00B419CE">
        <w:t>Noregs</w:t>
      </w:r>
      <w:proofErr w:type="spellEnd"/>
      <w:r w:rsidRPr="00B419CE">
        <w:t xml:space="preserve"> Bank. Det er store </w:t>
      </w:r>
      <w:proofErr w:type="spellStart"/>
      <w:r w:rsidRPr="00B419CE">
        <w:t>daglege</w:t>
      </w:r>
      <w:proofErr w:type="spellEnd"/>
      <w:r w:rsidRPr="00B419CE">
        <w:t xml:space="preserve"> </w:t>
      </w:r>
      <w:proofErr w:type="spellStart"/>
      <w:r w:rsidRPr="00B419CE">
        <w:t>svingingar</w:t>
      </w:r>
      <w:proofErr w:type="spellEnd"/>
      <w:r w:rsidRPr="00B419CE">
        <w:t xml:space="preserve"> på </w:t>
      </w:r>
      <w:proofErr w:type="spellStart"/>
      <w:r w:rsidRPr="00B419CE">
        <w:t>kontoane</w:t>
      </w:r>
      <w:proofErr w:type="spellEnd"/>
      <w:r w:rsidRPr="00B419CE">
        <w:t xml:space="preserve"> til staten, m.a. som </w:t>
      </w:r>
      <w:proofErr w:type="spellStart"/>
      <w:r w:rsidRPr="00B419CE">
        <w:t>følgje</w:t>
      </w:r>
      <w:proofErr w:type="spellEnd"/>
      <w:r w:rsidRPr="00B419CE">
        <w:t xml:space="preserve"> av </w:t>
      </w:r>
      <w:proofErr w:type="spellStart"/>
      <w:r w:rsidRPr="00B419CE">
        <w:t>skatteinnbetalingar</w:t>
      </w:r>
      <w:proofErr w:type="spellEnd"/>
      <w:r w:rsidRPr="00B419CE">
        <w:t xml:space="preserve"> og </w:t>
      </w:r>
      <w:proofErr w:type="spellStart"/>
      <w:r w:rsidRPr="00B419CE">
        <w:t>overføringar</w:t>
      </w:r>
      <w:proofErr w:type="spellEnd"/>
      <w:r w:rsidRPr="00B419CE">
        <w:t xml:space="preserve"> </w:t>
      </w:r>
      <w:proofErr w:type="spellStart"/>
      <w:r w:rsidRPr="00B419CE">
        <w:t>frå</w:t>
      </w:r>
      <w:proofErr w:type="spellEnd"/>
      <w:r w:rsidRPr="00B419CE">
        <w:t xml:space="preserve"> Statens pensjonsfond utland. Utviklinga i </w:t>
      </w:r>
      <w:proofErr w:type="spellStart"/>
      <w:r w:rsidRPr="00B419CE">
        <w:t>kontantbehaldninga</w:t>
      </w:r>
      <w:proofErr w:type="spellEnd"/>
      <w:r w:rsidRPr="00B419CE">
        <w:t xml:space="preserve"> er heller uviss.</w:t>
      </w:r>
    </w:p>
    <w:p w14:paraId="7B1E1878" w14:textId="77777777" w:rsidR="00B419CE" w:rsidRPr="00B419CE" w:rsidRDefault="00B419CE" w:rsidP="00B419CE">
      <w:r w:rsidRPr="00B419CE">
        <w:t xml:space="preserve">Renta av det </w:t>
      </w:r>
      <w:proofErr w:type="spellStart"/>
      <w:r w:rsidRPr="00B419CE">
        <w:t>inneståande</w:t>
      </w:r>
      <w:proofErr w:type="spellEnd"/>
      <w:r w:rsidRPr="00B419CE">
        <w:t xml:space="preserve"> på foliokontoen vert </w:t>
      </w:r>
      <w:proofErr w:type="spellStart"/>
      <w:r w:rsidRPr="00B419CE">
        <w:t>rekna</w:t>
      </w:r>
      <w:proofErr w:type="spellEnd"/>
      <w:r w:rsidRPr="00B419CE">
        <w:t xml:space="preserve"> ut på bakgrunn av den renta som </w:t>
      </w:r>
      <w:proofErr w:type="spellStart"/>
      <w:r w:rsidRPr="00B419CE">
        <w:t>Noregs</w:t>
      </w:r>
      <w:proofErr w:type="spellEnd"/>
      <w:r w:rsidRPr="00B419CE">
        <w:t xml:space="preserve"> Bank får på sine </w:t>
      </w:r>
      <w:proofErr w:type="spellStart"/>
      <w:r w:rsidRPr="00B419CE">
        <w:t>utanlandske</w:t>
      </w:r>
      <w:proofErr w:type="spellEnd"/>
      <w:r w:rsidRPr="00B419CE">
        <w:t xml:space="preserve"> krav, avrunda til </w:t>
      </w:r>
      <w:proofErr w:type="spellStart"/>
      <w:r w:rsidRPr="00B419CE">
        <w:t>næraste</w:t>
      </w:r>
      <w:proofErr w:type="spellEnd"/>
      <w:r w:rsidRPr="00B419CE">
        <w:t xml:space="preserve"> ¼ prosenteining, og vert endra kvartalsvis. Det er venta at rentene på </w:t>
      </w:r>
      <w:proofErr w:type="spellStart"/>
      <w:r w:rsidRPr="00B419CE">
        <w:t>dei</w:t>
      </w:r>
      <w:proofErr w:type="spellEnd"/>
      <w:r w:rsidRPr="00B419CE">
        <w:t xml:space="preserve"> </w:t>
      </w:r>
      <w:proofErr w:type="spellStart"/>
      <w:r w:rsidRPr="00B419CE">
        <w:t>utanlandske</w:t>
      </w:r>
      <w:proofErr w:type="spellEnd"/>
      <w:r w:rsidRPr="00B419CE">
        <w:t xml:space="preserve"> krava til banken held seg låge. Anslaget for </w:t>
      </w:r>
      <w:proofErr w:type="spellStart"/>
      <w:r w:rsidRPr="00B419CE">
        <w:t>dei</w:t>
      </w:r>
      <w:proofErr w:type="spellEnd"/>
      <w:r w:rsidRPr="00B419CE">
        <w:t xml:space="preserve"> samla renteinntektene i 2022 under denne posten er derfor </w:t>
      </w:r>
      <w:proofErr w:type="spellStart"/>
      <w:r w:rsidRPr="00B419CE">
        <w:t>rekna</w:t>
      </w:r>
      <w:proofErr w:type="spellEnd"/>
      <w:r w:rsidRPr="00B419CE">
        <w:t xml:space="preserve"> til 0 kroner.</w:t>
      </w:r>
    </w:p>
    <w:p w14:paraId="4C9DADE0" w14:textId="77777777" w:rsidR="00B419CE" w:rsidRPr="00B419CE" w:rsidRDefault="00B419CE" w:rsidP="00B419CE">
      <w:pPr>
        <w:pStyle w:val="b-post"/>
      </w:pPr>
      <w:r w:rsidRPr="00B419CE">
        <w:t xml:space="preserve">Post 81 Av verdipapir og </w:t>
      </w:r>
      <w:proofErr w:type="spellStart"/>
      <w:r w:rsidRPr="00B419CE">
        <w:t>bankinnskot</w:t>
      </w:r>
      <w:proofErr w:type="spellEnd"/>
      <w:r w:rsidRPr="00B419CE">
        <w:t xml:space="preserve"> i </w:t>
      </w:r>
      <w:proofErr w:type="spellStart"/>
      <w:r w:rsidRPr="00B419CE">
        <w:t>utanlandsk</w:t>
      </w:r>
      <w:proofErr w:type="spellEnd"/>
      <w:r w:rsidRPr="00B419CE">
        <w:t xml:space="preserve"> valuta</w:t>
      </w:r>
    </w:p>
    <w:p w14:paraId="582454FF" w14:textId="77777777" w:rsidR="00B419CE" w:rsidRPr="00B419CE" w:rsidRDefault="00B419CE" w:rsidP="00B419CE">
      <w:r w:rsidRPr="00B419CE">
        <w:t xml:space="preserve">Posten </w:t>
      </w:r>
      <w:proofErr w:type="spellStart"/>
      <w:r w:rsidRPr="00B419CE">
        <w:t>omfattar</w:t>
      </w:r>
      <w:proofErr w:type="spellEnd"/>
      <w:r w:rsidRPr="00B419CE">
        <w:t xml:space="preserve"> m.a. renter på staten sine </w:t>
      </w:r>
      <w:proofErr w:type="spellStart"/>
      <w:r w:rsidRPr="00B419CE">
        <w:t>bankinnskot</w:t>
      </w:r>
      <w:proofErr w:type="spellEnd"/>
      <w:r w:rsidRPr="00B419CE">
        <w:t xml:space="preserve"> til bruk på </w:t>
      </w:r>
      <w:proofErr w:type="spellStart"/>
      <w:r w:rsidRPr="00B419CE">
        <w:t>utanriksstasjonane</w:t>
      </w:r>
      <w:proofErr w:type="spellEnd"/>
      <w:r w:rsidRPr="00B419CE">
        <w:t xml:space="preserve">. For 2022 er renteinntektene under denne posten </w:t>
      </w:r>
      <w:proofErr w:type="spellStart"/>
      <w:r w:rsidRPr="00B419CE">
        <w:t>rekna</w:t>
      </w:r>
      <w:proofErr w:type="spellEnd"/>
      <w:r w:rsidRPr="00B419CE">
        <w:t xml:space="preserve"> til 0,2 mill. kroner.</w:t>
      </w:r>
    </w:p>
    <w:p w14:paraId="04DDA6B0" w14:textId="77777777" w:rsidR="00B419CE" w:rsidRPr="00B419CE" w:rsidRDefault="00B419CE" w:rsidP="00B419CE">
      <w:pPr>
        <w:pStyle w:val="b-post"/>
      </w:pPr>
      <w:r w:rsidRPr="00B419CE">
        <w:t xml:space="preserve">Post 82 Av </w:t>
      </w:r>
      <w:proofErr w:type="spellStart"/>
      <w:r w:rsidRPr="00B419CE">
        <w:t>innanlandske</w:t>
      </w:r>
      <w:proofErr w:type="spellEnd"/>
      <w:r w:rsidRPr="00B419CE">
        <w:t xml:space="preserve"> verdipapir</w:t>
      </w:r>
    </w:p>
    <w:p w14:paraId="46505E91" w14:textId="77777777" w:rsidR="00B419CE" w:rsidRPr="00B419CE" w:rsidRDefault="00B419CE" w:rsidP="00B419CE">
      <w:r w:rsidRPr="00B419CE">
        <w:t xml:space="preserve">Posten </w:t>
      </w:r>
      <w:proofErr w:type="spellStart"/>
      <w:r w:rsidRPr="00B419CE">
        <w:t>omfattar</w:t>
      </w:r>
      <w:proofErr w:type="spellEnd"/>
      <w:r w:rsidRPr="00B419CE">
        <w:t xml:space="preserve"> for det meste renteinntekter som staten får på </w:t>
      </w:r>
      <w:proofErr w:type="spellStart"/>
      <w:r w:rsidRPr="00B419CE">
        <w:t>eigenbehaldninga</w:t>
      </w:r>
      <w:proofErr w:type="spellEnd"/>
      <w:r w:rsidRPr="00B419CE">
        <w:t xml:space="preserve"> av statspapir som vert nytta til </w:t>
      </w:r>
      <w:proofErr w:type="spellStart"/>
      <w:r w:rsidRPr="00B419CE">
        <w:t>marknadspleieføremål</w:t>
      </w:r>
      <w:proofErr w:type="spellEnd"/>
      <w:r w:rsidRPr="00B419CE">
        <w:t>.</w:t>
      </w:r>
    </w:p>
    <w:p w14:paraId="1448B619" w14:textId="77777777" w:rsidR="00B419CE" w:rsidRPr="00B419CE" w:rsidRDefault="00B419CE" w:rsidP="00B419CE">
      <w:r w:rsidRPr="00B419CE">
        <w:t xml:space="preserve">For å </w:t>
      </w:r>
      <w:proofErr w:type="spellStart"/>
      <w:r w:rsidRPr="00B419CE">
        <w:t>gje</w:t>
      </w:r>
      <w:proofErr w:type="spellEnd"/>
      <w:r w:rsidRPr="00B419CE">
        <w:t xml:space="preserve"> </w:t>
      </w:r>
      <w:proofErr w:type="spellStart"/>
      <w:r w:rsidRPr="00B419CE">
        <w:t>eit</w:t>
      </w:r>
      <w:proofErr w:type="spellEnd"/>
      <w:r w:rsidRPr="00B419CE">
        <w:t xml:space="preserve"> </w:t>
      </w:r>
      <w:proofErr w:type="spellStart"/>
      <w:r w:rsidRPr="00B419CE">
        <w:t>meir</w:t>
      </w:r>
      <w:proofErr w:type="spellEnd"/>
      <w:r w:rsidRPr="00B419CE">
        <w:t xml:space="preserve"> korrekt </w:t>
      </w:r>
      <w:proofErr w:type="spellStart"/>
      <w:r w:rsidRPr="00B419CE">
        <w:t>bilete</w:t>
      </w:r>
      <w:proofErr w:type="spellEnd"/>
      <w:r w:rsidRPr="00B419CE">
        <w:t xml:space="preserve"> av </w:t>
      </w:r>
      <w:proofErr w:type="spellStart"/>
      <w:r w:rsidRPr="00B419CE">
        <w:t>dei</w:t>
      </w:r>
      <w:proofErr w:type="spellEnd"/>
      <w:r w:rsidRPr="00B419CE">
        <w:t xml:space="preserve"> </w:t>
      </w:r>
      <w:proofErr w:type="spellStart"/>
      <w:r w:rsidRPr="00B419CE">
        <w:t>årlege</w:t>
      </w:r>
      <w:proofErr w:type="spellEnd"/>
      <w:r w:rsidRPr="00B419CE">
        <w:t xml:space="preserve"> renteinntektene på </w:t>
      </w:r>
      <w:proofErr w:type="spellStart"/>
      <w:r w:rsidRPr="00B419CE">
        <w:t>eigenbehaldninga</w:t>
      </w:r>
      <w:proofErr w:type="spellEnd"/>
      <w:r w:rsidRPr="00B419CE">
        <w:t xml:space="preserve"> og dermed av </w:t>
      </w:r>
      <w:proofErr w:type="spellStart"/>
      <w:r w:rsidRPr="00B419CE">
        <w:t>dei</w:t>
      </w:r>
      <w:proofErr w:type="spellEnd"/>
      <w:r w:rsidRPr="00B419CE">
        <w:t xml:space="preserve"> </w:t>
      </w:r>
      <w:proofErr w:type="spellStart"/>
      <w:r w:rsidRPr="00B419CE">
        <w:t>årlege</w:t>
      </w:r>
      <w:proofErr w:type="spellEnd"/>
      <w:r w:rsidRPr="00B419CE">
        <w:t xml:space="preserve"> netto finansieringskostnadene til staten, vert over- eller underkurs </w:t>
      </w:r>
      <w:r w:rsidRPr="00B419CE">
        <w:lastRenderedPageBreak/>
        <w:t xml:space="preserve">ført etter </w:t>
      </w:r>
      <w:proofErr w:type="spellStart"/>
      <w:r w:rsidRPr="00B419CE">
        <w:t>dei</w:t>
      </w:r>
      <w:proofErr w:type="spellEnd"/>
      <w:r w:rsidRPr="00B419CE">
        <w:t xml:space="preserve"> same prinsippa som for statsgjelda, jf. omtale under kap. 1650, post 89. For 2022 er renteinntektene under denne posten </w:t>
      </w:r>
      <w:proofErr w:type="spellStart"/>
      <w:r w:rsidRPr="00B419CE">
        <w:t>rekna</w:t>
      </w:r>
      <w:proofErr w:type="spellEnd"/>
      <w:r w:rsidRPr="00B419CE">
        <w:t xml:space="preserve"> til 925 mill. kroner.</w:t>
      </w:r>
    </w:p>
    <w:p w14:paraId="447E9341" w14:textId="77777777" w:rsidR="00B419CE" w:rsidRPr="00B419CE" w:rsidRDefault="00B419CE" w:rsidP="00B419CE">
      <w:pPr>
        <w:pStyle w:val="b-post"/>
      </w:pPr>
      <w:r w:rsidRPr="00B419CE">
        <w:t xml:space="preserve">Post 83 Av </w:t>
      </w:r>
      <w:proofErr w:type="spellStart"/>
      <w:r w:rsidRPr="00B419CE">
        <w:t>alminnelege</w:t>
      </w:r>
      <w:proofErr w:type="spellEnd"/>
      <w:r w:rsidRPr="00B419CE">
        <w:t xml:space="preserve"> </w:t>
      </w:r>
      <w:proofErr w:type="spellStart"/>
      <w:r w:rsidRPr="00B419CE">
        <w:t>fordringar</w:t>
      </w:r>
      <w:proofErr w:type="spellEnd"/>
    </w:p>
    <w:p w14:paraId="46E40AF7" w14:textId="77777777" w:rsidR="00B419CE" w:rsidRPr="00B419CE" w:rsidRDefault="00B419CE" w:rsidP="00B419CE">
      <w:r w:rsidRPr="00B419CE">
        <w:t xml:space="preserve">Posten </w:t>
      </w:r>
      <w:proofErr w:type="spellStart"/>
      <w:r w:rsidRPr="00B419CE">
        <w:t>omfattar</w:t>
      </w:r>
      <w:proofErr w:type="spellEnd"/>
      <w:r w:rsidRPr="00B419CE">
        <w:t xml:space="preserve"> renteinntekter av </w:t>
      </w:r>
      <w:proofErr w:type="spellStart"/>
      <w:r w:rsidRPr="00B419CE">
        <w:t>innskot</w:t>
      </w:r>
      <w:proofErr w:type="spellEnd"/>
      <w:r w:rsidRPr="00B419CE">
        <w:t xml:space="preserve"> </w:t>
      </w:r>
      <w:proofErr w:type="spellStart"/>
      <w:r w:rsidRPr="00B419CE">
        <w:t>frå</w:t>
      </w:r>
      <w:proofErr w:type="spellEnd"/>
      <w:r w:rsidRPr="00B419CE">
        <w:t xml:space="preserve"> statens </w:t>
      </w:r>
      <w:proofErr w:type="spellStart"/>
      <w:r w:rsidRPr="00B419CE">
        <w:t>rekneskapsførarar</w:t>
      </w:r>
      <w:proofErr w:type="spellEnd"/>
      <w:r w:rsidRPr="00B419CE">
        <w:t xml:space="preserve"> i </w:t>
      </w:r>
      <w:proofErr w:type="spellStart"/>
      <w:r w:rsidRPr="00B419CE">
        <w:t>bankar</w:t>
      </w:r>
      <w:proofErr w:type="spellEnd"/>
      <w:r w:rsidRPr="00B419CE">
        <w:t xml:space="preserve"> </w:t>
      </w:r>
      <w:proofErr w:type="spellStart"/>
      <w:r w:rsidRPr="00B419CE">
        <w:t>utanom</w:t>
      </w:r>
      <w:proofErr w:type="spellEnd"/>
      <w:r w:rsidRPr="00B419CE">
        <w:t xml:space="preserve"> konsernkontoordninga, utlån som vert forvalta av Finansdepartementet og andre departement, og andre renteinntekter av </w:t>
      </w:r>
      <w:proofErr w:type="spellStart"/>
      <w:r w:rsidRPr="00B419CE">
        <w:t>alminnelege</w:t>
      </w:r>
      <w:proofErr w:type="spellEnd"/>
      <w:r w:rsidRPr="00B419CE">
        <w:t xml:space="preserve"> krav.</w:t>
      </w:r>
    </w:p>
    <w:p w14:paraId="35858437" w14:textId="77777777" w:rsidR="00B419CE" w:rsidRPr="00B419CE" w:rsidRDefault="00B419CE" w:rsidP="00B419CE">
      <w:r w:rsidRPr="00B419CE">
        <w:t xml:space="preserve">Inntektene på denne posten er </w:t>
      </w:r>
      <w:proofErr w:type="spellStart"/>
      <w:r w:rsidRPr="00B419CE">
        <w:t>vanskeleg</w:t>
      </w:r>
      <w:proofErr w:type="spellEnd"/>
      <w:r w:rsidRPr="00B419CE">
        <w:t xml:space="preserve"> å </w:t>
      </w:r>
      <w:proofErr w:type="spellStart"/>
      <w:r w:rsidRPr="00B419CE">
        <w:t>føreseie</w:t>
      </w:r>
      <w:proofErr w:type="spellEnd"/>
      <w:r w:rsidRPr="00B419CE">
        <w:t>. På usikkert grunnlag er det for 2022 ført opp inntekter på 120 mill. kroner.</w:t>
      </w:r>
    </w:p>
    <w:p w14:paraId="5E2E0DB1" w14:textId="77777777" w:rsidR="00B419CE" w:rsidRPr="00B419CE" w:rsidRDefault="00B419CE" w:rsidP="00B419CE">
      <w:pPr>
        <w:pStyle w:val="b-post"/>
      </w:pPr>
      <w:r w:rsidRPr="00B419CE">
        <w:t xml:space="preserve">Post 84 Av driftskreditt til </w:t>
      </w:r>
      <w:proofErr w:type="spellStart"/>
      <w:r w:rsidRPr="00B419CE">
        <w:t>statsverksemder</w:t>
      </w:r>
      <w:proofErr w:type="spellEnd"/>
    </w:p>
    <w:p w14:paraId="27D025BB" w14:textId="77777777" w:rsidR="00B419CE" w:rsidRPr="00B419CE" w:rsidRDefault="00B419CE" w:rsidP="00B419CE">
      <w:r w:rsidRPr="00B419CE">
        <w:t xml:space="preserve">Dei regionale </w:t>
      </w:r>
      <w:proofErr w:type="spellStart"/>
      <w:r w:rsidRPr="00B419CE">
        <w:t>helseføretaka</w:t>
      </w:r>
      <w:proofErr w:type="spellEnd"/>
      <w:r w:rsidRPr="00B419CE">
        <w:t xml:space="preserve"> kan ta opp lån i statskassa til </w:t>
      </w:r>
      <w:proofErr w:type="spellStart"/>
      <w:r w:rsidRPr="00B419CE">
        <w:t>investeringsføremål</w:t>
      </w:r>
      <w:proofErr w:type="spellEnd"/>
      <w:r w:rsidRPr="00B419CE">
        <w:t xml:space="preserve">. </w:t>
      </w:r>
      <w:proofErr w:type="spellStart"/>
      <w:r w:rsidRPr="00B419CE">
        <w:t>Føretaka</w:t>
      </w:r>
      <w:proofErr w:type="spellEnd"/>
      <w:r w:rsidRPr="00B419CE">
        <w:t xml:space="preserve"> skal </w:t>
      </w:r>
      <w:proofErr w:type="spellStart"/>
      <w:r w:rsidRPr="00B419CE">
        <w:t>ikkje</w:t>
      </w:r>
      <w:proofErr w:type="spellEnd"/>
      <w:r w:rsidRPr="00B419CE">
        <w:t xml:space="preserve"> betale renter i </w:t>
      </w:r>
      <w:proofErr w:type="spellStart"/>
      <w:r w:rsidRPr="00B419CE">
        <w:t>opptrekksperioden</w:t>
      </w:r>
      <w:proofErr w:type="spellEnd"/>
      <w:r w:rsidRPr="00B419CE">
        <w:t xml:space="preserve">. Rentene i denne perioden skal i staden </w:t>
      </w:r>
      <w:proofErr w:type="spellStart"/>
      <w:r w:rsidRPr="00B419CE">
        <w:t>kapitaliserast</w:t>
      </w:r>
      <w:proofErr w:type="spellEnd"/>
      <w:r w:rsidRPr="00B419CE">
        <w:t xml:space="preserve"> og </w:t>
      </w:r>
      <w:proofErr w:type="spellStart"/>
      <w:r w:rsidRPr="00B419CE">
        <w:t>leggjast</w:t>
      </w:r>
      <w:proofErr w:type="spellEnd"/>
      <w:r w:rsidRPr="00B419CE">
        <w:t xml:space="preserve"> til låna gjennom ei </w:t>
      </w:r>
      <w:proofErr w:type="spellStart"/>
      <w:r w:rsidRPr="00B419CE">
        <w:t>særskild</w:t>
      </w:r>
      <w:proofErr w:type="spellEnd"/>
      <w:r w:rsidRPr="00B419CE">
        <w:t xml:space="preserve"> låneløyving for </w:t>
      </w:r>
      <w:proofErr w:type="spellStart"/>
      <w:r w:rsidRPr="00B419CE">
        <w:t>opptrekksrenter</w:t>
      </w:r>
      <w:proofErr w:type="spellEnd"/>
      <w:r w:rsidRPr="00B419CE">
        <w:t xml:space="preserve"> under Helse- og omsorgsdepartementet, jf. kap. 732, post 83. Post 84 her er den </w:t>
      </w:r>
      <w:proofErr w:type="spellStart"/>
      <w:r w:rsidRPr="00B419CE">
        <w:t>motsvarande</w:t>
      </w:r>
      <w:proofErr w:type="spellEnd"/>
      <w:r w:rsidRPr="00B419CE">
        <w:t xml:space="preserve"> inntektsposten. Etter </w:t>
      </w:r>
      <w:proofErr w:type="spellStart"/>
      <w:r w:rsidRPr="00B419CE">
        <w:t>opptrekksperioden</w:t>
      </w:r>
      <w:proofErr w:type="spellEnd"/>
      <w:r w:rsidRPr="00B419CE">
        <w:t xml:space="preserve"> skal rentene på låna </w:t>
      </w:r>
      <w:proofErr w:type="spellStart"/>
      <w:r w:rsidRPr="00B419CE">
        <w:t>innbetalast</w:t>
      </w:r>
      <w:proofErr w:type="spellEnd"/>
      <w:r w:rsidRPr="00B419CE">
        <w:t xml:space="preserve"> av </w:t>
      </w:r>
      <w:proofErr w:type="spellStart"/>
      <w:r w:rsidRPr="00B419CE">
        <w:t>føretaka</w:t>
      </w:r>
      <w:proofErr w:type="spellEnd"/>
      <w:r w:rsidRPr="00B419CE">
        <w:t xml:space="preserve"> og </w:t>
      </w:r>
      <w:proofErr w:type="spellStart"/>
      <w:r w:rsidRPr="00B419CE">
        <w:t>inntektsførast</w:t>
      </w:r>
      <w:proofErr w:type="spellEnd"/>
      <w:r w:rsidRPr="00B419CE">
        <w:t xml:space="preserve"> på </w:t>
      </w:r>
      <w:proofErr w:type="spellStart"/>
      <w:r w:rsidRPr="00B419CE">
        <w:t>særskilde</w:t>
      </w:r>
      <w:proofErr w:type="spellEnd"/>
      <w:r w:rsidRPr="00B419CE">
        <w:t xml:space="preserve"> </w:t>
      </w:r>
      <w:proofErr w:type="spellStart"/>
      <w:r w:rsidRPr="00B419CE">
        <w:t>postar</w:t>
      </w:r>
      <w:proofErr w:type="spellEnd"/>
      <w:r w:rsidRPr="00B419CE">
        <w:t xml:space="preserve"> under fagdepartementet.</w:t>
      </w:r>
    </w:p>
    <w:p w14:paraId="77443605" w14:textId="77777777" w:rsidR="00B419CE" w:rsidRPr="00B419CE" w:rsidRDefault="00B419CE" w:rsidP="00B419CE">
      <w:r w:rsidRPr="00B419CE">
        <w:t xml:space="preserve">I 2009 vart </w:t>
      </w:r>
      <w:proofErr w:type="spellStart"/>
      <w:r w:rsidRPr="00B419CE">
        <w:t>dei</w:t>
      </w:r>
      <w:proofErr w:type="spellEnd"/>
      <w:r w:rsidRPr="00B419CE">
        <w:t xml:space="preserve"> regionale </w:t>
      </w:r>
      <w:proofErr w:type="spellStart"/>
      <w:r w:rsidRPr="00B419CE">
        <w:t>helseføretaka</w:t>
      </w:r>
      <w:proofErr w:type="spellEnd"/>
      <w:r w:rsidRPr="00B419CE">
        <w:t xml:space="preserve"> sine </w:t>
      </w:r>
      <w:proofErr w:type="spellStart"/>
      <w:r w:rsidRPr="00B419CE">
        <w:t>driftskredittar</w:t>
      </w:r>
      <w:proofErr w:type="spellEnd"/>
      <w:r w:rsidRPr="00B419CE">
        <w:t xml:space="preserve"> i private </w:t>
      </w:r>
      <w:proofErr w:type="spellStart"/>
      <w:r w:rsidRPr="00B419CE">
        <w:t>bankar</w:t>
      </w:r>
      <w:proofErr w:type="spellEnd"/>
      <w:r w:rsidRPr="00B419CE">
        <w:t xml:space="preserve"> omgjorde til </w:t>
      </w:r>
      <w:proofErr w:type="spellStart"/>
      <w:r w:rsidRPr="00B419CE">
        <w:t>driftskredittar</w:t>
      </w:r>
      <w:proofErr w:type="spellEnd"/>
      <w:r w:rsidRPr="00B419CE">
        <w:t xml:space="preserve"> i staten, jf. kap. 732, post 86 under Helse- og omsorgsdepartementet. </w:t>
      </w:r>
      <w:proofErr w:type="spellStart"/>
      <w:r w:rsidRPr="00B419CE">
        <w:t>Føretaka</w:t>
      </w:r>
      <w:proofErr w:type="spellEnd"/>
      <w:r w:rsidRPr="00B419CE">
        <w:t xml:space="preserve"> betaler renter av trekka på driftskredittramma, og </w:t>
      </w:r>
      <w:proofErr w:type="spellStart"/>
      <w:r w:rsidRPr="00B419CE">
        <w:t>desse</w:t>
      </w:r>
      <w:proofErr w:type="spellEnd"/>
      <w:r w:rsidRPr="00B419CE">
        <w:t xml:space="preserve"> rentene vert òg inntektsførte under post 84.</w:t>
      </w:r>
    </w:p>
    <w:p w14:paraId="0ED95BC6" w14:textId="77777777" w:rsidR="00B419CE" w:rsidRPr="00B419CE" w:rsidRDefault="00B419CE" w:rsidP="00B419CE">
      <w:r w:rsidRPr="00B419CE">
        <w:t xml:space="preserve">For 2022 er renteinntektene under denne posten </w:t>
      </w:r>
      <w:proofErr w:type="spellStart"/>
      <w:r w:rsidRPr="00B419CE">
        <w:t>rekna</w:t>
      </w:r>
      <w:proofErr w:type="spellEnd"/>
      <w:r w:rsidRPr="00B419CE">
        <w:t xml:space="preserve"> til 413,0 mill. kroner.</w:t>
      </w:r>
    </w:p>
    <w:p w14:paraId="43A27B71" w14:textId="77777777" w:rsidR="00B419CE" w:rsidRPr="00B419CE" w:rsidRDefault="00B419CE" w:rsidP="00B419CE">
      <w:pPr>
        <w:pStyle w:val="b-post"/>
      </w:pPr>
      <w:r w:rsidRPr="00B419CE">
        <w:t>Post 89 Garantiprovisjon</w:t>
      </w:r>
    </w:p>
    <w:p w14:paraId="4B6686F3" w14:textId="77777777" w:rsidR="00B419CE" w:rsidRPr="00B419CE" w:rsidRDefault="00B419CE" w:rsidP="00B419CE">
      <w:r w:rsidRPr="00B419CE">
        <w:t xml:space="preserve">Garantiordninga for lån </w:t>
      </w:r>
      <w:proofErr w:type="spellStart"/>
      <w:r w:rsidRPr="00B419CE">
        <w:t>frå</w:t>
      </w:r>
      <w:proofErr w:type="spellEnd"/>
      <w:r w:rsidRPr="00B419CE">
        <w:t xml:space="preserve"> finansforetak til små og mellomstore </w:t>
      </w:r>
      <w:proofErr w:type="spellStart"/>
      <w:r w:rsidRPr="00B419CE">
        <w:t>føretak</w:t>
      </w:r>
      <w:proofErr w:type="spellEnd"/>
      <w:r w:rsidRPr="00B419CE">
        <w:t xml:space="preserve"> </w:t>
      </w:r>
      <w:proofErr w:type="spellStart"/>
      <w:r w:rsidRPr="00B419CE">
        <w:t>vart</w:t>
      </w:r>
      <w:proofErr w:type="spellEnd"/>
      <w:r w:rsidRPr="00B419CE">
        <w:t xml:space="preserve"> etablert i mars 2020 for å </w:t>
      </w:r>
      <w:proofErr w:type="spellStart"/>
      <w:r w:rsidRPr="00B419CE">
        <w:t>styrkje</w:t>
      </w:r>
      <w:proofErr w:type="spellEnd"/>
      <w:r w:rsidRPr="00B419CE">
        <w:t xml:space="preserve"> tilgangen på lån til </w:t>
      </w:r>
      <w:proofErr w:type="spellStart"/>
      <w:r w:rsidRPr="00B419CE">
        <w:t>verksemder</w:t>
      </w:r>
      <w:proofErr w:type="spellEnd"/>
      <w:r w:rsidRPr="00B419CE">
        <w:t xml:space="preserve"> som vert ramma av </w:t>
      </w:r>
      <w:proofErr w:type="spellStart"/>
      <w:r w:rsidRPr="00B419CE">
        <w:t>virusutbrotet</w:t>
      </w:r>
      <w:proofErr w:type="spellEnd"/>
      <w:r w:rsidRPr="00B419CE">
        <w:t xml:space="preserve">. </w:t>
      </w:r>
      <w:proofErr w:type="spellStart"/>
      <w:r w:rsidRPr="00B419CE">
        <w:t>Føretaka</w:t>
      </w:r>
      <w:proofErr w:type="spellEnd"/>
      <w:r w:rsidRPr="00B419CE">
        <w:t xml:space="preserve"> som får garanterte lån, skal betale </w:t>
      </w:r>
      <w:proofErr w:type="spellStart"/>
      <w:r w:rsidRPr="00B419CE">
        <w:t>ein</w:t>
      </w:r>
      <w:proofErr w:type="spellEnd"/>
      <w:r w:rsidRPr="00B419CE">
        <w:t xml:space="preserve"> </w:t>
      </w:r>
      <w:proofErr w:type="spellStart"/>
      <w:r w:rsidRPr="00B419CE">
        <w:t>årleg</w:t>
      </w:r>
      <w:proofErr w:type="spellEnd"/>
      <w:r w:rsidRPr="00B419CE">
        <w:t xml:space="preserve"> garantiprovisjon til staten, i tillegg til at </w:t>
      </w:r>
      <w:proofErr w:type="spellStart"/>
      <w:r w:rsidRPr="00B419CE">
        <w:t>bankane</w:t>
      </w:r>
      <w:proofErr w:type="spellEnd"/>
      <w:r w:rsidRPr="00B419CE">
        <w:t xml:space="preserve"> skal betale ei </w:t>
      </w:r>
      <w:proofErr w:type="spellStart"/>
      <w:r w:rsidRPr="00B419CE">
        <w:t>årleg</w:t>
      </w:r>
      <w:proofErr w:type="spellEnd"/>
      <w:r w:rsidRPr="00B419CE">
        <w:t xml:space="preserve"> garantiavgift. </w:t>
      </w:r>
      <w:r w:rsidRPr="00B419CE">
        <w:rPr>
          <w:rStyle w:val="kursiv"/>
        </w:rPr>
        <w:t xml:space="preserve">Eksportfinansiering </w:t>
      </w:r>
      <w:proofErr w:type="spellStart"/>
      <w:r w:rsidRPr="00B419CE">
        <w:rPr>
          <w:rStyle w:val="kursiv"/>
        </w:rPr>
        <w:t>Noreg</w:t>
      </w:r>
      <w:proofErr w:type="spellEnd"/>
      <w:r w:rsidRPr="00B419CE">
        <w:t xml:space="preserve"> (som </w:t>
      </w:r>
      <w:r w:rsidRPr="00B419CE">
        <w:rPr>
          <w:rStyle w:val="kursiv"/>
        </w:rPr>
        <w:t>Garantiinstituttet for eksportgaranti</w:t>
      </w:r>
      <w:r w:rsidRPr="00B419CE">
        <w:t xml:space="preserve"> (GIEK) vart </w:t>
      </w:r>
      <w:proofErr w:type="spellStart"/>
      <w:r w:rsidRPr="00B419CE">
        <w:t>ein</w:t>
      </w:r>
      <w:proofErr w:type="spellEnd"/>
      <w:r w:rsidRPr="00B419CE">
        <w:t xml:space="preserve"> del av </w:t>
      </w:r>
      <w:proofErr w:type="spellStart"/>
      <w:r w:rsidRPr="00B419CE">
        <w:t>frå</w:t>
      </w:r>
      <w:proofErr w:type="spellEnd"/>
      <w:r w:rsidRPr="00B419CE">
        <w:t xml:space="preserve"> 1. juli 2021) </w:t>
      </w:r>
      <w:proofErr w:type="spellStart"/>
      <w:r w:rsidRPr="00B419CE">
        <w:t>forvaltar</w:t>
      </w:r>
      <w:proofErr w:type="spellEnd"/>
      <w:r w:rsidRPr="00B419CE">
        <w:t xml:space="preserve"> ordninga på vegner av staten og har bedømt at dette kan </w:t>
      </w:r>
      <w:proofErr w:type="spellStart"/>
      <w:r w:rsidRPr="00B419CE">
        <w:t>gje</w:t>
      </w:r>
      <w:proofErr w:type="spellEnd"/>
      <w:r w:rsidRPr="00B419CE">
        <w:t xml:space="preserve"> inntekter på 43,5 mill. kroner i 2022. Overslaget er usikkert og kviler på usikre </w:t>
      </w:r>
      <w:proofErr w:type="spellStart"/>
      <w:r w:rsidRPr="00B419CE">
        <w:t>føresetnader</w:t>
      </w:r>
      <w:proofErr w:type="spellEnd"/>
      <w:r w:rsidRPr="00B419CE">
        <w:t xml:space="preserve"> om kor </w:t>
      </w:r>
      <w:proofErr w:type="spellStart"/>
      <w:r w:rsidRPr="00B419CE">
        <w:t>mykje</w:t>
      </w:r>
      <w:proofErr w:type="spellEnd"/>
      <w:r w:rsidRPr="00B419CE">
        <w:t xml:space="preserve"> av utlånsvolumet som vil </w:t>
      </w:r>
      <w:proofErr w:type="spellStart"/>
      <w:r w:rsidRPr="00B419CE">
        <w:t>verte</w:t>
      </w:r>
      <w:proofErr w:type="spellEnd"/>
      <w:r w:rsidRPr="00B419CE">
        <w:t xml:space="preserve"> innfridd eller </w:t>
      </w:r>
      <w:proofErr w:type="spellStart"/>
      <w:r w:rsidRPr="00B419CE">
        <w:t>misleghalde</w:t>
      </w:r>
      <w:proofErr w:type="spellEnd"/>
      <w:r w:rsidRPr="00B419CE">
        <w:t>.</w:t>
      </w:r>
    </w:p>
    <w:p w14:paraId="3753FD82" w14:textId="77777777" w:rsidR="00B419CE" w:rsidRPr="00B419CE" w:rsidRDefault="00B419CE" w:rsidP="00B419CE">
      <w:pPr>
        <w:pStyle w:val="b-budkaptit"/>
      </w:pPr>
      <w:r w:rsidRPr="00B419CE">
        <w:t xml:space="preserve">Kap. 5692 </w:t>
      </w:r>
      <w:proofErr w:type="spellStart"/>
      <w:r w:rsidRPr="00B419CE">
        <w:t>Utbyte</w:t>
      </w:r>
      <w:proofErr w:type="spellEnd"/>
      <w:r w:rsidRPr="00B419CE">
        <w:t xml:space="preserve"> av statens kapital i Den nordiske investeringsbanken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0DA90487" w14:textId="77777777" w:rsidTr="00B419CE">
        <w:trPr>
          <w:trHeight w:val="640"/>
          <w:hidden/>
        </w:trPr>
        <w:tc>
          <w:tcPr>
            <w:tcW w:w="1140" w:type="dxa"/>
            <w:shd w:val="clear" w:color="auto" w:fill="FFFFFF"/>
          </w:tcPr>
          <w:p w14:paraId="2C3126EA" w14:textId="77777777" w:rsidR="00B419CE" w:rsidRPr="00B419CE" w:rsidRDefault="00B419CE" w:rsidP="00B419CE">
            <w:pPr>
              <w:pStyle w:val="Tabellnavn"/>
            </w:pPr>
            <w:r w:rsidRPr="00B419CE">
              <w:t>KPAL</w:t>
            </w:r>
          </w:p>
        </w:tc>
        <w:tc>
          <w:tcPr>
            <w:tcW w:w="4560" w:type="dxa"/>
          </w:tcPr>
          <w:p w14:paraId="74AEABCE" w14:textId="77777777" w:rsidR="00B419CE" w:rsidRPr="00B419CE" w:rsidRDefault="00B419CE" w:rsidP="00B419CE">
            <w:pPr>
              <w:pStyle w:val="Tabellnavn"/>
            </w:pPr>
          </w:p>
        </w:tc>
        <w:tc>
          <w:tcPr>
            <w:tcW w:w="1140" w:type="dxa"/>
          </w:tcPr>
          <w:p w14:paraId="6C020501" w14:textId="77777777" w:rsidR="00B419CE" w:rsidRPr="00B419CE" w:rsidRDefault="00B419CE" w:rsidP="00B419CE">
            <w:pPr>
              <w:pStyle w:val="Tabellnavn"/>
              <w:jc w:val="right"/>
            </w:pPr>
          </w:p>
        </w:tc>
        <w:tc>
          <w:tcPr>
            <w:tcW w:w="1140" w:type="dxa"/>
          </w:tcPr>
          <w:p w14:paraId="2486EB48" w14:textId="77777777" w:rsidR="00B419CE" w:rsidRPr="00B419CE" w:rsidRDefault="00B419CE" w:rsidP="00B419CE">
            <w:pPr>
              <w:pStyle w:val="Tabellnavn"/>
              <w:jc w:val="right"/>
            </w:pPr>
          </w:p>
        </w:tc>
        <w:tc>
          <w:tcPr>
            <w:tcW w:w="1140" w:type="dxa"/>
          </w:tcPr>
          <w:p w14:paraId="66FCDCA1" w14:textId="77777777" w:rsidR="00B419CE" w:rsidRPr="00B419CE" w:rsidRDefault="00B419CE" w:rsidP="00B419CE">
            <w:pPr>
              <w:jc w:val="right"/>
            </w:pPr>
            <w:r w:rsidRPr="00B419CE">
              <w:t>(i 1 000 kr)</w:t>
            </w:r>
          </w:p>
        </w:tc>
      </w:tr>
      <w:tr w:rsidR="00B419CE" w:rsidRPr="00B419CE" w14:paraId="17C444C6" w14:textId="77777777" w:rsidTr="00B419CE">
        <w:trPr>
          <w:trHeight w:val="600"/>
        </w:trPr>
        <w:tc>
          <w:tcPr>
            <w:tcW w:w="1140" w:type="dxa"/>
          </w:tcPr>
          <w:p w14:paraId="281F6212" w14:textId="77777777" w:rsidR="00B419CE" w:rsidRPr="00B419CE" w:rsidRDefault="00B419CE" w:rsidP="00B419CE">
            <w:r w:rsidRPr="00B419CE">
              <w:t>Post</w:t>
            </w:r>
          </w:p>
        </w:tc>
        <w:tc>
          <w:tcPr>
            <w:tcW w:w="4560" w:type="dxa"/>
          </w:tcPr>
          <w:p w14:paraId="57021AC3" w14:textId="77777777" w:rsidR="00B419CE" w:rsidRPr="00B419CE" w:rsidRDefault="00B419CE" w:rsidP="00B419CE">
            <w:proofErr w:type="spellStart"/>
            <w:r w:rsidRPr="00B419CE">
              <w:t>Nemning</w:t>
            </w:r>
            <w:proofErr w:type="spellEnd"/>
          </w:p>
        </w:tc>
        <w:tc>
          <w:tcPr>
            <w:tcW w:w="1140" w:type="dxa"/>
          </w:tcPr>
          <w:p w14:paraId="06C99CF6"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7F972EFA" w14:textId="77777777" w:rsidR="00B419CE" w:rsidRPr="00B419CE" w:rsidRDefault="00B419CE" w:rsidP="00B419CE">
            <w:pPr>
              <w:jc w:val="right"/>
            </w:pPr>
            <w:r w:rsidRPr="00B419CE">
              <w:t>Saldert</w:t>
            </w:r>
            <w:r w:rsidRPr="00B419CE">
              <w:br/>
              <w:t xml:space="preserve"> budsjett 2021</w:t>
            </w:r>
          </w:p>
        </w:tc>
        <w:tc>
          <w:tcPr>
            <w:tcW w:w="1140" w:type="dxa"/>
          </w:tcPr>
          <w:p w14:paraId="65F23410" w14:textId="77777777" w:rsidR="00B419CE" w:rsidRPr="00B419CE" w:rsidRDefault="00B419CE" w:rsidP="00B419CE">
            <w:pPr>
              <w:jc w:val="right"/>
            </w:pPr>
            <w:r w:rsidRPr="00B419CE">
              <w:t>Forslag</w:t>
            </w:r>
            <w:r w:rsidRPr="00B419CE">
              <w:br/>
              <w:t xml:space="preserve"> 2022</w:t>
            </w:r>
          </w:p>
        </w:tc>
      </w:tr>
      <w:tr w:rsidR="00B419CE" w:rsidRPr="00B419CE" w14:paraId="768BD7B1" w14:textId="77777777" w:rsidTr="00B419CE">
        <w:trPr>
          <w:trHeight w:val="380"/>
        </w:trPr>
        <w:tc>
          <w:tcPr>
            <w:tcW w:w="1140" w:type="dxa"/>
          </w:tcPr>
          <w:p w14:paraId="5F8F162D" w14:textId="77777777" w:rsidR="00B419CE" w:rsidRPr="00B419CE" w:rsidRDefault="00B419CE" w:rsidP="00B419CE">
            <w:r w:rsidRPr="00B419CE">
              <w:lastRenderedPageBreak/>
              <w:t>85</w:t>
            </w:r>
          </w:p>
        </w:tc>
        <w:tc>
          <w:tcPr>
            <w:tcW w:w="4560" w:type="dxa"/>
          </w:tcPr>
          <w:p w14:paraId="0F52A9AC" w14:textId="77777777" w:rsidR="00B419CE" w:rsidRPr="00B419CE" w:rsidRDefault="00B419CE" w:rsidP="00B419CE">
            <w:proofErr w:type="spellStart"/>
            <w:r w:rsidRPr="00B419CE">
              <w:t>Utbyte</w:t>
            </w:r>
            <w:proofErr w:type="spellEnd"/>
          </w:p>
        </w:tc>
        <w:tc>
          <w:tcPr>
            <w:tcW w:w="1140" w:type="dxa"/>
          </w:tcPr>
          <w:p w14:paraId="7143DF7B" w14:textId="77777777" w:rsidR="00B419CE" w:rsidRPr="00B419CE" w:rsidRDefault="00B419CE" w:rsidP="00B419CE">
            <w:pPr>
              <w:jc w:val="right"/>
            </w:pPr>
            <w:r w:rsidRPr="00B419CE">
              <w:t>104 052</w:t>
            </w:r>
          </w:p>
        </w:tc>
        <w:tc>
          <w:tcPr>
            <w:tcW w:w="1140" w:type="dxa"/>
          </w:tcPr>
          <w:p w14:paraId="53E17422" w14:textId="77777777" w:rsidR="00B419CE" w:rsidRPr="00B419CE" w:rsidRDefault="00B419CE" w:rsidP="00B419CE">
            <w:pPr>
              <w:jc w:val="right"/>
            </w:pPr>
          </w:p>
        </w:tc>
        <w:tc>
          <w:tcPr>
            <w:tcW w:w="1140" w:type="dxa"/>
          </w:tcPr>
          <w:p w14:paraId="0B311F56" w14:textId="77777777" w:rsidR="00B419CE" w:rsidRPr="00B419CE" w:rsidRDefault="00B419CE" w:rsidP="00B419CE">
            <w:pPr>
              <w:jc w:val="right"/>
            </w:pPr>
            <w:r w:rsidRPr="00B419CE">
              <w:t>104 100</w:t>
            </w:r>
          </w:p>
        </w:tc>
      </w:tr>
      <w:tr w:rsidR="00B419CE" w:rsidRPr="00B419CE" w14:paraId="2BB5AE9E" w14:textId="77777777" w:rsidTr="00B419CE">
        <w:trPr>
          <w:trHeight w:val="380"/>
        </w:trPr>
        <w:tc>
          <w:tcPr>
            <w:tcW w:w="1140" w:type="dxa"/>
          </w:tcPr>
          <w:p w14:paraId="6DDE9D01" w14:textId="77777777" w:rsidR="00B419CE" w:rsidRPr="00B419CE" w:rsidRDefault="00B419CE" w:rsidP="00B419CE"/>
        </w:tc>
        <w:tc>
          <w:tcPr>
            <w:tcW w:w="4560" w:type="dxa"/>
          </w:tcPr>
          <w:p w14:paraId="103A2B5F" w14:textId="77777777" w:rsidR="00B419CE" w:rsidRPr="00B419CE" w:rsidRDefault="00B419CE" w:rsidP="00B419CE">
            <w:r w:rsidRPr="00B419CE">
              <w:t>Sum kap. 5692</w:t>
            </w:r>
          </w:p>
        </w:tc>
        <w:tc>
          <w:tcPr>
            <w:tcW w:w="1140" w:type="dxa"/>
          </w:tcPr>
          <w:p w14:paraId="229EA6AB" w14:textId="77777777" w:rsidR="00B419CE" w:rsidRPr="00B419CE" w:rsidRDefault="00B419CE" w:rsidP="00B419CE">
            <w:pPr>
              <w:jc w:val="right"/>
            </w:pPr>
            <w:r w:rsidRPr="00B419CE">
              <w:t>104 052</w:t>
            </w:r>
          </w:p>
        </w:tc>
        <w:tc>
          <w:tcPr>
            <w:tcW w:w="1140" w:type="dxa"/>
          </w:tcPr>
          <w:p w14:paraId="3B6CA8B7" w14:textId="77777777" w:rsidR="00B419CE" w:rsidRPr="00B419CE" w:rsidRDefault="00B419CE" w:rsidP="00B419CE">
            <w:pPr>
              <w:jc w:val="right"/>
            </w:pPr>
          </w:p>
        </w:tc>
        <w:tc>
          <w:tcPr>
            <w:tcW w:w="1140" w:type="dxa"/>
          </w:tcPr>
          <w:p w14:paraId="52914FF8" w14:textId="77777777" w:rsidR="00B419CE" w:rsidRPr="00B419CE" w:rsidRDefault="00B419CE" w:rsidP="00B419CE">
            <w:pPr>
              <w:jc w:val="right"/>
            </w:pPr>
            <w:r w:rsidRPr="00B419CE">
              <w:t>104 100</w:t>
            </w:r>
          </w:p>
        </w:tc>
      </w:tr>
    </w:tbl>
    <w:p w14:paraId="73F8AED9" w14:textId="77777777" w:rsidR="00B419CE" w:rsidRPr="00B419CE" w:rsidRDefault="00B419CE" w:rsidP="00B419CE">
      <w:r w:rsidRPr="00B419CE">
        <w:t xml:space="preserve">Den nordiske investeringsbanken betaler </w:t>
      </w:r>
      <w:proofErr w:type="spellStart"/>
      <w:r w:rsidRPr="00B419CE">
        <w:t>utbyte</w:t>
      </w:r>
      <w:proofErr w:type="spellEnd"/>
      <w:r w:rsidRPr="00B419CE">
        <w:t xml:space="preserve"> til medlemslanda i høve til den </w:t>
      </w:r>
      <w:proofErr w:type="spellStart"/>
      <w:r w:rsidRPr="00B419CE">
        <w:t>innskotne</w:t>
      </w:r>
      <w:proofErr w:type="spellEnd"/>
      <w:r w:rsidRPr="00B419CE">
        <w:t xml:space="preserve"> kapitalen. Storleiken på </w:t>
      </w:r>
      <w:proofErr w:type="spellStart"/>
      <w:r w:rsidRPr="00B419CE">
        <w:t>utbytet</w:t>
      </w:r>
      <w:proofErr w:type="spellEnd"/>
      <w:r w:rsidRPr="00B419CE">
        <w:t xml:space="preserve"> vert </w:t>
      </w:r>
      <w:proofErr w:type="spellStart"/>
      <w:r w:rsidRPr="00B419CE">
        <w:t>vedteken</w:t>
      </w:r>
      <w:proofErr w:type="spellEnd"/>
      <w:r w:rsidRPr="00B419CE">
        <w:t xml:space="preserve"> av årsmøtet (</w:t>
      </w:r>
      <w:proofErr w:type="spellStart"/>
      <w:r w:rsidRPr="00B419CE">
        <w:t>guvenørrådet</w:t>
      </w:r>
      <w:proofErr w:type="spellEnd"/>
      <w:r w:rsidRPr="00B419CE">
        <w:t xml:space="preserve">) i banken, etter tilråding </w:t>
      </w:r>
      <w:proofErr w:type="spellStart"/>
      <w:r w:rsidRPr="00B419CE">
        <w:t>frå</w:t>
      </w:r>
      <w:proofErr w:type="spellEnd"/>
      <w:r w:rsidRPr="00B419CE">
        <w:t xml:space="preserve"> styret, på grunnlag av resultatet av </w:t>
      </w:r>
      <w:proofErr w:type="spellStart"/>
      <w:r w:rsidRPr="00B419CE">
        <w:t>verksemda</w:t>
      </w:r>
      <w:proofErr w:type="spellEnd"/>
      <w:r w:rsidRPr="00B419CE">
        <w:t xml:space="preserve"> året før. For 2019 har banken i 2020 betalt </w:t>
      </w:r>
      <w:proofErr w:type="spellStart"/>
      <w:r w:rsidRPr="00B419CE">
        <w:t>utbyte</w:t>
      </w:r>
      <w:proofErr w:type="spellEnd"/>
      <w:r w:rsidRPr="00B419CE">
        <w:t xml:space="preserve"> til den norske stat med </w:t>
      </w:r>
      <w:proofErr w:type="spellStart"/>
      <w:r w:rsidRPr="00B419CE">
        <w:t>nærmare</w:t>
      </w:r>
      <w:proofErr w:type="spellEnd"/>
      <w:r w:rsidRPr="00B419CE">
        <w:t xml:space="preserve"> 9,7 mill. euro eller </w:t>
      </w:r>
      <w:proofErr w:type="spellStart"/>
      <w:r w:rsidRPr="00B419CE">
        <w:t>nærmare</w:t>
      </w:r>
      <w:proofErr w:type="spellEnd"/>
      <w:r w:rsidRPr="00B419CE">
        <w:t xml:space="preserve"> 104,1 mill. kroner. For 2020 støtta guvernørrådet tilråding </w:t>
      </w:r>
      <w:proofErr w:type="spellStart"/>
      <w:r w:rsidRPr="00B419CE">
        <w:t>frå</w:t>
      </w:r>
      <w:proofErr w:type="spellEnd"/>
      <w:r w:rsidRPr="00B419CE">
        <w:t xml:space="preserve"> styret om at banken </w:t>
      </w:r>
      <w:proofErr w:type="spellStart"/>
      <w:r w:rsidRPr="00B419CE">
        <w:t>ikkje</w:t>
      </w:r>
      <w:proofErr w:type="spellEnd"/>
      <w:r w:rsidRPr="00B419CE">
        <w:t xml:space="preserve"> skulle betale </w:t>
      </w:r>
      <w:proofErr w:type="spellStart"/>
      <w:r w:rsidRPr="00B419CE">
        <w:t>utbyte</w:t>
      </w:r>
      <w:proofErr w:type="spellEnd"/>
      <w:r w:rsidRPr="00B419CE">
        <w:t xml:space="preserve"> i 2021. Rådet omtalte avgjerda som </w:t>
      </w:r>
      <w:proofErr w:type="spellStart"/>
      <w:r w:rsidRPr="00B419CE">
        <w:t>ein</w:t>
      </w:r>
      <w:proofErr w:type="spellEnd"/>
      <w:r w:rsidRPr="00B419CE">
        <w:t xml:space="preserve"> del av </w:t>
      </w:r>
      <w:proofErr w:type="spellStart"/>
      <w:r w:rsidRPr="00B419CE">
        <w:t>eigaranes</w:t>
      </w:r>
      <w:proofErr w:type="spellEnd"/>
      <w:r w:rsidRPr="00B419CE">
        <w:t xml:space="preserve"> vilje til å maksimere NIBs svar på den </w:t>
      </w:r>
      <w:proofErr w:type="spellStart"/>
      <w:r w:rsidRPr="00B419CE">
        <w:t>pågåande</w:t>
      </w:r>
      <w:proofErr w:type="spellEnd"/>
      <w:r w:rsidRPr="00B419CE">
        <w:t xml:space="preserve"> koronakrisa og vise støtte til banken si </w:t>
      </w:r>
      <w:proofErr w:type="spellStart"/>
      <w:r w:rsidRPr="00B419CE">
        <w:t>verksemd</w:t>
      </w:r>
      <w:proofErr w:type="spellEnd"/>
      <w:r w:rsidRPr="00B419CE">
        <w:t xml:space="preserve">. I uttalen </w:t>
      </w:r>
      <w:proofErr w:type="spellStart"/>
      <w:r w:rsidRPr="00B419CE">
        <w:t>frå</w:t>
      </w:r>
      <w:proofErr w:type="spellEnd"/>
      <w:r w:rsidRPr="00B419CE">
        <w:t xml:space="preserve"> styret </w:t>
      </w:r>
      <w:proofErr w:type="spellStart"/>
      <w:r w:rsidRPr="00B419CE">
        <w:t>heiter</w:t>
      </w:r>
      <w:proofErr w:type="spellEnd"/>
      <w:r w:rsidRPr="00B419CE">
        <w:t xml:space="preserve"> det at </w:t>
      </w:r>
      <w:proofErr w:type="spellStart"/>
      <w:r w:rsidRPr="00B419CE">
        <w:t>ein</w:t>
      </w:r>
      <w:proofErr w:type="spellEnd"/>
      <w:r w:rsidRPr="00B419CE">
        <w:t xml:space="preserve"> vil vurdere å betale </w:t>
      </w:r>
      <w:proofErr w:type="spellStart"/>
      <w:r w:rsidRPr="00B419CE">
        <w:t>høgare</w:t>
      </w:r>
      <w:proofErr w:type="spellEnd"/>
      <w:r w:rsidRPr="00B419CE">
        <w:t xml:space="preserve"> </w:t>
      </w:r>
      <w:proofErr w:type="spellStart"/>
      <w:r w:rsidRPr="00B419CE">
        <w:t>utbyte</w:t>
      </w:r>
      <w:proofErr w:type="spellEnd"/>
      <w:r w:rsidRPr="00B419CE">
        <w:t xml:space="preserve"> enn normalt i 2022 dersom </w:t>
      </w:r>
      <w:proofErr w:type="spellStart"/>
      <w:r w:rsidRPr="00B419CE">
        <w:t>koronastoda</w:t>
      </w:r>
      <w:proofErr w:type="spellEnd"/>
      <w:r w:rsidRPr="00B419CE">
        <w:t xml:space="preserve"> </w:t>
      </w:r>
      <w:proofErr w:type="spellStart"/>
      <w:r w:rsidRPr="00B419CE">
        <w:t>betrar</w:t>
      </w:r>
      <w:proofErr w:type="spellEnd"/>
      <w:r w:rsidRPr="00B419CE">
        <w:t xml:space="preserve"> seg og banken </w:t>
      </w:r>
      <w:proofErr w:type="spellStart"/>
      <w:r w:rsidRPr="00B419CE">
        <w:t>si</w:t>
      </w:r>
      <w:proofErr w:type="spellEnd"/>
      <w:r w:rsidRPr="00B419CE">
        <w:t xml:space="preserve"> kapitalstilling </w:t>
      </w:r>
      <w:proofErr w:type="spellStart"/>
      <w:r w:rsidRPr="00B419CE">
        <w:t>gjer</w:t>
      </w:r>
      <w:proofErr w:type="spellEnd"/>
      <w:r w:rsidRPr="00B419CE">
        <w:t xml:space="preserve"> det </w:t>
      </w:r>
      <w:proofErr w:type="spellStart"/>
      <w:r w:rsidRPr="00B419CE">
        <w:t>mogleg</w:t>
      </w:r>
      <w:proofErr w:type="spellEnd"/>
      <w:r w:rsidRPr="00B419CE">
        <w:t>.</w:t>
      </w:r>
    </w:p>
    <w:p w14:paraId="2658B7AA" w14:textId="77777777" w:rsidR="00B419CE" w:rsidRPr="00B419CE" w:rsidRDefault="00B419CE" w:rsidP="00B419CE">
      <w:r w:rsidRPr="00B419CE">
        <w:t xml:space="preserve">Banken rapporterte 27. august 2021 </w:t>
      </w:r>
      <w:proofErr w:type="spellStart"/>
      <w:r w:rsidRPr="00B419CE">
        <w:t>eit</w:t>
      </w:r>
      <w:proofErr w:type="spellEnd"/>
      <w:r w:rsidRPr="00B419CE">
        <w:t xml:space="preserve"> resultat for fyrste halvår på 82 mill. euro, mot 15 mill. euro fyrste halvår 2020. I meldinga </w:t>
      </w:r>
      <w:proofErr w:type="spellStart"/>
      <w:r w:rsidRPr="00B419CE">
        <w:t>frå</w:t>
      </w:r>
      <w:proofErr w:type="spellEnd"/>
      <w:r w:rsidRPr="00B419CE">
        <w:t xml:space="preserve"> banken vart resultatframgangen </w:t>
      </w:r>
      <w:proofErr w:type="spellStart"/>
      <w:r w:rsidRPr="00B419CE">
        <w:t>særleg</w:t>
      </w:r>
      <w:proofErr w:type="spellEnd"/>
      <w:r w:rsidRPr="00B419CE">
        <w:t xml:space="preserve"> forklart med </w:t>
      </w:r>
      <w:proofErr w:type="spellStart"/>
      <w:r w:rsidRPr="00B419CE">
        <w:t>lågare</w:t>
      </w:r>
      <w:proofErr w:type="spellEnd"/>
      <w:r w:rsidRPr="00B419CE">
        <w:t xml:space="preserve"> tap på finansielle instrument og </w:t>
      </w:r>
      <w:proofErr w:type="spellStart"/>
      <w:r w:rsidRPr="00B419CE">
        <w:t>lågare</w:t>
      </w:r>
      <w:proofErr w:type="spellEnd"/>
      <w:r w:rsidRPr="00B419CE">
        <w:t xml:space="preserve"> </w:t>
      </w:r>
      <w:proofErr w:type="spellStart"/>
      <w:r w:rsidRPr="00B419CE">
        <w:t>tapsavsetjingar</w:t>
      </w:r>
      <w:proofErr w:type="spellEnd"/>
      <w:r w:rsidRPr="00B419CE">
        <w:t>.</w:t>
      </w:r>
    </w:p>
    <w:p w14:paraId="348ABFE9" w14:textId="77777777" w:rsidR="00B419CE" w:rsidRPr="00B419CE" w:rsidRDefault="00B419CE" w:rsidP="00B419CE">
      <w:r w:rsidRPr="00B419CE">
        <w:t xml:space="preserve">På grunnlag av fråsegna om </w:t>
      </w:r>
      <w:proofErr w:type="spellStart"/>
      <w:r w:rsidRPr="00B419CE">
        <w:t>årsrekneskapen</w:t>
      </w:r>
      <w:proofErr w:type="spellEnd"/>
      <w:r w:rsidRPr="00B419CE">
        <w:t xml:space="preserve"> for 2020 og resultata for fyrste halvår 2021 har departementet funne det rett å budsjettere med utbetaling av </w:t>
      </w:r>
      <w:proofErr w:type="spellStart"/>
      <w:r w:rsidRPr="00B419CE">
        <w:t>utbyte</w:t>
      </w:r>
      <w:proofErr w:type="spellEnd"/>
      <w:r w:rsidRPr="00B419CE">
        <w:t xml:space="preserve"> for 2021 i 2022. Teknisk er det ført opp same </w:t>
      </w:r>
      <w:proofErr w:type="spellStart"/>
      <w:r w:rsidRPr="00B419CE">
        <w:t>utbyte</w:t>
      </w:r>
      <w:proofErr w:type="spellEnd"/>
      <w:r w:rsidRPr="00B419CE">
        <w:t xml:space="preserve"> som </w:t>
      </w:r>
      <w:proofErr w:type="spellStart"/>
      <w:r w:rsidRPr="00B419CE">
        <w:t>vart</w:t>
      </w:r>
      <w:proofErr w:type="spellEnd"/>
      <w:r w:rsidRPr="00B419CE">
        <w:t xml:space="preserve"> betalt i 2020 – 104,1 mill. kroner. Departementet </w:t>
      </w:r>
      <w:proofErr w:type="spellStart"/>
      <w:r w:rsidRPr="00B419CE">
        <w:t>understrekjer</w:t>
      </w:r>
      <w:proofErr w:type="spellEnd"/>
      <w:r w:rsidRPr="00B419CE">
        <w:t xml:space="preserve"> at dette beløpet </w:t>
      </w:r>
      <w:proofErr w:type="spellStart"/>
      <w:r w:rsidRPr="00B419CE">
        <w:t>ikkje</w:t>
      </w:r>
      <w:proofErr w:type="spellEnd"/>
      <w:r w:rsidRPr="00B419CE">
        <w:t xml:space="preserve"> vil </w:t>
      </w:r>
      <w:proofErr w:type="spellStart"/>
      <w:r w:rsidRPr="00B419CE">
        <w:t>vere</w:t>
      </w:r>
      <w:proofErr w:type="spellEnd"/>
      <w:r w:rsidRPr="00B419CE">
        <w:t xml:space="preserve"> </w:t>
      </w:r>
      <w:proofErr w:type="spellStart"/>
      <w:r w:rsidRPr="00B419CE">
        <w:t>førande</w:t>
      </w:r>
      <w:proofErr w:type="spellEnd"/>
      <w:r w:rsidRPr="00B419CE">
        <w:t xml:space="preserve"> for </w:t>
      </w:r>
      <w:proofErr w:type="spellStart"/>
      <w:r w:rsidRPr="00B419CE">
        <w:t>Noregs</w:t>
      </w:r>
      <w:proofErr w:type="spellEnd"/>
      <w:r w:rsidRPr="00B419CE">
        <w:t xml:space="preserve"> stemmegiving i årsmøtet i 2022.</w:t>
      </w:r>
    </w:p>
    <w:p w14:paraId="49F12E9A" w14:textId="77777777" w:rsidR="00B419CE" w:rsidRPr="00B419CE" w:rsidRDefault="00B419CE" w:rsidP="00B419CE">
      <w:pPr>
        <w:pStyle w:val="b-budkaptit"/>
      </w:pPr>
      <w:r w:rsidRPr="00B419CE">
        <w:t xml:space="preserve">Kap. 5693 </w:t>
      </w:r>
      <w:proofErr w:type="spellStart"/>
      <w:r w:rsidRPr="00B419CE">
        <w:t>Utbyte</w:t>
      </w:r>
      <w:proofErr w:type="spellEnd"/>
      <w:r w:rsidRPr="00B419CE">
        <w:t xml:space="preserve"> av </w:t>
      </w:r>
      <w:proofErr w:type="spellStart"/>
      <w:r w:rsidRPr="00B419CE">
        <w:t>aksjar</w:t>
      </w:r>
      <w:proofErr w:type="spellEnd"/>
      <w:r w:rsidRPr="00B419CE">
        <w:t xml:space="preserve"> i ymse selskap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B419CE" w:rsidRPr="00B419CE" w14:paraId="5493F207" w14:textId="77777777" w:rsidTr="00B419CE">
        <w:trPr>
          <w:trHeight w:val="640"/>
          <w:hidden/>
        </w:trPr>
        <w:tc>
          <w:tcPr>
            <w:tcW w:w="1140" w:type="dxa"/>
            <w:shd w:val="clear" w:color="auto" w:fill="FFFFFF"/>
          </w:tcPr>
          <w:p w14:paraId="4495A56F" w14:textId="77777777" w:rsidR="00B419CE" w:rsidRPr="00B419CE" w:rsidRDefault="00B419CE" w:rsidP="00B419CE">
            <w:pPr>
              <w:pStyle w:val="Tabellnavn"/>
            </w:pPr>
            <w:r w:rsidRPr="00B419CE">
              <w:t>KPAL</w:t>
            </w:r>
          </w:p>
        </w:tc>
        <w:tc>
          <w:tcPr>
            <w:tcW w:w="4560" w:type="dxa"/>
          </w:tcPr>
          <w:p w14:paraId="3BF864D9" w14:textId="77777777" w:rsidR="00B419CE" w:rsidRPr="00B419CE" w:rsidRDefault="00B419CE" w:rsidP="00B419CE">
            <w:pPr>
              <w:pStyle w:val="Tabellnavn"/>
            </w:pPr>
          </w:p>
        </w:tc>
        <w:tc>
          <w:tcPr>
            <w:tcW w:w="1140" w:type="dxa"/>
          </w:tcPr>
          <w:p w14:paraId="4341A449" w14:textId="77777777" w:rsidR="00B419CE" w:rsidRPr="00B419CE" w:rsidRDefault="00B419CE" w:rsidP="00B419CE">
            <w:pPr>
              <w:pStyle w:val="Tabellnavn"/>
              <w:jc w:val="right"/>
            </w:pPr>
          </w:p>
        </w:tc>
        <w:tc>
          <w:tcPr>
            <w:tcW w:w="1140" w:type="dxa"/>
          </w:tcPr>
          <w:p w14:paraId="48485AFD" w14:textId="77777777" w:rsidR="00B419CE" w:rsidRPr="00B419CE" w:rsidRDefault="00B419CE" w:rsidP="00B419CE">
            <w:pPr>
              <w:pStyle w:val="Tabellnavn"/>
              <w:jc w:val="right"/>
            </w:pPr>
          </w:p>
        </w:tc>
        <w:tc>
          <w:tcPr>
            <w:tcW w:w="1140" w:type="dxa"/>
          </w:tcPr>
          <w:p w14:paraId="1AD766EA" w14:textId="77777777" w:rsidR="00B419CE" w:rsidRPr="00B419CE" w:rsidRDefault="00B419CE" w:rsidP="00B419CE">
            <w:pPr>
              <w:jc w:val="right"/>
            </w:pPr>
            <w:r w:rsidRPr="00B419CE">
              <w:t>(i 1 000 kr)</w:t>
            </w:r>
          </w:p>
        </w:tc>
      </w:tr>
      <w:tr w:rsidR="00B419CE" w:rsidRPr="00B419CE" w14:paraId="1CD35762" w14:textId="77777777" w:rsidTr="00B419CE">
        <w:trPr>
          <w:trHeight w:val="600"/>
        </w:trPr>
        <w:tc>
          <w:tcPr>
            <w:tcW w:w="1140" w:type="dxa"/>
          </w:tcPr>
          <w:p w14:paraId="4AB8DA46" w14:textId="77777777" w:rsidR="00B419CE" w:rsidRPr="00B419CE" w:rsidRDefault="00B419CE" w:rsidP="00B419CE">
            <w:r w:rsidRPr="00B419CE">
              <w:t>Post</w:t>
            </w:r>
          </w:p>
        </w:tc>
        <w:tc>
          <w:tcPr>
            <w:tcW w:w="4560" w:type="dxa"/>
          </w:tcPr>
          <w:p w14:paraId="309A8034" w14:textId="77777777" w:rsidR="00B419CE" w:rsidRPr="00B419CE" w:rsidRDefault="00B419CE" w:rsidP="00B419CE">
            <w:proofErr w:type="spellStart"/>
            <w:r w:rsidRPr="00B419CE">
              <w:t>Nemning</w:t>
            </w:r>
            <w:proofErr w:type="spellEnd"/>
          </w:p>
        </w:tc>
        <w:tc>
          <w:tcPr>
            <w:tcW w:w="1140" w:type="dxa"/>
          </w:tcPr>
          <w:p w14:paraId="32351D63" w14:textId="77777777" w:rsidR="00B419CE" w:rsidRPr="00B419CE" w:rsidRDefault="00B419CE" w:rsidP="00B419CE">
            <w:pPr>
              <w:jc w:val="right"/>
            </w:pPr>
            <w:proofErr w:type="spellStart"/>
            <w:r w:rsidRPr="00B419CE">
              <w:t>Rekneskap</w:t>
            </w:r>
            <w:proofErr w:type="spellEnd"/>
            <w:r w:rsidRPr="00B419CE">
              <w:t xml:space="preserve"> 2020</w:t>
            </w:r>
          </w:p>
        </w:tc>
        <w:tc>
          <w:tcPr>
            <w:tcW w:w="1140" w:type="dxa"/>
          </w:tcPr>
          <w:p w14:paraId="3AB53848" w14:textId="77777777" w:rsidR="00B419CE" w:rsidRPr="00B419CE" w:rsidRDefault="00B419CE" w:rsidP="00B419CE">
            <w:pPr>
              <w:jc w:val="right"/>
            </w:pPr>
            <w:r w:rsidRPr="00B419CE">
              <w:t>Saldert</w:t>
            </w:r>
            <w:r w:rsidRPr="00B419CE">
              <w:br/>
              <w:t xml:space="preserve"> budsjett 2021</w:t>
            </w:r>
          </w:p>
        </w:tc>
        <w:tc>
          <w:tcPr>
            <w:tcW w:w="1140" w:type="dxa"/>
          </w:tcPr>
          <w:p w14:paraId="553CE969" w14:textId="77777777" w:rsidR="00B419CE" w:rsidRPr="00B419CE" w:rsidRDefault="00B419CE" w:rsidP="00B419CE">
            <w:pPr>
              <w:jc w:val="right"/>
            </w:pPr>
            <w:r w:rsidRPr="00B419CE">
              <w:t>Forslag</w:t>
            </w:r>
            <w:r w:rsidRPr="00B419CE">
              <w:br/>
              <w:t xml:space="preserve"> 2022</w:t>
            </w:r>
          </w:p>
        </w:tc>
      </w:tr>
      <w:tr w:rsidR="00B419CE" w:rsidRPr="00B419CE" w14:paraId="49050578" w14:textId="77777777" w:rsidTr="00B419CE">
        <w:trPr>
          <w:trHeight w:val="380"/>
        </w:trPr>
        <w:tc>
          <w:tcPr>
            <w:tcW w:w="1140" w:type="dxa"/>
          </w:tcPr>
          <w:p w14:paraId="72CC1634" w14:textId="77777777" w:rsidR="00B419CE" w:rsidRPr="00B419CE" w:rsidRDefault="00B419CE" w:rsidP="00B419CE">
            <w:r w:rsidRPr="00B419CE">
              <w:t>85</w:t>
            </w:r>
          </w:p>
        </w:tc>
        <w:tc>
          <w:tcPr>
            <w:tcW w:w="4560" w:type="dxa"/>
          </w:tcPr>
          <w:p w14:paraId="1A7CAD4C" w14:textId="77777777" w:rsidR="00B419CE" w:rsidRPr="00B419CE" w:rsidRDefault="00B419CE" w:rsidP="00B419CE">
            <w:proofErr w:type="spellStart"/>
            <w:r w:rsidRPr="00B419CE">
              <w:t>Utbyte</w:t>
            </w:r>
            <w:proofErr w:type="spellEnd"/>
            <w:r w:rsidRPr="00B419CE">
              <w:t xml:space="preserve"> </w:t>
            </w:r>
            <w:proofErr w:type="spellStart"/>
            <w:r w:rsidRPr="00B419CE">
              <w:t>frå</w:t>
            </w:r>
            <w:proofErr w:type="spellEnd"/>
            <w:r w:rsidRPr="00B419CE">
              <w:t xml:space="preserve"> Folketrygdfondet</w:t>
            </w:r>
          </w:p>
        </w:tc>
        <w:tc>
          <w:tcPr>
            <w:tcW w:w="1140" w:type="dxa"/>
          </w:tcPr>
          <w:p w14:paraId="3C10FF5F" w14:textId="77777777" w:rsidR="00B419CE" w:rsidRPr="00B419CE" w:rsidRDefault="00B419CE" w:rsidP="00B419CE">
            <w:pPr>
              <w:jc w:val="right"/>
            </w:pPr>
            <w:r w:rsidRPr="00B419CE">
              <w:t>863</w:t>
            </w:r>
          </w:p>
        </w:tc>
        <w:tc>
          <w:tcPr>
            <w:tcW w:w="1140" w:type="dxa"/>
          </w:tcPr>
          <w:p w14:paraId="7321B347" w14:textId="77777777" w:rsidR="00B419CE" w:rsidRPr="00B419CE" w:rsidRDefault="00B419CE" w:rsidP="00B419CE">
            <w:pPr>
              <w:jc w:val="right"/>
            </w:pPr>
            <w:r w:rsidRPr="00B419CE">
              <w:t>800</w:t>
            </w:r>
          </w:p>
        </w:tc>
        <w:tc>
          <w:tcPr>
            <w:tcW w:w="1140" w:type="dxa"/>
          </w:tcPr>
          <w:p w14:paraId="6EE7ADD7" w14:textId="77777777" w:rsidR="00B419CE" w:rsidRPr="00B419CE" w:rsidRDefault="00B419CE" w:rsidP="00B419CE">
            <w:pPr>
              <w:jc w:val="right"/>
            </w:pPr>
            <w:r w:rsidRPr="00B419CE">
              <w:t>300</w:t>
            </w:r>
          </w:p>
        </w:tc>
      </w:tr>
      <w:tr w:rsidR="00B419CE" w:rsidRPr="00B419CE" w14:paraId="2F04938A" w14:textId="77777777" w:rsidTr="00B419CE">
        <w:trPr>
          <w:trHeight w:val="380"/>
        </w:trPr>
        <w:tc>
          <w:tcPr>
            <w:tcW w:w="1140" w:type="dxa"/>
          </w:tcPr>
          <w:p w14:paraId="60AFA9E1" w14:textId="77777777" w:rsidR="00B419CE" w:rsidRPr="00B419CE" w:rsidRDefault="00B419CE" w:rsidP="00B419CE"/>
        </w:tc>
        <w:tc>
          <w:tcPr>
            <w:tcW w:w="4560" w:type="dxa"/>
          </w:tcPr>
          <w:p w14:paraId="4E14FC0C" w14:textId="77777777" w:rsidR="00B419CE" w:rsidRPr="00B419CE" w:rsidRDefault="00B419CE" w:rsidP="00B419CE">
            <w:r w:rsidRPr="00B419CE">
              <w:t>Sum kap. 5693</w:t>
            </w:r>
          </w:p>
        </w:tc>
        <w:tc>
          <w:tcPr>
            <w:tcW w:w="1140" w:type="dxa"/>
          </w:tcPr>
          <w:p w14:paraId="16163400" w14:textId="77777777" w:rsidR="00B419CE" w:rsidRPr="00B419CE" w:rsidRDefault="00B419CE" w:rsidP="00B419CE">
            <w:pPr>
              <w:jc w:val="right"/>
            </w:pPr>
            <w:r w:rsidRPr="00B419CE">
              <w:t>863</w:t>
            </w:r>
          </w:p>
        </w:tc>
        <w:tc>
          <w:tcPr>
            <w:tcW w:w="1140" w:type="dxa"/>
          </w:tcPr>
          <w:p w14:paraId="6CD59D18" w14:textId="77777777" w:rsidR="00B419CE" w:rsidRPr="00B419CE" w:rsidRDefault="00B419CE" w:rsidP="00B419CE">
            <w:pPr>
              <w:jc w:val="right"/>
            </w:pPr>
            <w:r w:rsidRPr="00B419CE">
              <w:t>800</w:t>
            </w:r>
          </w:p>
        </w:tc>
        <w:tc>
          <w:tcPr>
            <w:tcW w:w="1140" w:type="dxa"/>
          </w:tcPr>
          <w:p w14:paraId="59F88B4B" w14:textId="77777777" w:rsidR="00B419CE" w:rsidRPr="00B419CE" w:rsidRDefault="00B419CE" w:rsidP="00B419CE">
            <w:pPr>
              <w:jc w:val="right"/>
            </w:pPr>
            <w:r w:rsidRPr="00B419CE">
              <w:t>300</w:t>
            </w:r>
          </w:p>
        </w:tc>
      </w:tr>
    </w:tbl>
    <w:p w14:paraId="5D9CE00F" w14:textId="77777777" w:rsidR="00B419CE" w:rsidRPr="00B419CE" w:rsidRDefault="00B419CE" w:rsidP="00B419CE">
      <w:r w:rsidRPr="00B419CE">
        <w:t xml:space="preserve">Det er </w:t>
      </w:r>
      <w:proofErr w:type="spellStart"/>
      <w:r w:rsidRPr="00B419CE">
        <w:t>tidlegare</w:t>
      </w:r>
      <w:proofErr w:type="spellEnd"/>
      <w:r w:rsidRPr="00B419CE">
        <w:t xml:space="preserve"> lagt til grunn at staten skal ha normalt </w:t>
      </w:r>
      <w:proofErr w:type="spellStart"/>
      <w:r w:rsidRPr="00B419CE">
        <w:t>utbyte</w:t>
      </w:r>
      <w:proofErr w:type="spellEnd"/>
      <w:r w:rsidRPr="00B419CE">
        <w:t xml:space="preserve"> av den </w:t>
      </w:r>
      <w:proofErr w:type="spellStart"/>
      <w:r w:rsidRPr="00B419CE">
        <w:t>innskotne</w:t>
      </w:r>
      <w:proofErr w:type="spellEnd"/>
      <w:r w:rsidRPr="00B419CE">
        <w:t xml:space="preserve"> </w:t>
      </w:r>
      <w:proofErr w:type="spellStart"/>
      <w:r w:rsidRPr="00B419CE">
        <w:t>ansvarlege</w:t>
      </w:r>
      <w:proofErr w:type="spellEnd"/>
      <w:r w:rsidRPr="00B419CE">
        <w:t xml:space="preserve"> kapitalen i Folketrygdfondet, jf. </w:t>
      </w:r>
      <w:proofErr w:type="spellStart"/>
      <w:r w:rsidRPr="00B419CE">
        <w:t>Prop</w:t>
      </w:r>
      <w:proofErr w:type="spellEnd"/>
      <w:r w:rsidRPr="00B419CE">
        <w:t xml:space="preserve">. 1 S (2009–2010) for </w:t>
      </w:r>
      <w:r w:rsidRPr="00B419CE">
        <w:rPr>
          <w:rStyle w:val="kursiv"/>
        </w:rPr>
        <w:t>Finansdepartementet</w:t>
      </w:r>
      <w:r w:rsidRPr="00B419CE">
        <w:t xml:space="preserve">. I tråd med dette er det for 2021 fastsett </w:t>
      </w:r>
      <w:proofErr w:type="spellStart"/>
      <w:r w:rsidRPr="00B419CE">
        <w:t>eit</w:t>
      </w:r>
      <w:proofErr w:type="spellEnd"/>
      <w:r w:rsidRPr="00B419CE">
        <w:t xml:space="preserve"> </w:t>
      </w:r>
      <w:proofErr w:type="spellStart"/>
      <w:r w:rsidRPr="00B419CE">
        <w:t>utbytekrav</w:t>
      </w:r>
      <w:proofErr w:type="spellEnd"/>
      <w:r w:rsidRPr="00B419CE">
        <w:t xml:space="preserve"> på 337 000 kroner. </w:t>
      </w:r>
      <w:proofErr w:type="spellStart"/>
      <w:r w:rsidRPr="00B419CE">
        <w:t>Utbytekravet</w:t>
      </w:r>
      <w:proofErr w:type="spellEnd"/>
      <w:r w:rsidRPr="00B419CE">
        <w:t xml:space="preserve"> er fastsett med utgangspunkt i ei femårig statsobligasjonsrente. For 2022 er det </w:t>
      </w:r>
      <w:proofErr w:type="spellStart"/>
      <w:r w:rsidRPr="00B419CE">
        <w:t>difor</w:t>
      </w:r>
      <w:proofErr w:type="spellEnd"/>
      <w:r w:rsidRPr="00B419CE">
        <w:t xml:space="preserve"> budsjettert med </w:t>
      </w:r>
      <w:proofErr w:type="spellStart"/>
      <w:r w:rsidRPr="00B419CE">
        <w:t>eit</w:t>
      </w:r>
      <w:proofErr w:type="spellEnd"/>
      <w:r w:rsidRPr="00B419CE">
        <w:t xml:space="preserve"> </w:t>
      </w:r>
      <w:proofErr w:type="spellStart"/>
      <w:r w:rsidRPr="00B419CE">
        <w:t>utbyte</w:t>
      </w:r>
      <w:proofErr w:type="spellEnd"/>
      <w:r w:rsidRPr="00B419CE">
        <w:t xml:space="preserve"> på 0,3 mill. kroner.</w:t>
      </w:r>
    </w:p>
    <w:p w14:paraId="664C91DD" w14:textId="62AAC701" w:rsidR="00B419CE" w:rsidRPr="00B419CE" w:rsidRDefault="00920011" w:rsidP="00B419CE">
      <w:pPr>
        <w:pStyle w:val="del-nr"/>
      </w:pPr>
      <w:r>
        <w:t>Del III</w:t>
      </w:r>
    </w:p>
    <w:p w14:paraId="2284B323" w14:textId="77777777" w:rsidR="00B419CE" w:rsidRPr="00B419CE" w:rsidRDefault="00B419CE" w:rsidP="00B419CE">
      <w:pPr>
        <w:pStyle w:val="del-tittel"/>
      </w:pPr>
      <w:r w:rsidRPr="00B419CE">
        <w:t>Andre saker</w:t>
      </w:r>
    </w:p>
    <w:p w14:paraId="57D9161D" w14:textId="77777777" w:rsidR="00B419CE" w:rsidRPr="00B419CE" w:rsidRDefault="00B419CE" w:rsidP="00B419CE">
      <w:pPr>
        <w:pStyle w:val="Overskrift1"/>
      </w:pPr>
      <w:r w:rsidRPr="00B419CE">
        <w:lastRenderedPageBreak/>
        <w:t xml:space="preserve">Likestilling og </w:t>
      </w:r>
      <w:proofErr w:type="spellStart"/>
      <w:r w:rsidRPr="00B419CE">
        <w:t>mangfald</w:t>
      </w:r>
      <w:proofErr w:type="spellEnd"/>
    </w:p>
    <w:p w14:paraId="3E322C8E" w14:textId="77777777" w:rsidR="00B419CE" w:rsidRPr="00B419CE" w:rsidRDefault="00B419CE" w:rsidP="00B419CE">
      <w:proofErr w:type="spellStart"/>
      <w:r w:rsidRPr="00B419CE">
        <w:t>Nedanfor</w:t>
      </w:r>
      <w:proofErr w:type="spellEnd"/>
      <w:r w:rsidRPr="00B419CE">
        <w:t xml:space="preserve"> kjem </w:t>
      </w:r>
      <w:proofErr w:type="gramStart"/>
      <w:r w:rsidRPr="00B419CE">
        <w:t>ei oversikt</w:t>
      </w:r>
      <w:proofErr w:type="gramEnd"/>
      <w:r w:rsidRPr="00B419CE">
        <w:t xml:space="preserve"> over </w:t>
      </w:r>
      <w:proofErr w:type="spellStart"/>
      <w:r w:rsidRPr="00B419CE">
        <w:t>stoda</w:t>
      </w:r>
      <w:proofErr w:type="spellEnd"/>
      <w:r w:rsidRPr="00B419CE">
        <w:t xml:space="preserve"> i arbeidet med likestilling og </w:t>
      </w:r>
      <w:proofErr w:type="spellStart"/>
      <w:r w:rsidRPr="00B419CE">
        <w:t>mangfald</w:t>
      </w:r>
      <w:proofErr w:type="spellEnd"/>
      <w:r w:rsidRPr="00B419CE">
        <w:t xml:space="preserve"> på Finansdepartementets område, jf. § 26 a i likestillings- og diskrimineringslova. Som </w:t>
      </w:r>
      <w:proofErr w:type="spellStart"/>
      <w:r w:rsidRPr="00B419CE">
        <w:t>nemnt</w:t>
      </w:r>
      <w:proofErr w:type="spellEnd"/>
      <w:r w:rsidRPr="00B419CE">
        <w:t xml:space="preserve"> i pkt. 1.1 i del I </w:t>
      </w:r>
      <w:proofErr w:type="spellStart"/>
      <w:r w:rsidRPr="00B419CE">
        <w:t>omfattar</w:t>
      </w:r>
      <w:proofErr w:type="spellEnd"/>
      <w:r w:rsidRPr="00B419CE">
        <w:t xml:space="preserve"> denne proposisjonen av praktiske </w:t>
      </w:r>
      <w:proofErr w:type="spellStart"/>
      <w:r w:rsidRPr="00B419CE">
        <w:t>grunnar</w:t>
      </w:r>
      <w:proofErr w:type="spellEnd"/>
      <w:r w:rsidRPr="00B419CE">
        <w:t xml:space="preserve"> òg programkategori 00.30 Regjering, som Statsministerens kontor har ansvaret for. </w:t>
      </w:r>
      <w:proofErr w:type="spellStart"/>
      <w:r w:rsidRPr="00B419CE">
        <w:t>Difor</w:t>
      </w:r>
      <w:proofErr w:type="spellEnd"/>
      <w:r w:rsidRPr="00B419CE">
        <w:t xml:space="preserve"> er </w:t>
      </w:r>
      <w:proofErr w:type="spellStart"/>
      <w:r w:rsidRPr="00B419CE">
        <w:t>likestillingsstoda</w:t>
      </w:r>
      <w:proofErr w:type="spellEnd"/>
      <w:r w:rsidRPr="00B419CE">
        <w:t xml:space="preserve"> for denne programkategorien òg teken med.</w:t>
      </w:r>
    </w:p>
    <w:p w14:paraId="25E40B25" w14:textId="77777777" w:rsidR="00B419CE" w:rsidRPr="00B419CE" w:rsidRDefault="00B419CE" w:rsidP="00B419CE">
      <w:r w:rsidRPr="00B419CE">
        <w:t xml:space="preserve">Budsjettkapitla på området til Finansdepartementet gjeld for det aller meste administrasjon og statens gjeld og krav. Disponeringa av </w:t>
      </w:r>
      <w:proofErr w:type="spellStart"/>
      <w:r w:rsidRPr="00B419CE">
        <w:t>desse</w:t>
      </w:r>
      <w:proofErr w:type="spellEnd"/>
      <w:r w:rsidRPr="00B419CE">
        <w:t xml:space="preserve"> </w:t>
      </w:r>
      <w:proofErr w:type="spellStart"/>
      <w:r w:rsidRPr="00B419CE">
        <w:t>løyvingane</w:t>
      </w:r>
      <w:proofErr w:type="spellEnd"/>
      <w:r w:rsidRPr="00B419CE">
        <w:t xml:space="preserve"> har lite å </w:t>
      </w:r>
      <w:proofErr w:type="spellStart"/>
      <w:r w:rsidRPr="00B419CE">
        <w:t>seie</w:t>
      </w:r>
      <w:proofErr w:type="spellEnd"/>
      <w:r w:rsidRPr="00B419CE">
        <w:t xml:space="preserve"> for kjønns- og likestillingstilhøve. Departementet sitt arbeid med til dømes skatte-, avgifts- og pensjonsspørsmål har i </w:t>
      </w:r>
      <w:proofErr w:type="spellStart"/>
      <w:r w:rsidRPr="00B419CE">
        <w:t>nokre</w:t>
      </w:r>
      <w:proofErr w:type="spellEnd"/>
      <w:r w:rsidRPr="00B419CE">
        <w:t xml:space="preserve"> tilfelle følgjer for likestillinga. Det same gjeld personalpolitikken til departementet og </w:t>
      </w:r>
      <w:proofErr w:type="spellStart"/>
      <w:r w:rsidRPr="00B419CE">
        <w:t>dei</w:t>
      </w:r>
      <w:proofErr w:type="spellEnd"/>
      <w:r w:rsidRPr="00B419CE">
        <w:t xml:space="preserve"> </w:t>
      </w:r>
      <w:proofErr w:type="spellStart"/>
      <w:r w:rsidRPr="00B419CE">
        <w:t>underliggjande</w:t>
      </w:r>
      <w:proofErr w:type="spellEnd"/>
      <w:r w:rsidRPr="00B419CE">
        <w:t xml:space="preserve"> </w:t>
      </w:r>
      <w:proofErr w:type="spellStart"/>
      <w:r w:rsidRPr="00B419CE">
        <w:t>etatane</w:t>
      </w:r>
      <w:proofErr w:type="spellEnd"/>
      <w:r w:rsidRPr="00B419CE">
        <w:t>.</w:t>
      </w:r>
    </w:p>
    <w:p w14:paraId="388C4FD3" w14:textId="77777777" w:rsidR="00B419CE" w:rsidRPr="00B419CE" w:rsidRDefault="00B419CE" w:rsidP="00B419CE">
      <w:pPr>
        <w:pStyle w:val="Overskrift2"/>
      </w:pPr>
      <w:r w:rsidRPr="00B419CE">
        <w:t>Finansdepartementet</w:t>
      </w:r>
    </w:p>
    <w:p w14:paraId="79DF3321" w14:textId="77777777" w:rsidR="00B419CE" w:rsidRPr="00B419CE" w:rsidRDefault="00B419CE" w:rsidP="00B419CE">
      <w:r w:rsidRPr="00B419CE">
        <w:t xml:space="preserve">Kvinner utgjorde 47 pst. av </w:t>
      </w:r>
      <w:proofErr w:type="spellStart"/>
      <w:r w:rsidRPr="00B419CE">
        <w:t>dei</w:t>
      </w:r>
      <w:proofErr w:type="spellEnd"/>
      <w:r w:rsidRPr="00B419CE">
        <w:t xml:space="preserve"> tilsette ved utgangen av 2020. Blant </w:t>
      </w:r>
      <w:proofErr w:type="spellStart"/>
      <w:r w:rsidRPr="00B419CE">
        <w:t>leiarane</w:t>
      </w:r>
      <w:proofErr w:type="spellEnd"/>
      <w:r w:rsidRPr="00B419CE">
        <w:t xml:space="preserve"> var </w:t>
      </w:r>
      <w:proofErr w:type="spellStart"/>
      <w:r w:rsidRPr="00B419CE">
        <w:t>talet</w:t>
      </w:r>
      <w:proofErr w:type="spellEnd"/>
      <w:r w:rsidRPr="00B419CE">
        <w:t xml:space="preserve"> 32 pst. Av </w:t>
      </w:r>
      <w:proofErr w:type="spellStart"/>
      <w:r w:rsidRPr="00B419CE">
        <w:t>seniorsaksbehandlarane</w:t>
      </w:r>
      <w:proofErr w:type="spellEnd"/>
      <w:r w:rsidRPr="00B419CE">
        <w:t xml:space="preserve"> var 45 pst. kvinner, og av </w:t>
      </w:r>
      <w:proofErr w:type="spellStart"/>
      <w:r w:rsidRPr="00B419CE">
        <w:t>juniorsaksbehandlarane</w:t>
      </w:r>
      <w:proofErr w:type="spellEnd"/>
      <w:r w:rsidRPr="00B419CE">
        <w:t xml:space="preserve"> var 59 pst. kvinner. 51 pst. av </w:t>
      </w:r>
      <w:proofErr w:type="spellStart"/>
      <w:r w:rsidRPr="00B419CE">
        <w:t>juristane</w:t>
      </w:r>
      <w:proofErr w:type="spellEnd"/>
      <w:r w:rsidRPr="00B419CE">
        <w:t xml:space="preserve"> og 41 pst. av </w:t>
      </w:r>
      <w:proofErr w:type="spellStart"/>
      <w:r w:rsidRPr="00B419CE">
        <w:t>økonomane</w:t>
      </w:r>
      <w:proofErr w:type="spellEnd"/>
      <w:r w:rsidRPr="00B419CE">
        <w:t xml:space="preserve"> var kvinner.</w:t>
      </w:r>
    </w:p>
    <w:p w14:paraId="02B98542" w14:textId="77777777" w:rsidR="00B419CE" w:rsidRPr="00B419CE" w:rsidRDefault="00B419CE" w:rsidP="00B419CE">
      <w:r w:rsidRPr="00B419CE">
        <w:t xml:space="preserve">Det følgjer av tilsettingspolitikken at Finansdepartementet skal </w:t>
      </w:r>
      <w:proofErr w:type="spellStart"/>
      <w:r w:rsidRPr="00B419CE">
        <w:t>leggje</w:t>
      </w:r>
      <w:proofErr w:type="spellEnd"/>
      <w:r w:rsidRPr="00B419CE">
        <w:t xml:space="preserve"> til rette for at tilsette med varig eller mellombels nedsett funksjonsevne kan bruke kompetansen sin og </w:t>
      </w:r>
      <w:proofErr w:type="spellStart"/>
      <w:r w:rsidRPr="00B419CE">
        <w:t>røynsla</w:t>
      </w:r>
      <w:proofErr w:type="spellEnd"/>
      <w:r w:rsidRPr="00B419CE">
        <w:t xml:space="preserve"> si. Departementet har </w:t>
      </w:r>
      <w:proofErr w:type="spellStart"/>
      <w:r w:rsidRPr="00B419CE">
        <w:t>ein</w:t>
      </w:r>
      <w:proofErr w:type="spellEnd"/>
      <w:r w:rsidRPr="00B419CE">
        <w:t xml:space="preserve"> samarbeidsavtale med Fontenehuset – for overgangsarbeid. </w:t>
      </w:r>
      <w:proofErr w:type="spellStart"/>
      <w:r w:rsidRPr="00B419CE">
        <w:t>Eit</w:t>
      </w:r>
      <w:proofErr w:type="spellEnd"/>
      <w:r w:rsidRPr="00B419CE">
        <w:t xml:space="preserve"> medlem </w:t>
      </w:r>
      <w:proofErr w:type="spellStart"/>
      <w:r w:rsidRPr="00B419CE">
        <w:t>frå</w:t>
      </w:r>
      <w:proofErr w:type="spellEnd"/>
      <w:r w:rsidRPr="00B419CE">
        <w:t xml:space="preserve"> Fontenehuset </w:t>
      </w:r>
      <w:proofErr w:type="spellStart"/>
      <w:r w:rsidRPr="00B419CE">
        <w:t>vart</w:t>
      </w:r>
      <w:proofErr w:type="spellEnd"/>
      <w:r w:rsidRPr="00B419CE">
        <w:t xml:space="preserve"> engasjert i </w:t>
      </w:r>
      <w:proofErr w:type="spellStart"/>
      <w:r w:rsidRPr="00B419CE">
        <w:t>eit</w:t>
      </w:r>
      <w:proofErr w:type="spellEnd"/>
      <w:r w:rsidRPr="00B419CE">
        <w:t xml:space="preserve"> ni-</w:t>
      </w:r>
      <w:proofErr w:type="spellStart"/>
      <w:r w:rsidRPr="00B419CE">
        <w:t>månaders</w:t>
      </w:r>
      <w:proofErr w:type="spellEnd"/>
      <w:r w:rsidRPr="00B419CE">
        <w:t xml:space="preserve"> overgangsarbeid 2020–2021. </w:t>
      </w:r>
      <w:proofErr w:type="spellStart"/>
      <w:r w:rsidRPr="00B419CE">
        <w:t>Vidare</w:t>
      </w:r>
      <w:proofErr w:type="spellEnd"/>
      <w:r w:rsidRPr="00B419CE">
        <w:t xml:space="preserve"> vert det lagt til rette for </w:t>
      </w:r>
      <w:proofErr w:type="spellStart"/>
      <w:r w:rsidRPr="00B419CE">
        <w:t>ein</w:t>
      </w:r>
      <w:proofErr w:type="spellEnd"/>
      <w:r w:rsidRPr="00B419CE">
        <w:t xml:space="preserve"> ny </w:t>
      </w:r>
      <w:proofErr w:type="spellStart"/>
      <w:r w:rsidRPr="00B419CE">
        <w:t>medarbeidar</w:t>
      </w:r>
      <w:proofErr w:type="spellEnd"/>
      <w:r w:rsidRPr="00B419CE">
        <w:t xml:space="preserve"> </w:t>
      </w:r>
      <w:proofErr w:type="spellStart"/>
      <w:r w:rsidRPr="00B419CE">
        <w:t>frå</w:t>
      </w:r>
      <w:proofErr w:type="spellEnd"/>
      <w:r w:rsidRPr="00B419CE">
        <w:t xml:space="preserve"> Fontenehuset i </w:t>
      </w:r>
      <w:proofErr w:type="spellStart"/>
      <w:r w:rsidRPr="00B419CE">
        <w:t>laupet</w:t>
      </w:r>
      <w:proofErr w:type="spellEnd"/>
      <w:r w:rsidRPr="00B419CE">
        <w:t xml:space="preserve"> av </w:t>
      </w:r>
      <w:proofErr w:type="spellStart"/>
      <w:r w:rsidRPr="00B419CE">
        <w:t>hausten</w:t>
      </w:r>
      <w:proofErr w:type="spellEnd"/>
      <w:r w:rsidRPr="00B419CE">
        <w:t xml:space="preserve"> 2021.</w:t>
      </w:r>
    </w:p>
    <w:p w14:paraId="2239E9A7" w14:textId="77777777" w:rsidR="00B419CE" w:rsidRPr="00B419CE" w:rsidRDefault="00B419CE" w:rsidP="00B419CE">
      <w:r w:rsidRPr="00B419CE">
        <w:t xml:space="preserve">Ved utgangen av 2020 hadde om lag 4 pst. av </w:t>
      </w:r>
      <w:proofErr w:type="spellStart"/>
      <w:r w:rsidRPr="00B419CE">
        <w:t>dei</w:t>
      </w:r>
      <w:proofErr w:type="spellEnd"/>
      <w:r w:rsidRPr="00B419CE">
        <w:t xml:space="preserve"> tilsette </w:t>
      </w:r>
      <w:proofErr w:type="spellStart"/>
      <w:r w:rsidRPr="00B419CE">
        <w:t>innvandrarbakgrunn</w:t>
      </w:r>
      <w:proofErr w:type="spellEnd"/>
      <w:r w:rsidRPr="00B419CE">
        <w:t xml:space="preserve">. </w:t>
      </w:r>
      <w:proofErr w:type="spellStart"/>
      <w:r w:rsidRPr="00B419CE">
        <w:t>Talet</w:t>
      </w:r>
      <w:proofErr w:type="spellEnd"/>
      <w:r w:rsidRPr="00B419CE">
        <w:t xml:space="preserve"> på </w:t>
      </w:r>
      <w:proofErr w:type="spellStart"/>
      <w:r w:rsidRPr="00B419CE">
        <w:t>søkjarar</w:t>
      </w:r>
      <w:proofErr w:type="spellEnd"/>
      <w:r w:rsidRPr="00B419CE">
        <w:t xml:space="preserve"> med </w:t>
      </w:r>
      <w:proofErr w:type="spellStart"/>
      <w:r w:rsidRPr="00B419CE">
        <w:t>innvandrarbakgrunn</w:t>
      </w:r>
      <w:proofErr w:type="spellEnd"/>
      <w:r w:rsidRPr="00B419CE">
        <w:t xml:space="preserve"> var 9 pst. i 2020.</w:t>
      </w:r>
    </w:p>
    <w:p w14:paraId="22C579BF" w14:textId="77777777" w:rsidR="00B419CE" w:rsidRPr="00B419CE" w:rsidRDefault="00B419CE" w:rsidP="00B419CE">
      <w:proofErr w:type="spellStart"/>
      <w:r w:rsidRPr="00B419CE">
        <w:t>Sjukefråværet</w:t>
      </w:r>
      <w:proofErr w:type="spellEnd"/>
      <w:r w:rsidRPr="00B419CE">
        <w:t xml:space="preserve"> har </w:t>
      </w:r>
      <w:proofErr w:type="spellStart"/>
      <w:r w:rsidRPr="00B419CE">
        <w:t>vore</w:t>
      </w:r>
      <w:proofErr w:type="spellEnd"/>
      <w:r w:rsidRPr="00B419CE">
        <w:t xml:space="preserve"> lågt i mange år. Samla </w:t>
      </w:r>
      <w:proofErr w:type="spellStart"/>
      <w:r w:rsidRPr="00B419CE">
        <w:t>sjukefråvær</w:t>
      </w:r>
      <w:proofErr w:type="spellEnd"/>
      <w:r w:rsidRPr="00B419CE">
        <w:t xml:space="preserve"> var 2,3 pst. i 2020 mot 2,9 pst. i 2019. For kvinner var det 3,8 pst. og for menn 1,0 pst. mot 4,1 pst. og 1,8 pst. i 2019. Kvinner har i gjennomsnitt </w:t>
      </w:r>
      <w:proofErr w:type="spellStart"/>
      <w:r w:rsidRPr="00B419CE">
        <w:t>teke</w:t>
      </w:r>
      <w:proofErr w:type="spellEnd"/>
      <w:r w:rsidRPr="00B419CE">
        <w:t xml:space="preserve"> ut 29 veker foreldrepermisjon, </w:t>
      </w:r>
      <w:proofErr w:type="spellStart"/>
      <w:r w:rsidRPr="00B419CE">
        <w:t>medan</w:t>
      </w:r>
      <w:proofErr w:type="spellEnd"/>
      <w:r w:rsidRPr="00B419CE">
        <w:t xml:space="preserve"> menn har </w:t>
      </w:r>
      <w:proofErr w:type="spellStart"/>
      <w:r w:rsidRPr="00B419CE">
        <w:t>teke</w:t>
      </w:r>
      <w:proofErr w:type="spellEnd"/>
      <w:r w:rsidRPr="00B419CE">
        <w:t xml:space="preserve"> ut 16 veker.</w:t>
      </w:r>
    </w:p>
    <w:p w14:paraId="0CDC6936" w14:textId="77777777" w:rsidR="00B419CE" w:rsidRPr="00B419CE" w:rsidRDefault="00B419CE" w:rsidP="00B419CE">
      <w:pPr>
        <w:pStyle w:val="Overskrift2"/>
      </w:pPr>
      <w:proofErr w:type="spellStart"/>
      <w:r w:rsidRPr="00B419CE">
        <w:t>Etatane</w:t>
      </w:r>
      <w:proofErr w:type="spellEnd"/>
      <w:r w:rsidRPr="00B419CE">
        <w:t xml:space="preserve"> under Finansdepartementet</w:t>
      </w:r>
    </w:p>
    <w:p w14:paraId="7EBCE167" w14:textId="39B4F1AE" w:rsidR="00B419CE" w:rsidRDefault="00B419CE" w:rsidP="00B419CE">
      <w:pPr>
        <w:pStyle w:val="Overskrift3"/>
      </w:pPr>
      <w:r w:rsidRPr="00B419CE">
        <w:t>Likestilling</w:t>
      </w:r>
    </w:p>
    <w:p w14:paraId="6DA88536" w14:textId="750B631F" w:rsidR="00920011" w:rsidRPr="00920011" w:rsidRDefault="00920011" w:rsidP="00920011">
      <w:pPr>
        <w:pStyle w:val="tabell-tittel"/>
      </w:pPr>
      <w:r w:rsidRPr="00B419CE">
        <w:t>Likestilling mellom kjønna</w:t>
      </w:r>
    </w:p>
    <w:p w14:paraId="2F2033BD" w14:textId="2AA03103" w:rsidR="00B419CE" w:rsidRPr="00B419CE" w:rsidRDefault="00B419CE" w:rsidP="00B419CE">
      <w:pPr>
        <w:pStyle w:val="Tabellnavn"/>
      </w:pPr>
      <w:r w:rsidRPr="00B419CE">
        <w:t>0</w:t>
      </w:r>
      <w:r w:rsidR="00920011">
        <w:t>6</w:t>
      </w:r>
      <w:r w:rsidRPr="00B419CE">
        <w:t>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19CE" w:rsidRPr="00B419CE" w14:paraId="58D5EF7F" w14:textId="77777777" w:rsidTr="00920011">
        <w:trPr>
          <w:trHeight w:val="360"/>
        </w:trPr>
        <w:tc>
          <w:tcPr>
            <w:tcW w:w="4080" w:type="dxa"/>
            <w:shd w:val="clear" w:color="auto" w:fill="FFFFFF"/>
          </w:tcPr>
          <w:p w14:paraId="3595E9C0" w14:textId="77777777" w:rsidR="00B419CE" w:rsidRPr="00B419CE" w:rsidRDefault="00B419CE" w:rsidP="00920011"/>
        </w:tc>
        <w:tc>
          <w:tcPr>
            <w:tcW w:w="1020" w:type="dxa"/>
          </w:tcPr>
          <w:p w14:paraId="53354D6E" w14:textId="47D58A6A" w:rsidR="00B419CE" w:rsidRPr="00B419CE" w:rsidRDefault="00B419CE" w:rsidP="00920011">
            <w:pPr>
              <w:jc w:val="right"/>
            </w:pPr>
            <w:r w:rsidRPr="00B419CE">
              <w:t>Skatte</w:t>
            </w:r>
            <w:r w:rsidR="00920011">
              <w:softHyphen/>
            </w:r>
            <w:r w:rsidRPr="00B419CE">
              <w:t>etaten</w:t>
            </w:r>
          </w:p>
        </w:tc>
        <w:tc>
          <w:tcPr>
            <w:tcW w:w="1020" w:type="dxa"/>
          </w:tcPr>
          <w:p w14:paraId="3EE85744" w14:textId="662BD56E" w:rsidR="00B419CE" w:rsidRPr="00B419CE" w:rsidRDefault="00B419CE" w:rsidP="00920011">
            <w:pPr>
              <w:jc w:val="right"/>
            </w:pPr>
            <w:r w:rsidRPr="00B419CE">
              <w:t>Toll</w:t>
            </w:r>
            <w:r w:rsidR="00920011">
              <w:softHyphen/>
            </w:r>
            <w:r w:rsidRPr="00B419CE">
              <w:t>etaten</w:t>
            </w:r>
          </w:p>
        </w:tc>
        <w:tc>
          <w:tcPr>
            <w:tcW w:w="1020" w:type="dxa"/>
          </w:tcPr>
          <w:p w14:paraId="7268B187" w14:textId="77777777" w:rsidR="00B419CE" w:rsidRPr="00B419CE" w:rsidRDefault="00B419CE" w:rsidP="00920011">
            <w:pPr>
              <w:jc w:val="right"/>
            </w:pPr>
            <w:r w:rsidRPr="00B419CE">
              <w:t>SSB</w:t>
            </w:r>
          </w:p>
        </w:tc>
        <w:tc>
          <w:tcPr>
            <w:tcW w:w="1020" w:type="dxa"/>
          </w:tcPr>
          <w:p w14:paraId="356F827A" w14:textId="77777777" w:rsidR="00B419CE" w:rsidRPr="00B419CE" w:rsidRDefault="00B419CE" w:rsidP="00920011">
            <w:pPr>
              <w:jc w:val="right"/>
            </w:pPr>
            <w:r w:rsidRPr="00B419CE">
              <w:t>DFØ</w:t>
            </w:r>
          </w:p>
        </w:tc>
        <w:tc>
          <w:tcPr>
            <w:tcW w:w="1020" w:type="dxa"/>
          </w:tcPr>
          <w:p w14:paraId="11ED54AB" w14:textId="3AA7BD65" w:rsidR="00B419CE" w:rsidRPr="00B419CE" w:rsidRDefault="00B419CE" w:rsidP="00920011">
            <w:pPr>
              <w:jc w:val="right"/>
            </w:pPr>
            <w:r w:rsidRPr="00B419CE">
              <w:t>Finans</w:t>
            </w:r>
            <w:r w:rsidR="00920011">
              <w:softHyphen/>
            </w:r>
            <w:r w:rsidRPr="00B419CE">
              <w:t>tilsynet</w:t>
            </w:r>
          </w:p>
        </w:tc>
      </w:tr>
      <w:tr w:rsidR="00B419CE" w:rsidRPr="00B419CE" w14:paraId="770B8E6C" w14:textId="77777777" w:rsidTr="00920011">
        <w:trPr>
          <w:trHeight w:val="380"/>
        </w:trPr>
        <w:tc>
          <w:tcPr>
            <w:tcW w:w="4080" w:type="dxa"/>
          </w:tcPr>
          <w:p w14:paraId="2251D100" w14:textId="77777777" w:rsidR="00B419CE" w:rsidRPr="00B419CE" w:rsidRDefault="00B419CE" w:rsidP="00920011">
            <w:r w:rsidRPr="00B419CE">
              <w:t>Tilsette</w:t>
            </w:r>
          </w:p>
        </w:tc>
        <w:tc>
          <w:tcPr>
            <w:tcW w:w="1020" w:type="dxa"/>
          </w:tcPr>
          <w:p w14:paraId="37CBBC20" w14:textId="77777777" w:rsidR="00B419CE" w:rsidRPr="00B419CE" w:rsidRDefault="00B419CE" w:rsidP="00920011">
            <w:pPr>
              <w:jc w:val="right"/>
            </w:pPr>
            <w:r w:rsidRPr="00B419CE">
              <w:t>7 475 (6 399)</w:t>
            </w:r>
          </w:p>
        </w:tc>
        <w:tc>
          <w:tcPr>
            <w:tcW w:w="1020" w:type="dxa"/>
          </w:tcPr>
          <w:p w14:paraId="1DFCEA46" w14:textId="77777777" w:rsidR="00B419CE" w:rsidRPr="00B419CE" w:rsidRDefault="00B419CE" w:rsidP="00920011">
            <w:pPr>
              <w:jc w:val="right"/>
            </w:pPr>
            <w:r w:rsidRPr="00B419CE">
              <w:t>1 531 (1 529)</w:t>
            </w:r>
          </w:p>
        </w:tc>
        <w:tc>
          <w:tcPr>
            <w:tcW w:w="1020" w:type="dxa"/>
          </w:tcPr>
          <w:p w14:paraId="0AB44052" w14:textId="77777777" w:rsidR="00B419CE" w:rsidRPr="00B419CE" w:rsidRDefault="00B419CE" w:rsidP="00920011">
            <w:pPr>
              <w:jc w:val="right"/>
            </w:pPr>
            <w:r w:rsidRPr="00B419CE">
              <w:t>832 (841)</w:t>
            </w:r>
          </w:p>
        </w:tc>
        <w:tc>
          <w:tcPr>
            <w:tcW w:w="1020" w:type="dxa"/>
          </w:tcPr>
          <w:p w14:paraId="401448CE" w14:textId="77777777" w:rsidR="00B419CE" w:rsidRPr="00B419CE" w:rsidRDefault="00B419CE" w:rsidP="00920011">
            <w:pPr>
              <w:jc w:val="right"/>
            </w:pPr>
            <w:r w:rsidRPr="00B419CE">
              <w:t>669 (457)</w:t>
            </w:r>
          </w:p>
        </w:tc>
        <w:tc>
          <w:tcPr>
            <w:tcW w:w="1020" w:type="dxa"/>
          </w:tcPr>
          <w:p w14:paraId="6539D775" w14:textId="77777777" w:rsidR="00B419CE" w:rsidRPr="00B419CE" w:rsidRDefault="00B419CE" w:rsidP="00920011">
            <w:pPr>
              <w:jc w:val="right"/>
            </w:pPr>
            <w:r w:rsidRPr="00B419CE">
              <w:t>323 (302)</w:t>
            </w:r>
          </w:p>
        </w:tc>
      </w:tr>
      <w:tr w:rsidR="00B419CE" w:rsidRPr="00B419CE" w14:paraId="5BC49E33" w14:textId="77777777" w:rsidTr="00920011">
        <w:trPr>
          <w:trHeight w:val="380"/>
        </w:trPr>
        <w:tc>
          <w:tcPr>
            <w:tcW w:w="4080" w:type="dxa"/>
          </w:tcPr>
          <w:p w14:paraId="1163CD28" w14:textId="77777777" w:rsidR="00B419CE" w:rsidRPr="00B419CE" w:rsidRDefault="00B419CE" w:rsidP="00920011">
            <w:proofErr w:type="spellStart"/>
            <w:r w:rsidRPr="00B419CE">
              <w:rPr>
                <w:rStyle w:val="kursiv"/>
              </w:rPr>
              <w:lastRenderedPageBreak/>
              <w:t>Prosentdelar</w:t>
            </w:r>
            <w:proofErr w:type="spellEnd"/>
            <w:r w:rsidRPr="00B419CE">
              <w:rPr>
                <w:rStyle w:val="kursiv"/>
              </w:rPr>
              <w:t>:</w:t>
            </w:r>
          </w:p>
        </w:tc>
        <w:tc>
          <w:tcPr>
            <w:tcW w:w="1020" w:type="dxa"/>
          </w:tcPr>
          <w:p w14:paraId="3CC23E30" w14:textId="77777777" w:rsidR="00B419CE" w:rsidRPr="00B419CE" w:rsidRDefault="00B419CE" w:rsidP="00920011">
            <w:pPr>
              <w:jc w:val="right"/>
            </w:pPr>
          </w:p>
        </w:tc>
        <w:tc>
          <w:tcPr>
            <w:tcW w:w="1020" w:type="dxa"/>
          </w:tcPr>
          <w:p w14:paraId="02D89C4C" w14:textId="77777777" w:rsidR="00B419CE" w:rsidRPr="00B419CE" w:rsidRDefault="00B419CE" w:rsidP="00920011">
            <w:pPr>
              <w:jc w:val="right"/>
            </w:pPr>
          </w:p>
        </w:tc>
        <w:tc>
          <w:tcPr>
            <w:tcW w:w="1020" w:type="dxa"/>
          </w:tcPr>
          <w:p w14:paraId="4AF0AF74" w14:textId="77777777" w:rsidR="00B419CE" w:rsidRPr="00B419CE" w:rsidRDefault="00B419CE" w:rsidP="00920011">
            <w:pPr>
              <w:jc w:val="right"/>
            </w:pPr>
          </w:p>
        </w:tc>
        <w:tc>
          <w:tcPr>
            <w:tcW w:w="1020" w:type="dxa"/>
          </w:tcPr>
          <w:p w14:paraId="0E87D68E" w14:textId="77777777" w:rsidR="00B419CE" w:rsidRPr="00B419CE" w:rsidRDefault="00B419CE" w:rsidP="00920011">
            <w:pPr>
              <w:jc w:val="right"/>
            </w:pPr>
          </w:p>
        </w:tc>
        <w:tc>
          <w:tcPr>
            <w:tcW w:w="1020" w:type="dxa"/>
          </w:tcPr>
          <w:p w14:paraId="0C3EAECD" w14:textId="77777777" w:rsidR="00B419CE" w:rsidRPr="00B419CE" w:rsidRDefault="00B419CE" w:rsidP="00920011">
            <w:pPr>
              <w:jc w:val="right"/>
            </w:pPr>
          </w:p>
        </w:tc>
      </w:tr>
      <w:tr w:rsidR="00B419CE" w:rsidRPr="00B419CE" w14:paraId="38C21713" w14:textId="77777777" w:rsidTr="00920011">
        <w:trPr>
          <w:trHeight w:val="380"/>
        </w:trPr>
        <w:tc>
          <w:tcPr>
            <w:tcW w:w="4080" w:type="dxa"/>
          </w:tcPr>
          <w:p w14:paraId="20F5FF6B" w14:textId="77777777" w:rsidR="00B419CE" w:rsidRPr="00B419CE" w:rsidRDefault="00B419CE" w:rsidP="00920011">
            <w:r w:rsidRPr="00B419CE">
              <w:t>Kvinner i etaten</w:t>
            </w:r>
          </w:p>
        </w:tc>
        <w:tc>
          <w:tcPr>
            <w:tcW w:w="1020" w:type="dxa"/>
          </w:tcPr>
          <w:p w14:paraId="18546D23" w14:textId="77777777" w:rsidR="00B419CE" w:rsidRPr="00B419CE" w:rsidRDefault="00B419CE" w:rsidP="00920011">
            <w:pPr>
              <w:jc w:val="right"/>
            </w:pPr>
            <w:r w:rsidRPr="00B419CE">
              <w:t>62 (61)</w:t>
            </w:r>
          </w:p>
        </w:tc>
        <w:tc>
          <w:tcPr>
            <w:tcW w:w="1020" w:type="dxa"/>
          </w:tcPr>
          <w:p w14:paraId="79EB9334" w14:textId="77777777" w:rsidR="00B419CE" w:rsidRPr="00B419CE" w:rsidRDefault="00B419CE" w:rsidP="00920011">
            <w:pPr>
              <w:jc w:val="right"/>
            </w:pPr>
            <w:r w:rsidRPr="00B419CE">
              <w:t>46 (46)</w:t>
            </w:r>
          </w:p>
        </w:tc>
        <w:tc>
          <w:tcPr>
            <w:tcW w:w="1020" w:type="dxa"/>
          </w:tcPr>
          <w:p w14:paraId="5D7B3AA2" w14:textId="77777777" w:rsidR="00B419CE" w:rsidRPr="00B419CE" w:rsidRDefault="00B419CE" w:rsidP="00920011">
            <w:pPr>
              <w:jc w:val="right"/>
            </w:pPr>
            <w:r w:rsidRPr="00B419CE">
              <w:t>48 (49)</w:t>
            </w:r>
          </w:p>
        </w:tc>
        <w:tc>
          <w:tcPr>
            <w:tcW w:w="1020" w:type="dxa"/>
          </w:tcPr>
          <w:p w14:paraId="5B8545B9" w14:textId="77777777" w:rsidR="00B419CE" w:rsidRPr="00B419CE" w:rsidRDefault="00B419CE" w:rsidP="00920011">
            <w:pPr>
              <w:jc w:val="right"/>
            </w:pPr>
            <w:r w:rsidRPr="00B419CE">
              <w:t>61 (60)</w:t>
            </w:r>
          </w:p>
        </w:tc>
        <w:tc>
          <w:tcPr>
            <w:tcW w:w="1020" w:type="dxa"/>
          </w:tcPr>
          <w:p w14:paraId="22D0A120" w14:textId="77777777" w:rsidR="00B419CE" w:rsidRPr="00B419CE" w:rsidRDefault="00B419CE" w:rsidP="00920011">
            <w:pPr>
              <w:jc w:val="right"/>
            </w:pPr>
            <w:r w:rsidRPr="00B419CE">
              <w:t>51 (53)</w:t>
            </w:r>
          </w:p>
        </w:tc>
      </w:tr>
      <w:tr w:rsidR="00B419CE" w:rsidRPr="00B419CE" w14:paraId="23B10DDC" w14:textId="77777777" w:rsidTr="00920011">
        <w:trPr>
          <w:trHeight w:val="640"/>
        </w:trPr>
        <w:tc>
          <w:tcPr>
            <w:tcW w:w="4080" w:type="dxa"/>
          </w:tcPr>
          <w:p w14:paraId="08FC1490" w14:textId="77777777" w:rsidR="00B419CE" w:rsidRPr="00B419CE" w:rsidRDefault="00B419CE" w:rsidP="00920011">
            <w:r w:rsidRPr="00B419CE">
              <w:t xml:space="preserve">Kvinnelege </w:t>
            </w:r>
            <w:proofErr w:type="spellStart"/>
            <w:r w:rsidRPr="00B419CE">
              <w:t>leiarar</w:t>
            </w:r>
            <w:proofErr w:type="spellEnd"/>
            <w:r w:rsidRPr="00B419CE">
              <w:t>, heile etaten</w:t>
            </w:r>
          </w:p>
        </w:tc>
        <w:tc>
          <w:tcPr>
            <w:tcW w:w="1020" w:type="dxa"/>
          </w:tcPr>
          <w:p w14:paraId="49AD97ED" w14:textId="77777777" w:rsidR="00B419CE" w:rsidRPr="00B419CE" w:rsidRDefault="00B419CE" w:rsidP="00920011">
            <w:pPr>
              <w:jc w:val="right"/>
            </w:pPr>
            <w:r w:rsidRPr="00B419CE">
              <w:t>59 (60)</w:t>
            </w:r>
          </w:p>
        </w:tc>
        <w:tc>
          <w:tcPr>
            <w:tcW w:w="1020" w:type="dxa"/>
          </w:tcPr>
          <w:p w14:paraId="23AA411B" w14:textId="77777777" w:rsidR="00B419CE" w:rsidRPr="00B419CE" w:rsidRDefault="00B419CE" w:rsidP="00920011">
            <w:pPr>
              <w:jc w:val="right"/>
            </w:pPr>
            <w:r w:rsidRPr="00B419CE">
              <w:t xml:space="preserve">32 (38) </w:t>
            </w:r>
          </w:p>
        </w:tc>
        <w:tc>
          <w:tcPr>
            <w:tcW w:w="1020" w:type="dxa"/>
          </w:tcPr>
          <w:p w14:paraId="559072C3" w14:textId="77777777" w:rsidR="00B419CE" w:rsidRPr="00B419CE" w:rsidRDefault="00B419CE" w:rsidP="00920011">
            <w:pPr>
              <w:jc w:val="right"/>
            </w:pPr>
            <w:r w:rsidRPr="00B419CE">
              <w:t>41 (44)</w:t>
            </w:r>
          </w:p>
        </w:tc>
        <w:tc>
          <w:tcPr>
            <w:tcW w:w="1020" w:type="dxa"/>
          </w:tcPr>
          <w:p w14:paraId="218F8765" w14:textId="77777777" w:rsidR="00B419CE" w:rsidRPr="00B419CE" w:rsidRDefault="00B419CE" w:rsidP="00920011">
            <w:pPr>
              <w:jc w:val="right"/>
            </w:pPr>
            <w:r w:rsidRPr="00B419CE">
              <w:t>58 (62)</w:t>
            </w:r>
          </w:p>
        </w:tc>
        <w:tc>
          <w:tcPr>
            <w:tcW w:w="1020" w:type="dxa"/>
          </w:tcPr>
          <w:p w14:paraId="1A49FE64" w14:textId="77777777" w:rsidR="00B419CE" w:rsidRPr="00B419CE" w:rsidRDefault="00B419CE" w:rsidP="00920011">
            <w:pPr>
              <w:jc w:val="right"/>
            </w:pPr>
            <w:r w:rsidRPr="00B419CE">
              <w:t>56 (56)</w:t>
            </w:r>
          </w:p>
        </w:tc>
      </w:tr>
      <w:tr w:rsidR="00B419CE" w:rsidRPr="00B419CE" w14:paraId="66F6BD9E" w14:textId="77777777" w:rsidTr="00920011">
        <w:trPr>
          <w:trHeight w:val="640"/>
        </w:trPr>
        <w:tc>
          <w:tcPr>
            <w:tcW w:w="4080" w:type="dxa"/>
          </w:tcPr>
          <w:p w14:paraId="5A6D67FE" w14:textId="77777777" w:rsidR="00B419CE" w:rsidRPr="00B419CE" w:rsidRDefault="00B419CE" w:rsidP="00920011">
            <w:r w:rsidRPr="00B419CE">
              <w:t xml:space="preserve">Kvinnelege </w:t>
            </w:r>
            <w:proofErr w:type="spellStart"/>
            <w:r w:rsidRPr="00B419CE">
              <w:t>leiarar</w:t>
            </w:r>
            <w:proofErr w:type="spellEnd"/>
            <w:r w:rsidRPr="00B419CE">
              <w:t xml:space="preserve"> region, direktorat og avdeling nivå 2</w:t>
            </w:r>
          </w:p>
        </w:tc>
        <w:tc>
          <w:tcPr>
            <w:tcW w:w="1020" w:type="dxa"/>
          </w:tcPr>
          <w:p w14:paraId="323B6885" w14:textId="77777777" w:rsidR="00B419CE" w:rsidRPr="00B419CE" w:rsidRDefault="00B419CE" w:rsidP="00920011">
            <w:pPr>
              <w:jc w:val="right"/>
            </w:pPr>
            <w:r w:rsidRPr="00B419CE">
              <w:t>49 (45)</w:t>
            </w:r>
          </w:p>
        </w:tc>
        <w:tc>
          <w:tcPr>
            <w:tcW w:w="1020" w:type="dxa"/>
          </w:tcPr>
          <w:p w14:paraId="2C2589B7" w14:textId="77777777" w:rsidR="00B419CE" w:rsidRPr="00B419CE" w:rsidRDefault="00B419CE" w:rsidP="00920011">
            <w:pPr>
              <w:jc w:val="right"/>
            </w:pPr>
            <w:r w:rsidRPr="00B419CE">
              <w:t>22 (25)</w:t>
            </w:r>
          </w:p>
        </w:tc>
        <w:tc>
          <w:tcPr>
            <w:tcW w:w="1020" w:type="dxa"/>
          </w:tcPr>
          <w:p w14:paraId="3720EB53" w14:textId="77777777" w:rsidR="00B419CE" w:rsidRPr="00B419CE" w:rsidRDefault="00B419CE" w:rsidP="00920011">
            <w:pPr>
              <w:jc w:val="right"/>
            </w:pPr>
            <w:r w:rsidRPr="00B419CE">
              <w:t>33 (50)</w:t>
            </w:r>
          </w:p>
        </w:tc>
        <w:tc>
          <w:tcPr>
            <w:tcW w:w="1020" w:type="dxa"/>
          </w:tcPr>
          <w:p w14:paraId="04F0B1B0" w14:textId="77777777" w:rsidR="00B419CE" w:rsidRPr="00B419CE" w:rsidRDefault="00B419CE" w:rsidP="00920011">
            <w:pPr>
              <w:jc w:val="right"/>
            </w:pPr>
            <w:r w:rsidRPr="00B419CE">
              <w:t>53 (80)</w:t>
            </w:r>
          </w:p>
        </w:tc>
        <w:tc>
          <w:tcPr>
            <w:tcW w:w="1020" w:type="dxa"/>
          </w:tcPr>
          <w:p w14:paraId="20DD5AF2" w14:textId="77777777" w:rsidR="00B419CE" w:rsidRPr="00B419CE" w:rsidRDefault="00B419CE" w:rsidP="00920011">
            <w:pPr>
              <w:jc w:val="right"/>
            </w:pPr>
            <w:r w:rsidRPr="00B419CE">
              <w:t>83 (57)</w:t>
            </w:r>
          </w:p>
        </w:tc>
      </w:tr>
      <w:tr w:rsidR="00B419CE" w:rsidRPr="00B419CE" w14:paraId="5192F040" w14:textId="77777777" w:rsidTr="00920011">
        <w:trPr>
          <w:trHeight w:val="380"/>
        </w:trPr>
        <w:tc>
          <w:tcPr>
            <w:tcW w:w="4080" w:type="dxa"/>
          </w:tcPr>
          <w:p w14:paraId="22D55016" w14:textId="77777777" w:rsidR="00B419CE" w:rsidRPr="00B419CE" w:rsidRDefault="00B419CE" w:rsidP="00920011">
            <w:r w:rsidRPr="00B419CE">
              <w:t xml:space="preserve">Kvinnelege </w:t>
            </w:r>
            <w:proofErr w:type="spellStart"/>
            <w:r w:rsidRPr="00B419CE">
              <w:t>leiarar</w:t>
            </w:r>
            <w:proofErr w:type="spellEnd"/>
            <w:r w:rsidRPr="00B419CE">
              <w:t xml:space="preserve"> nivå 3</w:t>
            </w:r>
          </w:p>
        </w:tc>
        <w:tc>
          <w:tcPr>
            <w:tcW w:w="1020" w:type="dxa"/>
          </w:tcPr>
          <w:p w14:paraId="6C6E0EDE" w14:textId="77777777" w:rsidR="00B419CE" w:rsidRPr="00B419CE" w:rsidRDefault="00B419CE" w:rsidP="00920011">
            <w:pPr>
              <w:jc w:val="right"/>
            </w:pPr>
            <w:r w:rsidRPr="00B419CE">
              <w:t>59 (55)</w:t>
            </w:r>
          </w:p>
        </w:tc>
        <w:tc>
          <w:tcPr>
            <w:tcW w:w="1020" w:type="dxa"/>
          </w:tcPr>
          <w:p w14:paraId="553D414D" w14:textId="77777777" w:rsidR="00B419CE" w:rsidRPr="00B419CE" w:rsidRDefault="00B419CE" w:rsidP="00920011">
            <w:pPr>
              <w:jc w:val="right"/>
            </w:pPr>
            <w:r w:rsidRPr="00B419CE">
              <w:t xml:space="preserve">41 (37) </w:t>
            </w:r>
          </w:p>
        </w:tc>
        <w:tc>
          <w:tcPr>
            <w:tcW w:w="1020" w:type="dxa"/>
          </w:tcPr>
          <w:p w14:paraId="29FEFB1E" w14:textId="77777777" w:rsidR="00B419CE" w:rsidRPr="00B419CE" w:rsidRDefault="00B419CE" w:rsidP="00920011">
            <w:pPr>
              <w:jc w:val="right"/>
            </w:pPr>
            <w:r w:rsidRPr="00B419CE">
              <w:t>43 (44)</w:t>
            </w:r>
          </w:p>
        </w:tc>
        <w:tc>
          <w:tcPr>
            <w:tcW w:w="1020" w:type="dxa"/>
          </w:tcPr>
          <w:p w14:paraId="35F48710" w14:textId="77777777" w:rsidR="00B419CE" w:rsidRPr="00B419CE" w:rsidRDefault="00B419CE" w:rsidP="00920011">
            <w:pPr>
              <w:jc w:val="right"/>
            </w:pPr>
            <w:r w:rsidRPr="00B419CE">
              <w:t>63 (57)</w:t>
            </w:r>
          </w:p>
        </w:tc>
        <w:tc>
          <w:tcPr>
            <w:tcW w:w="1020" w:type="dxa"/>
          </w:tcPr>
          <w:p w14:paraId="00EE5080" w14:textId="77777777" w:rsidR="00B419CE" w:rsidRPr="00B419CE" w:rsidRDefault="00B419CE" w:rsidP="00920011">
            <w:pPr>
              <w:jc w:val="right"/>
            </w:pPr>
            <w:r w:rsidRPr="00B419CE">
              <w:t>50 (59)</w:t>
            </w:r>
          </w:p>
        </w:tc>
      </w:tr>
      <w:tr w:rsidR="00B419CE" w:rsidRPr="00B419CE" w14:paraId="715FA05D" w14:textId="77777777" w:rsidTr="00920011">
        <w:trPr>
          <w:trHeight w:val="380"/>
        </w:trPr>
        <w:tc>
          <w:tcPr>
            <w:tcW w:w="4080" w:type="dxa"/>
          </w:tcPr>
          <w:p w14:paraId="0D17B879" w14:textId="77777777" w:rsidR="00B419CE" w:rsidRPr="00B419CE" w:rsidRDefault="00B419CE" w:rsidP="00920011">
            <w:r w:rsidRPr="00B419CE">
              <w:t xml:space="preserve">Kvinnelege </w:t>
            </w:r>
            <w:proofErr w:type="spellStart"/>
            <w:r w:rsidRPr="00B419CE">
              <w:t>leiarar</w:t>
            </w:r>
            <w:proofErr w:type="spellEnd"/>
            <w:r w:rsidRPr="00B419CE">
              <w:t xml:space="preserve"> nivå 4</w:t>
            </w:r>
          </w:p>
        </w:tc>
        <w:tc>
          <w:tcPr>
            <w:tcW w:w="1020" w:type="dxa"/>
          </w:tcPr>
          <w:p w14:paraId="620CA424" w14:textId="77777777" w:rsidR="00B419CE" w:rsidRPr="00B419CE" w:rsidRDefault="00B419CE" w:rsidP="00920011">
            <w:pPr>
              <w:jc w:val="right"/>
            </w:pPr>
            <w:r w:rsidRPr="00B419CE">
              <w:t>60 (63)</w:t>
            </w:r>
          </w:p>
        </w:tc>
        <w:tc>
          <w:tcPr>
            <w:tcW w:w="1020" w:type="dxa"/>
          </w:tcPr>
          <w:p w14:paraId="1A01DD09" w14:textId="77777777" w:rsidR="00B419CE" w:rsidRPr="00B419CE" w:rsidRDefault="00B419CE" w:rsidP="00920011">
            <w:pPr>
              <w:jc w:val="right"/>
            </w:pPr>
            <w:r w:rsidRPr="00B419CE">
              <w:t>30 (44)</w:t>
            </w:r>
          </w:p>
        </w:tc>
        <w:tc>
          <w:tcPr>
            <w:tcW w:w="1020" w:type="dxa"/>
          </w:tcPr>
          <w:p w14:paraId="54896195" w14:textId="77777777" w:rsidR="00B419CE" w:rsidRPr="00B419CE" w:rsidRDefault="00B419CE" w:rsidP="00920011">
            <w:pPr>
              <w:jc w:val="right"/>
            </w:pPr>
          </w:p>
        </w:tc>
        <w:tc>
          <w:tcPr>
            <w:tcW w:w="1020" w:type="dxa"/>
          </w:tcPr>
          <w:p w14:paraId="35717DA0" w14:textId="77777777" w:rsidR="00B419CE" w:rsidRPr="00B419CE" w:rsidRDefault="00B419CE" w:rsidP="00920011">
            <w:pPr>
              <w:jc w:val="right"/>
            </w:pPr>
          </w:p>
        </w:tc>
        <w:tc>
          <w:tcPr>
            <w:tcW w:w="1020" w:type="dxa"/>
          </w:tcPr>
          <w:p w14:paraId="5DED3D90" w14:textId="77777777" w:rsidR="00B419CE" w:rsidRPr="00B419CE" w:rsidRDefault="00B419CE" w:rsidP="00920011">
            <w:pPr>
              <w:jc w:val="right"/>
            </w:pPr>
          </w:p>
        </w:tc>
      </w:tr>
      <w:tr w:rsidR="00B419CE" w:rsidRPr="00B419CE" w14:paraId="5BC81CA0" w14:textId="77777777" w:rsidTr="00920011">
        <w:trPr>
          <w:trHeight w:val="380"/>
        </w:trPr>
        <w:tc>
          <w:tcPr>
            <w:tcW w:w="4080" w:type="dxa"/>
          </w:tcPr>
          <w:p w14:paraId="7C9814EE" w14:textId="77777777" w:rsidR="00B419CE" w:rsidRPr="00B419CE" w:rsidRDefault="00B419CE" w:rsidP="00920011">
            <w:r w:rsidRPr="00B419CE">
              <w:t>Mellombels tilsette kvinner</w:t>
            </w:r>
          </w:p>
        </w:tc>
        <w:tc>
          <w:tcPr>
            <w:tcW w:w="1020" w:type="dxa"/>
          </w:tcPr>
          <w:p w14:paraId="7167E61E" w14:textId="77777777" w:rsidR="00B419CE" w:rsidRPr="00B419CE" w:rsidRDefault="00B419CE" w:rsidP="00920011">
            <w:pPr>
              <w:jc w:val="right"/>
            </w:pPr>
            <w:r w:rsidRPr="00B419CE">
              <w:t>1,2</w:t>
            </w:r>
          </w:p>
        </w:tc>
        <w:tc>
          <w:tcPr>
            <w:tcW w:w="1020" w:type="dxa"/>
          </w:tcPr>
          <w:p w14:paraId="39F41040" w14:textId="77777777" w:rsidR="00B419CE" w:rsidRPr="00B419CE" w:rsidRDefault="00B419CE" w:rsidP="00920011">
            <w:pPr>
              <w:jc w:val="right"/>
            </w:pPr>
            <w:r w:rsidRPr="00B419CE">
              <w:t>0,9</w:t>
            </w:r>
          </w:p>
        </w:tc>
        <w:tc>
          <w:tcPr>
            <w:tcW w:w="1020" w:type="dxa"/>
          </w:tcPr>
          <w:p w14:paraId="63202AC2" w14:textId="77777777" w:rsidR="00B419CE" w:rsidRPr="00B419CE" w:rsidRDefault="00B419CE" w:rsidP="00920011">
            <w:pPr>
              <w:jc w:val="right"/>
            </w:pPr>
            <w:r w:rsidRPr="00B419CE">
              <w:t>3,3</w:t>
            </w:r>
          </w:p>
        </w:tc>
        <w:tc>
          <w:tcPr>
            <w:tcW w:w="1020" w:type="dxa"/>
          </w:tcPr>
          <w:p w14:paraId="64154791" w14:textId="77777777" w:rsidR="00B419CE" w:rsidRPr="00B419CE" w:rsidRDefault="00B419CE" w:rsidP="00920011">
            <w:pPr>
              <w:jc w:val="right"/>
            </w:pPr>
            <w:r w:rsidRPr="00B419CE">
              <w:t>6,9</w:t>
            </w:r>
          </w:p>
        </w:tc>
        <w:tc>
          <w:tcPr>
            <w:tcW w:w="1020" w:type="dxa"/>
          </w:tcPr>
          <w:p w14:paraId="1F675F84" w14:textId="77777777" w:rsidR="00B419CE" w:rsidRPr="00B419CE" w:rsidRDefault="00B419CE" w:rsidP="00920011">
            <w:pPr>
              <w:jc w:val="right"/>
            </w:pPr>
            <w:r w:rsidRPr="00B419CE">
              <w:t>1,8</w:t>
            </w:r>
          </w:p>
        </w:tc>
      </w:tr>
      <w:tr w:rsidR="00B419CE" w:rsidRPr="00B419CE" w14:paraId="74160A38" w14:textId="77777777" w:rsidTr="00920011">
        <w:trPr>
          <w:trHeight w:val="380"/>
        </w:trPr>
        <w:tc>
          <w:tcPr>
            <w:tcW w:w="4080" w:type="dxa"/>
          </w:tcPr>
          <w:p w14:paraId="26FEFF84" w14:textId="77777777" w:rsidR="00B419CE" w:rsidRPr="00B419CE" w:rsidRDefault="00B419CE" w:rsidP="00920011">
            <w:r w:rsidRPr="00B419CE">
              <w:t>Mellombels tilsette menn</w:t>
            </w:r>
          </w:p>
        </w:tc>
        <w:tc>
          <w:tcPr>
            <w:tcW w:w="1020" w:type="dxa"/>
          </w:tcPr>
          <w:p w14:paraId="1F9D392E" w14:textId="77777777" w:rsidR="00B419CE" w:rsidRPr="00B419CE" w:rsidRDefault="00B419CE" w:rsidP="00920011">
            <w:pPr>
              <w:jc w:val="right"/>
            </w:pPr>
            <w:r w:rsidRPr="00B419CE">
              <w:t>1,3</w:t>
            </w:r>
          </w:p>
        </w:tc>
        <w:tc>
          <w:tcPr>
            <w:tcW w:w="1020" w:type="dxa"/>
          </w:tcPr>
          <w:p w14:paraId="6DA76576" w14:textId="77777777" w:rsidR="00B419CE" w:rsidRPr="00B419CE" w:rsidRDefault="00B419CE" w:rsidP="00920011">
            <w:pPr>
              <w:jc w:val="right"/>
            </w:pPr>
            <w:r w:rsidRPr="00B419CE">
              <w:t>0,2</w:t>
            </w:r>
          </w:p>
        </w:tc>
        <w:tc>
          <w:tcPr>
            <w:tcW w:w="1020" w:type="dxa"/>
          </w:tcPr>
          <w:p w14:paraId="49EC5235" w14:textId="77777777" w:rsidR="00B419CE" w:rsidRPr="00B419CE" w:rsidRDefault="00B419CE" w:rsidP="00920011">
            <w:pPr>
              <w:jc w:val="right"/>
            </w:pPr>
            <w:r w:rsidRPr="00B419CE">
              <w:t>3,4</w:t>
            </w:r>
          </w:p>
        </w:tc>
        <w:tc>
          <w:tcPr>
            <w:tcW w:w="1020" w:type="dxa"/>
          </w:tcPr>
          <w:p w14:paraId="0A1A9C4A" w14:textId="77777777" w:rsidR="00B419CE" w:rsidRPr="00B419CE" w:rsidRDefault="00B419CE" w:rsidP="00920011">
            <w:pPr>
              <w:jc w:val="right"/>
            </w:pPr>
            <w:r w:rsidRPr="00B419CE">
              <w:t>7,2</w:t>
            </w:r>
          </w:p>
        </w:tc>
        <w:tc>
          <w:tcPr>
            <w:tcW w:w="1020" w:type="dxa"/>
          </w:tcPr>
          <w:p w14:paraId="39EA7EFA" w14:textId="77777777" w:rsidR="00B419CE" w:rsidRPr="00B419CE" w:rsidRDefault="00B419CE" w:rsidP="00920011">
            <w:pPr>
              <w:jc w:val="right"/>
            </w:pPr>
            <w:r w:rsidRPr="00B419CE">
              <w:t>0,6</w:t>
            </w:r>
          </w:p>
        </w:tc>
      </w:tr>
      <w:tr w:rsidR="00B419CE" w:rsidRPr="00B419CE" w14:paraId="70B26F41" w14:textId="77777777" w:rsidTr="00920011">
        <w:trPr>
          <w:trHeight w:val="380"/>
        </w:trPr>
        <w:tc>
          <w:tcPr>
            <w:tcW w:w="4080" w:type="dxa"/>
          </w:tcPr>
          <w:p w14:paraId="0C92F88A" w14:textId="77777777" w:rsidR="00B419CE" w:rsidRPr="00B419CE" w:rsidRDefault="00B419CE" w:rsidP="00920011">
            <w:r w:rsidRPr="00B419CE">
              <w:t>Deltid kvinner</w:t>
            </w:r>
          </w:p>
        </w:tc>
        <w:tc>
          <w:tcPr>
            <w:tcW w:w="1020" w:type="dxa"/>
          </w:tcPr>
          <w:p w14:paraId="7D5572B6" w14:textId="77777777" w:rsidR="00B419CE" w:rsidRPr="00B419CE" w:rsidRDefault="00B419CE" w:rsidP="00920011">
            <w:pPr>
              <w:jc w:val="right"/>
            </w:pPr>
            <w:r w:rsidRPr="00B419CE">
              <w:t>7,4</w:t>
            </w:r>
          </w:p>
        </w:tc>
        <w:tc>
          <w:tcPr>
            <w:tcW w:w="1020" w:type="dxa"/>
          </w:tcPr>
          <w:p w14:paraId="521EB33E" w14:textId="77777777" w:rsidR="00B419CE" w:rsidRPr="00B419CE" w:rsidRDefault="00B419CE" w:rsidP="00920011">
            <w:pPr>
              <w:jc w:val="right"/>
            </w:pPr>
            <w:r w:rsidRPr="00B419CE">
              <w:t>8,9</w:t>
            </w:r>
          </w:p>
        </w:tc>
        <w:tc>
          <w:tcPr>
            <w:tcW w:w="1020" w:type="dxa"/>
          </w:tcPr>
          <w:p w14:paraId="7ECF2690" w14:textId="77777777" w:rsidR="00B419CE" w:rsidRPr="00B419CE" w:rsidRDefault="00B419CE" w:rsidP="00920011">
            <w:pPr>
              <w:jc w:val="right"/>
            </w:pPr>
            <w:r w:rsidRPr="00B419CE">
              <w:t>10,8</w:t>
            </w:r>
          </w:p>
        </w:tc>
        <w:tc>
          <w:tcPr>
            <w:tcW w:w="1020" w:type="dxa"/>
          </w:tcPr>
          <w:p w14:paraId="6C0768BB" w14:textId="77777777" w:rsidR="00B419CE" w:rsidRPr="00B419CE" w:rsidRDefault="00B419CE" w:rsidP="00920011">
            <w:pPr>
              <w:jc w:val="right"/>
            </w:pPr>
            <w:r w:rsidRPr="00B419CE">
              <w:t>3,2</w:t>
            </w:r>
          </w:p>
        </w:tc>
        <w:tc>
          <w:tcPr>
            <w:tcW w:w="1020" w:type="dxa"/>
          </w:tcPr>
          <w:p w14:paraId="7349C90A" w14:textId="77777777" w:rsidR="00B419CE" w:rsidRPr="00B419CE" w:rsidRDefault="00B419CE" w:rsidP="00920011">
            <w:pPr>
              <w:jc w:val="right"/>
            </w:pPr>
            <w:r w:rsidRPr="00B419CE">
              <w:t>10,4</w:t>
            </w:r>
          </w:p>
        </w:tc>
      </w:tr>
      <w:tr w:rsidR="00B419CE" w:rsidRPr="00B419CE" w14:paraId="326B962C" w14:textId="77777777" w:rsidTr="00920011">
        <w:trPr>
          <w:trHeight w:val="380"/>
        </w:trPr>
        <w:tc>
          <w:tcPr>
            <w:tcW w:w="4080" w:type="dxa"/>
          </w:tcPr>
          <w:p w14:paraId="0862FCBD" w14:textId="77777777" w:rsidR="00B419CE" w:rsidRPr="00B419CE" w:rsidRDefault="00B419CE" w:rsidP="00920011">
            <w:r w:rsidRPr="00B419CE">
              <w:t>Deltid menn</w:t>
            </w:r>
          </w:p>
        </w:tc>
        <w:tc>
          <w:tcPr>
            <w:tcW w:w="1020" w:type="dxa"/>
          </w:tcPr>
          <w:p w14:paraId="58869655" w14:textId="77777777" w:rsidR="00B419CE" w:rsidRPr="00B419CE" w:rsidRDefault="00B419CE" w:rsidP="00920011">
            <w:pPr>
              <w:jc w:val="right"/>
            </w:pPr>
            <w:r w:rsidRPr="00B419CE">
              <w:t>2,1</w:t>
            </w:r>
          </w:p>
        </w:tc>
        <w:tc>
          <w:tcPr>
            <w:tcW w:w="1020" w:type="dxa"/>
          </w:tcPr>
          <w:p w14:paraId="3E421325" w14:textId="77777777" w:rsidR="00B419CE" w:rsidRPr="00B419CE" w:rsidRDefault="00B419CE" w:rsidP="00920011">
            <w:pPr>
              <w:jc w:val="right"/>
            </w:pPr>
            <w:r w:rsidRPr="00B419CE">
              <w:t>1,6</w:t>
            </w:r>
          </w:p>
        </w:tc>
        <w:tc>
          <w:tcPr>
            <w:tcW w:w="1020" w:type="dxa"/>
          </w:tcPr>
          <w:p w14:paraId="07E54B3C" w14:textId="77777777" w:rsidR="00B419CE" w:rsidRPr="00B419CE" w:rsidRDefault="00B419CE" w:rsidP="00920011">
            <w:pPr>
              <w:jc w:val="right"/>
            </w:pPr>
            <w:r w:rsidRPr="00B419CE">
              <w:t>6,0</w:t>
            </w:r>
          </w:p>
        </w:tc>
        <w:tc>
          <w:tcPr>
            <w:tcW w:w="1020" w:type="dxa"/>
          </w:tcPr>
          <w:p w14:paraId="0283F9A5" w14:textId="77777777" w:rsidR="00B419CE" w:rsidRPr="00B419CE" w:rsidRDefault="00B419CE" w:rsidP="00920011">
            <w:pPr>
              <w:jc w:val="right"/>
            </w:pPr>
            <w:r w:rsidRPr="00B419CE">
              <w:t>0,8</w:t>
            </w:r>
          </w:p>
        </w:tc>
        <w:tc>
          <w:tcPr>
            <w:tcW w:w="1020" w:type="dxa"/>
          </w:tcPr>
          <w:p w14:paraId="1C0CCEF0" w14:textId="77777777" w:rsidR="00B419CE" w:rsidRPr="00B419CE" w:rsidRDefault="00B419CE" w:rsidP="00920011">
            <w:pPr>
              <w:jc w:val="right"/>
            </w:pPr>
            <w:r w:rsidRPr="00B419CE">
              <w:t>3,8</w:t>
            </w:r>
          </w:p>
        </w:tc>
      </w:tr>
      <w:tr w:rsidR="00B419CE" w:rsidRPr="00B419CE" w14:paraId="78EB7DB2" w14:textId="77777777" w:rsidTr="00920011">
        <w:trPr>
          <w:trHeight w:val="640"/>
        </w:trPr>
        <w:tc>
          <w:tcPr>
            <w:tcW w:w="4080" w:type="dxa"/>
          </w:tcPr>
          <w:p w14:paraId="646CDD50" w14:textId="77777777" w:rsidR="00B419CE" w:rsidRPr="00B419CE" w:rsidRDefault="00B419CE" w:rsidP="00920011">
            <w:r w:rsidRPr="00B419CE">
              <w:rPr>
                <w:rStyle w:val="kursiv"/>
              </w:rPr>
              <w:t xml:space="preserve">Foreldrepermisjon; </w:t>
            </w:r>
            <w:r w:rsidRPr="00B419CE">
              <w:rPr>
                <w:rStyle w:val="kursiv"/>
              </w:rPr>
              <w:br/>
              <w:t>uttak av veker:</w:t>
            </w:r>
          </w:p>
        </w:tc>
        <w:tc>
          <w:tcPr>
            <w:tcW w:w="1020" w:type="dxa"/>
          </w:tcPr>
          <w:p w14:paraId="3F734345" w14:textId="77777777" w:rsidR="00B419CE" w:rsidRPr="00B419CE" w:rsidRDefault="00B419CE" w:rsidP="00920011">
            <w:pPr>
              <w:jc w:val="right"/>
            </w:pPr>
          </w:p>
        </w:tc>
        <w:tc>
          <w:tcPr>
            <w:tcW w:w="1020" w:type="dxa"/>
          </w:tcPr>
          <w:p w14:paraId="43E8758C" w14:textId="77777777" w:rsidR="00B419CE" w:rsidRPr="00B419CE" w:rsidRDefault="00B419CE" w:rsidP="00920011">
            <w:pPr>
              <w:jc w:val="right"/>
            </w:pPr>
          </w:p>
        </w:tc>
        <w:tc>
          <w:tcPr>
            <w:tcW w:w="1020" w:type="dxa"/>
          </w:tcPr>
          <w:p w14:paraId="47F260A3" w14:textId="77777777" w:rsidR="00B419CE" w:rsidRPr="00B419CE" w:rsidRDefault="00B419CE" w:rsidP="00920011">
            <w:pPr>
              <w:jc w:val="right"/>
            </w:pPr>
          </w:p>
        </w:tc>
        <w:tc>
          <w:tcPr>
            <w:tcW w:w="1020" w:type="dxa"/>
          </w:tcPr>
          <w:p w14:paraId="387232D2" w14:textId="77777777" w:rsidR="00B419CE" w:rsidRPr="00B419CE" w:rsidRDefault="00B419CE" w:rsidP="00920011">
            <w:pPr>
              <w:jc w:val="right"/>
            </w:pPr>
          </w:p>
        </w:tc>
        <w:tc>
          <w:tcPr>
            <w:tcW w:w="1020" w:type="dxa"/>
          </w:tcPr>
          <w:p w14:paraId="10146175" w14:textId="77777777" w:rsidR="00B419CE" w:rsidRPr="00B419CE" w:rsidRDefault="00B419CE" w:rsidP="00920011">
            <w:pPr>
              <w:jc w:val="right"/>
            </w:pPr>
          </w:p>
        </w:tc>
      </w:tr>
      <w:tr w:rsidR="00B419CE" w:rsidRPr="00B419CE" w14:paraId="598BF185" w14:textId="77777777" w:rsidTr="00920011">
        <w:trPr>
          <w:trHeight w:val="380"/>
        </w:trPr>
        <w:tc>
          <w:tcPr>
            <w:tcW w:w="4080" w:type="dxa"/>
          </w:tcPr>
          <w:p w14:paraId="7D421EB4" w14:textId="77777777" w:rsidR="00B419CE" w:rsidRPr="00B419CE" w:rsidRDefault="00B419CE" w:rsidP="00920011">
            <w:r w:rsidRPr="00B419CE">
              <w:t>Kvinner</w:t>
            </w:r>
          </w:p>
        </w:tc>
        <w:tc>
          <w:tcPr>
            <w:tcW w:w="1020" w:type="dxa"/>
          </w:tcPr>
          <w:p w14:paraId="6CA0E822" w14:textId="77777777" w:rsidR="00B419CE" w:rsidRPr="00B419CE" w:rsidRDefault="00B419CE" w:rsidP="00920011">
            <w:pPr>
              <w:jc w:val="right"/>
            </w:pPr>
            <w:r w:rsidRPr="00B419CE">
              <w:t>37</w:t>
            </w:r>
          </w:p>
        </w:tc>
        <w:tc>
          <w:tcPr>
            <w:tcW w:w="1020" w:type="dxa"/>
          </w:tcPr>
          <w:p w14:paraId="73F64D38" w14:textId="77777777" w:rsidR="00B419CE" w:rsidRPr="00B419CE" w:rsidRDefault="00B419CE" w:rsidP="00920011">
            <w:pPr>
              <w:jc w:val="right"/>
            </w:pPr>
            <w:r w:rsidRPr="00B419CE">
              <w:t>30</w:t>
            </w:r>
          </w:p>
        </w:tc>
        <w:tc>
          <w:tcPr>
            <w:tcW w:w="1020" w:type="dxa"/>
          </w:tcPr>
          <w:p w14:paraId="4AFD5AB3" w14:textId="77777777" w:rsidR="00B419CE" w:rsidRPr="00B419CE" w:rsidRDefault="00B419CE" w:rsidP="00920011">
            <w:pPr>
              <w:jc w:val="right"/>
            </w:pPr>
            <w:r w:rsidRPr="00B419CE">
              <w:t>33</w:t>
            </w:r>
          </w:p>
        </w:tc>
        <w:tc>
          <w:tcPr>
            <w:tcW w:w="1020" w:type="dxa"/>
          </w:tcPr>
          <w:p w14:paraId="748D5A85" w14:textId="77777777" w:rsidR="00B419CE" w:rsidRPr="00B419CE" w:rsidRDefault="00B419CE" w:rsidP="00920011">
            <w:pPr>
              <w:jc w:val="right"/>
            </w:pPr>
            <w:r w:rsidRPr="00B419CE">
              <w:t>26</w:t>
            </w:r>
          </w:p>
        </w:tc>
        <w:tc>
          <w:tcPr>
            <w:tcW w:w="1020" w:type="dxa"/>
          </w:tcPr>
          <w:p w14:paraId="6DD683D2" w14:textId="77777777" w:rsidR="00B419CE" w:rsidRPr="00B419CE" w:rsidRDefault="00B419CE" w:rsidP="00920011">
            <w:pPr>
              <w:jc w:val="right"/>
            </w:pPr>
            <w:r w:rsidRPr="00B419CE">
              <w:t>31</w:t>
            </w:r>
          </w:p>
        </w:tc>
      </w:tr>
      <w:tr w:rsidR="00B419CE" w:rsidRPr="00B419CE" w14:paraId="0ACBE3A9" w14:textId="77777777" w:rsidTr="00920011">
        <w:trPr>
          <w:trHeight w:val="380"/>
        </w:trPr>
        <w:tc>
          <w:tcPr>
            <w:tcW w:w="4080" w:type="dxa"/>
          </w:tcPr>
          <w:p w14:paraId="68BD5A40" w14:textId="77777777" w:rsidR="00B419CE" w:rsidRPr="00B419CE" w:rsidRDefault="00B419CE" w:rsidP="00920011">
            <w:r w:rsidRPr="00B419CE">
              <w:t>Menn</w:t>
            </w:r>
          </w:p>
        </w:tc>
        <w:tc>
          <w:tcPr>
            <w:tcW w:w="1020" w:type="dxa"/>
          </w:tcPr>
          <w:p w14:paraId="433C2869" w14:textId="77777777" w:rsidR="00B419CE" w:rsidRPr="00B419CE" w:rsidRDefault="00B419CE" w:rsidP="00920011">
            <w:pPr>
              <w:jc w:val="right"/>
            </w:pPr>
            <w:r w:rsidRPr="00B419CE">
              <w:t>19</w:t>
            </w:r>
          </w:p>
        </w:tc>
        <w:tc>
          <w:tcPr>
            <w:tcW w:w="1020" w:type="dxa"/>
          </w:tcPr>
          <w:p w14:paraId="75E711D8" w14:textId="77777777" w:rsidR="00B419CE" w:rsidRPr="00B419CE" w:rsidRDefault="00B419CE" w:rsidP="00920011">
            <w:pPr>
              <w:jc w:val="right"/>
            </w:pPr>
            <w:r w:rsidRPr="00B419CE">
              <w:t>19</w:t>
            </w:r>
          </w:p>
        </w:tc>
        <w:tc>
          <w:tcPr>
            <w:tcW w:w="1020" w:type="dxa"/>
          </w:tcPr>
          <w:p w14:paraId="3CA4732C" w14:textId="77777777" w:rsidR="00B419CE" w:rsidRPr="00B419CE" w:rsidRDefault="00B419CE" w:rsidP="00920011">
            <w:pPr>
              <w:jc w:val="right"/>
            </w:pPr>
            <w:r w:rsidRPr="00B419CE">
              <w:t>18</w:t>
            </w:r>
          </w:p>
        </w:tc>
        <w:tc>
          <w:tcPr>
            <w:tcW w:w="1020" w:type="dxa"/>
          </w:tcPr>
          <w:p w14:paraId="0BE32173" w14:textId="77777777" w:rsidR="00B419CE" w:rsidRPr="00B419CE" w:rsidRDefault="00B419CE" w:rsidP="00920011">
            <w:pPr>
              <w:jc w:val="right"/>
            </w:pPr>
            <w:r w:rsidRPr="00B419CE">
              <w:t>13</w:t>
            </w:r>
          </w:p>
        </w:tc>
        <w:tc>
          <w:tcPr>
            <w:tcW w:w="1020" w:type="dxa"/>
          </w:tcPr>
          <w:p w14:paraId="2386F0AD" w14:textId="77777777" w:rsidR="00B419CE" w:rsidRPr="00B419CE" w:rsidRDefault="00B419CE" w:rsidP="00920011">
            <w:pPr>
              <w:jc w:val="right"/>
            </w:pPr>
            <w:r w:rsidRPr="00B419CE">
              <w:t>12</w:t>
            </w:r>
          </w:p>
        </w:tc>
      </w:tr>
    </w:tbl>
    <w:p w14:paraId="4AE97075" w14:textId="3D370F89" w:rsidR="00B419CE" w:rsidRDefault="00B419CE" w:rsidP="00B419CE">
      <w:r w:rsidRPr="00B419CE">
        <w:t xml:space="preserve">Tabellen </w:t>
      </w:r>
      <w:proofErr w:type="spellStart"/>
      <w:r w:rsidRPr="00B419CE">
        <w:t>nedanfor</w:t>
      </w:r>
      <w:proofErr w:type="spellEnd"/>
      <w:r w:rsidRPr="00B419CE">
        <w:t xml:space="preserve"> syner tal for samla </w:t>
      </w:r>
      <w:proofErr w:type="spellStart"/>
      <w:r w:rsidRPr="00B419CE">
        <w:t>sjukefråvær</w:t>
      </w:r>
      <w:proofErr w:type="spellEnd"/>
      <w:r w:rsidRPr="00B419CE">
        <w:t xml:space="preserve"> for 2020 for båe kjønn, kvinner og menn.</w:t>
      </w:r>
    </w:p>
    <w:p w14:paraId="045BC82D" w14:textId="501B0BD0" w:rsidR="00920011" w:rsidRPr="00B419CE" w:rsidRDefault="00920011" w:rsidP="00920011">
      <w:pPr>
        <w:pStyle w:val="tabell-tittel"/>
      </w:pPr>
      <w:r w:rsidRPr="00B419CE">
        <w:t xml:space="preserve">Samla </w:t>
      </w:r>
      <w:proofErr w:type="spellStart"/>
      <w:r w:rsidRPr="00B419CE">
        <w:t>sjukefråvær</w:t>
      </w:r>
      <w:proofErr w:type="spellEnd"/>
      <w:r w:rsidRPr="00B419CE">
        <w:t xml:space="preserve"> i pst. – båe kjønn, kvinner og menn</w:t>
      </w:r>
    </w:p>
    <w:p w14:paraId="788C1CD4" w14:textId="77777777" w:rsidR="00B419CE" w:rsidRPr="00B419CE" w:rsidRDefault="00B419CE" w:rsidP="00B419CE">
      <w:pPr>
        <w:pStyle w:val="Tabellnavn"/>
      </w:pPr>
      <w:r w:rsidRPr="00B419CE">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B419CE" w:rsidRPr="00B419CE" w14:paraId="0B82B60D" w14:textId="77777777" w:rsidTr="00920011">
        <w:trPr>
          <w:trHeight w:val="360"/>
        </w:trPr>
        <w:tc>
          <w:tcPr>
            <w:tcW w:w="4080" w:type="dxa"/>
            <w:shd w:val="clear" w:color="auto" w:fill="FFFFFF"/>
          </w:tcPr>
          <w:p w14:paraId="2B87F373" w14:textId="77777777" w:rsidR="00B419CE" w:rsidRPr="00B419CE" w:rsidRDefault="00B419CE" w:rsidP="00920011"/>
        </w:tc>
        <w:tc>
          <w:tcPr>
            <w:tcW w:w="1020" w:type="dxa"/>
          </w:tcPr>
          <w:p w14:paraId="19934BFC" w14:textId="08954A47" w:rsidR="00B419CE" w:rsidRPr="00B419CE" w:rsidRDefault="00B419CE" w:rsidP="00920011">
            <w:pPr>
              <w:jc w:val="right"/>
            </w:pPr>
            <w:r w:rsidRPr="00B419CE">
              <w:t>Skatte</w:t>
            </w:r>
            <w:r w:rsidR="00920011">
              <w:softHyphen/>
            </w:r>
            <w:r w:rsidRPr="00B419CE">
              <w:t>etaten</w:t>
            </w:r>
          </w:p>
        </w:tc>
        <w:tc>
          <w:tcPr>
            <w:tcW w:w="1020" w:type="dxa"/>
          </w:tcPr>
          <w:p w14:paraId="42D6C7C8" w14:textId="624F4268" w:rsidR="00B419CE" w:rsidRPr="00B419CE" w:rsidRDefault="00B419CE" w:rsidP="00920011">
            <w:pPr>
              <w:jc w:val="right"/>
            </w:pPr>
            <w:r w:rsidRPr="00B419CE">
              <w:t>Toll</w:t>
            </w:r>
            <w:r w:rsidR="00920011">
              <w:softHyphen/>
            </w:r>
            <w:r w:rsidRPr="00B419CE">
              <w:t>etaten</w:t>
            </w:r>
          </w:p>
        </w:tc>
        <w:tc>
          <w:tcPr>
            <w:tcW w:w="1020" w:type="dxa"/>
          </w:tcPr>
          <w:p w14:paraId="44BB1734" w14:textId="77777777" w:rsidR="00B419CE" w:rsidRPr="00B419CE" w:rsidRDefault="00B419CE" w:rsidP="00920011">
            <w:pPr>
              <w:jc w:val="right"/>
            </w:pPr>
            <w:r w:rsidRPr="00B419CE">
              <w:t>SSB</w:t>
            </w:r>
          </w:p>
        </w:tc>
        <w:tc>
          <w:tcPr>
            <w:tcW w:w="1020" w:type="dxa"/>
          </w:tcPr>
          <w:p w14:paraId="5875EDAC" w14:textId="77777777" w:rsidR="00B419CE" w:rsidRPr="00B419CE" w:rsidRDefault="00B419CE" w:rsidP="00920011">
            <w:pPr>
              <w:jc w:val="right"/>
            </w:pPr>
            <w:r w:rsidRPr="00B419CE">
              <w:t>DFØ</w:t>
            </w:r>
          </w:p>
        </w:tc>
        <w:tc>
          <w:tcPr>
            <w:tcW w:w="1020" w:type="dxa"/>
          </w:tcPr>
          <w:p w14:paraId="3F2BB9C6" w14:textId="28B47AB0" w:rsidR="00B419CE" w:rsidRPr="00B419CE" w:rsidRDefault="00B419CE" w:rsidP="00920011">
            <w:pPr>
              <w:jc w:val="right"/>
            </w:pPr>
            <w:r w:rsidRPr="00B419CE">
              <w:t>Finans</w:t>
            </w:r>
            <w:r w:rsidR="00B32459">
              <w:softHyphen/>
            </w:r>
            <w:r w:rsidRPr="00B419CE">
              <w:t>tilsynet</w:t>
            </w:r>
          </w:p>
        </w:tc>
      </w:tr>
      <w:tr w:rsidR="00B419CE" w:rsidRPr="00B419CE" w14:paraId="1D3D0C9E" w14:textId="77777777" w:rsidTr="00920011">
        <w:trPr>
          <w:trHeight w:val="380"/>
        </w:trPr>
        <w:tc>
          <w:tcPr>
            <w:tcW w:w="4080" w:type="dxa"/>
          </w:tcPr>
          <w:p w14:paraId="308ED163" w14:textId="77777777" w:rsidR="00B419CE" w:rsidRPr="00B419CE" w:rsidRDefault="00B419CE" w:rsidP="00920011">
            <w:r w:rsidRPr="00B419CE">
              <w:t>Båe kjønn</w:t>
            </w:r>
          </w:p>
        </w:tc>
        <w:tc>
          <w:tcPr>
            <w:tcW w:w="1020" w:type="dxa"/>
          </w:tcPr>
          <w:p w14:paraId="7203936F" w14:textId="77777777" w:rsidR="00B419CE" w:rsidRPr="00B419CE" w:rsidRDefault="00B419CE" w:rsidP="00920011">
            <w:pPr>
              <w:jc w:val="right"/>
            </w:pPr>
            <w:r w:rsidRPr="00B419CE">
              <w:t>4,5</w:t>
            </w:r>
          </w:p>
        </w:tc>
        <w:tc>
          <w:tcPr>
            <w:tcW w:w="1020" w:type="dxa"/>
          </w:tcPr>
          <w:p w14:paraId="0E3C0CAD" w14:textId="77777777" w:rsidR="00B419CE" w:rsidRPr="00B419CE" w:rsidRDefault="00B419CE" w:rsidP="00920011">
            <w:pPr>
              <w:jc w:val="right"/>
            </w:pPr>
            <w:r w:rsidRPr="00B419CE">
              <w:t>5,5</w:t>
            </w:r>
          </w:p>
        </w:tc>
        <w:tc>
          <w:tcPr>
            <w:tcW w:w="1020" w:type="dxa"/>
          </w:tcPr>
          <w:p w14:paraId="30BF0C5C" w14:textId="77777777" w:rsidR="00B419CE" w:rsidRPr="00B419CE" w:rsidRDefault="00B419CE" w:rsidP="00920011">
            <w:pPr>
              <w:jc w:val="right"/>
            </w:pPr>
            <w:r w:rsidRPr="00B419CE">
              <w:t>3,1</w:t>
            </w:r>
          </w:p>
        </w:tc>
        <w:tc>
          <w:tcPr>
            <w:tcW w:w="1020" w:type="dxa"/>
          </w:tcPr>
          <w:p w14:paraId="2C49F226" w14:textId="77777777" w:rsidR="00B419CE" w:rsidRPr="00B419CE" w:rsidRDefault="00B419CE" w:rsidP="00920011">
            <w:pPr>
              <w:jc w:val="right"/>
            </w:pPr>
            <w:r w:rsidRPr="00B419CE">
              <w:t xml:space="preserve">4,2 </w:t>
            </w:r>
          </w:p>
        </w:tc>
        <w:tc>
          <w:tcPr>
            <w:tcW w:w="1020" w:type="dxa"/>
          </w:tcPr>
          <w:p w14:paraId="2BDB75A5" w14:textId="77777777" w:rsidR="00B419CE" w:rsidRPr="00B419CE" w:rsidRDefault="00B419CE" w:rsidP="00920011">
            <w:pPr>
              <w:jc w:val="right"/>
            </w:pPr>
            <w:r w:rsidRPr="00B419CE">
              <w:t>3,0</w:t>
            </w:r>
          </w:p>
        </w:tc>
      </w:tr>
      <w:tr w:rsidR="00B419CE" w:rsidRPr="00B419CE" w14:paraId="0FB2D911" w14:textId="77777777" w:rsidTr="00920011">
        <w:trPr>
          <w:trHeight w:val="380"/>
        </w:trPr>
        <w:tc>
          <w:tcPr>
            <w:tcW w:w="4080" w:type="dxa"/>
          </w:tcPr>
          <w:p w14:paraId="4A19BC6D" w14:textId="77777777" w:rsidR="00B419CE" w:rsidRPr="00B419CE" w:rsidRDefault="00B419CE" w:rsidP="00920011">
            <w:r w:rsidRPr="00B419CE">
              <w:t>Kvinner</w:t>
            </w:r>
          </w:p>
        </w:tc>
        <w:tc>
          <w:tcPr>
            <w:tcW w:w="1020" w:type="dxa"/>
          </w:tcPr>
          <w:p w14:paraId="585E6FD2" w14:textId="77777777" w:rsidR="00B419CE" w:rsidRPr="00B419CE" w:rsidRDefault="00B419CE" w:rsidP="00920011">
            <w:pPr>
              <w:jc w:val="right"/>
            </w:pPr>
            <w:r w:rsidRPr="00B419CE">
              <w:t>5,5</w:t>
            </w:r>
          </w:p>
        </w:tc>
        <w:tc>
          <w:tcPr>
            <w:tcW w:w="1020" w:type="dxa"/>
          </w:tcPr>
          <w:p w14:paraId="39F4BD68" w14:textId="77777777" w:rsidR="00B419CE" w:rsidRPr="00B419CE" w:rsidRDefault="00B419CE" w:rsidP="00920011">
            <w:pPr>
              <w:jc w:val="right"/>
            </w:pPr>
            <w:r w:rsidRPr="00B419CE">
              <w:t xml:space="preserve">6,3 </w:t>
            </w:r>
          </w:p>
        </w:tc>
        <w:tc>
          <w:tcPr>
            <w:tcW w:w="1020" w:type="dxa"/>
          </w:tcPr>
          <w:p w14:paraId="7D130AC1" w14:textId="77777777" w:rsidR="00B419CE" w:rsidRPr="00B419CE" w:rsidRDefault="00B419CE" w:rsidP="00920011">
            <w:pPr>
              <w:jc w:val="right"/>
            </w:pPr>
            <w:r w:rsidRPr="00B419CE">
              <w:t xml:space="preserve"> 4,0</w:t>
            </w:r>
          </w:p>
        </w:tc>
        <w:tc>
          <w:tcPr>
            <w:tcW w:w="1020" w:type="dxa"/>
          </w:tcPr>
          <w:p w14:paraId="5E90955B" w14:textId="77777777" w:rsidR="00B419CE" w:rsidRPr="00B419CE" w:rsidRDefault="00B419CE" w:rsidP="00920011">
            <w:pPr>
              <w:jc w:val="right"/>
            </w:pPr>
            <w:r w:rsidRPr="00B419CE">
              <w:t>3,3</w:t>
            </w:r>
          </w:p>
        </w:tc>
        <w:tc>
          <w:tcPr>
            <w:tcW w:w="1020" w:type="dxa"/>
          </w:tcPr>
          <w:p w14:paraId="6BBEBF03" w14:textId="77777777" w:rsidR="00B419CE" w:rsidRPr="00B419CE" w:rsidRDefault="00B419CE" w:rsidP="00920011">
            <w:pPr>
              <w:jc w:val="right"/>
            </w:pPr>
            <w:r w:rsidRPr="00B419CE">
              <w:t>3,7</w:t>
            </w:r>
          </w:p>
        </w:tc>
      </w:tr>
      <w:tr w:rsidR="00B419CE" w:rsidRPr="00B419CE" w14:paraId="47139ECE" w14:textId="77777777" w:rsidTr="00920011">
        <w:trPr>
          <w:trHeight w:val="380"/>
        </w:trPr>
        <w:tc>
          <w:tcPr>
            <w:tcW w:w="4080" w:type="dxa"/>
          </w:tcPr>
          <w:p w14:paraId="5B3E2822" w14:textId="77777777" w:rsidR="00B419CE" w:rsidRPr="00B419CE" w:rsidRDefault="00B419CE" w:rsidP="00920011">
            <w:r w:rsidRPr="00B419CE">
              <w:t>Menn</w:t>
            </w:r>
          </w:p>
        </w:tc>
        <w:tc>
          <w:tcPr>
            <w:tcW w:w="1020" w:type="dxa"/>
          </w:tcPr>
          <w:p w14:paraId="7A967AB6" w14:textId="77777777" w:rsidR="00B419CE" w:rsidRPr="00B419CE" w:rsidRDefault="00B419CE" w:rsidP="00920011">
            <w:pPr>
              <w:jc w:val="right"/>
            </w:pPr>
            <w:r w:rsidRPr="00B419CE">
              <w:t>3,0</w:t>
            </w:r>
          </w:p>
        </w:tc>
        <w:tc>
          <w:tcPr>
            <w:tcW w:w="1020" w:type="dxa"/>
          </w:tcPr>
          <w:p w14:paraId="79EE9A90" w14:textId="77777777" w:rsidR="00B419CE" w:rsidRPr="00B419CE" w:rsidRDefault="00B419CE" w:rsidP="00920011">
            <w:pPr>
              <w:jc w:val="right"/>
            </w:pPr>
            <w:r w:rsidRPr="00B419CE">
              <w:t xml:space="preserve">4,7 </w:t>
            </w:r>
          </w:p>
        </w:tc>
        <w:tc>
          <w:tcPr>
            <w:tcW w:w="1020" w:type="dxa"/>
          </w:tcPr>
          <w:p w14:paraId="51AC8FA8" w14:textId="77777777" w:rsidR="00B419CE" w:rsidRPr="00B419CE" w:rsidRDefault="00B419CE" w:rsidP="00920011">
            <w:pPr>
              <w:jc w:val="right"/>
            </w:pPr>
            <w:r w:rsidRPr="00B419CE">
              <w:t>2,4</w:t>
            </w:r>
          </w:p>
        </w:tc>
        <w:tc>
          <w:tcPr>
            <w:tcW w:w="1020" w:type="dxa"/>
          </w:tcPr>
          <w:p w14:paraId="640FF7EC" w14:textId="77777777" w:rsidR="00B419CE" w:rsidRPr="00B419CE" w:rsidRDefault="00B419CE" w:rsidP="00920011">
            <w:pPr>
              <w:jc w:val="right"/>
            </w:pPr>
            <w:r w:rsidRPr="00B419CE">
              <w:t>0,9</w:t>
            </w:r>
          </w:p>
        </w:tc>
        <w:tc>
          <w:tcPr>
            <w:tcW w:w="1020" w:type="dxa"/>
          </w:tcPr>
          <w:p w14:paraId="53A6F50C" w14:textId="77777777" w:rsidR="00B419CE" w:rsidRPr="00B419CE" w:rsidRDefault="00B419CE" w:rsidP="00920011">
            <w:pPr>
              <w:jc w:val="right"/>
            </w:pPr>
            <w:r w:rsidRPr="00B419CE">
              <w:t>2,4</w:t>
            </w:r>
          </w:p>
        </w:tc>
      </w:tr>
    </w:tbl>
    <w:p w14:paraId="56C02FAF" w14:textId="77777777" w:rsidR="00B419CE" w:rsidRPr="00B419CE" w:rsidRDefault="00B419CE" w:rsidP="00B419CE">
      <w:r w:rsidRPr="00B419CE">
        <w:t xml:space="preserve">Alle </w:t>
      </w:r>
      <w:proofErr w:type="spellStart"/>
      <w:r w:rsidRPr="00B419CE">
        <w:t>etatane</w:t>
      </w:r>
      <w:proofErr w:type="spellEnd"/>
      <w:r w:rsidRPr="00B419CE">
        <w:t xml:space="preserve"> i departementsområdet er IA-</w:t>
      </w:r>
      <w:proofErr w:type="spellStart"/>
      <w:r w:rsidRPr="00B419CE">
        <w:t>verksemder</w:t>
      </w:r>
      <w:proofErr w:type="spellEnd"/>
      <w:r w:rsidRPr="00B419CE">
        <w:t xml:space="preserve"> og har plikt til å </w:t>
      </w:r>
      <w:proofErr w:type="spellStart"/>
      <w:r w:rsidRPr="00B419CE">
        <w:t>leggje</w:t>
      </w:r>
      <w:proofErr w:type="spellEnd"/>
      <w:r w:rsidRPr="00B419CE">
        <w:t xml:space="preserve"> til rette for at tilsette med varig eller mellombels nedsett funksjonsevne kan </w:t>
      </w:r>
      <w:proofErr w:type="spellStart"/>
      <w:r w:rsidRPr="00B419CE">
        <w:t>vere</w:t>
      </w:r>
      <w:proofErr w:type="spellEnd"/>
      <w:r w:rsidRPr="00B419CE">
        <w:t xml:space="preserve"> i arbeid. I 2020 har </w:t>
      </w:r>
      <w:proofErr w:type="spellStart"/>
      <w:r w:rsidRPr="00B419CE">
        <w:t>sjukefråværet</w:t>
      </w:r>
      <w:proofErr w:type="spellEnd"/>
      <w:r w:rsidRPr="00B419CE">
        <w:t xml:space="preserve"> </w:t>
      </w:r>
      <w:proofErr w:type="spellStart"/>
      <w:r w:rsidRPr="00B419CE">
        <w:t>vore</w:t>
      </w:r>
      <w:proofErr w:type="spellEnd"/>
      <w:r w:rsidRPr="00B419CE">
        <w:t xml:space="preserve"> </w:t>
      </w:r>
      <w:proofErr w:type="spellStart"/>
      <w:r w:rsidRPr="00B419CE">
        <w:t>lågare</w:t>
      </w:r>
      <w:proofErr w:type="spellEnd"/>
      <w:r w:rsidRPr="00B419CE">
        <w:t xml:space="preserve"> enn i 2019 for alle </w:t>
      </w:r>
      <w:proofErr w:type="spellStart"/>
      <w:r w:rsidRPr="00B419CE">
        <w:t>etatane</w:t>
      </w:r>
      <w:proofErr w:type="spellEnd"/>
      <w:r w:rsidRPr="00B419CE">
        <w:t xml:space="preserve">. 2020 var </w:t>
      </w:r>
      <w:proofErr w:type="spellStart"/>
      <w:r w:rsidRPr="00B419CE">
        <w:t>eit</w:t>
      </w:r>
      <w:proofErr w:type="spellEnd"/>
      <w:r w:rsidRPr="00B419CE">
        <w:t xml:space="preserve"> spesielt år med </w:t>
      </w:r>
      <w:proofErr w:type="spellStart"/>
      <w:r w:rsidRPr="00B419CE">
        <w:t>virusutbrot</w:t>
      </w:r>
      <w:proofErr w:type="spellEnd"/>
      <w:r w:rsidRPr="00B419CE">
        <w:t xml:space="preserve"> og bruk av heimekontor, og tiltaka har </w:t>
      </w:r>
      <w:proofErr w:type="spellStart"/>
      <w:r w:rsidRPr="00B419CE">
        <w:t>vore</w:t>
      </w:r>
      <w:proofErr w:type="spellEnd"/>
      <w:r w:rsidRPr="00B419CE">
        <w:t xml:space="preserve"> </w:t>
      </w:r>
      <w:proofErr w:type="spellStart"/>
      <w:r w:rsidRPr="00B419CE">
        <w:t>mykje</w:t>
      </w:r>
      <w:proofErr w:type="spellEnd"/>
      <w:r w:rsidRPr="00B419CE">
        <w:t xml:space="preserve"> knytt til denne situasjonen (utstyr, rettleiing og kompetansetiltak knytt til arbeidsmiljø, stress, videotrening og psykisk helse m.m.). </w:t>
      </w:r>
      <w:proofErr w:type="spellStart"/>
      <w:r w:rsidRPr="00B419CE">
        <w:t>Fleire</w:t>
      </w:r>
      <w:proofErr w:type="spellEnd"/>
      <w:r w:rsidRPr="00B419CE">
        <w:t xml:space="preserve"> </w:t>
      </w:r>
      <w:proofErr w:type="spellStart"/>
      <w:r w:rsidRPr="00B419CE">
        <w:t>etatar</w:t>
      </w:r>
      <w:proofErr w:type="spellEnd"/>
      <w:r w:rsidRPr="00B419CE">
        <w:t xml:space="preserve"> meiner at heimekontor kan </w:t>
      </w:r>
      <w:proofErr w:type="spellStart"/>
      <w:r w:rsidRPr="00B419CE">
        <w:t>vere</w:t>
      </w:r>
      <w:proofErr w:type="spellEnd"/>
      <w:r w:rsidRPr="00B419CE">
        <w:t xml:space="preserve"> årsaka til </w:t>
      </w:r>
      <w:proofErr w:type="spellStart"/>
      <w:r w:rsidRPr="00B419CE">
        <w:t>eit</w:t>
      </w:r>
      <w:proofErr w:type="spellEnd"/>
      <w:r w:rsidRPr="00B419CE">
        <w:t xml:space="preserve"> </w:t>
      </w:r>
      <w:proofErr w:type="spellStart"/>
      <w:r w:rsidRPr="00B419CE">
        <w:t>lågare</w:t>
      </w:r>
      <w:proofErr w:type="spellEnd"/>
      <w:r w:rsidRPr="00B419CE">
        <w:t xml:space="preserve"> </w:t>
      </w:r>
      <w:proofErr w:type="spellStart"/>
      <w:r w:rsidRPr="00B419CE">
        <w:t>sjukefråvær</w:t>
      </w:r>
      <w:proofErr w:type="spellEnd"/>
      <w:r w:rsidRPr="00B419CE">
        <w:t xml:space="preserve">. Det er eigenmeldt </w:t>
      </w:r>
      <w:proofErr w:type="spellStart"/>
      <w:r w:rsidRPr="00B419CE">
        <w:t>fråvær</w:t>
      </w:r>
      <w:proofErr w:type="spellEnd"/>
      <w:r w:rsidRPr="00B419CE">
        <w:t xml:space="preserve"> som er redusert mest.</w:t>
      </w:r>
    </w:p>
    <w:p w14:paraId="25F2272A" w14:textId="77777777" w:rsidR="00B419CE" w:rsidRPr="00B419CE" w:rsidRDefault="00B419CE" w:rsidP="00B419CE">
      <w:pPr>
        <w:pStyle w:val="avsnitt-undertittel"/>
      </w:pPr>
      <w:proofErr w:type="spellStart"/>
      <w:r w:rsidRPr="00B419CE">
        <w:t>Nokre</w:t>
      </w:r>
      <w:proofErr w:type="spellEnd"/>
      <w:r w:rsidRPr="00B419CE">
        <w:t xml:space="preserve"> tiltak</w:t>
      </w:r>
    </w:p>
    <w:p w14:paraId="55D540E3" w14:textId="77777777" w:rsidR="00B419CE" w:rsidRPr="00B419CE" w:rsidRDefault="00B419CE" w:rsidP="00B419CE">
      <w:r w:rsidRPr="00B419CE">
        <w:t xml:space="preserve">Alle </w:t>
      </w:r>
      <w:proofErr w:type="spellStart"/>
      <w:r w:rsidRPr="00B419CE">
        <w:t>verksemder</w:t>
      </w:r>
      <w:proofErr w:type="spellEnd"/>
      <w:r w:rsidRPr="00B419CE">
        <w:t xml:space="preserve"> skal </w:t>
      </w:r>
      <w:proofErr w:type="spellStart"/>
      <w:r w:rsidRPr="00B419CE">
        <w:t>leggje</w:t>
      </w:r>
      <w:proofErr w:type="spellEnd"/>
      <w:r w:rsidRPr="00B419CE">
        <w:t xml:space="preserve"> til rette for at ingen vert diskriminerte, jamfør òg krava i diskrimineringslovene. Kvar arbeidsplass skal òg </w:t>
      </w:r>
      <w:proofErr w:type="spellStart"/>
      <w:r w:rsidRPr="00B419CE">
        <w:t>leggje</w:t>
      </w:r>
      <w:proofErr w:type="spellEnd"/>
      <w:r w:rsidRPr="00B419CE">
        <w:t xml:space="preserve"> forholda til rette for </w:t>
      </w:r>
      <w:proofErr w:type="spellStart"/>
      <w:r w:rsidRPr="00B419CE">
        <w:t>eit</w:t>
      </w:r>
      <w:proofErr w:type="spellEnd"/>
      <w:r w:rsidRPr="00B419CE">
        <w:t xml:space="preserve"> godt </w:t>
      </w:r>
      <w:r w:rsidRPr="00B419CE">
        <w:lastRenderedPageBreak/>
        <w:t>arbeidsmiljø som inkluderer alle, òg uavhengig av seksuell orientering, kjønnsidentitet eller kjønnsuttrykk.</w:t>
      </w:r>
    </w:p>
    <w:p w14:paraId="71271B01" w14:textId="77777777" w:rsidR="00B419CE" w:rsidRPr="00B419CE" w:rsidRDefault="00B419CE" w:rsidP="00B419CE">
      <w:pPr>
        <w:rPr>
          <w:rStyle w:val="kursiv"/>
        </w:rPr>
      </w:pPr>
      <w:r w:rsidRPr="00B419CE">
        <w:rPr>
          <w:rStyle w:val="kursiv"/>
        </w:rPr>
        <w:t>Skatteetaten</w:t>
      </w:r>
      <w:r w:rsidRPr="00B419CE">
        <w:t xml:space="preserve"> har </w:t>
      </w:r>
      <w:proofErr w:type="spellStart"/>
      <w:r w:rsidRPr="00B419CE">
        <w:t>byrja</w:t>
      </w:r>
      <w:proofErr w:type="spellEnd"/>
      <w:r w:rsidRPr="00B419CE">
        <w:t xml:space="preserve"> å </w:t>
      </w:r>
      <w:proofErr w:type="spellStart"/>
      <w:r w:rsidRPr="00B419CE">
        <w:t>kartleggje</w:t>
      </w:r>
      <w:proofErr w:type="spellEnd"/>
      <w:r w:rsidRPr="00B419CE">
        <w:t xml:space="preserve"> </w:t>
      </w:r>
      <w:proofErr w:type="spellStart"/>
      <w:r w:rsidRPr="00B419CE">
        <w:t>risikofaktorar</w:t>
      </w:r>
      <w:proofErr w:type="spellEnd"/>
      <w:r w:rsidRPr="00B419CE">
        <w:t xml:space="preserve"> og har utarbeidd </w:t>
      </w:r>
      <w:proofErr w:type="spellStart"/>
      <w:r w:rsidRPr="00B419CE">
        <w:t>ein</w:t>
      </w:r>
      <w:proofErr w:type="spellEnd"/>
      <w:r w:rsidRPr="00B419CE">
        <w:t xml:space="preserve"> plan for korleis ei risikovurdering av likestilling og </w:t>
      </w:r>
      <w:proofErr w:type="spellStart"/>
      <w:r w:rsidRPr="00B419CE">
        <w:t>mangfald</w:t>
      </w:r>
      <w:proofErr w:type="spellEnd"/>
      <w:r w:rsidRPr="00B419CE">
        <w:t xml:space="preserve"> skal </w:t>
      </w:r>
      <w:proofErr w:type="spellStart"/>
      <w:r w:rsidRPr="00B419CE">
        <w:t>gjennomførast</w:t>
      </w:r>
      <w:proofErr w:type="spellEnd"/>
      <w:r w:rsidRPr="00B419CE">
        <w:t xml:space="preserve"> i 2021. For likestilling mellom kjønna vil etaten </w:t>
      </w:r>
      <w:proofErr w:type="spellStart"/>
      <w:r w:rsidRPr="00B419CE">
        <w:t>særleg</w:t>
      </w:r>
      <w:proofErr w:type="spellEnd"/>
      <w:r w:rsidRPr="00B419CE">
        <w:t xml:space="preserve"> arbeide for lik </w:t>
      </w:r>
      <w:proofErr w:type="spellStart"/>
      <w:r w:rsidRPr="00B419CE">
        <w:t>løn</w:t>
      </w:r>
      <w:proofErr w:type="spellEnd"/>
      <w:r w:rsidRPr="00B419CE">
        <w:t xml:space="preserve"> for arbeid av same verdi. </w:t>
      </w:r>
      <w:proofErr w:type="spellStart"/>
      <w:r w:rsidRPr="00B419CE">
        <w:t>Vidare</w:t>
      </w:r>
      <w:proofErr w:type="spellEnd"/>
      <w:r w:rsidRPr="00B419CE">
        <w:t xml:space="preserve"> har etaten mål om å utjamne utilsikta skilnader i </w:t>
      </w:r>
      <w:proofErr w:type="spellStart"/>
      <w:r w:rsidRPr="00B419CE">
        <w:t>løn</w:t>
      </w:r>
      <w:proofErr w:type="spellEnd"/>
      <w:r w:rsidRPr="00B419CE">
        <w:t>.</w:t>
      </w:r>
    </w:p>
    <w:p w14:paraId="0443EDB4" w14:textId="060DC762" w:rsidR="00B419CE" w:rsidRPr="00B419CE" w:rsidRDefault="00B419CE" w:rsidP="00B419CE">
      <w:r w:rsidRPr="00B419CE">
        <w:t xml:space="preserve">Tolletaten har lagt vekt på arbeidet med kjønnsbalansert leiing, </w:t>
      </w:r>
      <w:proofErr w:type="spellStart"/>
      <w:r w:rsidRPr="00B419CE">
        <w:t>rekrutteringsprosessar</w:t>
      </w:r>
      <w:proofErr w:type="spellEnd"/>
      <w:r w:rsidRPr="00B419CE">
        <w:t xml:space="preserve">, </w:t>
      </w:r>
      <w:proofErr w:type="spellStart"/>
      <w:r w:rsidRPr="00B419CE">
        <w:t>leiaropplæring</w:t>
      </w:r>
      <w:proofErr w:type="spellEnd"/>
      <w:r w:rsidRPr="00B419CE">
        <w:t xml:space="preserve">, handlingsplan for </w:t>
      </w:r>
      <w:r w:rsidRPr="00B419CE">
        <w:rPr>
          <w:rStyle w:val="kursiv"/>
        </w:rPr>
        <w:t>Inkluderingsdugnaden</w:t>
      </w:r>
      <w:r w:rsidRPr="00B419CE">
        <w:t xml:space="preserve">, revidering av </w:t>
      </w:r>
      <w:proofErr w:type="spellStart"/>
      <w:r w:rsidRPr="00B419CE">
        <w:t>mangfaldsstrategi</w:t>
      </w:r>
      <w:proofErr w:type="spellEnd"/>
      <w:r w:rsidRPr="00B419CE">
        <w:t xml:space="preserve"> og </w:t>
      </w:r>
      <w:proofErr w:type="spellStart"/>
      <w:r w:rsidRPr="00B419CE">
        <w:t>varslingsrutinar</w:t>
      </w:r>
      <w:proofErr w:type="spellEnd"/>
      <w:r w:rsidRPr="00B419CE">
        <w:t xml:space="preserve"> for å </w:t>
      </w:r>
      <w:proofErr w:type="spellStart"/>
      <w:r w:rsidRPr="00B419CE">
        <w:t>avdekkje</w:t>
      </w:r>
      <w:proofErr w:type="spellEnd"/>
      <w:r w:rsidRPr="00B419CE">
        <w:t xml:space="preserve"> trakassering og kjønnsbasert vald mot </w:t>
      </w:r>
      <w:proofErr w:type="gramStart"/>
      <w:r w:rsidRPr="00B419CE">
        <w:t>tilsette</w:t>
      </w:r>
      <w:proofErr w:type="gramEnd"/>
      <w:r w:rsidRPr="00B419CE">
        <w:t xml:space="preserve"> i </w:t>
      </w:r>
      <w:proofErr w:type="spellStart"/>
      <w:r w:rsidRPr="00B419CE">
        <w:t>teneste</w:t>
      </w:r>
      <w:proofErr w:type="spellEnd"/>
      <w:r w:rsidRPr="00B419CE">
        <w:t xml:space="preserve">. Etaten har innført </w:t>
      </w:r>
      <w:proofErr w:type="spellStart"/>
      <w:r w:rsidRPr="00B419CE">
        <w:t>rutinar</w:t>
      </w:r>
      <w:proofErr w:type="spellEnd"/>
      <w:r w:rsidRPr="00B419CE">
        <w:t xml:space="preserve"> for sluttsamtalar som </w:t>
      </w:r>
      <w:proofErr w:type="spellStart"/>
      <w:r w:rsidRPr="00B419CE">
        <w:t>undersøkjer</w:t>
      </w:r>
      <w:proofErr w:type="spellEnd"/>
      <w:r w:rsidRPr="00B419CE">
        <w:t xml:space="preserve"> tema rundt arbeidsmiljø og leiing, utvikling og påverknad og </w:t>
      </w:r>
      <w:proofErr w:type="spellStart"/>
      <w:r w:rsidRPr="00B419CE">
        <w:t>avgjerande</w:t>
      </w:r>
      <w:proofErr w:type="spellEnd"/>
      <w:r w:rsidRPr="00B419CE">
        <w:t xml:space="preserve"> sluttårsaker. Det blir òg gjort ei sluttundersøking med same tema som skal analyserast </w:t>
      </w:r>
      <w:proofErr w:type="spellStart"/>
      <w:r w:rsidRPr="00B419CE">
        <w:t>årleg</w:t>
      </w:r>
      <w:proofErr w:type="spellEnd"/>
      <w:r w:rsidRPr="00B419CE">
        <w:t xml:space="preserve">. Det er utarbeidd nye </w:t>
      </w:r>
      <w:proofErr w:type="spellStart"/>
      <w:r w:rsidRPr="00B419CE">
        <w:t>malar</w:t>
      </w:r>
      <w:proofErr w:type="spellEnd"/>
      <w:r w:rsidRPr="00B419CE">
        <w:t xml:space="preserve"> for </w:t>
      </w:r>
      <w:proofErr w:type="spellStart"/>
      <w:r w:rsidRPr="00B419CE">
        <w:t>medarbeidar</w:t>
      </w:r>
      <w:proofErr w:type="spellEnd"/>
      <w:r w:rsidRPr="00B419CE">
        <w:t xml:space="preserve">- og utviklingssamtaler mellom anna med sikte på likebehandling og </w:t>
      </w:r>
      <w:proofErr w:type="spellStart"/>
      <w:r w:rsidRPr="00B419CE">
        <w:t>utviklingsmoglegheiter</w:t>
      </w:r>
      <w:proofErr w:type="spellEnd"/>
      <w:r w:rsidRPr="00B419CE">
        <w:t xml:space="preserve"> uavhengig av alder, kjønn, funksjonsevne og kulturell bakgrunn. Etaten har utarbeidd </w:t>
      </w:r>
      <w:proofErr w:type="spellStart"/>
      <w:r w:rsidRPr="00B419CE">
        <w:t>ein</w:t>
      </w:r>
      <w:proofErr w:type="spellEnd"/>
      <w:r w:rsidRPr="00B419CE">
        <w:t xml:space="preserve"> tiltaks- og oppfølgingsplan for å hindre mobbing og trakassering. Det er </w:t>
      </w:r>
      <w:proofErr w:type="spellStart"/>
      <w:r w:rsidRPr="00B419CE">
        <w:t>teke</w:t>
      </w:r>
      <w:proofErr w:type="spellEnd"/>
      <w:r w:rsidRPr="00B419CE">
        <w:t xml:space="preserve"> i bruk et e</w:t>
      </w:r>
      <w:r>
        <w:t>-</w:t>
      </w:r>
      <w:r w:rsidRPr="00B419CE">
        <w:t xml:space="preserve">læringskurs om temaet. Grensedivisjonen gjennomfører òg </w:t>
      </w:r>
      <w:proofErr w:type="spellStart"/>
      <w:r w:rsidRPr="00B419CE">
        <w:t>årleg</w:t>
      </w:r>
      <w:proofErr w:type="spellEnd"/>
      <w:r w:rsidRPr="00B419CE">
        <w:t xml:space="preserve"> ei undersøking blant </w:t>
      </w:r>
      <w:proofErr w:type="spellStart"/>
      <w:r w:rsidRPr="00B419CE">
        <w:t>dei</w:t>
      </w:r>
      <w:proofErr w:type="spellEnd"/>
      <w:r w:rsidRPr="00B419CE">
        <w:t xml:space="preserve"> tilsette, der </w:t>
      </w:r>
      <w:proofErr w:type="spellStart"/>
      <w:r w:rsidRPr="00B419CE">
        <w:t>dei</w:t>
      </w:r>
      <w:proofErr w:type="spellEnd"/>
      <w:r w:rsidRPr="00B419CE">
        <w:t xml:space="preserve"> vert </w:t>
      </w:r>
      <w:proofErr w:type="spellStart"/>
      <w:r w:rsidRPr="00B419CE">
        <w:t>spurde</w:t>
      </w:r>
      <w:proofErr w:type="spellEnd"/>
      <w:r w:rsidRPr="00B419CE">
        <w:t xml:space="preserve"> om </w:t>
      </w:r>
      <w:proofErr w:type="spellStart"/>
      <w:r w:rsidRPr="00B419CE">
        <w:t>dei</w:t>
      </w:r>
      <w:proofErr w:type="spellEnd"/>
      <w:r w:rsidRPr="00B419CE">
        <w:t xml:space="preserve"> opplever negative </w:t>
      </w:r>
      <w:proofErr w:type="spellStart"/>
      <w:r w:rsidRPr="00B419CE">
        <w:t>kommentarar</w:t>
      </w:r>
      <w:proofErr w:type="spellEnd"/>
      <w:r w:rsidRPr="00B419CE">
        <w:t xml:space="preserve"> i </w:t>
      </w:r>
      <w:proofErr w:type="spellStart"/>
      <w:r w:rsidRPr="00B419CE">
        <w:t>kontrollsituasjonar</w:t>
      </w:r>
      <w:proofErr w:type="spellEnd"/>
      <w:r w:rsidRPr="00B419CE">
        <w:t xml:space="preserve"> som tyder på at </w:t>
      </w:r>
      <w:proofErr w:type="spellStart"/>
      <w:r w:rsidRPr="00B419CE">
        <w:t>dei</w:t>
      </w:r>
      <w:proofErr w:type="spellEnd"/>
      <w:r w:rsidRPr="00B419CE">
        <w:t xml:space="preserve"> vel objekt på bakgrunn av etnisitet, nasjonalitet, klesdrakt, religion o.a., og i tillegg om </w:t>
      </w:r>
      <w:proofErr w:type="spellStart"/>
      <w:r w:rsidRPr="00B419CE">
        <w:t>dei</w:t>
      </w:r>
      <w:proofErr w:type="spellEnd"/>
      <w:r w:rsidRPr="00B419CE">
        <w:t xml:space="preserve"> føler at </w:t>
      </w:r>
      <w:proofErr w:type="spellStart"/>
      <w:r w:rsidRPr="00B419CE">
        <w:t>dei</w:t>
      </w:r>
      <w:proofErr w:type="spellEnd"/>
      <w:r w:rsidRPr="00B419CE">
        <w:t xml:space="preserve"> kan </w:t>
      </w:r>
      <w:proofErr w:type="spellStart"/>
      <w:r w:rsidRPr="00B419CE">
        <w:t>velje</w:t>
      </w:r>
      <w:proofErr w:type="spellEnd"/>
      <w:r w:rsidRPr="00B419CE">
        <w:t xml:space="preserve"> objekt </w:t>
      </w:r>
      <w:proofErr w:type="spellStart"/>
      <w:r w:rsidRPr="00B419CE">
        <w:t>utan</w:t>
      </w:r>
      <w:proofErr w:type="spellEnd"/>
      <w:r w:rsidRPr="00B419CE">
        <w:t xml:space="preserve"> frykt for </w:t>
      </w:r>
      <w:proofErr w:type="spellStart"/>
      <w:r w:rsidRPr="00B419CE">
        <w:t>represaliar</w:t>
      </w:r>
      <w:proofErr w:type="spellEnd"/>
      <w:r w:rsidRPr="00B419CE">
        <w:t xml:space="preserve"> </w:t>
      </w:r>
      <w:proofErr w:type="spellStart"/>
      <w:r w:rsidRPr="00B419CE">
        <w:t>frå</w:t>
      </w:r>
      <w:proofErr w:type="spellEnd"/>
      <w:r w:rsidRPr="00B419CE">
        <w:t xml:space="preserve"> kontrollobjekta. </w:t>
      </w:r>
      <w:proofErr w:type="spellStart"/>
      <w:r w:rsidRPr="00B419CE">
        <w:t>Vidare</w:t>
      </w:r>
      <w:proofErr w:type="spellEnd"/>
      <w:r w:rsidRPr="00B419CE">
        <w:t xml:space="preserve"> ser </w:t>
      </w:r>
      <w:proofErr w:type="spellStart"/>
      <w:r w:rsidRPr="00B419CE">
        <w:t>ein</w:t>
      </w:r>
      <w:proofErr w:type="spellEnd"/>
      <w:r w:rsidRPr="00B419CE">
        <w:t xml:space="preserve"> på korleis tilsette opplever </w:t>
      </w:r>
      <w:proofErr w:type="spellStart"/>
      <w:r w:rsidRPr="00B419CE">
        <w:t>merksemda</w:t>
      </w:r>
      <w:proofErr w:type="spellEnd"/>
      <w:r w:rsidRPr="00B419CE">
        <w:t xml:space="preserve"> etaten har når det </w:t>
      </w:r>
      <w:proofErr w:type="spellStart"/>
      <w:r w:rsidRPr="00B419CE">
        <w:t>gjeld</w:t>
      </w:r>
      <w:proofErr w:type="spellEnd"/>
      <w:r w:rsidRPr="00B419CE">
        <w:t xml:space="preserve"> etnisitet o.a., og på kor trygg den tilsette føler seg i </w:t>
      </w:r>
      <w:proofErr w:type="spellStart"/>
      <w:r w:rsidRPr="00B419CE">
        <w:t>kontrollsituasjonar</w:t>
      </w:r>
      <w:proofErr w:type="spellEnd"/>
      <w:r w:rsidRPr="00B419CE">
        <w:t xml:space="preserve"> med spesielt sårbare grupper som barn, unge og funksjonshemma.</w:t>
      </w:r>
    </w:p>
    <w:p w14:paraId="3D02BB14" w14:textId="521493AF" w:rsidR="00B419CE" w:rsidRDefault="00B419CE" w:rsidP="00B419CE">
      <w:r w:rsidRPr="00B419CE">
        <w:t xml:space="preserve">Statistisk sentralbyrå </w:t>
      </w:r>
      <w:proofErr w:type="spellStart"/>
      <w:r w:rsidRPr="00B419CE">
        <w:t>fekk</w:t>
      </w:r>
      <w:proofErr w:type="spellEnd"/>
      <w:r w:rsidRPr="00B419CE">
        <w:t xml:space="preserve"> </w:t>
      </w:r>
      <w:proofErr w:type="spellStart"/>
      <w:r w:rsidRPr="00B419CE">
        <w:t>ein</w:t>
      </w:r>
      <w:proofErr w:type="spellEnd"/>
      <w:r w:rsidRPr="00B419CE">
        <w:t xml:space="preserve"> ny personal- og </w:t>
      </w:r>
      <w:proofErr w:type="spellStart"/>
      <w:r w:rsidRPr="00B419CE">
        <w:t>lønspolitikk</w:t>
      </w:r>
      <w:proofErr w:type="spellEnd"/>
      <w:r w:rsidRPr="00B419CE">
        <w:t xml:space="preserve"> i 2020 der </w:t>
      </w:r>
      <w:proofErr w:type="spellStart"/>
      <w:r w:rsidRPr="00B419CE">
        <w:t>eit</w:t>
      </w:r>
      <w:proofErr w:type="spellEnd"/>
      <w:r w:rsidRPr="00B419CE">
        <w:t xml:space="preserve"> kapittel om </w:t>
      </w:r>
      <w:proofErr w:type="spellStart"/>
      <w:r w:rsidRPr="00B419CE">
        <w:t>mangfald</w:t>
      </w:r>
      <w:proofErr w:type="spellEnd"/>
      <w:r w:rsidRPr="00B419CE">
        <w:t xml:space="preserve">, likestilling og livsfasepolitikk gjev ei ramme for arbeidet med å hindre diskriminering på grunnlag av </w:t>
      </w:r>
      <w:proofErr w:type="spellStart"/>
      <w:r w:rsidRPr="00B419CE">
        <w:t>funksjonsnedsetjing</w:t>
      </w:r>
      <w:proofErr w:type="spellEnd"/>
      <w:r w:rsidRPr="00B419CE">
        <w:t xml:space="preserve">. Etaten sette i 2020 òg i gang </w:t>
      </w:r>
      <w:proofErr w:type="spellStart"/>
      <w:r w:rsidRPr="00B419CE">
        <w:t>eit</w:t>
      </w:r>
      <w:proofErr w:type="spellEnd"/>
      <w:r w:rsidRPr="00B419CE">
        <w:t xml:space="preserve"> </w:t>
      </w:r>
      <w:proofErr w:type="spellStart"/>
      <w:r w:rsidRPr="00B419CE">
        <w:t>leiarutviklingsprogram</w:t>
      </w:r>
      <w:proofErr w:type="spellEnd"/>
      <w:r w:rsidRPr="00B419CE">
        <w:t xml:space="preserve"> der </w:t>
      </w:r>
      <w:proofErr w:type="spellStart"/>
      <w:r w:rsidRPr="00B419CE">
        <w:t>inkluderande</w:t>
      </w:r>
      <w:proofErr w:type="spellEnd"/>
      <w:r w:rsidRPr="00B419CE">
        <w:t xml:space="preserve"> rekruttering er </w:t>
      </w:r>
      <w:proofErr w:type="spellStart"/>
      <w:r w:rsidRPr="00B419CE">
        <w:t>eitt</w:t>
      </w:r>
      <w:proofErr w:type="spellEnd"/>
      <w:r w:rsidRPr="00B419CE">
        <w:t xml:space="preserve"> av </w:t>
      </w:r>
      <w:proofErr w:type="spellStart"/>
      <w:r w:rsidRPr="00B419CE">
        <w:t>temaa</w:t>
      </w:r>
      <w:proofErr w:type="spellEnd"/>
      <w:r w:rsidRPr="00B419CE">
        <w:t xml:space="preserve">. Det vart òg sette i verk </w:t>
      </w:r>
      <w:proofErr w:type="spellStart"/>
      <w:r w:rsidRPr="00B419CE">
        <w:t>ein</w:t>
      </w:r>
      <w:proofErr w:type="spellEnd"/>
      <w:r w:rsidRPr="00B419CE">
        <w:t xml:space="preserve"> ny varslingsrutine for kritikkverdige forhold som mellom anna mobbing og trakassering.</w:t>
      </w:r>
    </w:p>
    <w:p w14:paraId="7A728FA7" w14:textId="17FDF18E" w:rsidR="00B32459" w:rsidRPr="00B419CE" w:rsidRDefault="00B32459" w:rsidP="00B32459">
      <w:pPr>
        <w:pStyle w:val="tabell-tittel"/>
      </w:pPr>
      <w:r w:rsidRPr="00B419CE">
        <w:t xml:space="preserve">Kvinners del av menns </w:t>
      </w:r>
      <w:proofErr w:type="spellStart"/>
      <w:r w:rsidRPr="00B419CE">
        <w:t>løn</w:t>
      </w:r>
      <w:proofErr w:type="spellEnd"/>
      <w:r w:rsidRPr="00B419CE">
        <w:t xml:space="preserve"> for </w:t>
      </w:r>
      <w:proofErr w:type="spellStart"/>
      <w:r w:rsidRPr="00B419CE">
        <w:t>nokre</w:t>
      </w:r>
      <w:proofErr w:type="spellEnd"/>
      <w:r w:rsidRPr="00B419CE">
        <w:t xml:space="preserve"> </w:t>
      </w:r>
      <w:proofErr w:type="spellStart"/>
      <w:r w:rsidRPr="00B419CE">
        <w:t>yrkeskodar</w:t>
      </w:r>
      <w:proofErr w:type="spellEnd"/>
    </w:p>
    <w:p w14:paraId="2CCFB9F2" w14:textId="77777777" w:rsidR="00B419CE" w:rsidRPr="00B419CE" w:rsidRDefault="00B419CE" w:rsidP="00B419CE">
      <w:pPr>
        <w:pStyle w:val="Tabellnavn"/>
      </w:pPr>
      <w:r w:rsidRPr="00B419CE">
        <w:t>07J1tx2</w:t>
      </w:r>
    </w:p>
    <w:tbl>
      <w:tblPr>
        <w:tblStyle w:val="StandardTabell"/>
        <w:tblW w:w="9200" w:type="dxa"/>
        <w:tblLayout w:type="fixed"/>
        <w:tblLook w:val="04A0" w:firstRow="1" w:lastRow="0" w:firstColumn="1" w:lastColumn="0" w:noHBand="0" w:noVBand="1"/>
      </w:tblPr>
      <w:tblGrid>
        <w:gridCol w:w="920"/>
        <w:gridCol w:w="3680"/>
        <w:gridCol w:w="920"/>
        <w:gridCol w:w="920"/>
        <w:gridCol w:w="920"/>
        <w:gridCol w:w="920"/>
        <w:gridCol w:w="920"/>
      </w:tblGrid>
      <w:tr w:rsidR="00B419CE" w:rsidRPr="00B419CE" w14:paraId="1333B2A5" w14:textId="77777777" w:rsidTr="00B32459">
        <w:trPr>
          <w:trHeight w:val="600"/>
        </w:trPr>
        <w:tc>
          <w:tcPr>
            <w:tcW w:w="920" w:type="dxa"/>
            <w:shd w:val="clear" w:color="auto" w:fill="FFFFFF"/>
          </w:tcPr>
          <w:p w14:paraId="4D7B05CE" w14:textId="77777777" w:rsidR="00B419CE" w:rsidRPr="00B419CE" w:rsidRDefault="00B419CE" w:rsidP="00B32459"/>
        </w:tc>
        <w:tc>
          <w:tcPr>
            <w:tcW w:w="3680" w:type="dxa"/>
          </w:tcPr>
          <w:p w14:paraId="039A8901" w14:textId="77777777" w:rsidR="00B419CE" w:rsidRPr="00B419CE" w:rsidRDefault="00B419CE" w:rsidP="00B32459"/>
        </w:tc>
        <w:tc>
          <w:tcPr>
            <w:tcW w:w="920" w:type="dxa"/>
          </w:tcPr>
          <w:p w14:paraId="5A86A4AF" w14:textId="77777777" w:rsidR="00B419CE" w:rsidRPr="00B419CE" w:rsidRDefault="00B419CE" w:rsidP="00B32459">
            <w:pPr>
              <w:jc w:val="right"/>
            </w:pPr>
            <w:r w:rsidRPr="00B419CE">
              <w:t>Skatteetaten</w:t>
            </w:r>
          </w:p>
        </w:tc>
        <w:tc>
          <w:tcPr>
            <w:tcW w:w="920" w:type="dxa"/>
          </w:tcPr>
          <w:p w14:paraId="7A68A5B0" w14:textId="321F6B99" w:rsidR="00B419CE" w:rsidRPr="00B419CE" w:rsidRDefault="00B419CE" w:rsidP="00B32459">
            <w:pPr>
              <w:jc w:val="right"/>
            </w:pPr>
            <w:r w:rsidRPr="00B419CE">
              <w:t>Toll</w:t>
            </w:r>
            <w:r w:rsidR="00B32459">
              <w:softHyphen/>
            </w:r>
            <w:r w:rsidRPr="00B419CE">
              <w:t>etaten</w:t>
            </w:r>
          </w:p>
        </w:tc>
        <w:tc>
          <w:tcPr>
            <w:tcW w:w="920" w:type="dxa"/>
          </w:tcPr>
          <w:p w14:paraId="1BA94228" w14:textId="77777777" w:rsidR="00B419CE" w:rsidRPr="00B419CE" w:rsidRDefault="00B419CE" w:rsidP="00B32459">
            <w:pPr>
              <w:jc w:val="right"/>
            </w:pPr>
            <w:r w:rsidRPr="00B419CE">
              <w:t>SSB</w:t>
            </w:r>
          </w:p>
        </w:tc>
        <w:tc>
          <w:tcPr>
            <w:tcW w:w="920" w:type="dxa"/>
          </w:tcPr>
          <w:p w14:paraId="475BBDB1" w14:textId="77777777" w:rsidR="00B419CE" w:rsidRPr="00B419CE" w:rsidRDefault="00B419CE" w:rsidP="00B32459">
            <w:pPr>
              <w:jc w:val="right"/>
            </w:pPr>
            <w:r w:rsidRPr="00B419CE">
              <w:t>DFØ</w:t>
            </w:r>
          </w:p>
        </w:tc>
        <w:tc>
          <w:tcPr>
            <w:tcW w:w="920" w:type="dxa"/>
          </w:tcPr>
          <w:p w14:paraId="2588FBE1" w14:textId="170EE978" w:rsidR="00B419CE" w:rsidRPr="00B419CE" w:rsidRDefault="00B419CE" w:rsidP="00B32459">
            <w:pPr>
              <w:jc w:val="right"/>
            </w:pPr>
            <w:r w:rsidRPr="00B419CE">
              <w:t>Finans</w:t>
            </w:r>
            <w:r w:rsidR="00B32459">
              <w:softHyphen/>
            </w:r>
            <w:r w:rsidRPr="00B419CE">
              <w:t>tilsynet</w:t>
            </w:r>
          </w:p>
        </w:tc>
      </w:tr>
      <w:tr w:rsidR="00B419CE" w:rsidRPr="00B419CE" w14:paraId="5808CB1B" w14:textId="77777777" w:rsidTr="00B32459">
        <w:trPr>
          <w:trHeight w:val="640"/>
        </w:trPr>
        <w:tc>
          <w:tcPr>
            <w:tcW w:w="920" w:type="dxa"/>
          </w:tcPr>
          <w:p w14:paraId="4159177E" w14:textId="77777777" w:rsidR="00B419CE" w:rsidRPr="00B419CE" w:rsidRDefault="00B419CE" w:rsidP="00B32459">
            <w:r w:rsidRPr="00B419CE">
              <w:t>1227</w:t>
            </w:r>
          </w:p>
        </w:tc>
        <w:tc>
          <w:tcPr>
            <w:tcW w:w="3680" w:type="dxa"/>
          </w:tcPr>
          <w:p w14:paraId="11E7156B" w14:textId="77777777" w:rsidR="00B419CE" w:rsidRPr="00B419CE" w:rsidRDefault="00B419CE" w:rsidP="00B32459">
            <w:proofErr w:type="spellStart"/>
            <w:r w:rsidRPr="00B419CE">
              <w:t>Produksjonsdirektørar</w:t>
            </w:r>
            <w:proofErr w:type="spellEnd"/>
            <w:r w:rsidRPr="00B419CE">
              <w:t xml:space="preserve"> </w:t>
            </w:r>
            <w:proofErr w:type="spellStart"/>
            <w:r w:rsidRPr="00B419CE">
              <w:t>innan</w:t>
            </w:r>
            <w:proofErr w:type="spellEnd"/>
            <w:r w:rsidRPr="00B419CE">
              <w:t xml:space="preserve"> </w:t>
            </w:r>
            <w:proofErr w:type="spellStart"/>
            <w:r w:rsidRPr="00B419CE">
              <w:t>offentleg</w:t>
            </w:r>
            <w:proofErr w:type="spellEnd"/>
            <w:r w:rsidRPr="00B419CE">
              <w:t xml:space="preserve"> adm.</w:t>
            </w:r>
          </w:p>
        </w:tc>
        <w:tc>
          <w:tcPr>
            <w:tcW w:w="920" w:type="dxa"/>
          </w:tcPr>
          <w:p w14:paraId="692D58C6" w14:textId="77777777" w:rsidR="00B419CE" w:rsidRPr="00B419CE" w:rsidRDefault="00B419CE" w:rsidP="00B32459">
            <w:pPr>
              <w:jc w:val="right"/>
            </w:pPr>
            <w:r w:rsidRPr="00B419CE">
              <w:t>98 (96)</w:t>
            </w:r>
          </w:p>
        </w:tc>
        <w:tc>
          <w:tcPr>
            <w:tcW w:w="920" w:type="dxa"/>
          </w:tcPr>
          <w:p w14:paraId="0BB398E5" w14:textId="77777777" w:rsidR="00B419CE" w:rsidRPr="00B419CE" w:rsidRDefault="00B419CE" w:rsidP="00B32459">
            <w:pPr>
              <w:jc w:val="right"/>
            </w:pPr>
            <w:r w:rsidRPr="00B419CE">
              <w:t>103 (102)</w:t>
            </w:r>
          </w:p>
        </w:tc>
        <w:tc>
          <w:tcPr>
            <w:tcW w:w="920" w:type="dxa"/>
          </w:tcPr>
          <w:p w14:paraId="03FD516D" w14:textId="77777777" w:rsidR="00B419CE" w:rsidRPr="00B419CE" w:rsidRDefault="00B419CE" w:rsidP="00B32459">
            <w:pPr>
              <w:jc w:val="right"/>
            </w:pPr>
            <w:r w:rsidRPr="00B419CE">
              <w:t>99 (97)</w:t>
            </w:r>
          </w:p>
        </w:tc>
        <w:tc>
          <w:tcPr>
            <w:tcW w:w="920" w:type="dxa"/>
          </w:tcPr>
          <w:p w14:paraId="282979F9" w14:textId="77777777" w:rsidR="00B419CE" w:rsidRPr="00B419CE" w:rsidRDefault="00B419CE" w:rsidP="00B32459">
            <w:pPr>
              <w:jc w:val="right"/>
            </w:pPr>
            <w:r w:rsidRPr="00B419CE">
              <w:t>94 (101)</w:t>
            </w:r>
          </w:p>
        </w:tc>
        <w:tc>
          <w:tcPr>
            <w:tcW w:w="920" w:type="dxa"/>
          </w:tcPr>
          <w:p w14:paraId="5A3901D9" w14:textId="77777777" w:rsidR="00B419CE" w:rsidRPr="00B419CE" w:rsidRDefault="00B419CE" w:rsidP="00B32459">
            <w:pPr>
              <w:jc w:val="right"/>
            </w:pPr>
            <w:r w:rsidRPr="00B419CE">
              <w:t>95 (97)</w:t>
            </w:r>
          </w:p>
        </w:tc>
      </w:tr>
      <w:tr w:rsidR="00B419CE" w:rsidRPr="00B419CE" w14:paraId="576ED619" w14:textId="77777777" w:rsidTr="00B32459">
        <w:trPr>
          <w:trHeight w:val="640"/>
        </w:trPr>
        <w:tc>
          <w:tcPr>
            <w:tcW w:w="920" w:type="dxa"/>
          </w:tcPr>
          <w:p w14:paraId="6464AC83" w14:textId="77777777" w:rsidR="00B419CE" w:rsidRPr="00B419CE" w:rsidRDefault="00B419CE" w:rsidP="00B32459">
            <w:r w:rsidRPr="00B419CE">
              <w:t>2411</w:t>
            </w:r>
          </w:p>
        </w:tc>
        <w:tc>
          <w:tcPr>
            <w:tcW w:w="3680" w:type="dxa"/>
          </w:tcPr>
          <w:p w14:paraId="053B1867" w14:textId="77777777" w:rsidR="00B419CE" w:rsidRPr="00B419CE" w:rsidRDefault="00B419CE" w:rsidP="00B32459">
            <w:r w:rsidRPr="00B419CE">
              <w:t xml:space="preserve">Økonomisk og </w:t>
            </w:r>
            <w:proofErr w:type="spellStart"/>
            <w:r w:rsidRPr="00B419CE">
              <w:t>samfunnsvitskapleg</w:t>
            </w:r>
            <w:proofErr w:type="spellEnd"/>
            <w:r w:rsidRPr="00B419CE">
              <w:t xml:space="preserve"> </w:t>
            </w:r>
            <w:r w:rsidRPr="00B419CE">
              <w:br/>
              <w:t>planlegging og utgreiing</w:t>
            </w:r>
          </w:p>
        </w:tc>
        <w:tc>
          <w:tcPr>
            <w:tcW w:w="920" w:type="dxa"/>
          </w:tcPr>
          <w:p w14:paraId="4723CFBB" w14:textId="77777777" w:rsidR="00B419CE" w:rsidRPr="00B419CE" w:rsidRDefault="00B419CE" w:rsidP="00B32459">
            <w:pPr>
              <w:jc w:val="right"/>
            </w:pPr>
            <w:r w:rsidRPr="00B419CE">
              <w:t>93 (92)</w:t>
            </w:r>
          </w:p>
        </w:tc>
        <w:tc>
          <w:tcPr>
            <w:tcW w:w="920" w:type="dxa"/>
          </w:tcPr>
          <w:p w14:paraId="43E50822" w14:textId="77777777" w:rsidR="00B419CE" w:rsidRPr="00B419CE" w:rsidRDefault="00B419CE" w:rsidP="00B32459">
            <w:pPr>
              <w:jc w:val="right"/>
            </w:pPr>
            <w:r w:rsidRPr="00B419CE">
              <w:t>89 (83)</w:t>
            </w:r>
          </w:p>
        </w:tc>
        <w:tc>
          <w:tcPr>
            <w:tcW w:w="920" w:type="dxa"/>
          </w:tcPr>
          <w:p w14:paraId="4475D9F7" w14:textId="77777777" w:rsidR="00B419CE" w:rsidRPr="00B419CE" w:rsidRDefault="00B419CE" w:rsidP="00B32459">
            <w:pPr>
              <w:jc w:val="right"/>
            </w:pPr>
            <w:r w:rsidRPr="00B419CE">
              <w:t xml:space="preserve">93 (96) </w:t>
            </w:r>
          </w:p>
        </w:tc>
        <w:tc>
          <w:tcPr>
            <w:tcW w:w="920" w:type="dxa"/>
          </w:tcPr>
          <w:p w14:paraId="7837BBDC" w14:textId="77777777" w:rsidR="00B419CE" w:rsidRPr="00B419CE" w:rsidRDefault="00B419CE" w:rsidP="00B32459">
            <w:pPr>
              <w:jc w:val="right"/>
            </w:pPr>
            <w:r w:rsidRPr="00B419CE">
              <w:t>96 (99)</w:t>
            </w:r>
          </w:p>
        </w:tc>
        <w:tc>
          <w:tcPr>
            <w:tcW w:w="920" w:type="dxa"/>
          </w:tcPr>
          <w:p w14:paraId="0D2ECCAE" w14:textId="77777777" w:rsidR="00B419CE" w:rsidRPr="00B419CE" w:rsidRDefault="00B419CE" w:rsidP="00B32459">
            <w:pPr>
              <w:jc w:val="right"/>
            </w:pPr>
            <w:r w:rsidRPr="00B419CE">
              <w:t>93 (93)</w:t>
            </w:r>
          </w:p>
        </w:tc>
      </w:tr>
      <w:tr w:rsidR="00B419CE" w:rsidRPr="00B419CE" w14:paraId="78D4BABA" w14:textId="77777777" w:rsidTr="00B32459">
        <w:trPr>
          <w:trHeight w:val="640"/>
        </w:trPr>
        <w:tc>
          <w:tcPr>
            <w:tcW w:w="920" w:type="dxa"/>
          </w:tcPr>
          <w:p w14:paraId="52186156" w14:textId="77777777" w:rsidR="00B419CE" w:rsidRPr="00B419CE" w:rsidRDefault="00B419CE" w:rsidP="00B32459">
            <w:r w:rsidRPr="00B419CE">
              <w:lastRenderedPageBreak/>
              <w:t>2412</w:t>
            </w:r>
          </w:p>
        </w:tc>
        <w:tc>
          <w:tcPr>
            <w:tcW w:w="3680" w:type="dxa"/>
          </w:tcPr>
          <w:p w14:paraId="0C5AFB6F" w14:textId="77777777" w:rsidR="00B419CE" w:rsidRPr="00B419CE" w:rsidRDefault="00B419CE" w:rsidP="00B32459">
            <w:r w:rsidRPr="00B419CE">
              <w:t>Juridisk planlegging og utgreiing</w:t>
            </w:r>
          </w:p>
        </w:tc>
        <w:tc>
          <w:tcPr>
            <w:tcW w:w="920" w:type="dxa"/>
          </w:tcPr>
          <w:p w14:paraId="196C86FA" w14:textId="77777777" w:rsidR="00B419CE" w:rsidRPr="00B419CE" w:rsidRDefault="00B419CE" w:rsidP="00B32459">
            <w:pPr>
              <w:jc w:val="right"/>
            </w:pPr>
            <w:r w:rsidRPr="00B419CE">
              <w:t>96 (95)</w:t>
            </w:r>
            <w:r w:rsidRPr="00B419CE">
              <w:br/>
            </w:r>
          </w:p>
        </w:tc>
        <w:tc>
          <w:tcPr>
            <w:tcW w:w="920" w:type="dxa"/>
          </w:tcPr>
          <w:p w14:paraId="7382DA64" w14:textId="77777777" w:rsidR="00B419CE" w:rsidRPr="00B419CE" w:rsidRDefault="00B419CE" w:rsidP="00B32459">
            <w:pPr>
              <w:jc w:val="right"/>
            </w:pPr>
            <w:r w:rsidRPr="00B419CE">
              <w:t>100 (101)</w:t>
            </w:r>
            <w:r w:rsidRPr="00B419CE">
              <w:br/>
            </w:r>
          </w:p>
        </w:tc>
        <w:tc>
          <w:tcPr>
            <w:tcW w:w="920" w:type="dxa"/>
          </w:tcPr>
          <w:p w14:paraId="7E0129A8" w14:textId="77777777" w:rsidR="00B419CE" w:rsidRPr="00B419CE" w:rsidRDefault="00B419CE" w:rsidP="00B32459">
            <w:pPr>
              <w:jc w:val="right"/>
            </w:pPr>
            <w:r w:rsidRPr="00B419CE">
              <w:t xml:space="preserve"> 112 (110)</w:t>
            </w:r>
            <w:r w:rsidRPr="00B419CE">
              <w:br/>
            </w:r>
          </w:p>
        </w:tc>
        <w:tc>
          <w:tcPr>
            <w:tcW w:w="920" w:type="dxa"/>
          </w:tcPr>
          <w:p w14:paraId="0DA811A3" w14:textId="77777777" w:rsidR="00B419CE" w:rsidRPr="00B419CE" w:rsidRDefault="00B419CE" w:rsidP="00B32459">
            <w:pPr>
              <w:jc w:val="right"/>
            </w:pPr>
            <w:r w:rsidRPr="00B419CE">
              <w:t>87 (</w:t>
            </w:r>
            <w:proofErr w:type="spellStart"/>
            <w:r w:rsidRPr="00B419CE">
              <w:t>berre</w:t>
            </w:r>
            <w:proofErr w:type="spellEnd"/>
            <w:r w:rsidRPr="00B419CE">
              <w:t xml:space="preserve"> kvinner)</w:t>
            </w:r>
          </w:p>
        </w:tc>
        <w:tc>
          <w:tcPr>
            <w:tcW w:w="920" w:type="dxa"/>
          </w:tcPr>
          <w:p w14:paraId="03B95A95" w14:textId="77777777" w:rsidR="00B419CE" w:rsidRPr="00B419CE" w:rsidRDefault="00B419CE" w:rsidP="00B32459">
            <w:pPr>
              <w:jc w:val="right"/>
            </w:pPr>
            <w:r w:rsidRPr="00B419CE">
              <w:t>103 (102)</w:t>
            </w:r>
            <w:r w:rsidRPr="00B419CE">
              <w:br/>
            </w:r>
          </w:p>
        </w:tc>
      </w:tr>
      <w:tr w:rsidR="00B419CE" w:rsidRPr="00B419CE" w14:paraId="1CD77E07" w14:textId="77777777" w:rsidTr="00B32459">
        <w:trPr>
          <w:trHeight w:val="380"/>
        </w:trPr>
        <w:tc>
          <w:tcPr>
            <w:tcW w:w="920" w:type="dxa"/>
          </w:tcPr>
          <w:p w14:paraId="140C5F0B" w14:textId="77777777" w:rsidR="00B419CE" w:rsidRPr="00B419CE" w:rsidRDefault="00B419CE" w:rsidP="00B32459">
            <w:r w:rsidRPr="00B419CE">
              <w:t>3432</w:t>
            </w:r>
          </w:p>
        </w:tc>
        <w:tc>
          <w:tcPr>
            <w:tcW w:w="3680" w:type="dxa"/>
          </w:tcPr>
          <w:p w14:paraId="39A6EB02" w14:textId="77777777" w:rsidR="00B419CE" w:rsidRPr="00B419CE" w:rsidRDefault="00B419CE" w:rsidP="00B32459">
            <w:proofErr w:type="spellStart"/>
            <w:r w:rsidRPr="00B419CE">
              <w:t>Revisorar</w:t>
            </w:r>
            <w:proofErr w:type="spellEnd"/>
          </w:p>
        </w:tc>
        <w:tc>
          <w:tcPr>
            <w:tcW w:w="920" w:type="dxa"/>
          </w:tcPr>
          <w:p w14:paraId="5392868A" w14:textId="77777777" w:rsidR="00B419CE" w:rsidRPr="00B419CE" w:rsidRDefault="00B419CE" w:rsidP="00B32459">
            <w:pPr>
              <w:jc w:val="right"/>
            </w:pPr>
            <w:r w:rsidRPr="00B419CE">
              <w:t>95 (94)</w:t>
            </w:r>
          </w:p>
        </w:tc>
        <w:tc>
          <w:tcPr>
            <w:tcW w:w="920" w:type="dxa"/>
          </w:tcPr>
          <w:p w14:paraId="37403BAB" w14:textId="77777777" w:rsidR="00B419CE" w:rsidRPr="00B419CE" w:rsidRDefault="00B419CE" w:rsidP="00B32459">
            <w:pPr>
              <w:jc w:val="right"/>
            </w:pPr>
            <w:r w:rsidRPr="00B419CE">
              <w:t>97 (98)</w:t>
            </w:r>
          </w:p>
        </w:tc>
        <w:tc>
          <w:tcPr>
            <w:tcW w:w="920" w:type="dxa"/>
          </w:tcPr>
          <w:p w14:paraId="363DD94D" w14:textId="77777777" w:rsidR="00B419CE" w:rsidRPr="00B419CE" w:rsidRDefault="00B419CE" w:rsidP="00B32459">
            <w:pPr>
              <w:jc w:val="right"/>
            </w:pPr>
            <w:r w:rsidRPr="00B419CE">
              <w:t>113 (85)</w:t>
            </w:r>
          </w:p>
        </w:tc>
        <w:tc>
          <w:tcPr>
            <w:tcW w:w="920" w:type="dxa"/>
          </w:tcPr>
          <w:p w14:paraId="7DC63211" w14:textId="77777777" w:rsidR="00B419CE" w:rsidRPr="00B419CE" w:rsidRDefault="00B419CE" w:rsidP="00B32459">
            <w:pPr>
              <w:jc w:val="right"/>
            </w:pPr>
            <w:r w:rsidRPr="00B419CE">
              <w:t>96 (96)</w:t>
            </w:r>
          </w:p>
        </w:tc>
        <w:tc>
          <w:tcPr>
            <w:tcW w:w="920" w:type="dxa"/>
          </w:tcPr>
          <w:p w14:paraId="377BA0E0" w14:textId="77777777" w:rsidR="00B419CE" w:rsidRPr="00B419CE" w:rsidRDefault="00B419CE" w:rsidP="00B32459">
            <w:pPr>
              <w:jc w:val="right"/>
            </w:pPr>
          </w:p>
        </w:tc>
      </w:tr>
      <w:tr w:rsidR="00B419CE" w:rsidRPr="00B419CE" w14:paraId="4009F9BF" w14:textId="77777777" w:rsidTr="00B32459">
        <w:trPr>
          <w:trHeight w:val="380"/>
        </w:trPr>
        <w:tc>
          <w:tcPr>
            <w:tcW w:w="920" w:type="dxa"/>
          </w:tcPr>
          <w:p w14:paraId="120AA56B" w14:textId="77777777" w:rsidR="00B419CE" w:rsidRPr="00B419CE" w:rsidRDefault="00B419CE" w:rsidP="00B32459">
            <w:r w:rsidRPr="00B419CE">
              <w:t>2122</w:t>
            </w:r>
          </w:p>
        </w:tc>
        <w:tc>
          <w:tcPr>
            <w:tcW w:w="3680" w:type="dxa"/>
          </w:tcPr>
          <w:p w14:paraId="3D78A94D" w14:textId="77777777" w:rsidR="00B419CE" w:rsidRPr="00B419CE" w:rsidRDefault="00B419CE" w:rsidP="00B32459">
            <w:proofErr w:type="spellStart"/>
            <w:r w:rsidRPr="00B419CE">
              <w:t>Statistikarar</w:t>
            </w:r>
            <w:proofErr w:type="spellEnd"/>
          </w:p>
        </w:tc>
        <w:tc>
          <w:tcPr>
            <w:tcW w:w="920" w:type="dxa"/>
          </w:tcPr>
          <w:p w14:paraId="5903C7FC" w14:textId="77777777" w:rsidR="00B419CE" w:rsidRPr="00B419CE" w:rsidRDefault="00B419CE" w:rsidP="00B32459">
            <w:pPr>
              <w:jc w:val="right"/>
            </w:pPr>
          </w:p>
        </w:tc>
        <w:tc>
          <w:tcPr>
            <w:tcW w:w="920" w:type="dxa"/>
          </w:tcPr>
          <w:p w14:paraId="011C06A9" w14:textId="77777777" w:rsidR="00B419CE" w:rsidRPr="00B419CE" w:rsidRDefault="00B419CE" w:rsidP="00B32459">
            <w:pPr>
              <w:jc w:val="right"/>
            </w:pPr>
          </w:p>
        </w:tc>
        <w:tc>
          <w:tcPr>
            <w:tcW w:w="920" w:type="dxa"/>
          </w:tcPr>
          <w:p w14:paraId="2B383B64" w14:textId="77777777" w:rsidR="00B419CE" w:rsidRPr="00B419CE" w:rsidRDefault="00B419CE" w:rsidP="00B32459">
            <w:pPr>
              <w:jc w:val="right"/>
            </w:pPr>
            <w:r w:rsidRPr="00B419CE">
              <w:t>97 (94)</w:t>
            </w:r>
          </w:p>
        </w:tc>
        <w:tc>
          <w:tcPr>
            <w:tcW w:w="920" w:type="dxa"/>
          </w:tcPr>
          <w:p w14:paraId="274B356F" w14:textId="77777777" w:rsidR="00B419CE" w:rsidRPr="00B419CE" w:rsidRDefault="00B419CE" w:rsidP="00B32459">
            <w:pPr>
              <w:jc w:val="right"/>
            </w:pPr>
          </w:p>
        </w:tc>
        <w:tc>
          <w:tcPr>
            <w:tcW w:w="920" w:type="dxa"/>
          </w:tcPr>
          <w:p w14:paraId="0B4DBAF5" w14:textId="77777777" w:rsidR="00B419CE" w:rsidRPr="00B419CE" w:rsidRDefault="00B419CE" w:rsidP="00B32459">
            <w:pPr>
              <w:jc w:val="right"/>
            </w:pPr>
          </w:p>
        </w:tc>
      </w:tr>
      <w:tr w:rsidR="00B419CE" w:rsidRPr="00B419CE" w14:paraId="16543216" w14:textId="77777777" w:rsidTr="00B32459">
        <w:trPr>
          <w:trHeight w:val="380"/>
        </w:trPr>
        <w:tc>
          <w:tcPr>
            <w:tcW w:w="920" w:type="dxa"/>
          </w:tcPr>
          <w:p w14:paraId="59BEE113" w14:textId="77777777" w:rsidR="00B419CE" w:rsidRPr="00B419CE" w:rsidRDefault="00B419CE" w:rsidP="00B32459">
            <w:r w:rsidRPr="00B419CE">
              <w:t>3441</w:t>
            </w:r>
          </w:p>
        </w:tc>
        <w:tc>
          <w:tcPr>
            <w:tcW w:w="3680" w:type="dxa"/>
          </w:tcPr>
          <w:p w14:paraId="0ACD7F68" w14:textId="77777777" w:rsidR="00B419CE" w:rsidRPr="00B419CE" w:rsidRDefault="00B419CE" w:rsidP="00B32459">
            <w:proofErr w:type="spellStart"/>
            <w:r w:rsidRPr="00B419CE">
              <w:t>Tollfunksjonærar</w:t>
            </w:r>
            <w:proofErr w:type="spellEnd"/>
          </w:p>
        </w:tc>
        <w:tc>
          <w:tcPr>
            <w:tcW w:w="920" w:type="dxa"/>
          </w:tcPr>
          <w:p w14:paraId="089D62AB" w14:textId="77777777" w:rsidR="00B419CE" w:rsidRPr="00B419CE" w:rsidRDefault="00B419CE" w:rsidP="00B32459">
            <w:pPr>
              <w:jc w:val="right"/>
            </w:pPr>
            <w:r w:rsidRPr="00B419CE">
              <w:t>97 (97)</w:t>
            </w:r>
          </w:p>
        </w:tc>
        <w:tc>
          <w:tcPr>
            <w:tcW w:w="920" w:type="dxa"/>
          </w:tcPr>
          <w:p w14:paraId="18DF0234" w14:textId="77777777" w:rsidR="00B419CE" w:rsidRPr="00B419CE" w:rsidRDefault="00B419CE" w:rsidP="00B32459">
            <w:pPr>
              <w:jc w:val="right"/>
            </w:pPr>
            <w:r w:rsidRPr="00B419CE">
              <w:t>98 (98)</w:t>
            </w:r>
          </w:p>
        </w:tc>
        <w:tc>
          <w:tcPr>
            <w:tcW w:w="920" w:type="dxa"/>
          </w:tcPr>
          <w:p w14:paraId="3E6454B1" w14:textId="77777777" w:rsidR="00B419CE" w:rsidRPr="00B419CE" w:rsidRDefault="00B419CE" w:rsidP="00B32459">
            <w:pPr>
              <w:jc w:val="right"/>
            </w:pPr>
          </w:p>
        </w:tc>
        <w:tc>
          <w:tcPr>
            <w:tcW w:w="920" w:type="dxa"/>
          </w:tcPr>
          <w:p w14:paraId="2A11CEF0" w14:textId="77777777" w:rsidR="00B419CE" w:rsidRPr="00B419CE" w:rsidRDefault="00B419CE" w:rsidP="00B32459">
            <w:pPr>
              <w:jc w:val="right"/>
            </w:pPr>
          </w:p>
        </w:tc>
        <w:tc>
          <w:tcPr>
            <w:tcW w:w="920" w:type="dxa"/>
          </w:tcPr>
          <w:p w14:paraId="083C8F5A" w14:textId="77777777" w:rsidR="00B419CE" w:rsidRPr="00B419CE" w:rsidRDefault="00B419CE" w:rsidP="00B32459">
            <w:pPr>
              <w:jc w:val="right"/>
            </w:pPr>
          </w:p>
        </w:tc>
      </w:tr>
    </w:tbl>
    <w:p w14:paraId="371226EC" w14:textId="77777777" w:rsidR="00B419CE" w:rsidRPr="00B419CE" w:rsidRDefault="00B419CE" w:rsidP="00B419CE">
      <w:proofErr w:type="spellStart"/>
      <w:r w:rsidRPr="00B419CE">
        <w:t>Tala</w:t>
      </w:r>
      <w:proofErr w:type="spellEnd"/>
      <w:r w:rsidRPr="00B419CE">
        <w:t xml:space="preserve"> er </w:t>
      </w:r>
      <w:proofErr w:type="spellStart"/>
      <w:r w:rsidRPr="00B419CE">
        <w:t>frå</w:t>
      </w:r>
      <w:proofErr w:type="spellEnd"/>
      <w:r w:rsidRPr="00B419CE">
        <w:t xml:space="preserve"> 2020, med 2019-tal i parentes.</w:t>
      </w:r>
    </w:p>
    <w:p w14:paraId="4E6BF6AA" w14:textId="09C4D1C9" w:rsidR="00B419CE" w:rsidRDefault="00B419CE" w:rsidP="00B419CE">
      <w:pPr>
        <w:pStyle w:val="Overskrift3"/>
      </w:pPr>
      <w:r w:rsidRPr="00B419CE">
        <w:t>Etnisitet</w:t>
      </w:r>
    </w:p>
    <w:p w14:paraId="5EB0C32A" w14:textId="3E3C1679" w:rsidR="00B32459" w:rsidRPr="00B32459" w:rsidRDefault="00B32459" w:rsidP="00B32459">
      <w:pPr>
        <w:pStyle w:val="tabell-tittel"/>
      </w:pPr>
      <w:r w:rsidRPr="00B419CE">
        <w:t xml:space="preserve">Tilsette med </w:t>
      </w:r>
      <w:proofErr w:type="spellStart"/>
      <w:r w:rsidRPr="00B419CE">
        <w:t>innvandrarbakgrunn</w:t>
      </w:r>
      <w:proofErr w:type="spellEnd"/>
    </w:p>
    <w:p w14:paraId="1EE2A3D0" w14:textId="77777777" w:rsidR="00B419CE" w:rsidRPr="00B419CE" w:rsidRDefault="00B419CE" w:rsidP="00B419CE">
      <w:pPr>
        <w:pStyle w:val="Tabellnavn"/>
      </w:pPr>
      <w:r w:rsidRPr="00B419CE">
        <w:t>08J1xt2</w:t>
      </w:r>
    </w:p>
    <w:tbl>
      <w:tblPr>
        <w:tblStyle w:val="StandardTabell"/>
        <w:tblW w:w="9020" w:type="dxa"/>
        <w:tblLayout w:type="fixed"/>
        <w:tblLook w:val="04A0" w:firstRow="1" w:lastRow="0" w:firstColumn="1" w:lastColumn="0" w:noHBand="0" w:noVBand="1"/>
      </w:tblPr>
      <w:tblGrid>
        <w:gridCol w:w="2263"/>
        <w:gridCol w:w="965"/>
        <w:gridCol w:w="965"/>
        <w:gridCol w:w="965"/>
        <w:gridCol w:w="966"/>
        <w:gridCol w:w="965"/>
        <w:gridCol w:w="965"/>
        <w:gridCol w:w="966"/>
      </w:tblGrid>
      <w:tr w:rsidR="00B419CE" w:rsidRPr="00B419CE" w14:paraId="69D1BD08" w14:textId="77777777" w:rsidTr="00B32459">
        <w:trPr>
          <w:trHeight w:val="600"/>
        </w:trPr>
        <w:tc>
          <w:tcPr>
            <w:tcW w:w="2263" w:type="dxa"/>
            <w:shd w:val="clear" w:color="auto" w:fill="FFFFFF"/>
          </w:tcPr>
          <w:p w14:paraId="399B965B" w14:textId="77777777" w:rsidR="00B419CE" w:rsidRPr="00B419CE" w:rsidRDefault="00B419CE" w:rsidP="00B32459">
            <w:proofErr w:type="spellStart"/>
            <w:r w:rsidRPr="00B419CE">
              <w:t>Prosentdelar</w:t>
            </w:r>
            <w:proofErr w:type="spellEnd"/>
          </w:p>
        </w:tc>
        <w:tc>
          <w:tcPr>
            <w:tcW w:w="965" w:type="dxa"/>
          </w:tcPr>
          <w:p w14:paraId="20E3EF96" w14:textId="274ABAAD" w:rsidR="00B419CE" w:rsidRPr="00B419CE" w:rsidRDefault="00B419CE" w:rsidP="00B32459">
            <w:pPr>
              <w:jc w:val="right"/>
            </w:pPr>
            <w:r w:rsidRPr="00B419CE">
              <w:t>Skatte</w:t>
            </w:r>
            <w:r w:rsidR="00B32459">
              <w:softHyphen/>
            </w:r>
            <w:r w:rsidRPr="00B419CE">
              <w:t>etaten</w:t>
            </w:r>
          </w:p>
        </w:tc>
        <w:tc>
          <w:tcPr>
            <w:tcW w:w="965" w:type="dxa"/>
          </w:tcPr>
          <w:p w14:paraId="636B0EC1" w14:textId="7A6F9F99" w:rsidR="00B419CE" w:rsidRPr="00B419CE" w:rsidRDefault="00B419CE" w:rsidP="00B32459">
            <w:pPr>
              <w:jc w:val="right"/>
            </w:pPr>
            <w:r w:rsidRPr="00B419CE">
              <w:t>Toll</w:t>
            </w:r>
            <w:r w:rsidR="00B32459">
              <w:softHyphen/>
            </w:r>
            <w:r w:rsidRPr="00B419CE">
              <w:t>etaten</w:t>
            </w:r>
          </w:p>
        </w:tc>
        <w:tc>
          <w:tcPr>
            <w:tcW w:w="965" w:type="dxa"/>
          </w:tcPr>
          <w:p w14:paraId="1D21E3F9" w14:textId="77777777" w:rsidR="00B419CE" w:rsidRPr="00B419CE" w:rsidRDefault="00B419CE" w:rsidP="00B32459">
            <w:pPr>
              <w:jc w:val="right"/>
            </w:pPr>
            <w:r w:rsidRPr="00B419CE">
              <w:t>SSB</w:t>
            </w:r>
          </w:p>
        </w:tc>
        <w:tc>
          <w:tcPr>
            <w:tcW w:w="966" w:type="dxa"/>
          </w:tcPr>
          <w:p w14:paraId="3833837A" w14:textId="77777777" w:rsidR="00B419CE" w:rsidRPr="00B419CE" w:rsidRDefault="00B419CE" w:rsidP="00B32459">
            <w:pPr>
              <w:jc w:val="right"/>
            </w:pPr>
            <w:r w:rsidRPr="00B419CE">
              <w:t>DFØ</w:t>
            </w:r>
          </w:p>
        </w:tc>
        <w:tc>
          <w:tcPr>
            <w:tcW w:w="965" w:type="dxa"/>
          </w:tcPr>
          <w:p w14:paraId="2B47A5C1" w14:textId="78E84FB1" w:rsidR="00B419CE" w:rsidRPr="00B419CE" w:rsidRDefault="00B419CE" w:rsidP="00B32459">
            <w:pPr>
              <w:jc w:val="right"/>
            </w:pPr>
            <w:r w:rsidRPr="00B419CE">
              <w:t>Finans</w:t>
            </w:r>
            <w:r w:rsidR="00B32459">
              <w:softHyphen/>
            </w:r>
            <w:r w:rsidRPr="00B419CE">
              <w:t>tilsynet</w:t>
            </w:r>
          </w:p>
        </w:tc>
        <w:tc>
          <w:tcPr>
            <w:tcW w:w="965" w:type="dxa"/>
          </w:tcPr>
          <w:p w14:paraId="76AEAD0F" w14:textId="77777777" w:rsidR="00B419CE" w:rsidRPr="00B419CE" w:rsidRDefault="00B419CE" w:rsidP="00B32459">
            <w:pPr>
              <w:jc w:val="right"/>
            </w:pPr>
            <w:r w:rsidRPr="00B419CE">
              <w:t xml:space="preserve">Heile </w:t>
            </w:r>
            <w:proofErr w:type="spellStart"/>
            <w:r w:rsidRPr="00B419CE">
              <w:t>dep.omr</w:t>
            </w:r>
            <w:proofErr w:type="spellEnd"/>
            <w:r w:rsidRPr="00B419CE">
              <w:t>.</w:t>
            </w:r>
          </w:p>
        </w:tc>
        <w:tc>
          <w:tcPr>
            <w:tcW w:w="966" w:type="dxa"/>
          </w:tcPr>
          <w:p w14:paraId="26321163" w14:textId="03463922" w:rsidR="00B419CE" w:rsidRPr="00B419CE" w:rsidRDefault="00B419CE" w:rsidP="00B32459">
            <w:pPr>
              <w:jc w:val="right"/>
            </w:pPr>
            <w:proofErr w:type="spellStart"/>
            <w:r w:rsidRPr="00B419CE">
              <w:t>Statleg</w:t>
            </w:r>
            <w:proofErr w:type="spellEnd"/>
            <w:r w:rsidRPr="00B419CE">
              <w:t xml:space="preserve"> </w:t>
            </w:r>
            <w:proofErr w:type="spellStart"/>
            <w:r w:rsidRPr="00B419CE">
              <w:t>tariff</w:t>
            </w:r>
            <w:r w:rsidR="00B32459">
              <w:softHyphen/>
            </w:r>
            <w:r w:rsidRPr="00B419CE">
              <w:t>omr</w:t>
            </w:r>
            <w:proofErr w:type="spellEnd"/>
            <w:r w:rsidRPr="00B419CE">
              <w:t>.</w:t>
            </w:r>
          </w:p>
        </w:tc>
      </w:tr>
      <w:tr w:rsidR="00B419CE" w:rsidRPr="00B419CE" w14:paraId="74473593" w14:textId="77777777" w:rsidTr="00B32459">
        <w:trPr>
          <w:trHeight w:val="380"/>
        </w:trPr>
        <w:tc>
          <w:tcPr>
            <w:tcW w:w="2263" w:type="dxa"/>
          </w:tcPr>
          <w:p w14:paraId="2E4DD358" w14:textId="77777777" w:rsidR="00B419CE" w:rsidRPr="00B419CE" w:rsidRDefault="00B419CE" w:rsidP="00B32459">
            <w:r w:rsidRPr="00B419CE">
              <w:t>I alt</w:t>
            </w:r>
          </w:p>
        </w:tc>
        <w:tc>
          <w:tcPr>
            <w:tcW w:w="965" w:type="dxa"/>
          </w:tcPr>
          <w:p w14:paraId="7AB19EF9" w14:textId="77777777" w:rsidR="00B419CE" w:rsidRPr="00B419CE" w:rsidRDefault="00B419CE" w:rsidP="00B32459">
            <w:pPr>
              <w:jc w:val="right"/>
            </w:pPr>
            <w:r w:rsidRPr="00B419CE">
              <w:t>8,8 (8,4)</w:t>
            </w:r>
          </w:p>
        </w:tc>
        <w:tc>
          <w:tcPr>
            <w:tcW w:w="965" w:type="dxa"/>
          </w:tcPr>
          <w:p w14:paraId="0B2CA5A7" w14:textId="77777777" w:rsidR="00B419CE" w:rsidRPr="00B419CE" w:rsidRDefault="00B419CE" w:rsidP="00B32459">
            <w:pPr>
              <w:jc w:val="right"/>
            </w:pPr>
            <w:r w:rsidRPr="00B419CE">
              <w:t>5,9 (6,0)</w:t>
            </w:r>
          </w:p>
        </w:tc>
        <w:tc>
          <w:tcPr>
            <w:tcW w:w="965" w:type="dxa"/>
          </w:tcPr>
          <w:p w14:paraId="4ADBC06C" w14:textId="77777777" w:rsidR="00B419CE" w:rsidRPr="00B419CE" w:rsidRDefault="00B419CE" w:rsidP="00B32459">
            <w:pPr>
              <w:jc w:val="right"/>
            </w:pPr>
            <w:r w:rsidRPr="00B419CE">
              <w:t>14,8 (14,6)</w:t>
            </w:r>
          </w:p>
        </w:tc>
        <w:tc>
          <w:tcPr>
            <w:tcW w:w="966" w:type="dxa"/>
          </w:tcPr>
          <w:p w14:paraId="6B71D762" w14:textId="77777777" w:rsidR="00B419CE" w:rsidRPr="00B419CE" w:rsidRDefault="00B419CE" w:rsidP="00B32459">
            <w:pPr>
              <w:jc w:val="right"/>
            </w:pPr>
            <w:r w:rsidRPr="00B419CE">
              <w:t>12,0 (13,0)</w:t>
            </w:r>
          </w:p>
        </w:tc>
        <w:tc>
          <w:tcPr>
            <w:tcW w:w="965" w:type="dxa"/>
          </w:tcPr>
          <w:p w14:paraId="0960B6E0" w14:textId="77777777" w:rsidR="00B419CE" w:rsidRPr="00B419CE" w:rsidRDefault="00B419CE" w:rsidP="00B32459">
            <w:pPr>
              <w:jc w:val="right"/>
            </w:pPr>
            <w:r w:rsidRPr="00B419CE">
              <w:t>6,6 (6,8)</w:t>
            </w:r>
          </w:p>
        </w:tc>
        <w:tc>
          <w:tcPr>
            <w:tcW w:w="965" w:type="dxa"/>
          </w:tcPr>
          <w:p w14:paraId="5E5474FB" w14:textId="77777777" w:rsidR="00B419CE" w:rsidRPr="00B419CE" w:rsidRDefault="00B419CE" w:rsidP="00B32459">
            <w:pPr>
              <w:jc w:val="right"/>
            </w:pPr>
            <w:r w:rsidRPr="00B419CE">
              <w:t xml:space="preserve">8,9 (8,7) </w:t>
            </w:r>
          </w:p>
        </w:tc>
        <w:tc>
          <w:tcPr>
            <w:tcW w:w="966" w:type="dxa"/>
          </w:tcPr>
          <w:p w14:paraId="6918B791" w14:textId="77777777" w:rsidR="00B419CE" w:rsidRPr="00B419CE" w:rsidRDefault="00B419CE" w:rsidP="00B32459">
            <w:pPr>
              <w:jc w:val="right"/>
            </w:pPr>
            <w:r w:rsidRPr="00B419CE">
              <w:t>12,4 (11,9)</w:t>
            </w:r>
          </w:p>
        </w:tc>
      </w:tr>
      <w:tr w:rsidR="00B419CE" w:rsidRPr="00B419CE" w14:paraId="111123A4" w14:textId="77777777" w:rsidTr="00B32459">
        <w:trPr>
          <w:trHeight w:val="380"/>
        </w:trPr>
        <w:tc>
          <w:tcPr>
            <w:tcW w:w="2263" w:type="dxa"/>
          </w:tcPr>
          <w:p w14:paraId="6ADF4AED" w14:textId="77777777" w:rsidR="00B419CE" w:rsidRPr="00B419CE" w:rsidRDefault="00B419CE" w:rsidP="00B32459">
            <w:r w:rsidRPr="00B419CE">
              <w:t xml:space="preserve">– </w:t>
            </w:r>
            <w:proofErr w:type="spellStart"/>
            <w:r w:rsidRPr="00B419CE">
              <w:t>Frå</w:t>
            </w:r>
            <w:proofErr w:type="spellEnd"/>
            <w:r w:rsidRPr="00B419CE">
              <w:t xml:space="preserve"> landgruppe 1</w:t>
            </w:r>
            <w:r w:rsidRPr="00B419CE">
              <w:rPr>
                <w:rStyle w:val="skrift-hevet"/>
              </w:rPr>
              <w:t>1</w:t>
            </w:r>
          </w:p>
        </w:tc>
        <w:tc>
          <w:tcPr>
            <w:tcW w:w="965" w:type="dxa"/>
          </w:tcPr>
          <w:p w14:paraId="134A5020" w14:textId="77777777" w:rsidR="00B419CE" w:rsidRPr="00B419CE" w:rsidRDefault="00B419CE" w:rsidP="00B32459">
            <w:pPr>
              <w:jc w:val="right"/>
            </w:pPr>
            <w:r w:rsidRPr="00B419CE">
              <w:t>3,1 (3,0)</w:t>
            </w:r>
          </w:p>
        </w:tc>
        <w:tc>
          <w:tcPr>
            <w:tcW w:w="965" w:type="dxa"/>
          </w:tcPr>
          <w:p w14:paraId="24F09000" w14:textId="77777777" w:rsidR="00B419CE" w:rsidRPr="00B419CE" w:rsidRDefault="00B419CE" w:rsidP="00B32459">
            <w:pPr>
              <w:jc w:val="right"/>
            </w:pPr>
            <w:r w:rsidRPr="00B419CE">
              <w:t>2,7 (2,8)</w:t>
            </w:r>
          </w:p>
        </w:tc>
        <w:tc>
          <w:tcPr>
            <w:tcW w:w="965" w:type="dxa"/>
          </w:tcPr>
          <w:p w14:paraId="3BD12891" w14:textId="77777777" w:rsidR="00B419CE" w:rsidRPr="00B419CE" w:rsidRDefault="00B419CE" w:rsidP="00B32459">
            <w:pPr>
              <w:jc w:val="right"/>
            </w:pPr>
            <w:r w:rsidRPr="00B419CE">
              <w:t>4,2 (4,6)</w:t>
            </w:r>
          </w:p>
        </w:tc>
        <w:tc>
          <w:tcPr>
            <w:tcW w:w="966" w:type="dxa"/>
          </w:tcPr>
          <w:p w14:paraId="620E10F9" w14:textId="77777777" w:rsidR="00B419CE" w:rsidRPr="00B419CE" w:rsidRDefault="00B419CE" w:rsidP="00B32459">
            <w:pPr>
              <w:jc w:val="right"/>
            </w:pPr>
            <w:r w:rsidRPr="00B419CE">
              <w:t>3,9 (4,2)</w:t>
            </w:r>
          </w:p>
        </w:tc>
        <w:tc>
          <w:tcPr>
            <w:tcW w:w="965" w:type="dxa"/>
          </w:tcPr>
          <w:p w14:paraId="50AE198A" w14:textId="77777777" w:rsidR="00B419CE" w:rsidRPr="00B419CE" w:rsidRDefault="00B419CE" w:rsidP="00B32459">
            <w:pPr>
              <w:jc w:val="right"/>
            </w:pPr>
            <w:r w:rsidRPr="00B419CE">
              <w:t>2,5 (3,2)</w:t>
            </w:r>
          </w:p>
        </w:tc>
        <w:tc>
          <w:tcPr>
            <w:tcW w:w="965" w:type="dxa"/>
          </w:tcPr>
          <w:p w14:paraId="4216B15A" w14:textId="77777777" w:rsidR="00B419CE" w:rsidRPr="00B419CE" w:rsidRDefault="00B419CE" w:rsidP="00B32459">
            <w:pPr>
              <w:jc w:val="right"/>
            </w:pPr>
            <w:r w:rsidRPr="00B419CE">
              <w:t>3,1 (3,2)</w:t>
            </w:r>
          </w:p>
        </w:tc>
        <w:tc>
          <w:tcPr>
            <w:tcW w:w="966" w:type="dxa"/>
          </w:tcPr>
          <w:p w14:paraId="7B9EAAF3" w14:textId="77777777" w:rsidR="00B419CE" w:rsidRPr="00B419CE" w:rsidRDefault="00B419CE" w:rsidP="00B32459">
            <w:pPr>
              <w:jc w:val="right"/>
            </w:pPr>
            <w:r w:rsidRPr="00B419CE">
              <w:t>6,2 (6,0)</w:t>
            </w:r>
          </w:p>
        </w:tc>
      </w:tr>
      <w:tr w:rsidR="00B419CE" w:rsidRPr="00B419CE" w14:paraId="7CC4490A" w14:textId="77777777" w:rsidTr="00B32459">
        <w:trPr>
          <w:trHeight w:val="380"/>
        </w:trPr>
        <w:tc>
          <w:tcPr>
            <w:tcW w:w="2263" w:type="dxa"/>
          </w:tcPr>
          <w:p w14:paraId="59910BB1" w14:textId="77777777" w:rsidR="00B419CE" w:rsidRPr="00B419CE" w:rsidRDefault="00B419CE" w:rsidP="00B32459">
            <w:r w:rsidRPr="00B419CE">
              <w:t xml:space="preserve">– </w:t>
            </w:r>
            <w:proofErr w:type="spellStart"/>
            <w:r w:rsidRPr="00B419CE">
              <w:t>Frå</w:t>
            </w:r>
            <w:proofErr w:type="spellEnd"/>
            <w:r w:rsidRPr="00B419CE">
              <w:t xml:space="preserve"> landgruppe 2</w:t>
            </w:r>
            <w:r w:rsidRPr="00B419CE">
              <w:rPr>
                <w:rStyle w:val="skrift-hevet"/>
              </w:rPr>
              <w:t>2</w:t>
            </w:r>
          </w:p>
        </w:tc>
        <w:tc>
          <w:tcPr>
            <w:tcW w:w="965" w:type="dxa"/>
          </w:tcPr>
          <w:p w14:paraId="2C7A5939" w14:textId="77777777" w:rsidR="00B419CE" w:rsidRPr="00B419CE" w:rsidRDefault="00B419CE" w:rsidP="00B32459">
            <w:pPr>
              <w:jc w:val="right"/>
            </w:pPr>
            <w:r w:rsidRPr="00B419CE">
              <w:t>5,7 (5,4)</w:t>
            </w:r>
          </w:p>
        </w:tc>
        <w:tc>
          <w:tcPr>
            <w:tcW w:w="965" w:type="dxa"/>
          </w:tcPr>
          <w:p w14:paraId="6CBDA3F7" w14:textId="77777777" w:rsidR="00B419CE" w:rsidRPr="00B419CE" w:rsidRDefault="00B419CE" w:rsidP="00B32459">
            <w:pPr>
              <w:jc w:val="right"/>
            </w:pPr>
            <w:r w:rsidRPr="00B419CE">
              <w:t>3,1 (3,1)</w:t>
            </w:r>
          </w:p>
        </w:tc>
        <w:tc>
          <w:tcPr>
            <w:tcW w:w="965" w:type="dxa"/>
          </w:tcPr>
          <w:p w14:paraId="424826C7" w14:textId="77777777" w:rsidR="00B419CE" w:rsidRPr="00B419CE" w:rsidRDefault="00B419CE" w:rsidP="00B32459">
            <w:pPr>
              <w:jc w:val="right"/>
            </w:pPr>
            <w:r w:rsidRPr="00B419CE">
              <w:t>10,6 (10,0)</w:t>
            </w:r>
          </w:p>
        </w:tc>
        <w:tc>
          <w:tcPr>
            <w:tcW w:w="966" w:type="dxa"/>
          </w:tcPr>
          <w:p w14:paraId="6504776F" w14:textId="77777777" w:rsidR="00B419CE" w:rsidRPr="00B419CE" w:rsidRDefault="00B419CE" w:rsidP="00B32459">
            <w:pPr>
              <w:jc w:val="right"/>
            </w:pPr>
            <w:r w:rsidRPr="00B419CE">
              <w:t>8,1 (8,8)</w:t>
            </w:r>
          </w:p>
        </w:tc>
        <w:tc>
          <w:tcPr>
            <w:tcW w:w="965" w:type="dxa"/>
          </w:tcPr>
          <w:p w14:paraId="7766C0AD" w14:textId="77777777" w:rsidR="00B419CE" w:rsidRPr="00B419CE" w:rsidRDefault="00B419CE" w:rsidP="00B32459">
            <w:pPr>
              <w:jc w:val="right"/>
            </w:pPr>
            <w:r w:rsidRPr="00B419CE">
              <w:t>4,1 (3,6)</w:t>
            </w:r>
          </w:p>
        </w:tc>
        <w:tc>
          <w:tcPr>
            <w:tcW w:w="965" w:type="dxa"/>
          </w:tcPr>
          <w:p w14:paraId="3BFAA781" w14:textId="77777777" w:rsidR="00B419CE" w:rsidRPr="00B419CE" w:rsidRDefault="00B419CE" w:rsidP="00B32459">
            <w:pPr>
              <w:jc w:val="right"/>
            </w:pPr>
            <w:r w:rsidRPr="00B419CE">
              <w:t>5,8 (5,5)</w:t>
            </w:r>
          </w:p>
        </w:tc>
        <w:tc>
          <w:tcPr>
            <w:tcW w:w="966" w:type="dxa"/>
          </w:tcPr>
          <w:p w14:paraId="19F8E70B" w14:textId="77777777" w:rsidR="00B419CE" w:rsidRPr="00B419CE" w:rsidRDefault="00B419CE" w:rsidP="00B32459">
            <w:pPr>
              <w:jc w:val="right"/>
            </w:pPr>
            <w:r w:rsidRPr="00B419CE">
              <w:t>6,3 (5,9)</w:t>
            </w:r>
          </w:p>
        </w:tc>
      </w:tr>
    </w:tbl>
    <w:p w14:paraId="1132FFBE" w14:textId="77777777" w:rsidR="00B419CE" w:rsidRPr="00B419CE" w:rsidRDefault="00B419CE" w:rsidP="00B419CE">
      <w:pPr>
        <w:pStyle w:val="tabell-noter"/>
        <w:rPr>
          <w:rStyle w:val="skrift-hevet"/>
        </w:rPr>
      </w:pPr>
      <w:r w:rsidRPr="00B419CE">
        <w:rPr>
          <w:rStyle w:val="skrift-hevet"/>
        </w:rPr>
        <w:t>1</w:t>
      </w:r>
      <w:r w:rsidRPr="00B419CE">
        <w:tab/>
        <w:t>EU/EFTA-land, Nord-Amerika, Australia og New Zealand</w:t>
      </w:r>
    </w:p>
    <w:p w14:paraId="6C89E048" w14:textId="77777777" w:rsidR="00B419CE" w:rsidRPr="00B419CE" w:rsidRDefault="00B419CE" w:rsidP="00B419CE">
      <w:pPr>
        <w:pStyle w:val="tabell-noter"/>
        <w:rPr>
          <w:rStyle w:val="skrift-hevet"/>
        </w:rPr>
      </w:pPr>
      <w:r w:rsidRPr="00B419CE">
        <w:rPr>
          <w:rStyle w:val="skrift-hevet"/>
        </w:rPr>
        <w:t>2</w:t>
      </w:r>
      <w:r w:rsidRPr="00B419CE">
        <w:tab/>
        <w:t>Resten av verda</w:t>
      </w:r>
    </w:p>
    <w:p w14:paraId="006E1635" w14:textId="77777777" w:rsidR="00B419CE" w:rsidRPr="00B419CE" w:rsidRDefault="00B419CE" w:rsidP="00B419CE">
      <w:pPr>
        <w:pStyle w:val="Kilde"/>
      </w:pPr>
      <w:r w:rsidRPr="00B419CE">
        <w:t>SSB</w:t>
      </w:r>
    </w:p>
    <w:p w14:paraId="1A56A009" w14:textId="77777777" w:rsidR="00B419CE" w:rsidRPr="00B419CE" w:rsidRDefault="00B419CE" w:rsidP="00B419CE">
      <w:r w:rsidRPr="00B419CE">
        <w:t xml:space="preserve">Tabellen over syner prosentdelen tilsette med </w:t>
      </w:r>
      <w:proofErr w:type="spellStart"/>
      <w:r w:rsidRPr="00B419CE">
        <w:t>innvandrarbakgrunn</w:t>
      </w:r>
      <w:proofErr w:type="spellEnd"/>
      <w:r w:rsidRPr="00B419CE">
        <w:t xml:space="preserve"> i </w:t>
      </w:r>
      <w:proofErr w:type="spellStart"/>
      <w:r w:rsidRPr="00B419CE">
        <w:t>statleg</w:t>
      </w:r>
      <w:proofErr w:type="spellEnd"/>
      <w:r w:rsidRPr="00B419CE">
        <w:t xml:space="preserve"> tariffområde, departementsområdet og </w:t>
      </w:r>
      <w:proofErr w:type="spellStart"/>
      <w:r w:rsidRPr="00B419CE">
        <w:t>etatane</w:t>
      </w:r>
      <w:proofErr w:type="spellEnd"/>
      <w:r w:rsidRPr="00B419CE">
        <w:t xml:space="preserve">. </w:t>
      </w:r>
      <w:proofErr w:type="spellStart"/>
      <w:r w:rsidRPr="00B419CE">
        <w:t>Tala</w:t>
      </w:r>
      <w:proofErr w:type="spellEnd"/>
      <w:r w:rsidRPr="00B419CE">
        <w:t xml:space="preserve"> er </w:t>
      </w:r>
      <w:proofErr w:type="spellStart"/>
      <w:r w:rsidRPr="00B419CE">
        <w:t>frå</w:t>
      </w:r>
      <w:proofErr w:type="spellEnd"/>
      <w:r w:rsidRPr="00B419CE">
        <w:t xml:space="preserve"> 2020, med 2019-tal i parentes. Skatteetaten, Statistisk sentralbyrå og sektoren under </w:t>
      </w:r>
      <w:proofErr w:type="spellStart"/>
      <w:r w:rsidRPr="00B419CE">
        <w:t>eitt</w:t>
      </w:r>
      <w:proofErr w:type="spellEnd"/>
      <w:r w:rsidRPr="00B419CE">
        <w:t xml:space="preserve"> har </w:t>
      </w:r>
      <w:proofErr w:type="spellStart"/>
      <w:r w:rsidRPr="00B419CE">
        <w:t>ein</w:t>
      </w:r>
      <w:proofErr w:type="spellEnd"/>
      <w:r w:rsidRPr="00B419CE">
        <w:t xml:space="preserve"> større prosentdel tilsette med </w:t>
      </w:r>
      <w:proofErr w:type="spellStart"/>
      <w:r w:rsidRPr="00B419CE">
        <w:t>innvandrarbakgrunn</w:t>
      </w:r>
      <w:proofErr w:type="spellEnd"/>
      <w:r w:rsidRPr="00B419CE">
        <w:t xml:space="preserve"> enn i 2019.</w:t>
      </w:r>
    </w:p>
    <w:p w14:paraId="08463644" w14:textId="77777777" w:rsidR="00B419CE" w:rsidRPr="00B419CE" w:rsidRDefault="00B419CE" w:rsidP="00B419CE">
      <w:r w:rsidRPr="00B419CE">
        <w:t xml:space="preserve">Alle </w:t>
      </w:r>
      <w:proofErr w:type="spellStart"/>
      <w:r w:rsidRPr="00B419CE">
        <w:t>etatane</w:t>
      </w:r>
      <w:proofErr w:type="spellEnd"/>
      <w:r w:rsidRPr="00B419CE">
        <w:t xml:space="preserve"> har innarbeidd </w:t>
      </w:r>
      <w:proofErr w:type="spellStart"/>
      <w:r w:rsidRPr="00B419CE">
        <w:t>statleg</w:t>
      </w:r>
      <w:proofErr w:type="spellEnd"/>
      <w:r w:rsidRPr="00B419CE">
        <w:t xml:space="preserve"> praksis om innkalling av minst </w:t>
      </w:r>
      <w:proofErr w:type="spellStart"/>
      <w:r w:rsidRPr="00B419CE">
        <w:t>ein</w:t>
      </w:r>
      <w:proofErr w:type="spellEnd"/>
      <w:r w:rsidRPr="00B419CE">
        <w:t xml:space="preserve"> kvalifisert </w:t>
      </w:r>
      <w:proofErr w:type="spellStart"/>
      <w:r w:rsidRPr="00B419CE">
        <w:t>søkjar</w:t>
      </w:r>
      <w:proofErr w:type="spellEnd"/>
      <w:r w:rsidRPr="00B419CE">
        <w:t xml:space="preserve"> med </w:t>
      </w:r>
      <w:proofErr w:type="spellStart"/>
      <w:r w:rsidRPr="00B419CE">
        <w:t>innvandrarbakgrunn</w:t>
      </w:r>
      <w:proofErr w:type="spellEnd"/>
      <w:r w:rsidRPr="00B419CE">
        <w:t xml:space="preserve"> til jobbintervju. </w:t>
      </w:r>
      <w:proofErr w:type="spellStart"/>
      <w:r w:rsidRPr="00B419CE">
        <w:t>Fleire</w:t>
      </w:r>
      <w:proofErr w:type="spellEnd"/>
      <w:r w:rsidRPr="00B419CE">
        <w:t xml:space="preserve"> av </w:t>
      </w:r>
      <w:proofErr w:type="spellStart"/>
      <w:r w:rsidRPr="00B419CE">
        <w:t>etatane</w:t>
      </w:r>
      <w:proofErr w:type="spellEnd"/>
      <w:r w:rsidRPr="00B419CE">
        <w:t xml:space="preserve"> </w:t>
      </w:r>
      <w:proofErr w:type="spellStart"/>
      <w:r w:rsidRPr="00B419CE">
        <w:t>deltek</w:t>
      </w:r>
      <w:proofErr w:type="spellEnd"/>
      <w:r w:rsidRPr="00B419CE">
        <w:t xml:space="preserve"> òg i </w:t>
      </w:r>
      <w:proofErr w:type="spellStart"/>
      <w:r w:rsidRPr="00B419CE">
        <w:t>mangfaldsnettverk</w:t>
      </w:r>
      <w:proofErr w:type="spellEnd"/>
      <w:r w:rsidRPr="00B419CE">
        <w:t xml:space="preserve"> og E-læringskurset «</w:t>
      </w:r>
      <w:proofErr w:type="spellStart"/>
      <w:r w:rsidRPr="00B419CE">
        <w:t>mangfaldsrekruttering</w:t>
      </w:r>
      <w:proofErr w:type="spellEnd"/>
      <w:r w:rsidRPr="00B419CE">
        <w:t xml:space="preserve">» er </w:t>
      </w:r>
      <w:proofErr w:type="spellStart"/>
      <w:r w:rsidRPr="00B419CE">
        <w:t>teke</w:t>
      </w:r>
      <w:proofErr w:type="spellEnd"/>
      <w:r w:rsidRPr="00B419CE">
        <w:t xml:space="preserve"> i bruk av </w:t>
      </w:r>
      <w:proofErr w:type="spellStart"/>
      <w:r w:rsidRPr="00B419CE">
        <w:t>fleire</w:t>
      </w:r>
      <w:proofErr w:type="spellEnd"/>
      <w:r w:rsidRPr="00B419CE">
        <w:t xml:space="preserve"> </w:t>
      </w:r>
      <w:proofErr w:type="spellStart"/>
      <w:r w:rsidRPr="00B419CE">
        <w:t>etatar</w:t>
      </w:r>
      <w:proofErr w:type="spellEnd"/>
      <w:r w:rsidRPr="00B419CE">
        <w:t>.</w:t>
      </w:r>
    </w:p>
    <w:p w14:paraId="089C8824" w14:textId="77777777" w:rsidR="00B419CE" w:rsidRPr="00B419CE" w:rsidRDefault="00B419CE" w:rsidP="00B419CE">
      <w:pPr>
        <w:rPr>
          <w:rStyle w:val="kursiv"/>
        </w:rPr>
      </w:pPr>
      <w:r w:rsidRPr="00B419CE">
        <w:rPr>
          <w:rStyle w:val="kursiv"/>
        </w:rPr>
        <w:t>Finanstilsynet</w:t>
      </w:r>
      <w:r w:rsidRPr="00B419CE">
        <w:t xml:space="preserve"> var </w:t>
      </w:r>
      <w:proofErr w:type="spellStart"/>
      <w:r w:rsidRPr="00B419CE">
        <w:t>ein</w:t>
      </w:r>
      <w:proofErr w:type="spellEnd"/>
      <w:r w:rsidRPr="00B419CE">
        <w:t xml:space="preserve"> av 15 </w:t>
      </w:r>
      <w:proofErr w:type="spellStart"/>
      <w:r w:rsidRPr="00B419CE">
        <w:t>verksemder</w:t>
      </w:r>
      <w:proofErr w:type="spellEnd"/>
      <w:r w:rsidRPr="00B419CE">
        <w:t xml:space="preserve"> knytt til pilot om anonyme søknader (blind rekruttering). Dette medførte </w:t>
      </w:r>
      <w:proofErr w:type="spellStart"/>
      <w:r w:rsidRPr="00B419CE">
        <w:t>auka</w:t>
      </w:r>
      <w:proofErr w:type="spellEnd"/>
      <w:r w:rsidRPr="00B419CE">
        <w:t xml:space="preserve"> </w:t>
      </w:r>
      <w:proofErr w:type="spellStart"/>
      <w:r w:rsidRPr="00B419CE">
        <w:t>merksemd</w:t>
      </w:r>
      <w:proofErr w:type="spellEnd"/>
      <w:r w:rsidRPr="00B419CE">
        <w:t xml:space="preserve"> rundt </w:t>
      </w:r>
      <w:r w:rsidRPr="00B419CE">
        <w:rPr>
          <w:rStyle w:val="kursiv"/>
        </w:rPr>
        <w:t>Inkluderingsdugnaden.</w:t>
      </w:r>
    </w:p>
    <w:p w14:paraId="781F7619" w14:textId="77777777" w:rsidR="00B419CE" w:rsidRPr="00B419CE" w:rsidRDefault="00B419CE" w:rsidP="00B419CE">
      <w:pPr>
        <w:pStyle w:val="avsnitt-undertittel"/>
      </w:pPr>
      <w:r w:rsidRPr="00B419CE">
        <w:lastRenderedPageBreak/>
        <w:t>Inkluderingsdugnaden</w:t>
      </w:r>
    </w:p>
    <w:p w14:paraId="6A029B4C" w14:textId="7F530BDE" w:rsidR="00B419CE" w:rsidRDefault="00B419CE" w:rsidP="00B419CE">
      <w:r w:rsidRPr="00B419CE">
        <w:t xml:space="preserve">Regjeringa har som mål at fem prosent av alle </w:t>
      </w:r>
      <w:proofErr w:type="spellStart"/>
      <w:r w:rsidRPr="00B419CE">
        <w:t>nytilsette</w:t>
      </w:r>
      <w:proofErr w:type="spellEnd"/>
      <w:r w:rsidRPr="00B419CE">
        <w:t xml:space="preserve"> i staten skal </w:t>
      </w:r>
      <w:proofErr w:type="spellStart"/>
      <w:r w:rsidRPr="00B419CE">
        <w:t>vere</w:t>
      </w:r>
      <w:proofErr w:type="spellEnd"/>
      <w:r w:rsidRPr="00B419CE">
        <w:t xml:space="preserve"> </w:t>
      </w:r>
      <w:proofErr w:type="spellStart"/>
      <w:r w:rsidRPr="00B419CE">
        <w:t>personar</w:t>
      </w:r>
      <w:proofErr w:type="spellEnd"/>
      <w:r w:rsidRPr="00B419CE">
        <w:t xml:space="preserve"> med nedsett funksjonsevne eller </w:t>
      </w:r>
      <w:r w:rsidRPr="00B419CE">
        <w:rPr>
          <w:rStyle w:val="kursiv"/>
        </w:rPr>
        <w:t>«</w:t>
      </w:r>
      <w:proofErr w:type="spellStart"/>
      <w:r w:rsidRPr="00B419CE">
        <w:rPr>
          <w:rStyle w:val="kursiv"/>
        </w:rPr>
        <w:t>hòl</w:t>
      </w:r>
      <w:proofErr w:type="spellEnd"/>
      <w:r w:rsidRPr="00B419CE">
        <w:rPr>
          <w:rStyle w:val="kursiv"/>
        </w:rPr>
        <w:t xml:space="preserve"> i CV-en»</w:t>
      </w:r>
      <w:r w:rsidRPr="00B419CE">
        <w:t xml:space="preserve">. Sektoren under </w:t>
      </w:r>
      <w:proofErr w:type="spellStart"/>
      <w:r w:rsidRPr="00B419CE">
        <w:t>eitt</w:t>
      </w:r>
      <w:proofErr w:type="spellEnd"/>
      <w:r w:rsidRPr="00B419CE">
        <w:t xml:space="preserve"> oppnådde 2,7 pst. i 2020 mot 1,4 pst. i 2019. Se tabellen under:</w:t>
      </w:r>
    </w:p>
    <w:p w14:paraId="2FFB4A13" w14:textId="565574AC" w:rsidR="00B32459" w:rsidRPr="00B419CE" w:rsidRDefault="00B32459" w:rsidP="00B32459">
      <w:pPr>
        <w:pStyle w:val="tabell-tittel"/>
      </w:pPr>
      <w:r w:rsidRPr="00B419CE">
        <w:t>Inkluderingsdugnaden</w:t>
      </w:r>
    </w:p>
    <w:p w14:paraId="010C9EBC" w14:textId="77777777" w:rsidR="00B419CE" w:rsidRPr="00B419CE" w:rsidRDefault="00B419CE" w:rsidP="00B419CE">
      <w:pPr>
        <w:pStyle w:val="Tabellnavn"/>
      </w:pPr>
      <w:r w:rsidRPr="00B419CE">
        <w:t>04J1xt2</w:t>
      </w:r>
    </w:p>
    <w:tbl>
      <w:tblPr>
        <w:tblStyle w:val="StandardTabell"/>
        <w:tblW w:w="9100" w:type="dxa"/>
        <w:tblLayout w:type="fixed"/>
        <w:tblLook w:val="04A0" w:firstRow="1" w:lastRow="0" w:firstColumn="1" w:lastColumn="0" w:noHBand="0" w:noVBand="1"/>
      </w:tblPr>
      <w:tblGrid>
        <w:gridCol w:w="4815"/>
        <w:gridCol w:w="1417"/>
        <w:gridCol w:w="1276"/>
        <w:gridCol w:w="1592"/>
      </w:tblGrid>
      <w:tr w:rsidR="00B419CE" w:rsidRPr="00B419CE" w14:paraId="74E39867" w14:textId="77777777" w:rsidTr="00B32459">
        <w:trPr>
          <w:trHeight w:val="360"/>
        </w:trPr>
        <w:tc>
          <w:tcPr>
            <w:tcW w:w="4815" w:type="dxa"/>
            <w:shd w:val="clear" w:color="auto" w:fill="FFFFFF"/>
          </w:tcPr>
          <w:p w14:paraId="74AB4EC8" w14:textId="77777777" w:rsidR="00B419CE" w:rsidRPr="00B419CE" w:rsidRDefault="00B419CE" w:rsidP="00B32459"/>
        </w:tc>
        <w:tc>
          <w:tcPr>
            <w:tcW w:w="1417" w:type="dxa"/>
          </w:tcPr>
          <w:p w14:paraId="6AFA4FD5" w14:textId="77777777" w:rsidR="00B419CE" w:rsidRPr="00B419CE" w:rsidRDefault="00B419CE" w:rsidP="00B32459">
            <w:pPr>
              <w:jc w:val="right"/>
            </w:pPr>
            <w:proofErr w:type="spellStart"/>
            <w:r w:rsidRPr="00B419CE">
              <w:t>Nytilsette</w:t>
            </w:r>
            <w:proofErr w:type="spellEnd"/>
            <w:r w:rsidRPr="00B419CE">
              <w:t xml:space="preserve"> i 2020</w:t>
            </w:r>
          </w:p>
        </w:tc>
        <w:tc>
          <w:tcPr>
            <w:tcW w:w="1276" w:type="dxa"/>
          </w:tcPr>
          <w:p w14:paraId="1FD57DEA" w14:textId="77777777" w:rsidR="00B419CE" w:rsidRPr="00B419CE" w:rsidRDefault="00B419CE" w:rsidP="00B32459">
            <w:pPr>
              <w:jc w:val="right"/>
            </w:pPr>
            <w:proofErr w:type="spellStart"/>
            <w:r w:rsidRPr="00B419CE">
              <w:t>Nytilsette</w:t>
            </w:r>
            <w:proofErr w:type="spellEnd"/>
            <w:r w:rsidRPr="00B419CE">
              <w:t xml:space="preserve"> i målgruppa</w:t>
            </w:r>
          </w:p>
        </w:tc>
        <w:tc>
          <w:tcPr>
            <w:tcW w:w="1592" w:type="dxa"/>
          </w:tcPr>
          <w:p w14:paraId="5C4C4443" w14:textId="77777777" w:rsidR="00B419CE" w:rsidRPr="00B419CE" w:rsidRDefault="00B419CE" w:rsidP="00B32459">
            <w:pPr>
              <w:jc w:val="right"/>
            </w:pPr>
            <w:r w:rsidRPr="00B419CE">
              <w:t>Måloppnåing</w:t>
            </w:r>
          </w:p>
        </w:tc>
      </w:tr>
      <w:tr w:rsidR="00B419CE" w:rsidRPr="00B419CE" w14:paraId="3194B884" w14:textId="77777777" w:rsidTr="00B32459">
        <w:trPr>
          <w:trHeight w:val="380"/>
        </w:trPr>
        <w:tc>
          <w:tcPr>
            <w:tcW w:w="4815" w:type="dxa"/>
          </w:tcPr>
          <w:p w14:paraId="5A5A8DFE" w14:textId="77777777" w:rsidR="00B419CE" w:rsidRPr="00B419CE" w:rsidRDefault="00B419CE" w:rsidP="00B32459">
            <w:r w:rsidRPr="00B419CE">
              <w:t>Finansdepartementet</w:t>
            </w:r>
          </w:p>
        </w:tc>
        <w:tc>
          <w:tcPr>
            <w:tcW w:w="1417" w:type="dxa"/>
          </w:tcPr>
          <w:p w14:paraId="5F063CBD" w14:textId="77777777" w:rsidR="00B419CE" w:rsidRPr="00B419CE" w:rsidRDefault="00B419CE" w:rsidP="00B32459">
            <w:pPr>
              <w:jc w:val="right"/>
            </w:pPr>
            <w:r w:rsidRPr="00B419CE">
              <w:t>30 (30)</w:t>
            </w:r>
          </w:p>
        </w:tc>
        <w:tc>
          <w:tcPr>
            <w:tcW w:w="1276" w:type="dxa"/>
          </w:tcPr>
          <w:p w14:paraId="0D54F4FB" w14:textId="77777777" w:rsidR="00B419CE" w:rsidRPr="00B419CE" w:rsidRDefault="00B419CE" w:rsidP="00B32459">
            <w:pPr>
              <w:jc w:val="right"/>
            </w:pPr>
            <w:r w:rsidRPr="00B419CE">
              <w:t>2 (0)</w:t>
            </w:r>
          </w:p>
        </w:tc>
        <w:tc>
          <w:tcPr>
            <w:tcW w:w="1592" w:type="dxa"/>
          </w:tcPr>
          <w:p w14:paraId="0F46FE41" w14:textId="77777777" w:rsidR="00B419CE" w:rsidRPr="00B419CE" w:rsidRDefault="00B419CE" w:rsidP="00B32459">
            <w:pPr>
              <w:jc w:val="right"/>
            </w:pPr>
            <w:r w:rsidRPr="00B419CE">
              <w:t xml:space="preserve">6,7 (0) pst. </w:t>
            </w:r>
          </w:p>
        </w:tc>
      </w:tr>
      <w:tr w:rsidR="00B419CE" w:rsidRPr="00B419CE" w14:paraId="22B75086" w14:textId="77777777" w:rsidTr="00B32459">
        <w:trPr>
          <w:trHeight w:val="380"/>
        </w:trPr>
        <w:tc>
          <w:tcPr>
            <w:tcW w:w="4815" w:type="dxa"/>
          </w:tcPr>
          <w:p w14:paraId="31775C92" w14:textId="77777777" w:rsidR="00B419CE" w:rsidRPr="00B419CE" w:rsidRDefault="00B419CE" w:rsidP="00B32459">
            <w:r w:rsidRPr="00B419CE">
              <w:t>Skatteetaten</w:t>
            </w:r>
          </w:p>
        </w:tc>
        <w:tc>
          <w:tcPr>
            <w:tcW w:w="1417" w:type="dxa"/>
          </w:tcPr>
          <w:p w14:paraId="4B2724DB" w14:textId="77777777" w:rsidR="00B419CE" w:rsidRPr="00B419CE" w:rsidRDefault="00B419CE" w:rsidP="00B32459">
            <w:pPr>
              <w:jc w:val="right"/>
            </w:pPr>
            <w:r w:rsidRPr="00B419CE">
              <w:t>532 (445)</w:t>
            </w:r>
          </w:p>
        </w:tc>
        <w:tc>
          <w:tcPr>
            <w:tcW w:w="1276" w:type="dxa"/>
          </w:tcPr>
          <w:p w14:paraId="37BDBAE7" w14:textId="77777777" w:rsidR="00B419CE" w:rsidRPr="00B419CE" w:rsidRDefault="00B419CE" w:rsidP="00B32459">
            <w:pPr>
              <w:jc w:val="right"/>
            </w:pPr>
            <w:r w:rsidRPr="00B419CE">
              <w:t>13 (5)</w:t>
            </w:r>
          </w:p>
        </w:tc>
        <w:tc>
          <w:tcPr>
            <w:tcW w:w="1592" w:type="dxa"/>
          </w:tcPr>
          <w:p w14:paraId="04B8057D" w14:textId="77777777" w:rsidR="00B419CE" w:rsidRPr="00B419CE" w:rsidRDefault="00B419CE" w:rsidP="00B32459">
            <w:pPr>
              <w:jc w:val="right"/>
            </w:pPr>
            <w:r w:rsidRPr="00B419CE">
              <w:t xml:space="preserve">2,4 (1,1) pst. </w:t>
            </w:r>
          </w:p>
        </w:tc>
      </w:tr>
      <w:tr w:rsidR="00B419CE" w:rsidRPr="00B419CE" w14:paraId="5A2B3D47" w14:textId="77777777" w:rsidTr="00B32459">
        <w:trPr>
          <w:trHeight w:val="380"/>
        </w:trPr>
        <w:tc>
          <w:tcPr>
            <w:tcW w:w="4815" w:type="dxa"/>
          </w:tcPr>
          <w:p w14:paraId="6D98DC6D" w14:textId="77777777" w:rsidR="00B419CE" w:rsidRPr="00B419CE" w:rsidRDefault="00B419CE" w:rsidP="00B32459">
            <w:r w:rsidRPr="00B419CE">
              <w:t>Tolletaten</w:t>
            </w:r>
          </w:p>
        </w:tc>
        <w:tc>
          <w:tcPr>
            <w:tcW w:w="1417" w:type="dxa"/>
          </w:tcPr>
          <w:p w14:paraId="1C4D20D6" w14:textId="77777777" w:rsidR="00B419CE" w:rsidRPr="00B419CE" w:rsidRDefault="00B419CE" w:rsidP="00B32459">
            <w:pPr>
              <w:jc w:val="right"/>
            </w:pPr>
            <w:r w:rsidRPr="00B419CE">
              <w:t>63 (30)</w:t>
            </w:r>
          </w:p>
        </w:tc>
        <w:tc>
          <w:tcPr>
            <w:tcW w:w="1276" w:type="dxa"/>
          </w:tcPr>
          <w:p w14:paraId="55F1601F" w14:textId="77777777" w:rsidR="00B419CE" w:rsidRPr="00B419CE" w:rsidRDefault="00B419CE" w:rsidP="00B32459">
            <w:pPr>
              <w:jc w:val="right"/>
            </w:pPr>
            <w:r w:rsidRPr="00B419CE">
              <w:t>0 (1)</w:t>
            </w:r>
          </w:p>
        </w:tc>
        <w:tc>
          <w:tcPr>
            <w:tcW w:w="1592" w:type="dxa"/>
          </w:tcPr>
          <w:p w14:paraId="28016FD0" w14:textId="77777777" w:rsidR="00B419CE" w:rsidRPr="00B419CE" w:rsidRDefault="00B419CE" w:rsidP="00B32459">
            <w:pPr>
              <w:jc w:val="right"/>
            </w:pPr>
            <w:r w:rsidRPr="00B419CE">
              <w:t>0 (3,3) pst.</w:t>
            </w:r>
          </w:p>
        </w:tc>
      </w:tr>
      <w:tr w:rsidR="00B419CE" w:rsidRPr="00B419CE" w14:paraId="08CFD44F" w14:textId="77777777" w:rsidTr="00B32459">
        <w:trPr>
          <w:trHeight w:val="380"/>
        </w:trPr>
        <w:tc>
          <w:tcPr>
            <w:tcW w:w="4815" w:type="dxa"/>
          </w:tcPr>
          <w:p w14:paraId="47DAA7E8" w14:textId="77777777" w:rsidR="00B419CE" w:rsidRPr="00B419CE" w:rsidRDefault="00B419CE" w:rsidP="00B32459">
            <w:r w:rsidRPr="00B419CE">
              <w:t>Direktoratet for forvaltning og økonomistyring</w:t>
            </w:r>
          </w:p>
        </w:tc>
        <w:tc>
          <w:tcPr>
            <w:tcW w:w="1417" w:type="dxa"/>
          </w:tcPr>
          <w:p w14:paraId="2A684454" w14:textId="77777777" w:rsidR="00B419CE" w:rsidRPr="00B419CE" w:rsidRDefault="00B419CE" w:rsidP="00B32459">
            <w:pPr>
              <w:jc w:val="right"/>
            </w:pPr>
            <w:r w:rsidRPr="00B419CE">
              <w:t>63 (78)</w:t>
            </w:r>
          </w:p>
        </w:tc>
        <w:tc>
          <w:tcPr>
            <w:tcW w:w="1276" w:type="dxa"/>
          </w:tcPr>
          <w:p w14:paraId="7D120435" w14:textId="77777777" w:rsidR="00B419CE" w:rsidRPr="00B419CE" w:rsidRDefault="00B419CE" w:rsidP="00B32459">
            <w:pPr>
              <w:jc w:val="right"/>
            </w:pPr>
            <w:r w:rsidRPr="00B419CE">
              <w:t>4 (1)</w:t>
            </w:r>
          </w:p>
        </w:tc>
        <w:tc>
          <w:tcPr>
            <w:tcW w:w="1592" w:type="dxa"/>
          </w:tcPr>
          <w:p w14:paraId="37386036" w14:textId="77777777" w:rsidR="00B419CE" w:rsidRPr="00B419CE" w:rsidRDefault="00B419CE" w:rsidP="00B32459">
            <w:pPr>
              <w:jc w:val="right"/>
            </w:pPr>
            <w:r w:rsidRPr="00B419CE">
              <w:t xml:space="preserve">6,3 (1,3) pst. </w:t>
            </w:r>
          </w:p>
        </w:tc>
      </w:tr>
      <w:tr w:rsidR="00B419CE" w:rsidRPr="00B419CE" w14:paraId="7546B8D6" w14:textId="77777777" w:rsidTr="00B32459">
        <w:trPr>
          <w:trHeight w:val="380"/>
        </w:trPr>
        <w:tc>
          <w:tcPr>
            <w:tcW w:w="4815" w:type="dxa"/>
          </w:tcPr>
          <w:p w14:paraId="28108243" w14:textId="77777777" w:rsidR="00B419CE" w:rsidRPr="00B419CE" w:rsidRDefault="00B419CE" w:rsidP="00B32459">
            <w:r w:rsidRPr="00B419CE">
              <w:t>Statistisk sentralbyrå</w:t>
            </w:r>
          </w:p>
        </w:tc>
        <w:tc>
          <w:tcPr>
            <w:tcW w:w="1417" w:type="dxa"/>
          </w:tcPr>
          <w:p w14:paraId="1C621A96" w14:textId="77777777" w:rsidR="00B419CE" w:rsidRPr="00B419CE" w:rsidRDefault="00B419CE" w:rsidP="00B32459">
            <w:pPr>
              <w:jc w:val="right"/>
            </w:pPr>
            <w:r w:rsidRPr="00B419CE">
              <w:t>131 (77)</w:t>
            </w:r>
          </w:p>
        </w:tc>
        <w:tc>
          <w:tcPr>
            <w:tcW w:w="1276" w:type="dxa"/>
          </w:tcPr>
          <w:p w14:paraId="7AA2A296" w14:textId="77777777" w:rsidR="00B419CE" w:rsidRPr="00B419CE" w:rsidRDefault="00B419CE" w:rsidP="00B32459">
            <w:pPr>
              <w:jc w:val="right"/>
            </w:pPr>
            <w:r w:rsidRPr="00B419CE">
              <w:t>4 (1)</w:t>
            </w:r>
          </w:p>
        </w:tc>
        <w:tc>
          <w:tcPr>
            <w:tcW w:w="1592" w:type="dxa"/>
          </w:tcPr>
          <w:p w14:paraId="4C445A3D" w14:textId="77777777" w:rsidR="00B419CE" w:rsidRPr="00B419CE" w:rsidRDefault="00B419CE" w:rsidP="00B32459">
            <w:pPr>
              <w:jc w:val="right"/>
            </w:pPr>
            <w:r w:rsidRPr="00B419CE">
              <w:t xml:space="preserve">3,1 (1,3) pst. </w:t>
            </w:r>
          </w:p>
        </w:tc>
      </w:tr>
      <w:tr w:rsidR="00B419CE" w:rsidRPr="00B419CE" w14:paraId="582FBC0A" w14:textId="77777777" w:rsidTr="00B32459">
        <w:trPr>
          <w:trHeight w:val="380"/>
        </w:trPr>
        <w:tc>
          <w:tcPr>
            <w:tcW w:w="4815" w:type="dxa"/>
          </w:tcPr>
          <w:p w14:paraId="352DF26A" w14:textId="77777777" w:rsidR="00B419CE" w:rsidRPr="00B419CE" w:rsidRDefault="00B419CE" w:rsidP="00B32459">
            <w:r w:rsidRPr="00B419CE">
              <w:t>Finanstilsynet</w:t>
            </w:r>
          </w:p>
        </w:tc>
        <w:tc>
          <w:tcPr>
            <w:tcW w:w="1417" w:type="dxa"/>
          </w:tcPr>
          <w:p w14:paraId="3EB98BF9" w14:textId="77777777" w:rsidR="00B419CE" w:rsidRPr="00B419CE" w:rsidRDefault="00B419CE" w:rsidP="00B32459">
            <w:pPr>
              <w:jc w:val="right"/>
            </w:pPr>
            <w:r w:rsidRPr="00B419CE">
              <w:t>45 (40)</w:t>
            </w:r>
          </w:p>
        </w:tc>
        <w:tc>
          <w:tcPr>
            <w:tcW w:w="1276" w:type="dxa"/>
          </w:tcPr>
          <w:p w14:paraId="6F3BA386" w14:textId="77777777" w:rsidR="00B419CE" w:rsidRPr="00B419CE" w:rsidRDefault="00B419CE" w:rsidP="00B32459">
            <w:pPr>
              <w:jc w:val="right"/>
            </w:pPr>
            <w:r w:rsidRPr="00B419CE">
              <w:t>0 (2)</w:t>
            </w:r>
          </w:p>
        </w:tc>
        <w:tc>
          <w:tcPr>
            <w:tcW w:w="1592" w:type="dxa"/>
          </w:tcPr>
          <w:p w14:paraId="5DFD443D" w14:textId="77777777" w:rsidR="00B419CE" w:rsidRPr="00B419CE" w:rsidRDefault="00B419CE" w:rsidP="00B32459">
            <w:pPr>
              <w:jc w:val="right"/>
            </w:pPr>
            <w:r w:rsidRPr="00B419CE">
              <w:t xml:space="preserve">0 (5) pst. </w:t>
            </w:r>
          </w:p>
        </w:tc>
      </w:tr>
      <w:tr w:rsidR="00B419CE" w:rsidRPr="00B419CE" w14:paraId="69C2C477" w14:textId="77777777" w:rsidTr="00B32459">
        <w:trPr>
          <w:trHeight w:val="380"/>
        </w:trPr>
        <w:tc>
          <w:tcPr>
            <w:tcW w:w="4815" w:type="dxa"/>
          </w:tcPr>
          <w:p w14:paraId="3A4DAA58" w14:textId="77777777" w:rsidR="00B419CE" w:rsidRPr="00B419CE" w:rsidRDefault="00B419CE" w:rsidP="00B32459">
            <w:r w:rsidRPr="00B419CE">
              <w:t>Heile sektoren</w:t>
            </w:r>
          </w:p>
        </w:tc>
        <w:tc>
          <w:tcPr>
            <w:tcW w:w="1417" w:type="dxa"/>
          </w:tcPr>
          <w:p w14:paraId="508CBC39" w14:textId="77777777" w:rsidR="00B419CE" w:rsidRPr="00B419CE" w:rsidRDefault="00B419CE" w:rsidP="00B32459">
            <w:pPr>
              <w:jc w:val="right"/>
            </w:pPr>
            <w:r w:rsidRPr="00B419CE">
              <w:t>864 (700)</w:t>
            </w:r>
          </w:p>
        </w:tc>
        <w:tc>
          <w:tcPr>
            <w:tcW w:w="1276" w:type="dxa"/>
          </w:tcPr>
          <w:p w14:paraId="421DB0C5" w14:textId="77777777" w:rsidR="00B419CE" w:rsidRPr="00B419CE" w:rsidRDefault="00B419CE" w:rsidP="00B32459">
            <w:pPr>
              <w:jc w:val="right"/>
            </w:pPr>
            <w:r w:rsidRPr="00B419CE">
              <w:t>23 (10)</w:t>
            </w:r>
          </w:p>
        </w:tc>
        <w:tc>
          <w:tcPr>
            <w:tcW w:w="1592" w:type="dxa"/>
          </w:tcPr>
          <w:p w14:paraId="08135C26" w14:textId="77777777" w:rsidR="00B419CE" w:rsidRPr="00B419CE" w:rsidRDefault="00B419CE" w:rsidP="00B32459">
            <w:pPr>
              <w:jc w:val="right"/>
            </w:pPr>
            <w:r w:rsidRPr="00B419CE">
              <w:t xml:space="preserve">2,7 (1,4) pst. </w:t>
            </w:r>
          </w:p>
        </w:tc>
      </w:tr>
    </w:tbl>
    <w:p w14:paraId="6FF7FEF1" w14:textId="77777777" w:rsidR="00B419CE" w:rsidRPr="00B419CE" w:rsidRDefault="00B419CE" w:rsidP="00B419CE">
      <w:proofErr w:type="spellStart"/>
      <w:r w:rsidRPr="00B419CE">
        <w:t>Tala</w:t>
      </w:r>
      <w:proofErr w:type="spellEnd"/>
      <w:r w:rsidRPr="00B419CE">
        <w:t xml:space="preserve"> er </w:t>
      </w:r>
      <w:proofErr w:type="spellStart"/>
      <w:r w:rsidRPr="00B419CE">
        <w:t>frå</w:t>
      </w:r>
      <w:proofErr w:type="spellEnd"/>
      <w:r w:rsidRPr="00B419CE">
        <w:t xml:space="preserve"> 2020, med 2019-tal i parentes.</w:t>
      </w:r>
    </w:p>
    <w:p w14:paraId="17FC4B1B" w14:textId="77777777" w:rsidR="00B419CE" w:rsidRPr="00B419CE" w:rsidRDefault="00B419CE" w:rsidP="00B419CE">
      <w:pPr>
        <w:pStyle w:val="avsnitt-undertittel"/>
      </w:pPr>
      <w:proofErr w:type="spellStart"/>
      <w:r w:rsidRPr="00B419CE">
        <w:t>Nokre</w:t>
      </w:r>
      <w:proofErr w:type="spellEnd"/>
      <w:r w:rsidRPr="00B419CE">
        <w:t xml:space="preserve"> tiltak</w:t>
      </w:r>
    </w:p>
    <w:p w14:paraId="44D9FF7C" w14:textId="77777777" w:rsidR="00B419CE" w:rsidRPr="00B419CE" w:rsidRDefault="00B419CE" w:rsidP="00B419CE">
      <w:r w:rsidRPr="00B419CE">
        <w:t xml:space="preserve">På overordna nivå gjennomfører </w:t>
      </w:r>
      <w:proofErr w:type="spellStart"/>
      <w:r w:rsidRPr="00B419CE">
        <w:t>etatane</w:t>
      </w:r>
      <w:proofErr w:type="spellEnd"/>
      <w:r w:rsidRPr="00B419CE">
        <w:t xml:space="preserve"> tiltak som utlysing av </w:t>
      </w:r>
      <w:proofErr w:type="spellStart"/>
      <w:r w:rsidRPr="00B419CE">
        <w:t>stillingar</w:t>
      </w:r>
      <w:proofErr w:type="spellEnd"/>
      <w:r w:rsidRPr="00B419CE">
        <w:t xml:space="preserve"> som </w:t>
      </w:r>
      <w:proofErr w:type="spellStart"/>
      <w:r w:rsidRPr="00B419CE">
        <w:t>trainee</w:t>
      </w:r>
      <w:proofErr w:type="spellEnd"/>
      <w:r w:rsidRPr="00B419CE">
        <w:t xml:space="preserve">/målretta engasjement og </w:t>
      </w:r>
      <w:proofErr w:type="spellStart"/>
      <w:r w:rsidRPr="00B419CE">
        <w:t>dei</w:t>
      </w:r>
      <w:proofErr w:type="spellEnd"/>
      <w:r w:rsidRPr="00B419CE">
        <w:t xml:space="preserve"> inngår </w:t>
      </w:r>
      <w:proofErr w:type="spellStart"/>
      <w:r w:rsidRPr="00B419CE">
        <w:t>samarbeidsavtalar</w:t>
      </w:r>
      <w:proofErr w:type="spellEnd"/>
      <w:r w:rsidRPr="00B419CE">
        <w:t xml:space="preserve"> med Nav og andre relevante </w:t>
      </w:r>
      <w:proofErr w:type="spellStart"/>
      <w:r w:rsidRPr="00B419CE">
        <w:t>aktørar</w:t>
      </w:r>
      <w:proofErr w:type="spellEnd"/>
      <w:r w:rsidRPr="00B419CE">
        <w:t xml:space="preserve">. Det vert òg </w:t>
      </w:r>
      <w:proofErr w:type="spellStart"/>
      <w:r w:rsidRPr="00B419CE">
        <w:t>arbeidd</w:t>
      </w:r>
      <w:proofErr w:type="spellEnd"/>
      <w:r w:rsidRPr="00B419CE">
        <w:t xml:space="preserve"> med </w:t>
      </w:r>
      <w:proofErr w:type="spellStart"/>
      <w:r w:rsidRPr="00B419CE">
        <w:t>ein</w:t>
      </w:r>
      <w:proofErr w:type="spellEnd"/>
      <w:r w:rsidRPr="00B419CE">
        <w:t xml:space="preserve"> rekke </w:t>
      </w:r>
      <w:r w:rsidRPr="00B419CE">
        <w:rPr>
          <w:rStyle w:val="kursiv"/>
        </w:rPr>
        <w:t>indirekte</w:t>
      </w:r>
      <w:r w:rsidRPr="00B419CE">
        <w:t xml:space="preserve"> tiltak som analyse av </w:t>
      </w:r>
      <w:proofErr w:type="spellStart"/>
      <w:r w:rsidRPr="00B419CE">
        <w:t>søkjarmassedata</w:t>
      </w:r>
      <w:proofErr w:type="spellEnd"/>
      <w:r w:rsidRPr="00B419CE">
        <w:t xml:space="preserve"> og </w:t>
      </w:r>
      <w:proofErr w:type="spellStart"/>
      <w:r w:rsidRPr="00B419CE">
        <w:t>analysar</w:t>
      </w:r>
      <w:proofErr w:type="spellEnd"/>
      <w:r w:rsidRPr="00B419CE">
        <w:t xml:space="preserve"> av kor </w:t>
      </w:r>
      <w:proofErr w:type="spellStart"/>
      <w:r w:rsidRPr="00B419CE">
        <w:t>utfordringane</w:t>
      </w:r>
      <w:proofErr w:type="spellEnd"/>
      <w:r w:rsidRPr="00B419CE">
        <w:t xml:space="preserve"> er og utvikling av alle ledd i rekrutteringsprosessen. Inkludering er på dagsorden på alle </w:t>
      </w:r>
      <w:proofErr w:type="spellStart"/>
      <w:r w:rsidRPr="00B419CE">
        <w:t>leiarnivå</w:t>
      </w:r>
      <w:proofErr w:type="spellEnd"/>
      <w:r w:rsidRPr="00B419CE">
        <w:t xml:space="preserve">. Det er etablert </w:t>
      </w:r>
      <w:proofErr w:type="spellStart"/>
      <w:r w:rsidRPr="00B419CE">
        <w:t>ein</w:t>
      </w:r>
      <w:proofErr w:type="spellEnd"/>
      <w:r w:rsidRPr="00B419CE">
        <w:t xml:space="preserve"> overordna handlingsplan for heile sektoren, og alle </w:t>
      </w:r>
      <w:proofErr w:type="spellStart"/>
      <w:r w:rsidRPr="00B419CE">
        <w:t>etatane</w:t>
      </w:r>
      <w:proofErr w:type="spellEnd"/>
      <w:r w:rsidRPr="00B419CE">
        <w:t xml:space="preserve"> har eigne planar for oppfølging av </w:t>
      </w:r>
      <w:r w:rsidRPr="00B419CE">
        <w:rPr>
          <w:rStyle w:val="kursiv"/>
        </w:rPr>
        <w:t>Inkluderingsdugnaden</w:t>
      </w:r>
      <w:r w:rsidRPr="00B419CE">
        <w:t>.</w:t>
      </w:r>
    </w:p>
    <w:p w14:paraId="7A2B061E" w14:textId="77777777" w:rsidR="00B419CE" w:rsidRPr="00B419CE" w:rsidRDefault="00B419CE" w:rsidP="00B419CE">
      <w:pPr>
        <w:pStyle w:val="Overskrift3"/>
      </w:pPr>
      <w:r w:rsidRPr="00B419CE">
        <w:t xml:space="preserve">Likestillings- og </w:t>
      </w:r>
      <w:proofErr w:type="spellStart"/>
      <w:r w:rsidRPr="00B419CE">
        <w:t>mangfaldsarbeidet</w:t>
      </w:r>
      <w:proofErr w:type="spellEnd"/>
      <w:r w:rsidRPr="00B419CE">
        <w:t xml:space="preserve"> i </w:t>
      </w:r>
      <w:proofErr w:type="spellStart"/>
      <w:r w:rsidRPr="00B419CE">
        <w:t>etatane</w:t>
      </w:r>
      <w:proofErr w:type="spellEnd"/>
      <w:r w:rsidRPr="00B419CE">
        <w:t xml:space="preserve"> som </w:t>
      </w:r>
      <w:proofErr w:type="spellStart"/>
      <w:r w:rsidRPr="00B419CE">
        <w:t>offentleg</w:t>
      </w:r>
      <w:proofErr w:type="spellEnd"/>
      <w:r w:rsidRPr="00B419CE">
        <w:t xml:space="preserve"> </w:t>
      </w:r>
      <w:proofErr w:type="spellStart"/>
      <w:r w:rsidRPr="00B419CE">
        <w:t>myndigheit</w:t>
      </w:r>
      <w:proofErr w:type="spellEnd"/>
    </w:p>
    <w:p w14:paraId="5F96B770" w14:textId="77777777" w:rsidR="00B419CE" w:rsidRPr="00B419CE" w:rsidRDefault="00B419CE" w:rsidP="00B419CE">
      <w:r w:rsidRPr="00B419CE">
        <w:t xml:space="preserve">Alle </w:t>
      </w:r>
      <w:proofErr w:type="spellStart"/>
      <w:r w:rsidRPr="00B419CE">
        <w:t>verksemder</w:t>
      </w:r>
      <w:proofErr w:type="spellEnd"/>
      <w:r w:rsidRPr="00B419CE">
        <w:t xml:space="preserve"> skal være universelt utforma slik at alle skal kunne bruke </w:t>
      </w:r>
      <w:proofErr w:type="spellStart"/>
      <w:r w:rsidRPr="00B419CE">
        <w:t>tenestene</w:t>
      </w:r>
      <w:proofErr w:type="spellEnd"/>
      <w:r w:rsidRPr="00B419CE">
        <w:t xml:space="preserve"> både i fysiske lokale og på </w:t>
      </w:r>
      <w:proofErr w:type="spellStart"/>
      <w:r w:rsidRPr="00B419CE">
        <w:t>etatanes</w:t>
      </w:r>
      <w:proofErr w:type="spellEnd"/>
      <w:r w:rsidRPr="00B419CE">
        <w:t xml:space="preserve"> heimesider. </w:t>
      </w:r>
      <w:proofErr w:type="spellStart"/>
      <w:r w:rsidRPr="00B419CE">
        <w:t>Etatane</w:t>
      </w:r>
      <w:proofErr w:type="spellEnd"/>
      <w:r w:rsidRPr="00B419CE">
        <w:t xml:space="preserve"> har i </w:t>
      </w:r>
      <w:proofErr w:type="spellStart"/>
      <w:r w:rsidRPr="00B419CE">
        <w:t>varierande</w:t>
      </w:r>
      <w:proofErr w:type="spellEnd"/>
      <w:r w:rsidRPr="00B419CE">
        <w:t xml:space="preserve"> grad publikumskontakt, men </w:t>
      </w:r>
      <w:proofErr w:type="spellStart"/>
      <w:r w:rsidRPr="00B419CE">
        <w:t>nedanfor</w:t>
      </w:r>
      <w:proofErr w:type="spellEnd"/>
      <w:r w:rsidRPr="00B419CE">
        <w:t xml:space="preserve"> er det </w:t>
      </w:r>
      <w:proofErr w:type="spellStart"/>
      <w:r w:rsidRPr="00B419CE">
        <w:t>nokre</w:t>
      </w:r>
      <w:proofErr w:type="spellEnd"/>
      <w:r w:rsidRPr="00B419CE">
        <w:t xml:space="preserve"> døme på tiltak rundt tema som identifisering av eventuell diskriminering av </w:t>
      </w:r>
      <w:proofErr w:type="spellStart"/>
      <w:r w:rsidRPr="00B419CE">
        <w:t>brukarar</w:t>
      </w:r>
      <w:proofErr w:type="spellEnd"/>
      <w:r w:rsidRPr="00B419CE">
        <w:t xml:space="preserve">, kompetansehevingstiltak, </w:t>
      </w:r>
      <w:proofErr w:type="spellStart"/>
      <w:r w:rsidRPr="00B419CE">
        <w:t>brukarundersøkingar</w:t>
      </w:r>
      <w:proofErr w:type="spellEnd"/>
      <w:r w:rsidRPr="00B419CE">
        <w:t xml:space="preserve"> og kommunikasjon med </w:t>
      </w:r>
      <w:proofErr w:type="spellStart"/>
      <w:r w:rsidRPr="00B419CE">
        <w:t>brukarar</w:t>
      </w:r>
      <w:proofErr w:type="spellEnd"/>
      <w:r w:rsidRPr="00B419CE">
        <w:t>.</w:t>
      </w:r>
    </w:p>
    <w:p w14:paraId="34083E59" w14:textId="77777777" w:rsidR="00B419CE" w:rsidRPr="00B419CE" w:rsidRDefault="00B419CE" w:rsidP="00B419CE">
      <w:pPr>
        <w:pStyle w:val="avsnitt-undertittel"/>
      </w:pPr>
      <w:r w:rsidRPr="00B419CE">
        <w:lastRenderedPageBreak/>
        <w:t xml:space="preserve">Identifisering av eventuell diskriminering av </w:t>
      </w:r>
      <w:proofErr w:type="spellStart"/>
      <w:r w:rsidRPr="00B419CE">
        <w:t>brukarar</w:t>
      </w:r>
      <w:proofErr w:type="spellEnd"/>
    </w:p>
    <w:p w14:paraId="3B4C9D12" w14:textId="77777777" w:rsidR="00B419CE" w:rsidRPr="00B419CE" w:rsidRDefault="00B419CE" w:rsidP="00B419CE">
      <w:pPr>
        <w:rPr>
          <w:rStyle w:val="kursiv"/>
        </w:rPr>
      </w:pPr>
      <w:r w:rsidRPr="00B419CE">
        <w:rPr>
          <w:rStyle w:val="kursiv"/>
        </w:rPr>
        <w:t>Skatteetaten</w:t>
      </w:r>
      <w:r w:rsidRPr="00B419CE">
        <w:t xml:space="preserve"> starta i 2020 med å </w:t>
      </w:r>
      <w:proofErr w:type="spellStart"/>
      <w:r w:rsidRPr="00B419CE">
        <w:t>kartleggje</w:t>
      </w:r>
      <w:proofErr w:type="spellEnd"/>
      <w:r w:rsidRPr="00B419CE">
        <w:t xml:space="preserve"> </w:t>
      </w:r>
      <w:proofErr w:type="spellStart"/>
      <w:r w:rsidRPr="00B419CE">
        <w:t>risikofaktorar</w:t>
      </w:r>
      <w:proofErr w:type="spellEnd"/>
      <w:r w:rsidRPr="00B419CE">
        <w:t xml:space="preserve"> og lage plan for gjennomføring av risikovurderinga av likestilling og </w:t>
      </w:r>
      <w:proofErr w:type="spellStart"/>
      <w:r w:rsidRPr="00B419CE">
        <w:t>mangfald</w:t>
      </w:r>
      <w:proofErr w:type="spellEnd"/>
      <w:r w:rsidRPr="00B419CE">
        <w:t xml:space="preserve"> som skal </w:t>
      </w:r>
      <w:proofErr w:type="spellStart"/>
      <w:r w:rsidRPr="00B419CE">
        <w:t>gjennomførast</w:t>
      </w:r>
      <w:proofErr w:type="spellEnd"/>
      <w:r w:rsidRPr="00B419CE">
        <w:t xml:space="preserve"> i 2021. Resultata </w:t>
      </w:r>
      <w:proofErr w:type="spellStart"/>
      <w:r w:rsidRPr="00B419CE">
        <w:t>frå</w:t>
      </w:r>
      <w:proofErr w:type="spellEnd"/>
      <w:r w:rsidRPr="00B419CE">
        <w:t xml:space="preserve"> risikovurderinga vert grunnlag for tiltak og for korleis etaten skal arbeide </w:t>
      </w:r>
      <w:proofErr w:type="spellStart"/>
      <w:r w:rsidRPr="00B419CE">
        <w:t>vidare</w:t>
      </w:r>
      <w:proofErr w:type="spellEnd"/>
      <w:r w:rsidRPr="00B419CE">
        <w:t xml:space="preserve"> med likestilling og </w:t>
      </w:r>
      <w:proofErr w:type="spellStart"/>
      <w:r w:rsidRPr="00B419CE">
        <w:t>mangfald</w:t>
      </w:r>
      <w:proofErr w:type="spellEnd"/>
      <w:r w:rsidRPr="00B419CE">
        <w:t>.</w:t>
      </w:r>
    </w:p>
    <w:p w14:paraId="053292FC" w14:textId="77777777" w:rsidR="00B419CE" w:rsidRPr="00B419CE" w:rsidRDefault="00B419CE" w:rsidP="00B419CE">
      <w:pPr>
        <w:pStyle w:val="avsnitt-undertittel"/>
      </w:pPr>
      <w:r w:rsidRPr="00B419CE">
        <w:t>Kompetansehevingstiltak</w:t>
      </w:r>
    </w:p>
    <w:p w14:paraId="003D800E" w14:textId="77777777" w:rsidR="00B419CE" w:rsidRPr="00B419CE" w:rsidRDefault="00B419CE" w:rsidP="00B419CE">
      <w:pPr>
        <w:rPr>
          <w:rStyle w:val="kursiv"/>
        </w:rPr>
      </w:pPr>
      <w:r w:rsidRPr="00B419CE">
        <w:rPr>
          <w:rStyle w:val="kursiv"/>
        </w:rPr>
        <w:t>Skatteetaten</w:t>
      </w:r>
      <w:r w:rsidRPr="00B419CE">
        <w:t xml:space="preserve"> har i mange år hatt etablerte </w:t>
      </w:r>
      <w:proofErr w:type="spellStart"/>
      <w:r w:rsidRPr="00B419CE">
        <w:t>metodar</w:t>
      </w:r>
      <w:proofErr w:type="spellEnd"/>
      <w:r w:rsidRPr="00B419CE">
        <w:t xml:space="preserve"> for korleis den skal ha brukarfokus og brukskvalitet i utvikling av </w:t>
      </w:r>
      <w:proofErr w:type="spellStart"/>
      <w:r w:rsidRPr="00B419CE">
        <w:t>tenestene</w:t>
      </w:r>
      <w:proofErr w:type="spellEnd"/>
      <w:r w:rsidRPr="00B419CE">
        <w:t xml:space="preserve">. For at behovet til </w:t>
      </w:r>
      <w:proofErr w:type="spellStart"/>
      <w:r w:rsidRPr="00B419CE">
        <w:t>brukarane</w:t>
      </w:r>
      <w:proofErr w:type="spellEnd"/>
      <w:r w:rsidRPr="00B419CE">
        <w:t xml:space="preserve"> skal </w:t>
      </w:r>
      <w:proofErr w:type="spellStart"/>
      <w:r w:rsidRPr="00B419CE">
        <w:t>vere</w:t>
      </w:r>
      <w:proofErr w:type="spellEnd"/>
      <w:r w:rsidRPr="00B419CE">
        <w:t xml:space="preserve"> </w:t>
      </w:r>
      <w:proofErr w:type="spellStart"/>
      <w:r w:rsidRPr="00B419CE">
        <w:t>tydeleg</w:t>
      </w:r>
      <w:proofErr w:type="spellEnd"/>
      <w:r w:rsidRPr="00B419CE">
        <w:t xml:space="preserve"> i alt utviklingsarbeid, arbeider etaten </w:t>
      </w:r>
      <w:proofErr w:type="spellStart"/>
      <w:r w:rsidRPr="00B419CE">
        <w:t>no</w:t>
      </w:r>
      <w:proofErr w:type="spellEnd"/>
      <w:r w:rsidRPr="00B419CE">
        <w:t xml:space="preserve"> fram </w:t>
      </w:r>
      <w:proofErr w:type="spellStart"/>
      <w:r w:rsidRPr="00B419CE">
        <w:t>ein</w:t>
      </w:r>
      <w:proofErr w:type="spellEnd"/>
      <w:r w:rsidRPr="00B419CE">
        <w:t xml:space="preserve"> ny utviklingsmetode for å </w:t>
      </w:r>
      <w:proofErr w:type="spellStart"/>
      <w:r w:rsidRPr="00B419CE">
        <w:t>styrkje</w:t>
      </w:r>
      <w:proofErr w:type="spellEnd"/>
      <w:r w:rsidRPr="00B419CE">
        <w:t xml:space="preserve"> </w:t>
      </w:r>
      <w:proofErr w:type="spellStart"/>
      <w:r w:rsidRPr="00B419CE">
        <w:t>brukarorienteringa</w:t>
      </w:r>
      <w:proofErr w:type="spellEnd"/>
      <w:r w:rsidRPr="00B419CE">
        <w:t xml:space="preserve">, </w:t>
      </w:r>
      <w:proofErr w:type="spellStart"/>
      <w:r w:rsidRPr="00B419CE">
        <w:t>gje</w:t>
      </w:r>
      <w:proofErr w:type="spellEnd"/>
      <w:r w:rsidRPr="00B419CE">
        <w:t xml:space="preserve"> betre brukarinnsikt og vite korleis det skal </w:t>
      </w:r>
      <w:proofErr w:type="spellStart"/>
      <w:r w:rsidRPr="00B419CE">
        <w:t>brukartestast</w:t>
      </w:r>
      <w:proofErr w:type="spellEnd"/>
      <w:r w:rsidRPr="00B419CE">
        <w:t xml:space="preserve">. Etaten har </w:t>
      </w:r>
      <w:proofErr w:type="spellStart"/>
      <w:r w:rsidRPr="00B419CE">
        <w:t>vegvisar</w:t>
      </w:r>
      <w:proofErr w:type="spellEnd"/>
      <w:r w:rsidRPr="00B419CE">
        <w:t xml:space="preserve"> for </w:t>
      </w:r>
      <w:proofErr w:type="gramStart"/>
      <w:r w:rsidRPr="00B419CE">
        <w:t>tilsette</w:t>
      </w:r>
      <w:proofErr w:type="gramEnd"/>
      <w:r w:rsidRPr="00B419CE">
        <w:t xml:space="preserve"> der </w:t>
      </w:r>
      <w:proofErr w:type="spellStart"/>
      <w:r w:rsidRPr="00B419CE">
        <w:t>dei</w:t>
      </w:r>
      <w:proofErr w:type="spellEnd"/>
      <w:r w:rsidRPr="00B419CE">
        <w:t xml:space="preserve"> kan finne ulike kurs om universell utforming.</w:t>
      </w:r>
    </w:p>
    <w:p w14:paraId="52663688" w14:textId="77777777" w:rsidR="00B419CE" w:rsidRPr="00B419CE" w:rsidRDefault="00B419CE" w:rsidP="00B419CE">
      <w:pPr>
        <w:rPr>
          <w:rStyle w:val="kursiv"/>
        </w:rPr>
      </w:pPr>
      <w:r w:rsidRPr="00B419CE">
        <w:rPr>
          <w:rStyle w:val="kursiv"/>
        </w:rPr>
        <w:t>Finanstilsynet</w:t>
      </w:r>
      <w:r w:rsidRPr="00B419CE">
        <w:t xml:space="preserve"> har </w:t>
      </w:r>
      <w:proofErr w:type="spellStart"/>
      <w:r w:rsidRPr="00B419CE">
        <w:t>halde</w:t>
      </w:r>
      <w:proofErr w:type="spellEnd"/>
      <w:r w:rsidRPr="00B419CE">
        <w:t xml:space="preserve"> foredrag i regi av Direktoratet for forvaltning og økonomistyring om korleis </w:t>
      </w:r>
      <w:proofErr w:type="spellStart"/>
      <w:r w:rsidRPr="00B419CE">
        <w:t>leiarar</w:t>
      </w:r>
      <w:proofErr w:type="spellEnd"/>
      <w:r w:rsidRPr="00B419CE">
        <w:t xml:space="preserve"> spiller </w:t>
      </w:r>
      <w:proofErr w:type="spellStart"/>
      <w:r w:rsidRPr="00B419CE">
        <w:t>ein</w:t>
      </w:r>
      <w:proofErr w:type="spellEnd"/>
      <w:r w:rsidRPr="00B419CE">
        <w:t xml:space="preserve"> viktig rolle i arbeidet med </w:t>
      </w:r>
      <w:r w:rsidRPr="00B419CE">
        <w:rPr>
          <w:rStyle w:val="kursiv"/>
        </w:rPr>
        <w:t>Inkluderingsdugnaden</w:t>
      </w:r>
      <w:r w:rsidRPr="00B419CE">
        <w:t>.</w:t>
      </w:r>
    </w:p>
    <w:p w14:paraId="3646E802" w14:textId="77777777" w:rsidR="00B419CE" w:rsidRPr="00B419CE" w:rsidRDefault="00B419CE" w:rsidP="00B419CE">
      <w:pPr>
        <w:pStyle w:val="avsnitt-undertittel"/>
      </w:pPr>
      <w:proofErr w:type="spellStart"/>
      <w:r w:rsidRPr="00B419CE">
        <w:t>Brukarundersøkingar</w:t>
      </w:r>
      <w:proofErr w:type="spellEnd"/>
      <w:r w:rsidRPr="00B419CE">
        <w:t xml:space="preserve"> om behov for </w:t>
      </w:r>
      <w:proofErr w:type="spellStart"/>
      <w:r w:rsidRPr="00B419CE">
        <w:t>tilgjenge</w:t>
      </w:r>
      <w:proofErr w:type="spellEnd"/>
      <w:r w:rsidRPr="00B419CE">
        <w:t xml:space="preserve">, tilrettelegging av språk, religion og livssyn og om </w:t>
      </w:r>
      <w:proofErr w:type="spellStart"/>
      <w:r w:rsidRPr="00B419CE">
        <w:t>nokon</w:t>
      </w:r>
      <w:proofErr w:type="spellEnd"/>
      <w:r w:rsidRPr="00B419CE">
        <w:t xml:space="preserve"> føler seg utsett for stereotypisering i direkte kommunikasjon eller i informasjonsmateriell</w:t>
      </w:r>
    </w:p>
    <w:p w14:paraId="593F6C77" w14:textId="77777777" w:rsidR="00B419CE" w:rsidRPr="00B419CE" w:rsidRDefault="00B419CE" w:rsidP="00B419CE">
      <w:pPr>
        <w:rPr>
          <w:rStyle w:val="kursiv"/>
        </w:rPr>
      </w:pPr>
      <w:r w:rsidRPr="00B419CE">
        <w:rPr>
          <w:rStyle w:val="kursiv"/>
        </w:rPr>
        <w:t>Skatteetaten</w:t>
      </w:r>
      <w:r w:rsidRPr="00B419CE">
        <w:t xml:space="preserve"> har </w:t>
      </w:r>
      <w:proofErr w:type="spellStart"/>
      <w:r w:rsidRPr="00B419CE">
        <w:t>ikkje</w:t>
      </w:r>
      <w:proofErr w:type="spellEnd"/>
      <w:r w:rsidRPr="00B419CE">
        <w:t xml:space="preserve"> gjennomført </w:t>
      </w:r>
      <w:proofErr w:type="spellStart"/>
      <w:r w:rsidRPr="00B419CE">
        <w:t>brukarundersøkingar</w:t>
      </w:r>
      <w:proofErr w:type="spellEnd"/>
      <w:r w:rsidRPr="00B419CE">
        <w:t xml:space="preserve"> som </w:t>
      </w:r>
      <w:proofErr w:type="spellStart"/>
      <w:r w:rsidRPr="00B419CE">
        <w:t>dekkjer</w:t>
      </w:r>
      <w:proofErr w:type="spellEnd"/>
      <w:r w:rsidRPr="00B419CE">
        <w:t xml:space="preserve"> dette området i 2020, men kartlegginga som vert gjennomført i 2021, vil kunne </w:t>
      </w:r>
      <w:proofErr w:type="spellStart"/>
      <w:r w:rsidRPr="00B419CE">
        <w:t>gje</w:t>
      </w:r>
      <w:proofErr w:type="spellEnd"/>
      <w:r w:rsidRPr="00B419CE">
        <w:t xml:space="preserve"> </w:t>
      </w:r>
      <w:proofErr w:type="spellStart"/>
      <w:r w:rsidRPr="00B419CE">
        <w:t>nokre</w:t>
      </w:r>
      <w:proofErr w:type="spellEnd"/>
      <w:r w:rsidRPr="00B419CE">
        <w:t xml:space="preserve"> svar på eventuelle behov for </w:t>
      </w:r>
      <w:proofErr w:type="spellStart"/>
      <w:r w:rsidRPr="00B419CE">
        <w:t>tilgjenge</w:t>
      </w:r>
      <w:proofErr w:type="spellEnd"/>
      <w:r w:rsidRPr="00B419CE">
        <w:t xml:space="preserve"> og tilrettelegging. Spørsmåla om </w:t>
      </w:r>
      <w:proofErr w:type="spellStart"/>
      <w:r w:rsidRPr="00B419CE">
        <w:t>nokon</w:t>
      </w:r>
      <w:proofErr w:type="spellEnd"/>
      <w:r w:rsidRPr="00B419CE">
        <w:t xml:space="preserve"> kjenner seg utsette for stereotypisering i direkte kommunikasjon eller i informasjonsmateriell, vert vurdert </w:t>
      </w:r>
      <w:proofErr w:type="spellStart"/>
      <w:r w:rsidRPr="00B419CE">
        <w:t>tekne</w:t>
      </w:r>
      <w:proofErr w:type="spellEnd"/>
      <w:r w:rsidRPr="00B419CE">
        <w:t xml:space="preserve"> inn i Skatteetaten sine </w:t>
      </w:r>
      <w:proofErr w:type="spellStart"/>
      <w:r w:rsidRPr="00B419CE">
        <w:t>brukarundersøkingar</w:t>
      </w:r>
      <w:proofErr w:type="spellEnd"/>
      <w:r w:rsidRPr="00B419CE">
        <w:t>.</w:t>
      </w:r>
    </w:p>
    <w:p w14:paraId="713105F7" w14:textId="77777777" w:rsidR="00B419CE" w:rsidRPr="00B419CE" w:rsidRDefault="00B419CE" w:rsidP="00B419CE">
      <w:pPr>
        <w:rPr>
          <w:rStyle w:val="kursiv"/>
        </w:rPr>
      </w:pPr>
      <w:r w:rsidRPr="00B419CE">
        <w:rPr>
          <w:rStyle w:val="kursiv"/>
        </w:rPr>
        <w:t>Statistisk sentralbyrå</w:t>
      </w:r>
      <w:r w:rsidRPr="00B419CE">
        <w:t xml:space="preserve"> har </w:t>
      </w:r>
      <w:proofErr w:type="spellStart"/>
      <w:r w:rsidRPr="00B419CE">
        <w:t>spørjeundersøkingar</w:t>
      </w:r>
      <w:proofErr w:type="spellEnd"/>
      <w:r w:rsidRPr="00B419CE">
        <w:t xml:space="preserve"> der informasjonsmateriellet vert utarbeidd på morsmålet (t.d. polsk, litauisk eller urdu) til grupper som skal svare på </w:t>
      </w:r>
      <w:proofErr w:type="spellStart"/>
      <w:r w:rsidRPr="00B419CE">
        <w:t>undersøkingane</w:t>
      </w:r>
      <w:proofErr w:type="spellEnd"/>
      <w:r w:rsidRPr="00B419CE">
        <w:t>.</w:t>
      </w:r>
    </w:p>
    <w:p w14:paraId="00BED4CA" w14:textId="77777777" w:rsidR="00B419CE" w:rsidRPr="00B419CE" w:rsidRDefault="00B419CE" w:rsidP="00B419CE">
      <w:pPr>
        <w:pStyle w:val="avsnitt-undertittel"/>
      </w:pPr>
      <w:proofErr w:type="spellStart"/>
      <w:r w:rsidRPr="00B419CE">
        <w:t>Tilgjenge</w:t>
      </w:r>
      <w:proofErr w:type="spellEnd"/>
      <w:r w:rsidRPr="00B419CE">
        <w:t xml:space="preserve"> </w:t>
      </w:r>
      <w:proofErr w:type="spellStart"/>
      <w:r w:rsidRPr="00B419CE">
        <w:t>lokalar</w:t>
      </w:r>
      <w:proofErr w:type="spellEnd"/>
      <w:r w:rsidRPr="00B419CE">
        <w:t xml:space="preserve"> og digitale </w:t>
      </w:r>
      <w:proofErr w:type="spellStart"/>
      <w:r w:rsidRPr="00B419CE">
        <w:t>tenester</w:t>
      </w:r>
      <w:proofErr w:type="spellEnd"/>
    </w:p>
    <w:p w14:paraId="33F5E6D5" w14:textId="77777777" w:rsidR="00B419CE" w:rsidRPr="00B419CE" w:rsidRDefault="00B419CE" w:rsidP="00B419CE">
      <w:pPr>
        <w:rPr>
          <w:rStyle w:val="kursiv"/>
        </w:rPr>
      </w:pPr>
      <w:r w:rsidRPr="00B419CE">
        <w:rPr>
          <w:rStyle w:val="kursiv"/>
        </w:rPr>
        <w:t>Skatteetaten</w:t>
      </w:r>
      <w:r w:rsidRPr="00B419CE">
        <w:t xml:space="preserve"> starta i 2020 </w:t>
      </w:r>
      <w:proofErr w:type="spellStart"/>
      <w:r w:rsidRPr="00B419CE">
        <w:t>eit</w:t>
      </w:r>
      <w:proofErr w:type="spellEnd"/>
      <w:r w:rsidRPr="00B419CE">
        <w:t xml:space="preserve"> forprosjekt for universell utforming ut i </w:t>
      </w:r>
      <w:proofErr w:type="spellStart"/>
      <w:r w:rsidRPr="00B419CE">
        <w:t>frå</w:t>
      </w:r>
      <w:proofErr w:type="spellEnd"/>
      <w:r w:rsidRPr="00B419CE">
        <w:t xml:space="preserve"> innføringa av EUs </w:t>
      </w:r>
      <w:proofErr w:type="spellStart"/>
      <w:r w:rsidRPr="00B419CE">
        <w:t>webdirektiv</w:t>
      </w:r>
      <w:proofErr w:type="spellEnd"/>
      <w:r w:rsidRPr="00B419CE">
        <w:t xml:space="preserve"> (WAD – om universell utforming av IKT). Forprosjektet sine tre </w:t>
      </w:r>
      <w:proofErr w:type="spellStart"/>
      <w:r w:rsidRPr="00B419CE">
        <w:t>hovudleveransar</w:t>
      </w:r>
      <w:proofErr w:type="spellEnd"/>
      <w:r w:rsidRPr="00B419CE">
        <w:t xml:space="preserve"> er kartlegging av status på universell utforming i </w:t>
      </w:r>
      <w:proofErr w:type="spellStart"/>
      <w:r w:rsidRPr="00B419CE">
        <w:t>noverande</w:t>
      </w:r>
      <w:proofErr w:type="spellEnd"/>
      <w:r w:rsidRPr="00B419CE">
        <w:t xml:space="preserve"> </w:t>
      </w:r>
      <w:proofErr w:type="spellStart"/>
      <w:r w:rsidRPr="00B419CE">
        <w:t>løysingar</w:t>
      </w:r>
      <w:proofErr w:type="spellEnd"/>
      <w:r w:rsidRPr="00B419CE">
        <w:t xml:space="preserve">, </w:t>
      </w:r>
      <w:proofErr w:type="spellStart"/>
      <w:r w:rsidRPr="00B419CE">
        <w:t>planleggje</w:t>
      </w:r>
      <w:proofErr w:type="spellEnd"/>
      <w:r w:rsidRPr="00B419CE">
        <w:t xml:space="preserve"> tiltak for status og kontroll i forvaltningssituasjon og identifisere og gjennomføre kompetansetiltak.</w:t>
      </w:r>
    </w:p>
    <w:p w14:paraId="7BA53B9D" w14:textId="77777777" w:rsidR="00B419CE" w:rsidRPr="00B419CE" w:rsidRDefault="00B419CE" w:rsidP="00B419CE">
      <w:pPr>
        <w:rPr>
          <w:rStyle w:val="kursiv"/>
        </w:rPr>
      </w:pPr>
      <w:r w:rsidRPr="00B419CE">
        <w:rPr>
          <w:rStyle w:val="kursiv"/>
        </w:rPr>
        <w:t>Statistisk sentralbyrå</w:t>
      </w:r>
      <w:r w:rsidRPr="00B419CE">
        <w:t xml:space="preserve"> har utarbeidd nye </w:t>
      </w:r>
      <w:proofErr w:type="spellStart"/>
      <w:r w:rsidRPr="00B419CE">
        <w:t>løysingar</w:t>
      </w:r>
      <w:proofErr w:type="spellEnd"/>
      <w:r w:rsidRPr="00B419CE">
        <w:t xml:space="preserve"> for </w:t>
      </w:r>
      <w:proofErr w:type="spellStart"/>
      <w:r w:rsidRPr="00B419CE">
        <w:t>ein</w:t>
      </w:r>
      <w:proofErr w:type="spellEnd"/>
      <w:r w:rsidRPr="00B419CE">
        <w:t xml:space="preserve"> </w:t>
      </w:r>
      <w:proofErr w:type="spellStart"/>
      <w:r w:rsidRPr="00B419CE">
        <w:t>meir</w:t>
      </w:r>
      <w:proofErr w:type="spellEnd"/>
      <w:r w:rsidRPr="00B419CE">
        <w:t xml:space="preserve"> </w:t>
      </w:r>
      <w:proofErr w:type="spellStart"/>
      <w:r w:rsidRPr="00B419CE">
        <w:t>brukarvenleg</w:t>
      </w:r>
      <w:proofErr w:type="spellEnd"/>
      <w:r w:rsidRPr="00B419CE">
        <w:t xml:space="preserve"> statistikkbank. Alle </w:t>
      </w:r>
      <w:proofErr w:type="spellStart"/>
      <w:r w:rsidRPr="00B419CE">
        <w:t>statistikkar</w:t>
      </w:r>
      <w:proofErr w:type="spellEnd"/>
      <w:r w:rsidRPr="00B419CE">
        <w:t xml:space="preserve"> og mange </w:t>
      </w:r>
      <w:proofErr w:type="spellStart"/>
      <w:r w:rsidRPr="00B419CE">
        <w:t>artiklar</w:t>
      </w:r>
      <w:proofErr w:type="spellEnd"/>
      <w:r w:rsidRPr="00B419CE">
        <w:t xml:space="preserve"> vert òg oversette til engelsk. Dei fleste sidene har </w:t>
      </w:r>
      <w:proofErr w:type="spellStart"/>
      <w:r w:rsidRPr="00B419CE">
        <w:t>ein</w:t>
      </w:r>
      <w:proofErr w:type="spellEnd"/>
      <w:r w:rsidRPr="00B419CE">
        <w:t xml:space="preserve"> tilbakemeldingsfunksjon.</w:t>
      </w:r>
    </w:p>
    <w:p w14:paraId="0CECF142" w14:textId="77777777" w:rsidR="00B419CE" w:rsidRPr="00B419CE" w:rsidRDefault="00B419CE" w:rsidP="00B419CE">
      <w:pPr>
        <w:pStyle w:val="avsnitt-undertittel"/>
      </w:pPr>
      <w:r w:rsidRPr="00B419CE">
        <w:t>Rekrutteringsmateriell</w:t>
      </w:r>
    </w:p>
    <w:p w14:paraId="78F02C8B" w14:textId="77777777" w:rsidR="00B419CE" w:rsidRPr="00B419CE" w:rsidRDefault="00B419CE" w:rsidP="00B419CE">
      <w:pPr>
        <w:rPr>
          <w:rStyle w:val="kursiv"/>
        </w:rPr>
      </w:pPr>
      <w:r w:rsidRPr="00B419CE">
        <w:rPr>
          <w:rStyle w:val="kursiv"/>
        </w:rPr>
        <w:t>Skatteetaten</w:t>
      </w:r>
      <w:r w:rsidRPr="00B419CE">
        <w:t xml:space="preserve"> </w:t>
      </w:r>
      <w:proofErr w:type="spellStart"/>
      <w:r w:rsidRPr="00B419CE">
        <w:t>vidareutviklar</w:t>
      </w:r>
      <w:proofErr w:type="spellEnd"/>
      <w:r w:rsidRPr="00B419CE">
        <w:t xml:space="preserve"> jobbanalysen og legg inn spørsmål som er retta mot målgruppene, </w:t>
      </w:r>
      <w:proofErr w:type="spellStart"/>
      <w:r w:rsidRPr="00B419CE">
        <w:t>tilpassar</w:t>
      </w:r>
      <w:proofErr w:type="spellEnd"/>
      <w:r w:rsidRPr="00B419CE">
        <w:t xml:space="preserve"> </w:t>
      </w:r>
      <w:proofErr w:type="spellStart"/>
      <w:r w:rsidRPr="00B419CE">
        <w:t>utlysingane</w:t>
      </w:r>
      <w:proofErr w:type="spellEnd"/>
      <w:r w:rsidRPr="00B419CE">
        <w:t xml:space="preserve"> for å nå målgruppa og vil at </w:t>
      </w:r>
      <w:proofErr w:type="spellStart"/>
      <w:r w:rsidRPr="00B419CE">
        <w:t>dei</w:t>
      </w:r>
      <w:proofErr w:type="spellEnd"/>
      <w:r w:rsidRPr="00B419CE">
        <w:t xml:space="preserve"> skal vise etaten sitt mål om å tilsette </w:t>
      </w:r>
      <w:proofErr w:type="spellStart"/>
      <w:r w:rsidRPr="00B419CE">
        <w:t>personar</w:t>
      </w:r>
      <w:proofErr w:type="spellEnd"/>
      <w:r w:rsidRPr="00B419CE">
        <w:t xml:space="preserve"> med nedsett funksjonsevne og «</w:t>
      </w:r>
      <w:proofErr w:type="spellStart"/>
      <w:r w:rsidRPr="00B419CE">
        <w:rPr>
          <w:rStyle w:val="kursiv"/>
        </w:rPr>
        <w:t>hòl</w:t>
      </w:r>
      <w:proofErr w:type="spellEnd"/>
      <w:r w:rsidRPr="00B419CE">
        <w:rPr>
          <w:rStyle w:val="kursiv"/>
        </w:rPr>
        <w:t xml:space="preserve"> i CV-en</w:t>
      </w:r>
      <w:r w:rsidRPr="00B419CE">
        <w:t xml:space="preserve">», </w:t>
      </w:r>
      <w:proofErr w:type="spellStart"/>
      <w:r w:rsidRPr="00B419CE">
        <w:t>sørgje</w:t>
      </w:r>
      <w:proofErr w:type="spellEnd"/>
      <w:r w:rsidRPr="00B419CE">
        <w:t xml:space="preserve"> for at kvalifikasjonskrava </w:t>
      </w:r>
      <w:proofErr w:type="spellStart"/>
      <w:r w:rsidRPr="00B419CE">
        <w:t>ikkje</w:t>
      </w:r>
      <w:proofErr w:type="spellEnd"/>
      <w:r w:rsidRPr="00B419CE">
        <w:t xml:space="preserve"> diskriminerer eller </w:t>
      </w:r>
      <w:proofErr w:type="spellStart"/>
      <w:r w:rsidRPr="00B419CE">
        <w:t>stengjer</w:t>
      </w:r>
      <w:proofErr w:type="spellEnd"/>
      <w:r w:rsidRPr="00B419CE">
        <w:t xml:space="preserve"> ute, og bruke språk og </w:t>
      </w:r>
      <w:proofErr w:type="spellStart"/>
      <w:r w:rsidRPr="00B419CE">
        <w:t>bilete</w:t>
      </w:r>
      <w:proofErr w:type="spellEnd"/>
      <w:r w:rsidRPr="00B419CE">
        <w:t xml:space="preserve"> som viser </w:t>
      </w:r>
      <w:proofErr w:type="spellStart"/>
      <w:r w:rsidRPr="00B419CE">
        <w:t>mangfald</w:t>
      </w:r>
      <w:proofErr w:type="spellEnd"/>
      <w:r w:rsidRPr="00B419CE">
        <w:t xml:space="preserve"> og er </w:t>
      </w:r>
      <w:proofErr w:type="spellStart"/>
      <w:r w:rsidRPr="00B419CE">
        <w:t>inkluderande</w:t>
      </w:r>
      <w:proofErr w:type="spellEnd"/>
      <w:r w:rsidRPr="00B419CE">
        <w:t>.</w:t>
      </w:r>
    </w:p>
    <w:p w14:paraId="30E9B9D9" w14:textId="77777777" w:rsidR="00B419CE" w:rsidRPr="00B419CE" w:rsidRDefault="00B419CE" w:rsidP="00B419CE">
      <w:pPr>
        <w:pStyle w:val="avsnitt-undertittel"/>
      </w:pPr>
      <w:r w:rsidRPr="00B419CE">
        <w:lastRenderedPageBreak/>
        <w:t xml:space="preserve">Informasjonsmateriell om </w:t>
      </w:r>
      <w:proofErr w:type="spellStart"/>
      <w:r w:rsidRPr="00B419CE">
        <w:t>tenester</w:t>
      </w:r>
      <w:proofErr w:type="spellEnd"/>
      <w:r w:rsidRPr="00B419CE">
        <w:t xml:space="preserve"> (språk, informasjon retta mot grupper)</w:t>
      </w:r>
    </w:p>
    <w:p w14:paraId="118B7C4C" w14:textId="77777777" w:rsidR="00B419CE" w:rsidRPr="00B419CE" w:rsidRDefault="00B419CE" w:rsidP="00B419CE">
      <w:pPr>
        <w:rPr>
          <w:rStyle w:val="kursiv"/>
        </w:rPr>
      </w:pPr>
      <w:r w:rsidRPr="00B419CE">
        <w:rPr>
          <w:rStyle w:val="kursiv"/>
        </w:rPr>
        <w:t>Skatteetaten</w:t>
      </w:r>
      <w:r w:rsidRPr="00B419CE">
        <w:t xml:space="preserve"> har </w:t>
      </w:r>
      <w:proofErr w:type="spellStart"/>
      <w:r w:rsidRPr="00B419CE">
        <w:t>rutinar</w:t>
      </w:r>
      <w:proofErr w:type="spellEnd"/>
      <w:r w:rsidRPr="00B419CE">
        <w:t xml:space="preserve"> og </w:t>
      </w:r>
      <w:proofErr w:type="spellStart"/>
      <w:r w:rsidRPr="00B419CE">
        <w:t>brukarrådgjevinger</w:t>
      </w:r>
      <w:proofErr w:type="spellEnd"/>
      <w:r w:rsidRPr="00B419CE">
        <w:t xml:space="preserve"> for alle saker som skal publiserast på kundeservicesidene. Den har laga eige nettstad for interne og </w:t>
      </w:r>
      <w:proofErr w:type="spellStart"/>
      <w:r w:rsidRPr="00B419CE">
        <w:t>samarbeidspartnarar</w:t>
      </w:r>
      <w:proofErr w:type="spellEnd"/>
      <w:r w:rsidRPr="00B419CE">
        <w:t xml:space="preserve">, og som gjev </w:t>
      </w:r>
      <w:proofErr w:type="spellStart"/>
      <w:r w:rsidRPr="00B419CE">
        <w:t>føringar</w:t>
      </w:r>
      <w:proofErr w:type="spellEnd"/>
      <w:r w:rsidRPr="00B419CE">
        <w:t xml:space="preserve"> og hjelp til språk, design og utvikling og som </w:t>
      </w:r>
      <w:proofErr w:type="spellStart"/>
      <w:r w:rsidRPr="00B419CE">
        <w:t>tek</w:t>
      </w:r>
      <w:proofErr w:type="spellEnd"/>
      <w:r w:rsidRPr="00B419CE">
        <w:t xml:space="preserve"> vare på mellom anna universell utforming og klarspråk. Etaten følgjer </w:t>
      </w:r>
      <w:proofErr w:type="spellStart"/>
      <w:r w:rsidRPr="00B419CE">
        <w:t>føringar</w:t>
      </w:r>
      <w:proofErr w:type="spellEnd"/>
      <w:r w:rsidRPr="00B419CE">
        <w:t xml:space="preserve"> og råd </w:t>
      </w:r>
      <w:proofErr w:type="spellStart"/>
      <w:r w:rsidRPr="00B419CE">
        <w:t>frå</w:t>
      </w:r>
      <w:proofErr w:type="spellEnd"/>
      <w:r w:rsidRPr="00B419CE">
        <w:t xml:space="preserve"> Språkrådet, er kjønnsnøytrale og seier </w:t>
      </w:r>
      <w:r w:rsidRPr="00B419CE">
        <w:rPr>
          <w:rStyle w:val="kursiv"/>
        </w:rPr>
        <w:t>du</w:t>
      </w:r>
      <w:r w:rsidRPr="00B419CE">
        <w:t xml:space="preserve"> og </w:t>
      </w:r>
      <w:r w:rsidRPr="00B419CE">
        <w:rPr>
          <w:rStyle w:val="kursiv"/>
        </w:rPr>
        <w:t>dere</w:t>
      </w:r>
      <w:r w:rsidRPr="00B419CE">
        <w:t xml:space="preserve">. Universell utforming skal sikre at alle har tilgang til å </w:t>
      </w:r>
      <w:proofErr w:type="spellStart"/>
      <w:r w:rsidRPr="00B419CE">
        <w:t>setje</w:t>
      </w:r>
      <w:proofErr w:type="spellEnd"/>
      <w:r w:rsidRPr="00B419CE">
        <w:t xml:space="preserve"> seg inn i </w:t>
      </w:r>
      <w:proofErr w:type="spellStart"/>
      <w:r w:rsidRPr="00B419CE">
        <w:t>rettar</w:t>
      </w:r>
      <w:proofErr w:type="spellEnd"/>
      <w:r w:rsidRPr="00B419CE">
        <w:t xml:space="preserve"> og plikter. Det betyr mellom anna å ivareta </w:t>
      </w:r>
      <w:proofErr w:type="spellStart"/>
      <w:r w:rsidRPr="00B419CE">
        <w:t>personar</w:t>
      </w:r>
      <w:proofErr w:type="spellEnd"/>
      <w:r w:rsidRPr="00B419CE">
        <w:t xml:space="preserve"> med kognitive </w:t>
      </w:r>
      <w:proofErr w:type="spellStart"/>
      <w:r w:rsidRPr="00B419CE">
        <w:t>utfordringar</w:t>
      </w:r>
      <w:proofErr w:type="spellEnd"/>
      <w:r w:rsidRPr="00B419CE">
        <w:t xml:space="preserve"> med å skrive enkelt og bruke korte, </w:t>
      </w:r>
      <w:proofErr w:type="spellStart"/>
      <w:r w:rsidRPr="00B419CE">
        <w:t>forståelege</w:t>
      </w:r>
      <w:proofErr w:type="spellEnd"/>
      <w:r w:rsidRPr="00B419CE">
        <w:t xml:space="preserve"> </w:t>
      </w:r>
      <w:proofErr w:type="spellStart"/>
      <w:r w:rsidRPr="00B419CE">
        <w:t>setningar</w:t>
      </w:r>
      <w:proofErr w:type="spellEnd"/>
      <w:r w:rsidRPr="00B419CE">
        <w:t xml:space="preserve">, </w:t>
      </w:r>
      <w:proofErr w:type="spellStart"/>
      <w:r w:rsidRPr="00B419CE">
        <w:t>gje</w:t>
      </w:r>
      <w:proofErr w:type="spellEnd"/>
      <w:r w:rsidRPr="00B419CE">
        <w:t xml:space="preserve"> alternative </w:t>
      </w:r>
      <w:proofErr w:type="spellStart"/>
      <w:r w:rsidRPr="00B419CE">
        <w:t>presentasjonar</w:t>
      </w:r>
      <w:proofErr w:type="spellEnd"/>
      <w:r w:rsidRPr="00B419CE">
        <w:t xml:space="preserve">, </w:t>
      </w:r>
      <w:proofErr w:type="spellStart"/>
      <w:r w:rsidRPr="00B419CE">
        <w:t>gje</w:t>
      </w:r>
      <w:proofErr w:type="spellEnd"/>
      <w:r w:rsidRPr="00B419CE">
        <w:t xml:space="preserve"> god nok tid på </w:t>
      </w:r>
      <w:proofErr w:type="spellStart"/>
      <w:r w:rsidRPr="00B419CE">
        <w:t>oppgåver</w:t>
      </w:r>
      <w:proofErr w:type="spellEnd"/>
      <w:r w:rsidRPr="00B419CE">
        <w:t xml:space="preserve"> og følgje </w:t>
      </w:r>
      <w:proofErr w:type="spellStart"/>
      <w:r w:rsidRPr="00B419CE">
        <w:t>retningslinene</w:t>
      </w:r>
      <w:proofErr w:type="spellEnd"/>
      <w:r w:rsidRPr="00B419CE">
        <w:t xml:space="preserve"> for nettsidetilgjengelighet. Det vil til dømes bety å tekste </w:t>
      </w:r>
      <w:proofErr w:type="spellStart"/>
      <w:r w:rsidRPr="00B419CE">
        <w:t>videoar</w:t>
      </w:r>
      <w:proofErr w:type="spellEnd"/>
      <w:r w:rsidRPr="00B419CE">
        <w:t xml:space="preserve">. Klart språk skal </w:t>
      </w:r>
      <w:proofErr w:type="spellStart"/>
      <w:r w:rsidRPr="00B419CE">
        <w:t>gjere</w:t>
      </w:r>
      <w:proofErr w:type="spellEnd"/>
      <w:r w:rsidRPr="00B419CE">
        <w:t xml:space="preserve"> institusjonelle tekster, som til dømes vedtaksbrev og informasjon, </w:t>
      </w:r>
      <w:proofErr w:type="spellStart"/>
      <w:r w:rsidRPr="00B419CE">
        <w:t>meir</w:t>
      </w:r>
      <w:proofErr w:type="spellEnd"/>
      <w:r w:rsidRPr="00B419CE">
        <w:t xml:space="preserve"> </w:t>
      </w:r>
      <w:proofErr w:type="spellStart"/>
      <w:r w:rsidRPr="00B419CE">
        <w:t>forståeleg</w:t>
      </w:r>
      <w:proofErr w:type="spellEnd"/>
      <w:r w:rsidRPr="00B419CE">
        <w:t>.</w:t>
      </w:r>
    </w:p>
    <w:p w14:paraId="2F2C2782" w14:textId="77777777" w:rsidR="00B419CE" w:rsidRPr="00B419CE" w:rsidRDefault="00B419CE" w:rsidP="00B419CE">
      <w:pPr>
        <w:rPr>
          <w:rStyle w:val="kursiv"/>
        </w:rPr>
      </w:pPr>
      <w:r w:rsidRPr="00B419CE">
        <w:rPr>
          <w:rStyle w:val="kursiv"/>
        </w:rPr>
        <w:t>Tolletaten</w:t>
      </w:r>
      <w:r w:rsidRPr="00B419CE">
        <w:t xml:space="preserve"> har omsett </w:t>
      </w:r>
      <w:proofErr w:type="spellStart"/>
      <w:r w:rsidRPr="00B419CE">
        <w:t>mykje</w:t>
      </w:r>
      <w:proofErr w:type="spellEnd"/>
      <w:r w:rsidRPr="00B419CE">
        <w:t xml:space="preserve"> av </w:t>
      </w:r>
      <w:proofErr w:type="spellStart"/>
      <w:r w:rsidRPr="00B419CE">
        <w:t>innhaldet</w:t>
      </w:r>
      <w:proofErr w:type="spellEnd"/>
      <w:r w:rsidRPr="00B419CE">
        <w:t xml:space="preserve"> på heimesida toll.no til engelsk. Nye </w:t>
      </w:r>
      <w:proofErr w:type="spellStart"/>
      <w:r w:rsidRPr="00B419CE">
        <w:t>tekstar</w:t>
      </w:r>
      <w:proofErr w:type="spellEnd"/>
      <w:r w:rsidRPr="00B419CE">
        <w:t xml:space="preserve"> vert omsette ved behov. </w:t>
      </w:r>
      <w:proofErr w:type="spellStart"/>
      <w:r w:rsidRPr="00B419CE">
        <w:t>Nokre</w:t>
      </w:r>
      <w:proofErr w:type="spellEnd"/>
      <w:r w:rsidRPr="00B419CE">
        <w:t xml:space="preserve"> av </w:t>
      </w:r>
      <w:proofErr w:type="spellStart"/>
      <w:r w:rsidRPr="00B419CE">
        <w:t>dei</w:t>
      </w:r>
      <w:proofErr w:type="spellEnd"/>
      <w:r w:rsidRPr="00B419CE">
        <w:t xml:space="preserve"> mest </w:t>
      </w:r>
      <w:proofErr w:type="spellStart"/>
      <w:r w:rsidRPr="00B419CE">
        <w:t>etterspurde</w:t>
      </w:r>
      <w:proofErr w:type="spellEnd"/>
      <w:r w:rsidRPr="00B419CE">
        <w:t xml:space="preserve"> </w:t>
      </w:r>
      <w:proofErr w:type="spellStart"/>
      <w:r w:rsidRPr="00B419CE">
        <w:t>rettleiingstekstane</w:t>
      </w:r>
      <w:proofErr w:type="spellEnd"/>
      <w:r w:rsidRPr="00B419CE">
        <w:t xml:space="preserve"> er òg omsette til tysk, spansk, fransk, polsk og russisk. Kontaktsenteret i etaten har nær kontakt med publikum og god oversikt over behova til </w:t>
      </w:r>
      <w:proofErr w:type="spellStart"/>
      <w:r w:rsidRPr="00B419CE">
        <w:t>dei</w:t>
      </w:r>
      <w:proofErr w:type="spellEnd"/>
      <w:r w:rsidRPr="00B419CE">
        <w:t xml:space="preserve"> enkelte gruppene og </w:t>
      </w:r>
      <w:proofErr w:type="spellStart"/>
      <w:r w:rsidRPr="00B419CE">
        <w:t>bidreg</w:t>
      </w:r>
      <w:proofErr w:type="spellEnd"/>
      <w:r w:rsidRPr="00B419CE">
        <w:t xml:space="preserve"> til at </w:t>
      </w:r>
      <w:proofErr w:type="spellStart"/>
      <w:r w:rsidRPr="00B419CE">
        <w:t>dei</w:t>
      </w:r>
      <w:proofErr w:type="spellEnd"/>
      <w:r w:rsidRPr="00B419CE">
        <w:t xml:space="preserve"> digitale </w:t>
      </w:r>
      <w:proofErr w:type="spellStart"/>
      <w:r w:rsidRPr="00B419CE">
        <w:t>tenestene</w:t>
      </w:r>
      <w:proofErr w:type="spellEnd"/>
      <w:r w:rsidRPr="00B419CE">
        <w:t xml:space="preserve"> til kvar tid er oppdaterte.</w:t>
      </w:r>
    </w:p>
    <w:p w14:paraId="4BF46D09" w14:textId="77777777" w:rsidR="00B419CE" w:rsidRPr="00B419CE" w:rsidRDefault="00B419CE" w:rsidP="00B419CE">
      <w:pPr>
        <w:rPr>
          <w:rStyle w:val="kursiv"/>
        </w:rPr>
      </w:pPr>
      <w:r w:rsidRPr="00B419CE">
        <w:rPr>
          <w:rStyle w:val="kursiv"/>
        </w:rPr>
        <w:t>Finanstilsynet</w:t>
      </w:r>
      <w:r w:rsidRPr="00B419CE">
        <w:t xml:space="preserve"> har stadig </w:t>
      </w:r>
      <w:proofErr w:type="spellStart"/>
      <w:r w:rsidRPr="00B419CE">
        <w:t>meir</w:t>
      </w:r>
      <w:proofErr w:type="spellEnd"/>
      <w:r w:rsidRPr="00B419CE">
        <w:t xml:space="preserve"> informasjon </w:t>
      </w:r>
      <w:proofErr w:type="spellStart"/>
      <w:r w:rsidRPr="00B419CE">
        <w:t>tilgjengeleg</w:t>
      </w:r>
      <w:proofErr w:type="spellEnd"/>
      <w:r w:rsidRPr="00B419CE">
        <w:t xml:space="preserve"> på engelsk.</w:t>
      </w:r>
    </w:p>
    <w:p w14:paraId="7B07BEB1" w14:textId="77777777" w:rsidR="00B419CE" w:rsidRPr="00B419CE" w:rsidRDefault="00B419CE" w:rsidP="00B419CE">
      <w:pPr>
        <w:pStyle w:val="avsnitt-undertittel"/>
      </w:pPr>
      <w:r w:rsidRPr="00B419CE">
        <w:t xml:space="preserve">System for å </w:t>
      </w:r>
      <w:proofErr w:type="spellStart"/>
      <w:r w:rsidRPr="00B419CE">
        <w:t>avdekkje</w:t>
      </w:r>
      <w:proofErr w:type="spellEnd"/>
      <w:r w:rsidRPr="00B419CE">
        <w:t xml:space="preserve"> trakassering, seksuell trakassering og kjønnsbasert vald mot </w:t>
      </w:r>
      <w:proofErr w:type="gramStart"/>
      <w:r w:rsidRPr="00B419CE">
        <w:t>tilsette</w:t>
      </w:r>
      <w:proofErr w:type="gramEnd"/>
      <w:r w:rsidRPr="00B419CE">
        <w:t xml:space="preserve"> i </w:t>
      </w:r>
      <w:proofErr w:type="spellStart"/>
      <w:r w:rsidRPr="00B419CE">
        <w:t>teneste</w:t>
      </w:r>
      <w:proofErr w:type="spellEnd"/>
    </w:p>
    <w:p w14:paraId="732B96FE" w14:textId="77777777" w:rsidR="00B419CE" w:rsidRPr="00B419CE" w:rsidRDefault="00B419CE" w:rsidP="00B419CE">
      <w:r w:rsidRPr="00B419CE">
        <w:rPr>
          <w:rStyle w:val="kursiv"/>
        </w:rPr>
        <w:t>Skatteetaten</w:t>
      </w:r>
      <w:r w:rsidRPr="00B419CE">
        <w:t xml:space="preserve"> har som mål å sikre at alle tilsette er trygge på jobb og har null-toleranse for vald og </w:t>
      </w:r>
      <w:proofErr w:type="spellStart"/>
      <w:r w:rsidRPr="00B419CE">
        <w:t>trugslar</w:t>
      </w:r>
      <w:proofErr w:type="spellEnd"/>
      <w:r w:rsidRPr="00B419CE">
        <w:t xml:space="preserve">. Mange av Skatteetatens </w:t>
      </w:r>
      <w:proofErr w:type="spellStart"/>
      <w:r w:rsidRPr="00B419CE">
        <w:t>medarbeidarar</w:t>
      </w:r>
      <w:proofErr w:type="spellEnd"/>
      <w:r w:rsidRPr="00B419CE">
        <w:t xml:space="preserve"> er eksponerte for vald og </w:t>
      </w:r>
      <w:proofErr w:type="spellStart"/>
      <w:r w:rsidRPr="00B419CE">
        <w:t>trugslar</w:t>
      </w:r>
      <w:proofErr w:type="spellEnd"/>
      <w:r w:rsidRPr="00B419CE">
        <w:t xml:space="preserve"> når </w:t>
      </w:r>
      <w:proofErr w:type="spellStart"/>
      <w:r w:rsidRPr="00B419CE">
        <w:t>dei</w:t>
      </w:r>
      <w:proofErr w:type="spellEnd"/>
      <w:r w:rsidRPr="00B419CE">
        <w:t xml:space="preserve"> gjennomfører </w:t>
      </w:r>
      <w:proofErr w:type="spellStart"/>
      <w:r w:rsidRPr="00B419CE">
        <w:t>oppgåver</w:t>
      </w:r>
      <w:proofErr w:type="spellEnd"/>
      <w:r w:rsidRPr="00B419CE">
        <w:t xml:space="preserve"> som til dømes rettleiing i skranke/telefon, </w:t>
      </w:r>
      <w:proofErr w:type="spellStart"/>
      <w:r w:rsidRPr="00B419CE">
        <w:t>oppsøkjande</w:t>
      </w:r>
      <w:proofErr w:type="spellEnd"/>
      <w:r w:rsidRPr="00B419CE">
        <w:t xml:space="preserve"> </w:t>
      </w:r>
      <w:proofErr w:type="spellStart"/>
      <w:r w:rsidRPr="00B419CE">
        <w:t>kontrollverksemd</w:t>
      </w:r>
      <w:proofErr w:type="spellEnd"/>
      <w:r w:rsidRPr="00B419CE">
        <w:t xml:space="preserve">, </w:t>
      </w:r>
      <w:proofErr w:type="spellStart"/>
      <w:r w:rsidRPr="00B419CE">
        <w:t>innkrevjing</w:t>
      </w:r>
      <w:proofErr w:type="spellEnd"/>
      <w:r w:rsidRPr="00B419CE">
        <w:t xml:space="preserve">, deltaking i rettssaker, saksbehandling m.m. Etaten har </w:t>
      </w:r>
      <w:proofErr w:type="spellStart"/>
      <w:r w:rsidRPr="00B419CE">
        <w:t>førebyggjande</w:t>
      </w:r>
      <w:proofErr w:type="spellEnd"/>
      <w:r w:rsidRPr="00B419CE">
        <w:t xml:space="preserve"> tiltak mot vald og </w:t>
      </w:r>
      <w:proofErr w:type="spellStart"/>
      <w:r w:rsidRPr="00B419CE">
        <w:t>trugslar</w:t>
      </w:r>
      <w:proofErr w:type="spellEnd"/>
      <w:r w:rsidRPr="00B419CE">
        <w:t xml:space="preserve">, rutine for </w:t>
      </w:r>
      <w:r w:rsidRPr="00B419CE">
        <w:rPr>
          <w:rStyle w:val="kursiv"/>
        </w:rPr>
        <w:t>Sikker jobb-analyse</w:t>
      </w:r>
      <w:r w:rsidRPr="00B419CE">
        <w:t xml:space="preserve"> og </w:t>
      </w:r>
      <w:proofErr w:type="spellStart"/>
      <w:r w:rsidRPr="00B419CE">
        <w:t>retningsline</w:t>
      </w:r>
      <w:proofErr w:type="spellEnd"/>
      <w:r w:rsidRPr="00B419CE">
        <w:t xml:space="preserve"> for å melde til politiet. </w:t>
      </w:r>
      <w:proofErr w:type="spellStart"/>
      <w:r w:rsidRPr="00B419CE">
        <w:t>Førebygging</w:t>
      </w:r>
      <w:proofErr w:type="spellEnd"/>
      <w:r w:rsidRPr="00B419CE">
        <w:t xml:space="preserve"> av vald og </w:t>
      </w:r>
      <w:proofErr w:type="spellStart"/>
      <w:r w:rsidRPr="00B419CE">
        <w:t>trugslar</w:t>
      </w:r>
      <w:proofErr w:type="spellEnd"/>
      <w:r w:rsidRPr="00B419CE">
        <w:t xml:space="preserve"> er eige tema i HMS-opplæringa. Alle </w:t>
      </w:r>
      <w:proofErr w:type="spellStart"/>
      <w:r w:rsidRPr="00B419CE">
        <w:t>typar</w:t>
      </w:r>
      <w:proofErr w:type="spellEnd"/>
      <w:r w:rsidRPr="00B419CE">
        <w:t xml:space="preserve"> konflikt, mobbing og trakassering er med i etaten sitt avvikssystem som vert </w:t>
      </w:r>
      <w:proofErr w:type="spellStart"/>
      <w:r w:rsidRPr="00B419CE">
        <w:t>kontinuerleg</w:t>
      </w:r>
      <w:proofErr w:type="spellEnd"/>
      <w:r w:rsidRPr="00B419CE">
        <w:t xml:space="preserve"> oppdatert. Oppfølging av HMS-avvik skjer gjennom </w:t>
      </w:r>
      <w:proofErr w:type="spellStart"/>
      <w:r w:rsidRPr="00B419CE">
        <w:t>fagleg</w:t>
      </w:r>
      <w:proofErr w:type="spellEnd"/>
      <w:r w:rsidRPr="00B419CE">
        <w:t xml:space="preserve"> nettverk for </w:t>
      </w:r>
      <w:proofErr w:type="spellStart"/>
      <w:r w:rsidRPr="00B419CE">
        <w:t>ansvarlege</w:t>
      </w:r>
      <w:proofErr w:type="spellEnd"/>
      <w:r w:rsidRPr="00B419CE">
        <w:t xml:space="preserve"> for HMS-avvik, </w:t>
      </w:r>
      <w:proofErr w:type="spellStart"/>
      <w:r w:rsidRPr="00B419CE">
        <w:t>kampanjar</w:t>
      </w:r>
      <w:proofErr w:type="spellEnd"/>
      <w:r w:rsidRPr="00B419CE">
        <w:t xml:space="preserve"> for å motivere til å melde avvik og i </w:t>
      </w:r>
      <w:proofErr w:type="spellStart"/>
      <w:r w:rsidRPr="00B419CE">
        <w:t>arbeidsmiljøutval</w:t>
      </w:r>
      <w:proofErr w:type="spellEnd"/>
      <w:r w:rsidRPr="00B419CE">
        <w:t>.</w:t>
      </w:r>
    </w:p>
    <w:p w14:paraId="6A4C7081" w14:textId="77777777" w:rsidR="00B419CE" w:rsidRPr="00B419CE" w:rsidRDefault="00B419CE" w:rsidP="00B419CE">
      <w:pPr>
        <w:pStyle w:val="Overskrift2"/>
      </w:pPr>
      <w:r w:rsidRPr="00B419CE">
        <w:t>Programkategori 00.30 Regjering</w:t>
      </w:r>
    </w:p>
    <w:p w14:paraId="1184E3CD" w14:textId="77777777" w:rsidR="00B419CE" w:rsidRPr="00B419CE" w:rsidRDefault="00B419CE" w:rsidP="00B419CE">
      <w:pPr>
        <w:pStyle w:val="avsnitt-tittel"/>
      </w:pPr>
      <w:r w:rsidRPr="00B419CE">
        <w:t>Statsministerens kontor</w:t>
      </w:r>
    </w:p>
    <w:p w14:paraId="3223E845" w14:textId="77777777" w:rsidR="00B419CE" w:rsidRPr="00B419CE" w:rsidRDefault="00B419CE" w:rsidP="00B419CE">
      <w:r w:rsidRPr="00B419CE">
        <w:t xml:space="preserve">Statsministerens kontor har som mål å </w:t>
      </w:r>
      <w:proofErr w:type="spellStart"/>
      <w:r w:rsidRPr="00B419CE">
        <w:t>fremje</w:t>
      </w:r>
      <w:proofErr w:type="spellEnd"/>
      <w:r w:rsidRPr="00B419CE">
        <w:t xml:space="preserve"> likestilling og </w:t>
      </w:r>
      <w:proofErr w:type="spellStart"/>
      <w:r w:rsidRPr="00B419CE">
        <w:t>mangfald</w:t>
      </w:r>
      <w:proofErr w:type="spellEnd"/>
      <w:r w:rsidRPr="00B419CE">
        <w:t xml:space="preserve"> gjennom personalpolitikken. Kontoret legg vekt på å </w:t>
      </w:r>
      <w:proofErr w:type="spellStart"/>
      <w:r w:rsidRPr="00B419CE">
        <w:t>gje</w:t>
      </w:r>
      <w:proofErr w:type="spellEnd"/>
      <w:r w:rsidRPr="00B419CE">
        <w:t xml:space="preserve"> kvinner og menn same </w:t>
      </w:r>
      <w:proofErr w:type="spellStart"/>
      <w:r w:rsidRPr="00B419CE">
        <w:t>moglegheit</w:t>
      </w:r>
      <w:proofErr w:type="spellEnd"/>
      <w:r w:rsidRPr="00B419CE">
        <w:t xml:space="preserve"> til utvikling i </w:t>
      </w:r>
      <w:proofErr w:type="spellStart"/>
      <w:r w:rsidRPr="00B419CE">
        <w:t>oppgåver</w:t>
      </w:r>
      <w:proofErr w:type="spellEnd"/>
      <w:r w:rsidRPr="00B419CE">
        <w:t xml:space="preserve"> og kompetanse, og dermed same høve til </w:t>
      </w:r>
      <w:proofErr w:type="spellStart"/>
      <w:r w:rsidRPr="00B419CE">
        <w:t>lønsutvikling</w:t>
      </w:r>
      <w:proofErr w:type="spellEnd"/>
      <w:r w:rsidRPr="00B419CE">
        <w:t>.</w:t>
      </w:r>
    </w:p>
    <w:p w14:paraId="26926CC5" w14:textId="77777777" w:rsidR="00B419CE" w:rsidRPr="00B419CE" w:rsidRDefault="00B419CE" w:rsidP="00B419CE">
      <w:pPr>
        <w:pStyle w:val="Undertittel"/>
      </w:pPr>
      <w:r w:rsidRPr="00B419CE">
        <w:lastRenderedPageBreak/>
        <w:t>Tilstandsrapport kjønn</w:t>
      </w:r>
    </w:p>
    <w:p w14:paraId="5A6382E7" w14:textId="77777777" w:rsidR="00B419CE" w:rsidRPr="00B419CE" w:rsidRDefault="00B419CE" w:rsidP="00B419CE">
      <w:r w:rsidRPr="00B419CE">
        <w:t xml:space="preserve">Tabellen under syner prosentdelen kvinner i </w:t>
      </w:r>
      <w:proofErr w:type="spellStart"/>
      <w:r w:rsidRPr="00B419CE">
        <w:t>verksemda</w:t>
      </w:r>
      <w:proofErr w:type="spellEnd"/>
      <w:r w:rsidRPr="00B419CE">
        <w:t xml:space="preserve">, prosentdelen mellombels tilsette kvinner og menn og prosentdelen deltid kvinner og menn. Tabellen viser òg </w:t>
      </w:r>
      <w:proofErr w:type="spellStart"/>
      <w:r w:rsidRPr="00B419CE">
        <w:t>gjennomsnittleg</w:t>
      </w:r>
      <w:proofErr w:type="spellEnd"/>
      <w:r w:rsidRPr="00B419CE">
        <w:t xml:space="preserve"> uttak av foreldrepermisjon for kvinner og menn.</w:t>
      </w:r>
    </w:p>
    <w:p w14:paraId="36A1C0BE" w14:textId="77777777" w:rsidR="00B419CE" w:rsidRPr="00B419CE" w:rsidRDefault="00B419CE" w:rsidP="00B419CE">
      <w:pPr>
        <w:pStyle w:val="Tabellnavn"/>
      </w:pPr>
      <w:r w:rsidRPr="00B419CE">
        <w:t>03N2xt2</w:t>
      </w:r>
    </w:p>
    <w:tbl>
      <w:tblPr>
        <w:tblStyle w:val="StandardTabell"/>
        <w:tblW w:w="9120" w:type="dxa"/>
        <w:tblLayout w:type="fixed"/>
        <w:tblLook w:val="04A0" w:firstRow="1" w:lastRow="0" w:firstColumn="1" w:lastColumn="0" w:noHBand="0" w:noVBand="1"/>
      </w:tblPr>
      <w:tblGrid>
        <w:gridCol w:w="6080"/>
        <w:gridCol w:w="1520"/>
        <w:gridCol w:w="1520"/>
      </w:tblGrid>
      <w:tr w:rsidR="00B419CE" w:rsidRPr="00B419CE" w14:paraId="3FC69DC0" w14:textId="77777777" w:rsidTr="00B419CE">
        <w:trPr>
          <w:trHeight w:val="360"/>
        </w:trPr>
        <w:tc>
          <w:tcPr>
            <w:tcW w:w="6080" w:type="dxa"/>
            <w:shd w:val="clear" w:color="auto" w:fill="FFFFFF"/>
          </w:tcPr>
          <w:p w14:paraId="766C1748" w14:textId="77777777" w:rsidR="00B419CE" w:rsidRPr="00B419CE" w:rsidRDefault="00B419CE" w:rsidP="00B419CE"/>
        </w:tc>
        <w:tc>
          <w:tcPr>
            <w:tcW w:w="1520" w:type="dxa"/>
          </w:tcPr>
          <w:p w14:paraId="2BC61254" w14:textId="77777777" w:rsidR="00B419CE" w:rsidRPr="00B419CE" w:rsidRDefault="00B419CE" w:rsidP="00B419CE">
            <w:pPr>
              <w:jc w:val="right"/>
            </w:pPr>
            <w:r w:rsidRPr="00B419CE">
              <w:t>SMK</w:t>
            </w:r>
          </w:p>
        </w:tc>
        <w:tc>
          <w:tcPr>
            <w:tcW w:w="1520" w:type="dxa"/>
          </w:tcPr>
          <w:p w14:paraId="68B9ED04" w14:textId="77777777" w:rsidR="00B419CE" w:rsidRPr="00B419CE" w:rsidRDefault="00B419CE" w:rsidP="00B419CE">
            <w:pPr>
              <w:jc w:val="right"/>
            </w:pPr>
            <w:r w:rsidRPr="00B419CE">
              <w:t xml:space="preserve">Kvinner sin del av menn si </w:t>
            </w:r>
            <w:proofErr w:type="spellStart"/>
            <w:r w:rsidRPr="00B419CE">
              <w:t>løn</w:t>
            </w:r>
            <w:proofErr w:type="spellEnd"/>
          </w:p>
        </w:tc>
      </w:tr>
      <w:tr w:rsidR="00B419CE" w:rsidRPr="00B419CE" w14:paraId="532309FA" w14:textId="77777777" w:rsidTr="00B419CE">
        <w:trPr>
          <w:trHeight w:val="360"/>
        </w:trPr>
        <w:tc>
          <w:tcPr>
            <w:tcW w:w="6080" w:type="dxa"/>
          </w:tcPr>
          <w:p w14:paraId="419EACC9" w14:textId="77777777" w:rsidR="00B419CE" w:rsidRPr="00B419CE" w:rsidRDefault="00B419CE" w:rsidP="00B419CE"/>
        </w:tc>
        <w:tc>
          <w:tcPr>
            <w:tcW w:w="1520" w:type="dxa"/>
          </w:tcPr>
          <w:p w14:paraId="7F577348" w14:textId="77777777" w:rsidR="00B419CE" w:rsidRPr="00B419CE" w:rsidRDefault="00B419CE" w:rsidP="00B419CE">
            <w:pPr>
              <w:jc w:val="right"/>
            </w:pPr>
            <w:proofErr w:type="spellStart"/>
            <w:r w:rsidRPr="00B419CE">
              <w:t>Prosentdelar</w:t>
            </w:r>
            <w:proofErr w:type="spellEnd"/>
          </w:p>
        </w:tc>
        <w:tc>
          <w:tcPr>
            <w:tcW w:w="1520" w:type="dxa"/>
          </w:tcPr>
          <w:p w14:paraId="58EE904F" w14:textId="77777777" w:rsidR="00B419CE" w:rsidRPr="00B419CE" w:rsidRDefault="00B419CE" w:rsidP="00B419CE">
            <w:pPr>
              <w:jc w:val="right"/>
            </w:pPr>
            <w:proofErr w:type="spellStart"/>
            <w:r w:rsidRPr="00B419CE">
              <w:t>Prosentdelar</w:t>
            </w:r>
            <w:proofErr w:type="spellEnd"/>
          </w:p>
        </w:tc>
      </w:tr>
      <w:tr w:rsidR="00B419CE" w:rsidRPr="00B419CE" w14:paraId="1E895CDC" w14:textId="77777777" w:rsidTr="00B419CE">
        <w:trPr>
          <w:trHeight w:val="380"/>
        </w:trPr>
        <w:tc>
          <w:tcPr>
            <w:tcW w:w="6080" w:type="dxa"/>
          </w:tcPr>
          <w:p w14:paraId="0242AF84" w14:textId="77777777" w:rsidR="00B419CE" w:rsidRPr="00B419CE" w:rsidRDefault="00B419CE" w:rsidP="00B419CE">
            <w:r w:rsidRPr="00B419CE">
              <w:rPr>
                <w:rStyle w:val="kursiv"/>
              </w:rPr>
              <w:t>Kvinner:</w:t>
            </w:r>
          </w:p>
        </w:tc>
        <w:tc>
          <w:tcPr>
            <w:tcW w:w="1520" w:type="dxa"/>
          </w:tcPr>
          <w:p w14:paraId="5353F973" w14:textId="77777777" w:rsidR="00B419CE" w:rsidRPr="00B419CE" w:rsidRDefault="00B419CE" w:rsidP="00B419CE">
            <w:pPr>
              <w:jc w:val="right"/>
            </w:pPr>
          </w:p>
        </w:tc>
        <w:tc>
          <w:tcPr>
            <w:tcW w:w="1520" w:type="dxa"/>
          </w:tcPr>
          <w:p w14:paraId="579587D8" w14:textId="77777777" w:rsidR="00B419CE" w:rsidRPr="00B419CE" w:rsidRDefault="00B419CE" w:rsidP="00B419CE">
            <w:pPr>
              <w:jc w:val="right"/>
            </w:pPr>
          </w:p>
        </w:tc>
      </w:tr>
      <w:tr w:rsidR="00B419CE" w:rsidRPr="00B419CE" w14:paraId="1617EC06" w14:textId="77777777" w:rsidTr="00B419CE">
        <w:trPr>
          <w:trHeight w:val="380"/>
        </w:trPr>
        <w:tc>
          <w:tcPr>
            <w:tcW w:w="6080" w:type="dxa"/>
          </w:tcPr>
          <w:p w14:paraId="16BC3346" w14:textId="77777777" w:rsidR="00B419CE" w:rsidRPr="00B419CE" w:rsidRDefault="00B419CE" w:rsidP="00B419CE">
            <w:r w:rsidRPr="00B419CE">
              <w:t xml:space="preserve">Totalt i </w:t>
            </w:r>
            <w:proofErr w:type="spellStart"/>
            <w:r w:rsidRPr="00B419CE">
              <w:t>verksemda</w:t>
            </w:r>
            <w:proofErr w:type="spellEnd"/>
          </w:p>
        </w:tc>
        <w:tc>
          <w:tcPr>
            <w:tcW w:w="1520" w:type="dxa"/>
          </w:tcPr>
          <w:p w14:paraId="4D07C59E" w14:textId="77777777" w:rsidR="00B419CE" w:rsidRPr="00B419CE" w:rsidRDefault="00B419CE" w:rsidP="00B419CE">
            <w:pPr>
              <w:jc w:val="right"/>
            </w:pPr>
            <w:r w:rsidRPr="00B419CE">
              <w:t>45 (44)</w:t>
            </w:r>
          </w:p>
        </w:tc>
        <w:tc>
          <w:tcPr>
            <w:tcW w:w="1520" w:type="dxa"/>
          </w:tcPr>
          <w:p w14:paraId="3E351949" w14:textId="77777777" w:rsidR="00B419CE" w:rsidRPr="00B419CE" w:rsidRDefault="00B419CE" w:rsidP="00B419CE">
            <w:pPr>
              <w:jc w:val="right"/>
            </w:pPr>
            <w:r w:rsidRPr="00B419CE">
              <w:t>98 (109)</w:t>
            </w:r>
          </w:p>
        </w:tc>
      </w:tr>
      <w:tr w:rsidR="00B419CE" w:rsidRPr="00B419CE" w14:paraId="5E5DDA2A" w14:textId="77777777" w:rsidTr="00B419CE">
        <w:trPr>
          <w:trHeight w:val="380"/>
        </w:trPr>
        <w:tc>
          <w:tcPr>
            <w:tcW w:w="6080" w:type="dxa"/>
          </w:tcPr>
          <w:p w14:paraId="2EC6683D" w14:textId="77777777" w:rsidR="00B419CE" w:rsidRPr="00B419CE" w:rsidRDefault="00B419CE" w:rsidP="00B419CE">
            <w:proofErr w:type="spellStart"/>
            <w:r w:rsidRPr="00B419CE">
              <w:t>Leiarstillingar</w:t>
            </w:r>
            <w:proofErr w:type="spellEnd"/>
          </w:p>
        </w:tc>
        <w:tc>
          <w:tcPr>
            <w:tcW w:w="1520" w:type="dxa"/>
          </w:tcPr>
          <w:p w14:paraId="0C99BFA2" w14:textId="77777777" w:rsidR="00B419CE" w:rsidRPr="00B419CE" w:rsidRDefault="00B419CE" w:rsidP="00B419CE">
            <w:pPr>
              <w:jc w:val="right"/>
            </w:pPr>
            <w:r w:rsidRPr="00B419CE">
              <w:t>40 (33)</w:t>
            </w:r>
          </w:p>
        </w:tc>
        <w:tc>
          <w:tcPr>
            <w:tcW w:w="1520" w:type="dxa"/>
          </w:tcPr>
          <w:p w14:paraId="01596AAB" w14:textId="77777777" w:rsidR="00B419CE" w:rsidRPr="00B419CE" w:rsidRDefault="00B419CE" w:rsidP="00B419CE">
            <w:pPr>
              <w:jc w:val="right"/>
            </w:pPr>
            <w:r w:rsidRPr="00B419CE">
              <w:t xml:space="preserve">127 (135) </w:t>
            </w:r>
          </w:p>
        </w:tc>
      </w:tr>
      <w:tr w:rsidR="00B419CE" w:rsidRPr="00B419CE" w14:paraId="3FE8DA63" w14:textId="77777777" w:rsidTr="00B419CE">
        <w:trPr>
          <w:trHeight w:val="380"/>
        </w:trPr>
        <w:tc>
          <w:tcPr>
            <w:tcW w:w="6080" w:type="dxa"/>
          </w:tcPr>
          <w:p w14:paraId="5187785E" w14:textId="77777777" w:rsidR="00B419CE" w:rsidRPr="00B419CE" w:rsidRDefault="00B419CE" w:rsidP="00B419CE">
            <w:proofErr w:type="spellStart"/>
            <w:r w:rsidRPr="00B419CE">
              <w:t>Fagdirektørar</w:t>
            </w:r>
            <w:proofErr w:type="spellEnd"/>
            <w:r w:rsidRPr="00B419CE">
              <w:t xml:space="preserve"> og </w:t>
            </w:r>
            <w:proofErr w:type="spellStart"/>
            <w:r w:rsidRPr="00B419CE">
              <w:t>seniorrådgjevarar</w:t>
            </w:r>
            <w:proofErr w:type="spellEnd"/>
          </w:p>
        </w:tc>
        <w:tc>
          <w:tcPr>
            <w:tcW w:w="1520" w:type="dxa"/>
          </w:tcPr>
          <w:p w14:paraId="55217DCC" w14:textId="77777777" w:rsidR="00B419CE" w:rsidRPr="00B419CE" w:rsidRDefault="00B419CE" w:rsidP="00B419CE">
            <w:pPr>
              <w:jc w:val="right"/>
            </w:pPr>
            <w:r w:rsidRPr="00B419CE">
              <w:t>54 (52)</w:t>
            </w:r>
          </w:p>
        </w:tc>
        <w:tc>
          <w:tcPr>
            <w:tcW w:w="1520" w:type="dxa"/>
          </w:tcPr>
          <w:p w14:paraId="00E3D82D" w14:textId="77777777" w:rsidR="00B419CE" w:rsidRPr="00B419CE" w:rsidRDefault="00B419CE" w:rsidP="00B419CE">
            <w:pPr>
              <w:jc w:val="right"/>
            </w:pPr>
            <w:r w:rsidRPr="00B419CE">
              <w:t>90 (98)</w:t>
            </w:r>
          </w:p>
        </w:tc>
      </w:tr>
      <w:tr w:rsidR="00B419CE" w:rsidRPr="00B419CE" w14:paraId="02171439" w14:textId="77777777" w:rsidTr="00B419CE">
        <w:trPr>
          <w:trHeight w:val="380"/>
        </w:trPr>
        <w:tc>
          <w:tcPr>
            <w:tcW w:w="6080" w:type="dxa"/>
          </w:tcPr>
          <w:p w14:paraId="630EEFF7" w14:textId="77777777" w:rsidR="00B419CE" w:rsidRPr="00B419CE" w:rsidRDefault="00B419CE" w:rsidP="00B419CE">
            <w:r w:rsidRPr="00B419CE">
              <w:t xml:space="preserve">Andre </w:t>
            </w:r>
            <w:proofErr w:type="spellStart"/>
            <w:r w:rsidRPr="00B419CE">
              <w:t>saksbehandlarar</w:t>
            </w:r>
            <w:proofErr w:type="spellEnd"/>
            <w:r w:rsidRPr="00B419CE">
              <w:t xml:space="preserve"> og </w:t>
            </w:r>
            <w:proofErr w:type="spellStart"/>
            <w:r w:rsidRPr="00B419CE">
              <w:t>støttefunksjonar</w:t>
            </w:r>
            <w:proofErr w:type="spellEnd"/>
          </w:p>
        </w:tc>
        <w:tc>
          <w:tcPr>
            <w:tcW w:w="1520" w:type="dxa"/>
          </w:tcPr>
          <w:p w14:paraId="4F18C087" w14:textId="77777777" w:rsidR="00B419CE" w:rsidRPr="00B419CE" w:rsidRDefault="00B419CE" w:rsidP="00B419CE">
            <w:pPr>
              <w:jc w:val="right"/>
            </w:pPr>
            <w:r w:rsidRPr="00B419CE">
              <w:t>72 (69)</w:t>
            </w:r>
          </w:p>
        </w:tc>
        <w:tc>
          <w:tcPr>
            <w:tcW w:w="1520" w:type="dxa"/>
          </w:tcPr>
          <w:p w14:paraId="039EE72B" w14:textId="77777777" w:rsidR="00B419CE" w:rsidRPr="00B419CE" w:rsidRDefault="00B419CE" w:rsidP="00B419CE">
            <w:pPr>
              <w:jc w:val="right"/>
            </w:pPr>
            <w:r w:rsidRPr="00B419CE">
              <w:t>108 (96)</w:t>
            </w:r>
          </w:p>
        </w:tc>
      </w:tr>
      <w:tr w:rsidR="00B419CE" w:rsidRPr="00B419CE" w14:paraId="74433FB2" w14:textId="77777777" w:rsidTr="00B419CE">
        <w:trPr>
          <w:trHeight w:val="380"/>
        </w:trPr>
        <w:tc>
          <w:tcPr>
            <w:tcW w:w="6080" w:type="dxa"/>
          </w:tcPr>
          <w:p w14:paraId="4A6F79A4" w14:textId="77777777" w:rsidR="00B419CE" w:rsidRPr="00B419CE" w:rsidRDefault="00B419CE" w:rsidP="00B419CE">
            <w:proofErr w:type="spellStart"/>
            <w:r w:rsidRPr="00B419CE">
              <w:t>Sjåførar</w:t>
            </w:r>
            <w:proofErr w:type="spellEnd"/>
          </w:p>
        </w:tc>
        <w:tc>
          <w:tcPr>
            <w:tcW w:w="1520" w:type="dxa"/>
          </w:tcPr>
          <w:p w14:paraId="319A657E" w14:textId="77777777" w:rsidR="00B419CE" w:rsidRPr="00B419CE" w:rsidRDefault="00B419CE" w:rsidP="00B419CE">
            <w:pPr>
              <w:jc w:val="right"/>
            </w:pPr>
            <w:r w:rsidRPr="00B419CE">
              <w:t>14 (15)</w:t>
            </w:r>
          </w:p>
        </w:tc>
        <w:tc>
          <w:tcPr>
            <w:tcW w:w="1520" w:type="dxa"/>
          </w:tcPr>
          <w:p w14:paraId="0B34663F" w14:textId="77777777" w:rsidR="00B419CE" w:rsidRPr="00B419CE" w:rsidRDefault="00B419CE" w:rsidP="00B419CE">
            <w:pPr>
              <w:jc w:val="right"/>
            </w:pPr>
            <w:r w:rsidRPr="00B419CE">
              <w:t>98 (98)</w:t>
            </w:r>
          </w:p>
        </w:tc>
      </w:tr>
      <w:tr w:rsidR="00B419CE" w:rsidRPr="00B419CE" w14:paraId="6269974E" w14:textId="77777777" w:rsidTr="00B419CE">
        <w:trPr>
          <w:trHeight w:val="380"/>
        </w:trPr>
        <w:tc>
          <w:tcPr>
            <w:tcW w:w="6080" w:type="dxa"/>
          </w:tcPr>
          <w:p w14:paraId="52EF9470" w14:textId="77777777" w:rsidR="00B419CE" w:rsidRPr="00B419CE" w:rsidRDefault="00B419CE" w:rsidP="00B419CE">
            <w:r w:rsidRPr="00B419CE">
              <w:rPr>
                <w:rStyle w:val="kursiv"/>
              </w:rPr>
              <w:t>Mellombels/deltid:</w:t>
            </w:r>
          </w:p>
        </w:tc>
        <w:tc>
          <w:tcPr>
            <w:tcW w:w="1520" w:type="dxa"/>
          </w:tcPr>
          <w:p w14:paraId="4C1E616E" w14:textId="77777777" w:rsidR="00B419CE" w:rsidRPr="00B419CE" w:rsidRDefault="00B419CE" w:rsidP="00B419CE">
            <w:pPr>
              <w:jc w:val="right"/>
            </w:pPr>
          </w:p>
        </w:tc>
        <w:tc>
          <w:tcPr>
            <w:tcW w:w="1520" w:type="dxa"/>
          </w:tcPr>
          <w:p w14:paraId="448CA382" w14:textId="77777777" w:rsidR="00B419CE" w:rsidRPr="00B419CE" w:rsidRDefault="00B419CE" w:rsidP="00B419CE">
            <w:pPr>
              <w:jc w:val="right"/>
            </w:pPr>
          </w:p>
        </w:tc>
      </w:tr>
      <w:tr w:rsidR="00B419CE" w:rsidRPr="00B419CE" w14:paraId="74B8B113" w14:textId="77777777" w:rsidTr="00B419CE">
        <w:trPr>
          <w:trHeight w:val="380"/>
        </w:trPr>
        <w:tc>
          <w:tcPr>
            <w:tcW w:w="6080" w:type="dxa"/>
          </w:tcPr>
          <w:p w14:paraId="07DE6674" w14:textId="77777777" w:rsidR="00B419CE" w:rsidRPr="00B419CE" w:rsidRDefault="00B419CE" w:rsidP="00B419CE">
            <w:r w:rsidRPr="00B419CE">
              <w:t>Mellombels tilsette kvinner</w:t>
            </w:r>
          </w:p>
        </w:tc>
        <w:tc>
          <w:tcPr>
            <w:tcW w:w="1520" w:type="dxa"/>
          </w:tcPr>
          <w:p w14:paraId="7A0D1ED1" w14:textId="77777777" w:rsidR="00B419CE" w:rsidRPr="00B419CE" w:rsidRDefault="00B419CE" w:rsidP="00B419CE">
            <w:pPr>
              <w:jc w:val="right"/>
            </w:pPr>
            <w:r w:rsidRPr="00B419CE">
              <w:t>5,0</w:t>
            </w:r>
          </w:p>
        </w:tc>
        <w:tc>
          <w:tcPr>
            <w:tcW w:w="1520" w:type="dxa"/>
          </w:tcPr>
          <w:p w14:paraId="64643E58" w14:textId="77777777" w:rsidR="00B419CE" w:rsidRPr="00B419CE" w:rsidRDefault="00B419CE" w:rsidP="00B419CE">
            <w:pPr>
              <w:jc w:val="right"/>
            </w:pPr>
          </w:p>
        </w:tc>
      </w:tr>
      <w:tr w:rsidR="00B419CE" w:rsidRPr="00B419CE" w14:paraId="51C33B2E" w14:textId="77777777" w:rsidTr="00B419CE">
        <w:trPr>
          <w:trHeight w:val="380"/>
        </w:trPr>
        <w:tc>
          <w:tcPr>
            <w:tcW w:w="6080" w:type="dxa"/>
          </w:tcPr>
          <w:p w14:paraId="6C6E1073" w14:textId="77777777" w:rsidR="00B419CE" w:rsidRPr="00B419CE" w:rsidRDefault="00B419CE" w:rsidP="00B419CE">
            <w:r w:rsidRPr="00B419CE">
              <w:t>Mellombels tilsette menn</w:t>
            </w:r>
          </w:p>
        </w:tc>
        <w:tc>
          <w:tcPr>
            <w:tcW w:w="1520" w:type="dxa"/>
          </w:tcPr>
          <w:p w14:paraId="5579F101" w14:textId="77777777" w:rsidR="00B419CE" w:rsidRPr="00B419CE" w:rsidRDefault="00B419CE" w:rsidP="00B419CE">
            <w:pPr>
              <w:jc w:val="right"/>
            </w:pPr>
            <w:r w:rsidRPr="00B419CE">
              <w:t>4,1</w:t>
            </w:r>
          </w:p>
        </w:tc>
        <w:tc>
          <w:tcPr>
            <w:tcW w:w="1520" w:type="dxa"/>
          </w:tcPr>
          <w:p w14:paraId="421F9C7D" w14:textId="77777777" w:rsidR="00B419CE" w:rsidRPr="00B419CE" w:rsidRDefault="00B419CE" w:rsidP="00B419CE">
            <w:pPr>
              <w:jc w:val="right"/>
            </w:pPr>
          </w:p>
        </w:tc>
      </w:tr>
      <w:tr w:rsidR="00B419CE" w:rsidRPr="00B419CE" w14:paraId="1F192F10" w14:textId="77777777" w:rsidTr="00B419CE">
        <w:trPr>
          <w:trHeight w:val="380"/>
        </w:trPr>
        <w:tc>
          <w:tcPr>
            <w:tcW w:w="6080" w:type="dxa"/>
          </w:tcPr>
          <w:p w14:paraId="49C23066" w14:textId="77777777" w:rsidR="00B419CE" w:rsidRPr="00B419CE" w:rsidRDefault="00B419CE" w:rsidP="00B419CE">
            <w:r w:rsidRPr="00B419CE">
              <w:t>Deltid kvinner</w:t>
            </w:r>
          </w:p>
        </w:tc>
        <w:tc>
          <w:tcPr>
            <w:tcW w:w="1520" w:type="dxa"/>
          </w:tcPr>
          <w:p w14:paraId="39C786FB" w14:textId="77777777" w:rsidR="00B419CE" w:rsidRPr="00B419CE" w:rsidRDefault="00B419CE" w:rsidP="00B419CE">
            <w:pPr>
              <w:jc w:val="right"/>
            </w:pPr>
            <w:r w:rsidRPr="00B419CE">
              <w:t>10,0</w:t>
            </w:r>
          </w:p>
        </w:tc>
        <w:tc>
          <w:tcPr>
            <w:tcW w:w="1520" w:type="dxa"/>
          </w:tcPr>
          <w:p w14:paraId="3692216D" w14:textId="77777777" w:rsidR="00B419CE" w:rsidRPr="00B419CE" w:rsidRDefault="00B419CE" w:rsidP="00B419CE">
            <w:pPr>
              <w:jc w:val="right"/>
            </w:pPr>
          </w:p>
        </w:tc>
      </w:tr>
      <w:tr w:rsidR="00B419CE" w:rsidRPr="00B419CE" w14:paraId="52C0180D" w14:textId="77777777" w:rsidTr="00B419CE">
        <w:trPr>
          <w:trHeight w:val="380"/>
        </w:trPr>
        <w:tc>
          <w:tcPr>
            <w:tcW w:w="6080" w:type="dxa"/>
          </w:tcPr>
          <w:p w14:paraId="242F31D6" w14:textId="77777777" w:rsidR="00B419CE" w:rsidRPr="00B419CE" w:rsidRDefault="00B419CE" w:rsidP="00B419CE">
            <w:r w:rsidRPr="00B419CE">
              <w:t>Deltid menn</w:t>
            </w:r>
          </w:p>
        </w:tc>
        <w:tc>
          <w:tcPr>
            <w:tcW w:w="1520" w:type="dxa"/>
          </w:tcPr>
          <w:p w14:paraId="41979AFC" w14:textId="77777777" w:rsidR="00B419CE" w:rsidRPr="00B419CE" w:rsidRDefault="00B419CE" w:rsidP="00B419CE">
            <w:pPr>
              <w:jc w:val="right"/>
            </w:pPr>
            <w:r w:rsidRPr="00B419CE">
              <w:t>0</w:t>
            </w:r>
          </w:p>
        </w:tc>
        <w:tc>
          <w:tcPr>
            <w:tcW w:w="1520" w:type="dxa"/>
          </w:tcPr>
          <w:p w14:paraId="702190E2" w14:textId="77777777" w:rsidR="00B419CE" w:rsidRPr="00B419CE" w:rsidRDefault="00B419CE" w:rsidP="00B419CE">
            <w:pPr>
              <w:jc w:val="right"/>
            </w:pPr>
          </w:p>
        </w:tc>
      </w:tr>
      <w:tr w:rsidR="00B419CE" w:rsidRPr="00B419CE" w14:paraId="189A4232" w14:textId="77777777" w:rsidTr="00B419CE">
        <w:trPr>
          <w:trHeight w:val="380"/>
        </w:trPr>
        <w:tc>
          <w:tcPr>
            <w:tcW w:w="6080" w:type="dxa"/>
          </w:tcPr>
          <w:p w14:paraId="2E677E92" w14:textId="77777777" w:rsidR="00B419CE" w:rsidRPr="00B419CE" w:rsidRDefault="00B419CE" w:rsidP="00B419CE">
            <w:r w:rsidRPr="00B419CE">
              <w:rPr>
                <w:rStyle w:val="kursiv"/>
              </w:rPr>
              <w:t>Foreldrepermisjon; uttak av veker:</w:t>
            </w:r>
          </w:p>
        </w:tc>
        <w:tc>
          <w:tcPr>
            <w:tcW w:w="1520" w:type="dxa"/>
          </w:tcPr>
          <w:p w14:paraId="536F6454" w14:textId="77777777" w:rsidR="00B419CE" w:rsidRPr="00B419CE" w:rsidRDefault="00B419CE" w:rsidP="00B419CE">
            <w:pPr>
              <w:jc w:val="right"/>
            </w:pPr>
          </w:p>
        </w:tc>
        <w:tc>
          <w:tcPr>
            <w:tcW w:w="1520" w:type="dxa"/>
          </w:tcPr>
          <w:p w14:paraId="7368DAAE" w14:textId="77777777" w:rsidR="00B419CE" w:rsidRPr="00B419CE" w:rsidRDefault="00B419CE" w:rsidP="00B419CE">
            <w:pPr>
              <w:jc w:val="right"/>
            </w:pPr>
          </w:p>
        </w:tc>
      </w:tr>
      <w:tr w:rsidR="00B419CE" w:rsidRPr="00B419CE" w14:paraId="7D76331C" w14:textId="77777777" w:rsidTr="00B419CE">
        <w:trPr>
          <w:trHeight w:val="380"/>
        </w:trPr>
        <w:tc>
          <w:tcPr>
            <w:tcW w:w="6080" w:type="dxa"/>
          </w:tcPr>
          <w:p w14:paraId="70EA2ABD" w14:textId="77777777" w:rsidR="00B419CE" w:rsidRPr="00B419CE" w:rsidRDefault="00B419CE" w:rsidP="00B419CE">
            <w:r w:rsidRPr="00B419CE">
              <w:t>Kvinner</w:t>
            </w:r>
          </w:p>
        </w:tc>
        <w:tc>
          <w:tcPr>
            <w:tcW w:w="1520" w:type="dxa"/>
          </w:tcPr>
          <w:p w14:paraId="627685CD" w14:textId="77777777" w:rsidR="00B419CE" w:rsidRPr="00B419CE" w:rsidRDefault="00B419CE" w:rsidP="00B419CE">
            <w:pPr>
              <w:jc w:val="right"/>
            </w:pPr>
            <w:r w:rsidRPr="00B419CE">
              <w:t>29</w:t>
            </w:r>
          </w:p>
        </w:tc>
        <w:tc>
          <w:tcPr>
            <w:tcW w:w="1520" w:type="dxa"/>
          </w:tcPr>
          <w:p w14:paraId="77F7EE19" w14:textId="77777777" w:rsidR="00B419CE" w:rsidRPr="00B419CE" w:rsidRDefault="00B419CE" w:rsidP="00B419CE">
            <w:pPr>
              <w:jc w:val="right"/>
            </w:pPr>
          </w:p>
        </w:tc>
      </w:tr>
      <w:tr w:rsidR="00B419CE" w:rsidRPr="00B419CE" w14:paraId="778CD2E3" w14:textId="77777777" w:rsidTr="00B419CE">
        <w:trPr>
          <w:trHeight w:val="380"/>
        </w:trPr>
        <w:tc>
          <w:tcPr>
            <w:tcW w:w="6080" w:type="dxa"/>
          </w:tcPr>
          <w:p w14:paraId="3A93A718" w14:textId="77777777" w:rsidR="00B419CE" w:rsidRPr="00B419CE" w:rsidRDefault="00B419CE" w:rsidP="00B419CE">
            <w:r w:rsidRPr="00B419CE">
              <w:t>Menn</w:t>
            </w:r>
          </w:p>
        </w:tc>
        <w:tc>
          <w:tcPr>
            <w:tcW w:w="1520" w:type="dxa"/>
          </w:tcPr>
          <w:p w14:paraId="4D7E092D" w14:textId="77777777" w:rsidR="00B419CE" w:rsidRPr="00B419CE" w:rsidRDefault="00B419CE" w:rsidP="00B419CE">
            <w:pPr>
              <w:jc w:val="right"/>
            </w:pPr>
            <w:r w:rsidRPr="00B419CE">
              <w:t>16</w:t>
            </w:r>
          </w:p>
        </w:tc>
        <w:tc>
          <w:tcPr>
            <w:tcW w:w="1520" w:type="dxa"/>
          </w:tcPr>
          <w:p w14:paraId="7732EBCB" w14:textId="77777777" w:rsidR="00B419CE" w:rsidRPr="00B419CE" w:rsidRDefault="00B419CE" w:rsidP="00B419CE">
            <w:pPr>
              <w:jc w:val="right"/>
            </w:pPr>
          </w:p>
        </w:tc>
      </w:tr>
    </w:tbl>
    <w:p w14:paraId="70835050" w14:textId="77777777" w:rsidR="00B419CE" w:rsidRPr="00B419CE" w:rsidRDefault="00B419CE" w:rsidP="00B419CE">
      <w:r w:rsidRPr="00B419CE">
        <w:t xml:space="preserve">Målet er ei jamn kjønnsfordeling blant </w:t>
      </w:r>
      <w:proofErr w:type="spellStart"/>
      <w:r w:rsidRPr="00B419CE">
        <w:t>dei</w:t>
      </w:r>
      <w:proofErr w:type="spellEnd"/>
      <w:r w:rsidRPr="00B419CE">
        <w:t xml:space="preserve"> tilsette ved kontoret. Kjønnsfordelinga kan </w:t>
      </w:r>
      <w:proofErr w:type="spellStart"/>
      <w:r w:rsidRPr="00B419CE">
        <w:t>verte</w:t>
      </w:r>
      <w:proofErr w:type="spellEnd"/>
      <w:r w:rsidRPr="00B419CE">
        <w:t xml:space="preserve"> betre i </w:t>
      </w:r>
      <w:proofErr w:type="spellStart"/>
      <w:r w:rsidRPr="00B419CE">
        <w:t>einskilde</w:t>
      </w:r>
      <w:proofErr w:type="spellEnd"/>
      <w:r w:rsidRPr="00B419CE">
        <w:t xml:space="preserve"> grupper, som til dømes i sekretærgruppa der det er ti kvinner og </w:t>
      </w:r>
      <w:proofErr w:type="spellStart"/>
      <w:r w:rsidRPr="00B419CE">
        <w:t>ein</w:t>
      </w:r>
      <w:proofErr w:type="spellEnd"/>
      <w:r w:rsidRPr="00B419CE">
        <w:t xml:space="preserve"> mann.</w:t>
      </w:r>
    </w:p>
    <w:p w14:paraId="78AD0505" w14:textId="77777777" w:rsidR="00B419CE" w:rsidRPr="00B419CE" w:rsidRDefault="00B419CE" w:rsidP="00B419CE">
      <w:pPr>
        <w:pStyle w:val="avsnitt-undertittel"/>
      </w:pPr>
      <w:r w:rsidRPr="00B419CE">
        <w:t xml:space="preserve">Samla </w:t>
      </w:r>
      <w:proofErr w:type="spellStart"/>
      <w:r w:rsidRPr="00B419CE">
        <w:t>sjukefråvær</w:t>
      </w:r>
      <w:proofErr w:type="spellEnd"/>
      <w:r w:rsidRPr="00B419CE">
        <w:t>:</w:t>
      </w:r>
    </w:p>
    <w:p w14:paraId="20A689AE" w14:textId="77777777" w:rsidR="00B419CE" w:rsidRPr="00B419CE" w:rsidRDefault="00B419CE" w:rsidP="00B419CE">
      <w:pPr>
        <w:pStyle w:val="Tabellnavn"/>
      </w:pPr>
      <w:r w:rsidRPr="00B419CE">
        <w:t>04N1xt1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419CE" w:rsidRPr="00B419CE" w14:paraId="0FF11D2D" w14:textId="77777777" w:rsidTr="00B419CE">
        <w:trPr>
          <w:trHeight w:val="360"/>
        </w:trPr>
        <w:tc>
          <w:tcPr>
            <w:tcW w:w="5200" w:type="dxa"/>
            <w:shd w:val="clear" w:color="auto" w:fill="FFFFFF"/>
          </w:tcPr>
          <w:p w14:paraId="2FFC8B3D" w14:textId="77777777" w:rsidR="00B419CE" w:rsidRPr="00B419CE" w:rsidRDefault="00B419CE" w:rsidP="00B419CE">
            <w:proofErr w:type="spellStart"/>
            <w:r w:rsidRPr="00B419CE">
              <w:t>Prosentdelar</w:t>
            </w:r>
            <w:proofErr w:type="spellEnd"/>
          </w:p>
        </w:tc>
        <w:tc>
          <w:tcPr>
            <w:tcW w:w="1300" w:type="dxa"/>
          </w:tcPr>
          <w:p w14:paraId="06767164" w14:textId="77777777" w:rsidR="00B419CE" w:rsidRPr="00B419CE" w:rsidRDefault="00B419CE" w:rsidP="00B419CE">
            <w:pPr>
              <w:jc w:val="right"/>
            </w:pPr>
            <w:r w:rsidRPr="00B419CE">
              <w:t>Båe kjønn</w:t>
            </w:r>
          </w:p>
        </w:tc>
        <w:tc>
          <w:tcPr>
            <w:tcW w:w="1300" w:type="dxa"/>
          </w:tcPr>
          <w:p w14:paraId="08E8AEB9" w14:textId="77777777" w:rsidR="00B419CE" w:rsidRPr="00B419CE" w:rsidRDefault="00B419CE" w:rsidP="00B419CE">
            <w:pPr>
              <w:jc w:val="right"/>
            </w:pPr>
            <w:r w:rsidRPr="00B419CE">
              <w:t>Kvinner</w:t>
            </w:r>
          </w:p>
        </w:tc>
        <w:tc>
          <w:tcPr>
            <w:tcW w:w="1300" w:type="dxa"/>
          </w:tcPr>
          <w:p w14:paraId="618394D2" w14:textId="77777777" w:rsidR="00B419CE" w:rsidRPr="00B419CE" w:rsidRDefault="00B419CE" w:rsidP="00B419CE">
            <w:pPr>
              <w:jc w:val="right"/>
            </w:pPr>
            <w:r w:rsidRPr="00B419CE">
              <w:t>Menn</w:t>
            </w:r>
          </w:p>
        </w:tc>
      </w:tr>
      <w:tr w:rsidR="00B419CE" w:rsidRPr="00B419CE" w14:paraId="2CCDFE94" w14:textId="77777777" w:rsidTr="00B419CE">
        <w:trPr>
          <w:trHeight w:val="380"/>
        </w:trPr>
        <w:tc>
          <w:tcPr>
            <w:tcW w:w="5200" w:type="dxa"/>
          </w:tcPr>
          <w:p w14:paraId="2FF8F581" w14:textId="77777777" w:rsidR="00B419CE" w:rsidRPr="00B419CE" w:rsidRDefault="00B419CE" w:rsidP="00B419CE"/>
        </w:tc>
        <w:tc>
          <w:tcPr>
            <w:tcW w:w="1300" w:type="dxa"/>
          </w:tcPr>
          <w:p w14:paraId="7CEF2B81" w14:textId="77777777" w:rsidR="00B419CE" w:rsidRPr="00B419CE" w:rsidRDefault="00B419CE" w:rsidP="00B419CE">
            <w:pPr>
              <w:jc w:val="right"/>
            </w:pPr>
            <w:r w:rsidRPr="00B419CE">
              <w:t>1,8</w:t>
            </w:r>
          </w:p>
        </w:tc>
        <w:tc>
          <w:tcPr>
            <w:tcW w:w="1300" w:type="dxa"/>
          </w:tcPr>
          <w:p w14:paraId="7E64E54D" w14:textId="77777777" w:rsidR="00B419CE" w:rsidRPr="00B419CE" w:rsidRDefault="00B419CE" w:rsidP="00B419CE">
            <w:pPr>
              <w:jc w:val="right"/>
            </w:pPr>
            <w:r w:rsidRPr="00B419CE">
              <w:t>2,5</w:t>
            </w:r>
          </w:p>
        </w:tc>
        <w:tc>
          <w:tcPr>
            <w:tcW w:w="1300" w:type="dxa"/>
          </w:tcPr>
          <w:p w14:paraId="7FBDBB79" w14:textId="77777777" w:rsidR="00B419CE" w:rsidRPr="00B419CE" w:rsidRDefault="00B419CE" w:rsidP="00B419CE">
            <w:pPr>
              <w:jc w:val="right"/>
            </w:pPr>
            <w:r w:rsidRPr="00B419CE">
              <w:t xml:space="preserve">1,4 </w:t>
            </w:r>
          </w:p>
        </w:tc>
      </w:tr>
    </w:tbl>
    <w:p w14:paraId="75AC43B6" w14:textId="77777777" w:rsidR="00B419CE" w:rsidRPr="00B419CE" w:rsidRDefault="00B419CE" w:rsidP="00B419CE">
      <w:pPr>
        <w:pStyle w:val="avsnitt-undertittel"/>
      </w:pPr>
      <w:r w:rsidRPr="00B419CE">
        <w:lastRenderedPageBreak/>
        <w:t xml:space="preserve">Tiltak for å </w:t>
      </w:r>
      <w:proofErr w:type="spellStart"/>
      <w:r w:rsidRPr="00B419CE">
        <w:t>fremje</w:t>
      </w:r>
      <w:proofErr w:type="spellEnd"/>
      <w:r w:rsidRPr="00B419CE">
        <w:t xml:space="preserve"> likestilling og </w:t>
      </w:r>
      <w:proofErr w:type="spellStart"/>
      <w:r w:rsidRPr="00B419CE">
        <w:t>mangfald</w:t>
      </w:r>
      <w:proofErr w:type="spellEnd"/>
    </w:p>
    <w:p w14:paraId="6CAE960D" w14:textId="77777777" w:rsidR="00B419CE" w:rsidRPr="00B419CE" w:rsidRDefault="00B419CE" w:rsidP="00B419CE">
      <w:proofErr w:type="spellStart"/>
      <w:r w:rsidRPr="00B419CE">
        <w:t>Personar</w:t>
      </w:r>
      <w:proofErr w:type="spellEnd"/>
      <w:r w:rsidRPr="00B419CE">
        <w:t xml:space="preserve"> med nedsett funksjonsevne, </w:t>
      </w:r>
      <w:proofErr w:type="spellStart"/>
      <w:r w:rsidRPr="00B419CE">
        <w:t>personar</w:t>
      </w:r>
      <w:proofErr w:type="spellEnd"/>
      <w:r w:rsidRPr="00B419CE">
        <w:t xml:space="preserve"> med </w:t>
      </w:r>
      <w:r w:rsidRPr="00B419CE">
        <w:rPr>
          <w:rStyle w:val="kursiv"/>
        </w:rPr>
        <w:t>«</w:t>
      </w:r>
      <w:proofErr w:type="spellStart"/>
      <w:r w:rsidRPr="00B419CE">
        <w:rPr>
          <w:rStyle w:val="kursiv"/>
        </w:rPr>
        <w:t>hòl</w:t>
      </w:r>
      <w:proofErr w:type="spellEnd"/>
      <w:r w:rsidRPr="00B419CE">
        <w:rPr>
          <w:rStyle w:val="kursiv"/>
        </w:rPr>
        <w:t xml:space="preserve"> i CV-en»</w:t>
      </w:r>
      <w:r w:rsidRPr="00B419CE">
        <w:t xml:space="preserve"> og </w:t>
      </w:r>
      <w:proofErr w:type="spellStart"/>
      <w:r w:rsidRPr="00B419CE">
        <w:t>personar</w:t>
      </w:r>
      <w:proofErr w:type="spellEnd"/>
      <w:r w:rsidRPr="00B419CE">
        <w:t xml:space="preserve"> med </w:t>
      </w:r>
      <w:proofErr w:type="spellStart"/>
      <w:r w:rsidRPr="00B419CE">
        <w:t>innvandrarbakgrunn</w:t>
      </w:r>
      <w:proofErr w:type="spellEnd"/>
      <w:r w:rsidRPr="00B419CE">
        <w:t xml:space="preserve"> vert </w:t>
      </w:r>
      <w:proofErr w:type="spellStart"/>
      <w:r w:rsidRPr="00B419CE">
        <w:t>oppmoda</w:t>
      </w:r>
      <w:proofErr w:type="spellEnd"/>
      <w:r w:rsidRPr="00B419CE">
        <w:t xml:space="preserve"> om å </w:t>
      </w:r>
      <w:proofErr w:type="spellStart"/>
      <w:r w:rsidRPr="00B419CE">
        <w:t>søkje</w:t>
      </w:r>
      <w:proofErr w:type="spellEnd"/>
      <w:r w:rsidRPr="00B419CE">
        <w:t xml:space="preserve"> ledige </w:t>
      </w:r>
      <w:proofErr w:type="spellStart"/>
      <w:r w:rsidRPr="00B419CE">
        <w:t>stillingar</w:t>
      </w:r>
      <w:proofErr w:type="spellEnd"/>
      <w:r w:rsidRPr="00B419CE">
        <w:t xml:space="preserve"> ved kontoret. Dersom det </w:t>
      </w:r>
      <w:proofErr w:type="spellStart"/>
      <w:r w:rsidRPr="00B419CE">
        <w:t>finst</w:t>
      </w:r>
      <w:proofErr w:type="spellEnd"/>
      <w:r w:rsidRPr="00B419CE">
        <w:t xml:space="preserve"> kvalifiserte </w:t>
      </w:r>
      <w:proofErr w:type="spellStart"/>
      <w:r w:rsidRPr="00B419CE">
        <w:t>søkjarar</w:t>
      </w:r>
      <w:proofErr w:type="spellEnd"/>
      <w:r w:rsidRPr="00B419CE">
        <w:t xml:space="preserve"> i </w:t>
      </w:r>
      <w:proofErr w:type="spellStart"/>
      <w:r w:rsidRPr="00B419CE">
        <w:t>desse</w:t>
      </w:r>
      <w:proofErr w:type="spellEnd"/>
      <w:r w:rsidRPr="00B419CE">
        <w:t xml:space="preserve"> gruppene, vert minst </w:t>
      </w:r>
      <w:proofErr w:type="spellStart"/>
      <w:r w:rsidRPr="00B419CE">
        <w:t>ein</w:t>
      </w:r>
      <w:proofErr w:type="spellEnd"/>
      <w:r w:rsidRPr="00B419CE">
        <w:t xml:space="preserve"> </w:t>
      </w:r>
      <w:proofErr w:type="spellStart"/>
      <w:r w:rsidRPr="00B419CE">
        <w:t>søkjar</w:t>
      </w:r>
      <w:proofErr w:type="spellEnd"/>
      <w:r w:rsidRPr="00B419CE">
        <w:t xml:space="preserve"> kalla inn til intervju.</w:t>
      </w:r>
    </w:p>
    <w:p w14:paraId="00BF5129" w14:textId="77777777" w:rsidR="00B419CE" w:rsidRPr="00B419CE" w:rsidRDefault="00B419CE" w:rsidP="00B419CE">
      <w:r w:rsidRPr="00B419CE">
        <w:t>Statsministerens kontor er IA-</w:t>
      </w:r>
      <w:proofErr w:type="spellStart"/>
      <w:r w:rsidRPr="00B419CE">
        <w:t>verksemd</w:t>
      </w:r>
      <w:proofErr w:type="spellEnd"/>
      <w:r w:rsidRPr="00B419CE">
        <w:t xml:space="preserve">. Kontoret legg vekt på å tilpasse den fysiske arbeidsplassen, utstyr, </w:t>
      </w:r>
      <w:proofErr w:type="spellStart"/>
      <w:r w:rsidRPr="00B419CE">
        <w:t>arbeidsoppgåver</w:t>
      </w:r>
      <w:proofErr w:type="spellEnd"/>
      <w:r w:rsidRPr="00B419CE">
        <w:t xml:space="preserve"> og arbeidstid for </w:t>
      </w:r>
      <w:proofErr w:type="spellStart"/>
      <w:r w:rsidRPr="00B419CE">
        <w:t>medarbeidarar</w:t>
      </w:r>
      <w:proofErr w:type="spellEnd"/>
      <w:r w:rsidRPr="00B419CE">
        <w:t xml:space="preserve"> med nedsett funksjonsevne eller for andre med behov for </w:t>
      </w:r>
      <w:proofErr w:type="spellStart"/>
      <w:r w:rsidRPr="00B419CE">
        <w:t>særskild</w:t>
      </w:r>
      <w:proofErr w:type="spellEnd"/>
      <w:r w:rsidRPr="00B419CE">
        <w:t xml:space="preserve"> tilrettelegging, til dømes på grunn av sjukdom, graviditet eller </w:t>
      </w:r>
      <w:proofErr w:type="spellStart"/>
      <w:r w:rsidRPr="00B419CE">
        <w:t>omsorgsoppgåver</w:t>
      </w:r>
      <w:proofErr w:type="spellEnd"/>
      <w:r w:rsidRPr="00B419CE">
        <w:t>.</w:t>
      </w:r>
    </w:p>
    <w:p w14:paraId="46993CAE" w14:textId="77777777" w:rsidR="00B419CE" w:rsidRPr="00B419CE" w:rsidRDefault="00B419CE" w:rsidP="00B419CE">
      <w:r w:rsidRPr="00B419CE">
        <w:t xml:space="preserve">Kontoret </w:t>
      </w:r>
      <w:proofErr w:type="spellStart"/>
      <w:r w:rsidRPr="00B419CE">
        <w:t>ynskjer</w:t>
      </w:r>
      <w:proofErr w:type="spellEnd"/>
      <w:r w:rsidRPr="00B419CE">
        <w:t xml:space="preserve"> å </w:t>
      </w:r>
      <w:proofErr w:type="spellStart"/>
      <w:r w:rsidRPr="00B419CE">
        <w:t>leggje</w:t>
      </w:r>
      <w:proofErr w:type="spellEnd"/>
      <w:r w:rsidRPr="00B419CE">
        <w:t xml:space="preserve"> til rette for gode arbeidsvilkår for ulike </w:t>
      </w:r>
      <w:proofErr w:type="spellStart"/>
      <w:r w:rsidRPr="00B419CE">
        <w:t>fasar</w:t>
      </w:r>
      <w:proofErr w:type="spellEnd"/>
      <w:r w:rsidRPr="00B419CE">
        <w:t xml:space="preserve"> i livet. For </w:t>
      </w:r>
      <w:proofErr w:type="gramStart"/>
      <w:r w:rsidRPr="00B419CE">
        <w:t>tilsette</w:t>
      </w:r>
      <w:proofErr w:type="gramEnd"/>
      <w:r w:rsidRPr="00B419CE">
        <w:t xml:space="preserve"> over 60 år vert det i </w:t>
      </w:r>
      <w:proofErr w:type="spellStart"/>
      <w:r w:rsidRPr="00B419CE">
        <w:t>medarbeidarsamtalen</w:t>
      </w:r>
      <w:proofErr w:type="spellEnd"/>
      <w:r w:rsidRPr="00B419CE">
        <w:t xml:space="preserve"> utført </w:t>
      </w:r>
      <w:proofErr w:type="spellStart"/>
      <w:r w:rsidRPr="00B419CE">
        <w:t>ein</w:t>
      </w:r>
      <w:proofErr w:type="spellEnd"/>
      <w:r w:rsidRPr="00B419CE">
        <w:t xml:space="preserve"> seniorsamtale for å </w:t>
      </w:r>
      <w:proofErr w:type="spellStart"/>
      <w:r w:rsidRPr="00B419CE">
        <w:t>kartleggje</w:t>
      </w:r>
      <w:proofErr w:type="spellEnd"/>
      <w:r w:rsidRPr="00B419CE">
        <w:t xml:space="preserve"> eventuelle </w:t>
      </w:r>
      <w:proofErr w:type="spellStart"/>
      <w:r w:rsidRPr="00B419CE">
        <w:t>ynskjer</w:t>
      </w:r>
      <w:proofErr w:type="spellEnd"/>
      <w:r w:rsidRPr="00B419CE">
        <w:t xml:space="preserve"> om endra </w:t>
      </w:r>
      <w:proofErr w:type="spellStart"/>
      <w:r w:rsidRPr="00B419CE">
        <w:t>arbeidsoppgåver</w:t>
      </w:r>
      <w:proofErr w:type="spellEnd"/>
      <w:r w:rsidRPr="00B419CE">
        <w:t xml:space="preserve">, tilrettelegging av arbeidssituasjonen og andre tiltak som kan </w:t>
      </w:r>
      <w:proofErr w:type="spellStart"/>
      <w:r w:rsidRPr="00B419CE">
        <w:t>styrkje</w:t>
      </w:r>
      <w:proofErr w:type="spellEnd"/>
      <w:r w:rsidRPr="00B419CE">
        <w:t xml:space="preserve"> </w:t>
      </w:r>
      <w:proofErr w:type="spellStart"/>
      <w:r w:rsidRPr="00B419CE">
        <w:t>moglegheita</w:t>
      </w:r>
      <w:proofErr w:type="spellEnd"/>
      <w:r w:rsidRPr="00B419CE">
        <w:t xml:space="preserve"> for å stå lenge i stillinga.</w:t>
      </w:r>
    </w:p>
    <w:p w14:paraId="7FB9AE2F" w14:textId="77777777" w:rsidR="00B419CE" w:rsidRPr="00B419CE" w:rsidRDefault="00B419CE" w:rsidP="00B419CE">
      <w:pPr>
        <w:pStyle w:val="avsnitt-tittel"/>
      </w:pPr>
      <w:r w:rsidRPr="00B419CE">
        <w:t>Regjeringsadvokaten</w:t>
      </w:r>
    </w:p>
    <w:p w14:paraId="115C379D" w14:textId="77777777" w:rsidR="00B419CE" w:rsidRPr="00B419CE" w:rsidRDefault="00B419CE" w:rsidP="00B419CE">
      <w:r w:rsidRPr="00B419CE">
        <w:t xml:space="preserve">Regjeringsadvokaten har </w:t>
      </w:r>
      <w:proofErr w:type="spellStart"/>
      <w:r w:rsidRPr="00B419CE">
        <w:t>ein</w:t>
      </w:r>
      <w:proofErr w:type="spellEnd"/>
      <w:r w:rsidRPr="00B419CE">
        <w:t xml:space="preserve"> likestillingsplan med mål som skal hindre forskjellsbehandling på grunn av kjønn </w:t>
      </w:r>
      <w:proofErr w:type="spellStart"/>
      <w:r w:rsidRPr="00B419CE">
        <w:t>innanfor</w:t>
      </w:r>
      <w:proofErr w:type="spellEnd"/>
      <w:r w:rsidRPr="00B419CE">
        <w:t xml:space="preserve"> område som bemanning, leiing, </w:t>
      </w:r>
      <w:proofErr w:type="spellStart"/>
      <w:r w:rsidRPr="00B419CE">
        <w:t>faglege</w:t>
      </w:r>
      <w:proofErr w:type="spellEnd"/>
      <w:r w:rsidRPr="00B419CE">
        <w:t xml:space="preserve"> </w:t>
      </w:r>
      <w:proofErr w:type="spellStart"/>
      <w:r w:rsidRPr="00B419CE">
        <w:t>utfordringar</w:t>
      </w:r>
      <w:proofErr w:type="spellEnd"/>
      <w:r w:rsidRPr="00B419CE">
        <w:t xml:space="preserve">, </w:t>
      </w:r>
      <w:proofErr w:type="spellStart"/>
      <w:r w:rsidRPr="00B419CE">
        <w:t>løn</w:t>
      </w:r>
      <w:proofErr w:type="spellEnd"/>
      <w:r w:rsidRPr="00B419CE">
        <w:t xml:space="preserve">, tilrettelegging for omsorgsplikter m.m. Embetet legg vekt på å </w:t>
      </w:r>
      <w:proofErr w:type="spellStart"/>
      <w:r w:rsidRPr="00B419CE">
        <w:t>gje</w:t>
      </w:r>
      <w:proofErr w:type="spellEnd"/>
      <w:r w:rsidRPr="00B419CE">
        <w:t xml:space="preserve"> kvinner og menn same </w:t>
      </w:r>
      <w:proofErr w:type="spellStart"/>
      <w:r w:rsidRPr="00B419CE">
        <w:t>moglegheit</w:t>
      </w:r>
      <w:proofErr w:type="spellEnd"/>
      <w:r w:rsidRPr="00B419CE">
        <w:t xml:space="preserve"> for utvikling gjennom </w:t>
      </w:r>
      <w:proofErr w:type="spellStart"/>
      <w:r w:rsidRPr="00B419CE">
        <w:t>oppgåver</w:t>
      </w:r>
      <w:proofErr w:type="spellEnd"/>
      <w:r w:rsidRPr="00B419CE">
        <w:t xml:space="preserve"> og kompetansetiltak.</w:t>
      </w:r>
    </w:p>
    <w:p w14:paraId="19CE434D" w14:textId="77777777" w:rsidR="00B419CE" w:rsidRPr="00B419CE" w:rsidRDefault="00B419CE" w:rsidP="00B419CE">
      <w:pPr>
        <w:pStyle w:val="avsnitt-undertittel"/>
      </w:pPr>
      <w:r w:rsidRPr="00B419CE">
        <w:t>Tilstandsrapport kjønn</w:t>
      </w:r>
    </w:p>
    <w:p w14:paraId="18F89C78" w14:textId="77777777" w:rsidR="00B419CE" w:rsidRPr="00B419CE" w:rsidRDefault="00B419CE" w:rsidP="00B419CE">
      <w:pPr>
        <w:pStyle w:val="Tabellnavn"/>
      </w:pPr>
      <w:r w:rsidRPr="00B419CE">
        <w:t>03N2xt2</w:t>
      </w:r>
    </w:p>
    <w:tbl>
      <w:tblPr>
        <w:tblStyle w:val="StandardTabell"/>
        <w:tblW w:w="9120" w:type="dxa"/>
        <w:tblLayout w:type="fixed"/>
        <w:tblLook w:val="04A0" w:firstRow="1" w:lastRow="0" w:firstColumn="1" w:lastColumn="0" w:noHBand="0" w:noVBand="1"/>
      </w:tblPr>
      <w:tblGrid>
        <w:gridCol w:w="6080"/>
        <w:gridCol w:w="1520"/>
        <w:gridCol w:w="1520"/>
      </w:tblGrid>
      <w:tr w:rsidR="00B419CE" w:rsidRPr="00B419CE" w14:paraId="5C19CA11" w14:textId="77777777" w:rsidTr="00B419CE">
        <w:trPr>
          <w:trHeight w:val="360"/>
        </w:trPr>
        <w:tc>
          <w:tcPr>
            <w:tcW w:w="6080" w:type="dxa"/>
            <w:shd w:val="clear" w:color="auto" w:fill="FFFFFF"/>
          </w:tcPr>
          <w:p w14:paraId="1497639D" w14:textId="77777777" w:rsidR="00B419CE" w:rsidRPr="00B419CE" w:rsidRDefault="00B419CE" w:rsidP="00B419CE"/>
        </w:tc>
        <w:tc>
          <w:tcPr>
            <w:tcW w:w="1520" w:type="dxa"/>
          </w:tcPr>
          <w:p w14:paraId="0ED54479" w14:textId="3BF5790B" w:rsidR="00B419CE" w:rsidRPr="00B419CE" w:rsidRDefault="00B419CE" w:rsidP="00B419CE">
            <w:pPr>
              <w:jc w:val="right"/>
            </w:pPr>
            <w:r w:rsidRPr="00B419CE">
              <w:t>Regjerings</w:t>
            </w:r>
            <w:r w:rsidR="00B32459">
              <w:softHyphen/>
            </w:r>
            <w:r w:rsidRPr="00B419CE">
              <w:t>advokaten</w:t>
            </w:r>
          </w:p>
        </w:tc>
        <w:tc>
          <w:tcPr>
            <w:tcW w:w="1520" w:type="dxa"/>
          </w:tcPr>
          <w:p w14:paraId="26B07F8B" w14:textId="77777777" w:rsidR="00B419CE" w:rsidRPr="00B419CE" w:rsidRDefault="00B419CE" w:rsidP="00B419CE">
            <w:pPr>
              <w:jc w:val="right"/>
            </w:pPr>
            <w:r w:rsidRPr="00B419CE">
              <w:t xml:space="preserve">Kvinner sin del av menn sin </w:t>
            </w:r>
            <w:proofErr w:type="spellStart"/>
            <w:r w:rsidRPr="00B419CE">
              <w:t>løn</w:t>
            </w:r>
            <w:proofErr w:type="spellEnd"/>
          </w:p>
        </w:tc>
      </w:tr>
      <w:tr w:rsidR="00B419CE" w:rsidRPr="00B419CE" w14:paraId="1770351E" w14:textId="77777777" w:rsidTr="00B419CE">
        <w:trPr>
          <w:trHeight w:val="360"/>
        </w:trPr>
        <w:tc>
          <w:tcPr>
            <w:tcW w:w="6080" w:type="dxa"/>
          </w:tcPr>
          <w:p w14:paraId="6469CE75" w14:textId="77777777" w:rsidR="00B419CE" w:rsidRPr="00B419CE" w:rsidRDefault="00B419CE" w:rsidP="00B419CE"/>
        </w:tc>
        <w:tc>
          <w:tcPr>
            <w:tcW w:w="1520" w:type="dxa"/>
          </w:tcPr>
          <w:p w14:paraId="4A224801" w14:textId="77777777" w:rsidR="00B419CE" w:rsidRPr="00B419CE" w:rsidRDefault="00B419CE" w:rsidP="00B419CE">
            <w:pPr>
              <w:jc w:val="right"/>
            </w:pPr>
            <w:proofErr w:type="spellStart"/>
            <w:r w:rsidRPr="00B419CE">
              <w:t>Prosentdelar</w:t>
            </w:r>
            <w:proofErr w:type="spellEnd"/>
          </w:p>
        </w:tc>
        <w:tc>
          <w:tcPr>
            <w:tcW w:w="1520" w:type="dxa"/>
          </w:tcPr>
          <w:p w14:paraId="20311E9D" w14:textId="77777777" w:rsidR="00B419CE" w:rsidRPr="00B419CE" w:rsidRDefault="00B419CE" w:rsidP="00B419CE">
            <w:pPr>
              <w:jc w:val="right"/>
            </w:pPr>
            <w:proofErr w:type="spellStart"/>
            <w:r w:rsidRPr="00B419CE">
              <w:t>Prosentdelar</w:t>
            </w:r>
            <w:proofErr w:type="spellEnd"/>
          </w:p>
        </w:tc>
      </w:tr>
      <w:tr w:rsidR="00B419CE" w:rsidRPr="00B419CE" w14:paraId="189AE920" w14:textId="77777777" w:rsidTr="00B419CE">
        <w:trPr>
          <w:trHeight w:val="380"/>
        </w:trPr>
        <w:tc>
          <w:tcPr>
            <w:tcW w:w="6080" w:type="dxa"/>
          </w:tcPr>
          <w:p w14:paraId="46B28FB2" w14:textId="77777777" w:rsidR="00B419CE" w:rsidRPr="00B419CE" w:rsidRDefault="00B419CE" w:rsidP="00B419CE">
            <w:r w:rsidRPr="00B419CE">
              <w:rPr>
                <w:rStyle w:val="kursiv"/>
              </w:rPr>
              <w:t>Kvinner:</w:t>
            </w:r>
          </w:p>
        </w:tc>
        <w:tc>
          <w:tcPr>
            <w:tcW w:w="1520" w:type="dxa"/>
          </w:tcPr>
          <w:p w14:paraId="4B3F8AA9" w14:textId="77777777" w:rsidR="00B419CE" w:rsidRPr="00B419CE" w:rsidRDefault="00B419CE" w:rsidP="00B419CE">
            <w:pPr>
              <w:jc w:val="right"/>
            </w:pPr>
          </w:p>
        </w:tc>
        <w:tc>
          <w:tcPr>
            <w:tcW w:w="1520" w:type="dxa"/>
          </w:tcPr>
          <w:p w14:paraId="5FB75DEB" w14:textId="77777777" w:rsidR="00B419CE" w:rsidRPr="00B419CE" w:rsidRDefault="00B419CE" w:rsidP="00B419CE">
            <w:pPr>
              <w:jc w:val="right"/>
            </w:pPr>
          </w:p>
        </w:tc>
      </w:tr>
      <w:tr w:rsidR="00B419CE" w:rsidRPr="00B419CE" w14:paraId="1D539937" w14:textId="77777777" w:rsidTr="00B419CE">
        <w:trPr>
          <w:trHeight w:val="380"/>
        </w:trPr>
        <w:tc>
          <w:tcPr>
            <w:tcW w:w="6080" w:type="dxa"/>
          </w:tcPr>
          <w:p w14:paraId="09EE218F" w14:textId="77777777" w:rsidR="00B419CE" w:rsidRPr="00B419CE" w:rsidRDefault="00B419CE" w:rsidP="00B419CE">
            <w:r w:rsidRPr="00B419CE">
              <w:t xml:space="preserve">Totalt i </w:t>
            </w:r>
            <w:proofErr w:type="spellStart"/>
            <w:r w:rsidRPr="00B419CE">
              <w:t>verksemda</w:t>
            </w:r>
            <w:proofErr w:type="spellEnd"/>
          </w:p>
        </w:tc>
        <w:tc>
          <w:tcPr>
            <w:tcW w:w="1520" w:type="dxa"/>
          </w:tcPr>
          <w:p w14:paraId="0F8A0F84" w14:textId="77777777" w:rsidR="00B419CE" w:rsidRPr="00B419CE" w:rsidRDefault="00B419CE" w:rsidP="00B419CE">
            <w:pPr>
              <w:jc w:val="right"/>
            </w:pPr>
            <w:r w:rsidRPr="00B419CE">
              <w:t>55 (53)</w:t>
            </w:r>
          </w:p>
        </w:tc>
        <w:tc>
          <w:tcPr>
            <w:tcW w:w="1520" w:type="dxa"/>
          </w:tcPr>
          <w:p w14:paraId="3E820701" w14:textId="77777777" w:rsidR="00B419CE" w:rsidRPr="00B419CE" w:rsidRDefault="00B419CE" w:rsidP="00B419CE">
            <w:pPr>
              <w:jc w:val="right"/>
            </w:pPr>
            <w:r w:rsidRPr="00B419CE">
              <w:t>79 (78)</w:t>
            </w:r>
          </w:p>
        </w:tc>
      </w:tr>
      <w:tr w:rsidR="00B419CE" w:rsidRPr="00B419CE" w14:paraId="6688323A" w14:textId="77777777" w:rsidTr="00B419CE">
        <w:trPr>
          <w:trHeight w:val="380"/>
        </w:trPr>
        <w:tc>
          <w:tcPr>
            <w:tcW w:w="6080" w:type="dxa"/>
          </w:tcPr>
          <w:p w14:paraId="2B29A361" w14:textId="77777777" w:rsidR="00B419CE" w:rsidRPr="00B419CE" w:rsidRDefault="00B419CE" w:rsidP="00B419CE">
            <w:proofErr w:type="spellStart"/>
            <w:r w:rsidRPr="00B419CE">
              <w:t>Leiarstillingar</w:t>
            </w:r>
            <w:proofErr w:type="spellEnd"/>
          </w:p>
        </w:tc>
        <w:tc>
          <w:tcPr>
            <w:tcW w:w="1520" w:type="dxa"/>
          </w:tcPr>
          <w:p w14:paraId="776D9641" w14:textId="77777777" w:rsidR="00B419CE" w:rsidRPr="00B419CE" w:rsidRDefault="00B419CE" w:rsidP="00B419CE">
            <w:pPr>
              <w:jc w:val="right"/>
            </w:pPr>
            <w:r w:rsidRPr="00B419CE">
              <w:t>33 (33)</w:t>
            </w:r>
          </w:p>
        </w:tc>
        <w:tc>
          <w:tcPr>
            <w:tcW w:w="1520" w:type="dxa"/>
          </w:tcPr>
          <w:p w14:paraId="422A2989" w14:textId="77777777" w:rsidR="00B419CE" w:rsidRPr="00B419CE" w:rsidRDefault="00B419CE" w:rsidP="00B419CE">
            <w:pPr>
              <w:jc w:val="right"/>
            </w:pPr>
            <w:r w:rsidRPr="00B419CE">
              <w:t xml:space="preserve">93 (92) </w:t>
            </w:r>
          </w:p>
        </w:tc>
      </w:tr>
      <w:tr w:rsidR="00B419CE" w:rsidRPr="00B419CE" w14:paraId="6099E3B1" w14:textId="77777777" w:rsidTr="00B419CE">
        <w:trPr>
          <w:trHeight w:val="380"/>
        </w:trPr>
        <w:tc>
          <w:tcPr>
            <w:tcW w:w="6080" w:type="dxa"/>
          </w:tcPr>
          <w:p w14:paraId="11FBC386" w14:textId="77777777" w:rsidR="00B419CE" w:rsidRPr="00B419CE" w:rsidRDefault="00B419CE" w:rsidP="00B419CE">
            <w:proofErr w:type="spellStart"/>
            <w:r w:rsidRPr="00B419CE">
              <w:t>Fagleiar</w:t>
            </w:r>
            <w:proofErr w:type="spellEnd"/>
          </w:p>
        </w:tc>
        <w:tc>
          <w:tcPr>
            <w:tcW w:w="1520" w:type="dxa"/>
          </w:tcPr>
          <w:p w14:paraId="0288A71A" w14:textId="77777777" w:rsidR="00B419CE" w:rsidRPr="00B419CE" w:rsidRDefault="00B419CE" w:rsidP="00B419CE">
            <w:pPr>
              <w:jc w:val="right"/>
            </w:pPr>
            <w:r w:rsidRPr="00B419CE">
              <w:t>36 (30)</w:t>
            </w:r>
          </w:p>
        </w:tc>
        <w:tc>
          <w:tcPr>
            <w:tcW w:w="1520" w:type="dxa"/>
          </w:tcPr>
          <w:p w14:paraId="4F7F457E" w14:textId="77777777" w:rsidR="00B419CE" w:rsidRPr="00B419CE" w:rsidRDefault="00B419CE" w:rsidP="00B419CE">
            <w:pPr>
              <w:jc w:val="right"/>
            </w:pPr>
            <w:r w:rsidRPr="00B419CE">
              <w:t>102 (101)</w:t>
            </w:r>
          </w:p>
        </w:tc>
      </w:tr>
      <w:tr w:rsidR="00B419CE" w:rsidRPr="00B419CE" w14:paraId="675ED1C5" w14:textId="77777777" w:rsidTr="00B419CE">
        <w:trPr>
          <w:trHeight w:val="380"/>
        </w:trPr>
        <w:tc>
          <w:tcPr>
            <w:tcW w:w="6080" w:type="dxa"/>
          </w:tcPr>
          <w:p w14:paraId="0AC0E3E2" w14:textId="77777777" w:rsidR="00B419CE" w:rsidRPr="00B419CE" w:rsidRDefault="00B419CE" w:rsidP="00B419CE">
            <w:r w:rsidRPr="00B419CE">
              <w:t xml:space="preserve">Andre </w:t>
            </w:r>
            <w:proofErr w:type="spellStart"/>
            <w:r w:rsidRPr="00B419CE">
              <w:t>advokatar</w:t>
            </w:r>
            <w:proofErr w:type="spellEnd"/>
            <w:r w:rsidRPr="00B419CE">
              <w:t xml:space="preserve"> og </w:t>
            </w:r>
            <w:proofErr w:type="spellStart"/>
            <w:r w:rsidRPr="00B419CE">
              <w:t>støttefunksjonar</w:t>
            </w:r>
            <w:proofErr w:type="spellEnd"/>
          </w:p>
        </w:tc>
        <w:tc>
          <w:tcPr>
            <w:tcW w:w="1520" w:type="dxa"/>
          </w:tcPr>
          <w:p w14:paraId="24F2FBC4" w14:textId="77777777" w:rsidR="00B419CE" w:rsidRPr="00B419CE" w:rsidRDefault="00B419CE" w:rsidP="00B419CE">
            <w:pPr>
              <w:jc w:val="right"/>
            </w:pPr>
            <w:r w:rsidRPr="00B419CE">
              <w:t>61 (58)</w:t>
            </w:r>
          </w:p>
        </w:tc>
        <w:tc>
          <w:tcPr>
            <w:tcW w:w="1520" w:type="dxa"/>
          </w:tcPr>
          <w:p w14:paraId="18B15D8E" w14:textId="77777777" w:rsidR="00B419CE" w:rsidRPr="00B419CE" w:rsidRDefault="00B419CE" w:rsidP="00B419CE">
            <w:pPr>
              <w:jc w:val="right"/>
            </w:pPr>
            <w:r w:rsidRPr="00B419CE">
              <w:t>88 (85)</w:t>
            </w:r>
          </w:p>
        </w:tc>
      </w:tr>
      <w:tr w:rsidR="00B419CE" w:rsidRPr="00B419CE" w14:paraId="6C8EC449" w14:textId="77777777" w:rsidTr="00B419CE">
        <w:trPr>
          <w:trHeight w:val="380"/>
        </w:trPr>
        <w:tc>
          <w:tcPr>
            <w:tcW w:w="6080" w:type="dxa"/>
          </w:tcPr>
          <w:p w14:paraId="3BA273D1" w14:textId="77777777" w:rsidR="00B419CE" w:rsidRPr="00B419CE" w:rsidRDefault="00B419CE" w:rsidP="00B419CE">
            <w:r w:rsidRPr="00B419CE">
              <w:rPr>
                <w:rStyle w:val="kursiv"/>
              </w:rPr>
              <w:t xml:space="preserve">Mellombels/deltid: </w:t>
            </w:r>
          </w:p>
        </w:tc>
        <w:tc>
          <w:tcPr>
            <w:tcW w:w="1520" w:type="dxa"/>
          </w:tcPr>
          <w:p w14:paraId="6241FF6D" w14:textId="77777777" w:rsidR="00B419CE" w:rsidRPr="00B419CE" w:rsidRDefault="00B419CE" w:rsidP="00B419CE">
            <w:pPr>
              <w:jc w:val="right"/>
            </w:pPr>
          </w:p>
        </w:tc>
        <w:tc>
          <w:tcPr>
            <w:tcW w:w="1520" w:type="dxa"/>
          </w:tcPr>
          <w:p w14:paraId="18F0E506" w14:textId="77777777" w:rsidR="00B419CE" w:rsidRPr="00B419CE" w:rsidRDefault="00B419CE" w:rsidP="00B419CE">
            <w:pPr>
              <w:jc w:val="right"/>
            </w:pPr>
          </w:p>
        </w:tc>
      </w:tr>
      <w:tr w:rsidR="00B419CE" w:rsidRPr="00B419CE" w14:paraId="58504161" w14:textId="77777777" w:rsidTr="00B419CE">
        <w:trPr>
          <w:trHeight w:val="380"/>
        </w:trPr>
        <w:tc>
          <w:tcPr>
            <w:tcW w:w="6080" w:type="dxa"/>
          </w:tcPr>
          <w:p w14:paraId="3C0D0BB2" w14:textId="77777777" w:rsidR="00B419CE" w:rsidRPr="00B419CE" w:rsidRDefault="00B419CE" w:rsidP="00B419CE">
            <w:r w:rsidRPr="00B419CE">
              <w:t>Mellombels tilsette kvinner</w:t>
            </w:r>
          </w:p>
        </w:tc>
        <w:tc>
          <w:tcPr>
            <w:tcW w:w="1520" w:type="dxa"/>
          </w:tcPr>
          <w:p w14:paraId="5B868A26" w14:textId="77777777" w:rsidR="00B419CE" w:rsidRPr="00B419CE" w:rsidRDefault="00B419CE" w:rsidP="00B419CE">
            <w:pPr>
              <w:jc w:val="right"/>
            </w:pPr>
            <w:r w:rsidRPr="00B419CE">
              <w:t>2,4</w:t>
            </w:r>
          </w:p>
        </w:tc>
        <w:tc>
          <w:tcPr>
            <w:tcW w:w="1520" w:type="dxa"/>
          </w:tcPr>
          <w:p w14:paraId="536EAF84" w14:textId="77777777" w:rsidR="00B419CE" w:rsidRPr="00B419CE" w:rsidRDefault="00B419CE" w:rsidP="00B419CE">
            <w:pPr>
              <w:jc w:val="right"/>
            </w:pPr>
          </w:p>
        </w:tc>
      </w:tr>
      <w:tr w:rsidR="00B419CE" w:rsidRPr="00B419CE" w14:paraId="5F7A6B6B" w14:textId="77777777" w:rsidTr="00B419CE">
        <w:trPr>
          <w:trHeight w:val="380"/>
        </w:trPr>
        <w:tc>
          <w:tcPr>
            <w:tcW w:w="6080" w:type="dxa"/>
          </w:tcPr>
          <w:p w14:paraId="19E90BB2" w14:textId="77777777" w:rsidR="00B419CE" w:rsidRPr="00B419CE" w:rsidRDefault="00B419CE" w:rsidP="00B419CE">
            <w:r w:rsidRPr="00B419CE">
              <w:t>Mellombels tilsette menn</w:t>
            </w:r>
          </w:p>
        </w:tc>
        <w:tc>
          <w:tcPr>
            <w:tcW w:w="1520" w:type="dxa"/>
          </w:tcPr>
          <w:p w14:paraId="1C725CE5" w14:textId="77777777" w:rsidR="00B419CE" w:rsidRPr="00B419CE" w:rsidRDefault="00B419CE" w:rsidP="00B419CE">
            <w:pPr>
              <w:jc w:val="right"/>
            </w:pPr>
            <w:r w:rsidRPr="00B419CE">
              <w:t>2,9</w:t>
            </w:r>
          </w:p>
        </w:tc>
        <w:tc>
          <w:tcPr>
            <w:tcW w:w="1520" w:type="dxa"/>
          </w:tcPr>
          <w:p w14:paraId="6A627DA1" w14:textId="77777777" w:rsidR="00B419CE" w:rsidRPr="00B419CE" w:rsidRDefault="00B419CE" w:rsidP="00B419CE">
            <w:pPr>
              <w:jc w:val="right"/>
            </w:pPr>
          </w:p>
        </w:tc>
      </w:tr>
      <w:tr w:rsidR="00B419CE" w:rsidRPr="00B419CE" w14:paraId="1193EE14" w14:textId="77777777" w:rsidTr="00B419CE">
        <w:trPr>
          <w:trHeight w:val="380"/>
        </w:trPr>
        <w:tc>
          <w:tcPr>
            <w:tcW w:w="6080" w:type="dxa"/>
          </w:tcPr>
          <w:p w14:paraId="7677D138" w14:textId="77777777" w:rsidR="00B419CE" w:rsidRPr="00B419CE" w:rsidRDefault="00B419CE" w:rsidP="00B419CE">
            <w:r w:rsidRPr="00B419CE">
              <w:t>Deltid kvinner</w:t>
            </w:r>
          </w:p>
        </w:tc>
        <w:tc>
          <w:tcPr>
            <w:tcW w:w="1520" w:type="dxa"/>
          </w:tcPr>
          <w:p w14:paraId="6DA23A04" w14:textId="77777777" w:rsidR="00B419CE" w:rsidRPr="00B419CE" w:rsidRDefault="00B419CE" w:rsidP="00B419CE">
            <w:pPr>
              <w:jc w:val="right"/>
            </w:pPr>
            <w:r w:rsidRPr="00B419CE">
              <w:t>4,8</w:t>
            </w:r>
          </w:p>
        </w:tc>
        <w:tc>
          <w:tcPr>
            <w:tcW w:w="1520" w:type="dxa"/>
          </w:tcPr>
          <w:p w14:paraId="0398A238" w14:textId="77777777" w:rsidR="00B419CE" w:rsidRPr="00B419CE" w:rsidRDefault="00B419CE" w:rsidP="00B419CE">
            <w:pPr>
              <w:jc w:val="right"/>
            </w:pPr>
          </w:p>
        </w:tc>
      </w:tr>
      <w:tr w:rsidR="00B419CE" w:rsidRPr="00B419CE" w14:paraId="08410891" w14:textId="77777777" w:rsidTr="00B419CE">
        <w:trPr>
          <w:trHeight w:val="380"/>
        </w:trPr>
        <w:tc>
          <w:tcPr>
            <w:tcW w:w="6080" w:type="dxa"/>
          </w:tcPr>
          <w:p w14:paraId="73211D6D" w14:textId="77777777" w:rsidR="00B419CE" w:rsidRPr="00B419CE" w:rsidRDefault="00B419CE" w:rsidP="00B419CE">
            <w:r w:rsidRPr="00B419CE">
              <w:t>Deltid menn</w:t>
            </w:r>
          </w:p>
        </w:tc>
        <w:tc>
          <w:tcPr>
            <w:tcW w:w="1520" w:type="dxa"/>
          </w:tcPr>
          <w:p w14:paraId="5872C639" w14:textId="77777777" w:rsidR="00B419CE" w:rsidRPr="00B419CE" w:rsidRDefault="00B419CE" w:rsidP="00B419CE">
            <w:pPr>
              <w:jc w:val="right"/>
            </w:pPr>
            <w:r w:rsidRPr="00B419CE">
              <w:t>0</w:t>
            </w:r>
          </w:p>
        </w:tc>
        <w:tc>
          <w:tcPr>
            <w:tcW w:w="1520" w:type="dxa"/>
          </w:tcPr>
          <w:p w14:paraId="462B5AA3" w14:textId="77777777" w:rsidR="00B419CE" w:rsidRPr="00B419CE" w:rsidRDefault="00B419CE" w:rsidP="00B419CE">
            <w:pPr>
              <w:jc w:val="right"/>
            </w:pPr>
          </w:p>
        </w:tc>
      </w:tr>
      <w:tr w:rsidR="00B419CE" w:rsidRPr="00B419CE" w14:paraId="56626A82" w14:textId="77777777" w:rsidTr="00B419CE">
        <w:trPr>
          <w:trHeight w:val="380"/>
        </w:trPr>
        <w:tc>
          <w:tcPr>
            <w:tcW w:w="6080" w:type="dxa"/>
          </w:tcPr>
          <w:p w14:paraId="41F264FD" w14:textId="77777777" w:rsidR="00B419CE" w:rsidRPr="00B419CE" w:rsidRDefault="00B419CE" w:rsidP="00B419CE">
            <w:r w:rsidRPr="00B419CE">
              <w:rPr>
                <w:rStyle w:val="kursiv"/>
              </w:rPr>
              <w:t>Foreldrepermisjon; uttak av veker:</w:t>
            </w:r>
          </w:p>
        </w:tc>
        <w:tc>
          <w:tcPr>
            <w:tcW w:w="1520" w:type="dxa"/>
          </w:tcPr>
          <w:p w14:paraId="0B190E3D" w14:textId="77777777" w:rsidR="00B419CE" w:rsidRPr="00B419CE" w:rsidRDefault="00B419CE" w:rsidP="00B419CE">
            <w:pPr>
              <w:jc w:val="right"/>
            </w:pPr>
          </w:p>
        </w:tc>
        <w:tc>
          <w:tcPr>
            <w:tcW w:w="1520" w:type="dxa"/>
          </w:tcPr>
          <w:p w14:paraId="5B43E2D8" w14:textId="77777777" w:rsidR="00B419CE" w:rsidRPr="00B419CE" w:rsidRDefault="00B419CE" w:rsidP="00B419CE">
            <w:pPr>
              <w:jc w:val="right"/>
            </w:pPr>
          </w:p>
        </w:tc>
      </w:tr>
      <w:tr w:rsidR="00B419CE" w:rsidRPr="00B419CE" w14:paraId="6C070661" w14:textId="77777777" w:rsidTr="00B419CE">
        <w:trPr>
          <w:trHeight w:val="380"/>
        </w:trPr>
        <w:tc>
          <w:tcPr>
            <w:tcW w:w="6080" w:type="dxa"/>
          </w:tcPr>
          <w:p w14:paraId="189CE89A" w14:textId="77777777" w:rsidR="00B419CE" w:rsidRPr="00B419CE" w:rsidRDefault="00B419CE" w:rsidP="00B419CE">
            <w:r w:rsidRPr="00B419CE">
              <w:lastRenderedPageBreak/>
              <w:t>Kvinner</w:t>
            </w:r>
          </w:p>
        </w:tc>
        <w:tc>
          <w:tcPr>
            <w:tcW w:w="1520" w:type="dxa"/>
          </w:tcPr>
          <w:p w14:paraId="56941A96" w14:textId="77777777" w:rsidR="00B419CE" w:rsidRPr="00B419CE" w:rsidRDefault="00B419CE" w:rsidP="00B419CE">
            <w:pPr>
              <w:jc w:val="right"/>
            </w:pPr>
            <w:r w:rsidRPr="00B419CE">
              <w:t>32</w:t>
            </w:r>
          </w:p>
        </w:tc>
        <w:tc>
          <w:tcPr>
            <w:tcW w:w="1520" w:type="dxa"/>
          </w:tcPr>
          <w:p w14:paraId="0ACCC0A4" w14:textId="77777777" w:rsidR="00B419CE" w:rsidRPr="00B419CE" w:rsidRDefault="00B419CE" w:rsidP="00B419CE">
            <w:pPr>
              <w:jc w:val="right"/>
            </w:pPr>
          </w:p>
        </w:tc>
      </w:tr>
      <w:tr w:rsidR="00B419CE" w:rsidRPr="00B419CE" w14:paraId="11468AB4" w14:textId="77777777" w:rsidTr="00B419CE">
        <w:trPr>
          <w:trHeight w:val="380"/>
        </w:trPr>
        <w:tc>
          <w:tcPr>
            <w:tcW w:w="6080" w:type="dxa"/>
          </w:tcPr>
          <w:p w14:paraId="648C96EB" w14:textId="77777777" w:rsidR="00B419CE" w:rsidRPr="00B419CE" w:rsidRDefault="00B419CE" w:rsidP="00B419CE">
            <w:r w:rsidRPr="00B419CE">
              <w:t>Menn</w:t>
            </w:r>
          </w:p>
        </w:tc>
        <w:tc>
          <w:tcPr>
            <w:tcW w:w="1520" w:type="dxa"/>
          </w:tcPr>
          <w:p w14:paraId="0086B3EE" w14:textId="77777777" w:rsidR="00B419CE" w:rsidRPr="00B419CE" w:rsidRDefault="00B419CE" w:rsidP="00B419CE">
            <w:pPr>
              <w:jc w:val="right"/>
            </w:pPr>
            <w:r w:rsidRPr="00B419CE">
              <w:t>18</w:t>
            </w:r>
          </w:p>
        </w:tc>
        <w:tc>
          <w:tcPr>
            <w:tcW w:w="1520" w:type="dxa"/>
          </w:tcPr>
          <w:p w14:paraId="4AB15CEB" w14:textId="77777777" w:rsidR="00B419CE" w:rsidRPr="00B419CE" w:rsidRDefault="00B419CE" w:rsidP="00B419CE">
            <w:pPr>
              <w:jc w:val="right"/>
            </w:pPr>
          </w:p>
        </w:tc>
      </w:tr>
    </w:tbl>
    <w:p w14:paraId="5A43C679" w14:textId="77777777" w:rsidR="00B419CE" w:rsidRPr="00B419CE" w:rsidRDefault="00B419CE" w:rsidP="00B419CE">
      <w:r w:rsidRPr="00B419CE">
        <w:t xml:space="preserve">Av </w:t>
      </w:r>
      <w:proofErr w:type="spellStart"/>
      <w:r w:rsidRPr="00B419CE">
        <w:t>dei</w:t>
      </w:r>
      <w:proofErr w:type="spellEnd"/>
      <w:r w:rsidRPr="00B419CE">
        <w:t xml:space="preserve"> 52 i advokatembete var 46 pst. kvinner. Av </w:t>
      </w:r>
      <w:proofErr w:type="spellStart"/>
      <w:r w:rsidRPr="00B419CE">
        <w:t>dei</w:t>
      </w:r>
      <w:proofErr w:type="spellEnd"/>
      <w:r w:rsidRPr="00B419CE">
        <w:t xml:space="preserve"> 25 tilsette på administrativ side, var 72 pst. kvinner. Regjeringsadvokaten har </w:t>
      </w:r>
      <w:proofErr w:type="spellStart"/>
      <w:r w:rsidRPr="00B419CE">
        <w:t>ein</w:t>
      </w:r>
      <w:proofErr w:type="spellEnd"/>
      <w:r w:rsidRPr="00B419CE">
        <w:t xml:space="preserve"> god kjønnsbalanse i alle stillingskategorier, med unntak av advokat-</w:t>
      </w:r>
      <w:proofErr w:type="spellStart"/>
      <w:r w:rsidRPr="00B419CE">
        <w:t>assistentane</w:t>
      </w:r>
      <w:proofErr w:type="spellEnd"/>
      <w:r w:rsidRPr="00B419CE">
        <w:t>, der alle fast tilsette er kvinner.</w:t>
      </w:r>
    </w:p>
    <w:p w14:paraId="7521FACD" w14:textId="77777777" w:rsidR="00B419CE" w:rsidRPr="00B419CE" w:rsidRDefault="00B419CE" w:rsidP="00B419CE">
      <w:r w:rsidRPr="00B419CE">
        <w:t xml:space="preserve">To </w:t>
      </w:r>
      <w:proofErr w:type="spellStart"/>
      <w:r w:rsidRPr="00B419CE">
        <w:t>personar</w:t>
      </w:r>
      <w:proofErr w:type="spellEnd"/>
      <w:r w:rsidRPr="00B419CE">
        <w:t xml:space="preserve"> var mellombels tilsette – ei kvinne og </w:t>
      </w:r>
      <w:proofErr w:type="spellStart"/>
      <w:r w:rsidRPr="00B419CE">
        <w:t>ein</w:t>
      </w:r>
      <w:proofErr w:type="spellEnd"/>
      <w:r w:rsidRPr="00B419CE">
        <w:t xml:space="preserve"> mann. Dette er jus-</w:t>
      </w:r>
      <w:proofErr w:type="spellStart"/>
      <w:r w:rsidRPr="00B419CE">
        <w:t>studentar</w:t>
      </w:r>
      <w:proofErr w:type="spellEnd"/>
      <w:r w:rsidRPr="00B419CE">
        <w:t xml:space="preserve"> som arbeider som kveldssekretær og </w:t>
      </w:r>
      <w:proofErr w:type="spellStart"/>
      <w:r w:rsidRPr="00B419CE">
        <w:t>resepsjonsmedarbeidar</w:t>
      </w:r>
      <w:proofErr w:type="spellEnd"/>
      <w:r w:rsidRPr="00B419CE">
        <w:t>.</w:t>
      </w:r>
    </w:p>
    <w:p w14:paraId="339F8B6D" w14:textId="77777777" w:rsidR="00B419CE" w:rsidRPr="00B419CE" w:rsidRDefault="00B419CE" w:rsidP="00B419CE">
      <w:r w:rsidRPr="00B419CE">
        <w:t xml:space="preserve">To tilsette arbeidde deltid; </w:t>
      </w:r>
      <w:proofErr w:type="spellStart"/>
      <w:r w:rsidRPr="00B419CE">
        <w:t>ein</w:t>
      </w:r>
      <w:proofErr w:type="spellEnd"/>
      <w:r w:rsidRPr="00B419CE">
        <w:t xml:space="preserve"> på grunn av uføre og </w:t>
      </w:r>
      <w:proofErr w:type="spellStart"/>
      <w:r w:rsidRPr="00B419CE">
        <w:t>ein</w:t>
      </w:r>
      <w:proofErr w:type="spellEnd"/>
      <w:r w:rsidRPr="00B419CE">
        <w:t xml:space="preserve"> </w:t>
      </w:r>
      <w:proofErr w:type="spellStart"/>
      <w:r w:rsidRPr="00B419CE">
        <w:t>friviljug</w:t>
      </w:r>
      <w:proofErr w:type="spellEnd"/>
      <w:r w:rsidRPr="00B419CE">
        <w:t>.</w:t>
      </w:r>
    </w:p>
    <w:p w14:paraId="0AB49F4E" w14:textId="77777777" w:rsidR="00B419CE" w:rsidRPr="00B419CE" w:rsidRDefault="00B419CE" w:rsidP="00B419CE">
      <w:r w:rsidRPr="00B419CE">
        <w:t xml:space="preserve">På </w:t>
      </w:r>
      <w:proofErr w:type="spellStart"/>
      <w:r w:rsidRPr="00B419CE">
        <w:t>leiarnivå</w:t>
      </w:r>
      <w:proofErr w:type="spellEnd"/>
      <w:r w:rsidRPr="00B419CE">
        <w:t xml:space="preserve"> hadde menn </w:t>
      </w:r>
      <w:proofErr w:type="spellStart"/>
      <w:r w:rsidRPr="00B419CE">
        <w:t>høgare</w:t>
      </w:r>
      <w:proofErr w:type="spellEnd"/>
      <w:r w:rsidRPr="00B419CE">
        <w:t xml:space="preserve"> </w:t>
      </w:r>
      <w:proofErr w:type="spellStart"/>
      <w:r w:rsidRPr="00B419CE">
        <w:t>lønsnivå</w:t>
      </w:r>
      <w:proofErr w:type="spellEnd"/>
      <w:r w:rsidRPr="00B419CE">
        <w:t xml:space="preserve"> i gjennomsnitt enn kvinner. Dette har </w:t>
      </w:r>
      <w:proofErr w:type="spellStart"/>
      <w:r w:rsidRPr="00B419CE">
        <w:t>si</w:t>
      </w:r>
      <w:proofErr w:type="spellEnd"/>
      <w:r w:rsidRPr="00B419CE">
        <w:t xml:space="preserve"> årsak i at </w:t>
      </w:r>
      <w:proofErr w:type="spellStart"/>
      <w:r w:rsidRPr="00B419CE">
        <w:t>leiar</w:t>
      </w:r>
      <w:proofErr w:type="spellEnd"/>
      <w:r w:rsidRPr="00B419CE">
        <w:t xml:space="preserve"> av </w:t>
      </w:r>
      <w:proofErr w:type="spellStart"/>
      <w:r w:rsidRPr="00B419CE">
        <w:t>verksemda</w:t>
      </w:r>
      <w:proofErr w:type="spellEnd"/>
      <w:r w:rsidRPr="00B419CE">
        <w:t xml:space="preserve">, som har </w:t>
      </w:r>
      <w:proofErr w:type="spellStart"/>
      <w:r w:rsidRPr="00B419CE">
        <w:t>høgast</w:t>
      </w:r>
      <w:proofErr w:type="spellEnd"/>
      <w:r w:rsidRPr="00B419CE">
        <w:t xml:space="preserve"> </w:t>
      </w:r>
      <w:proofErr w:type="spellStart"/>
      <w:r w:rsidRPr="00B419CE">
        <w:t>løn</w:t>
      </w:r>
      <w:proofErr w:type="spellEnd"/>
      <w:r w:rsidRPr="00B419CE">
        <w:t xml:space="preserve">, er mann. For </w:t>
      </w:r>
      <w:proofErr w:type="spellStart"/>
      <w:r w:rsidRPr="00B419CE">
        <w:t>dei</w:t>
      </w:r>
      <w:proofErr w:type="spellEnd"/>
      <w:r w:rsidRPr="00B419CE">
        <w:t xml:space="preserve"> andre i </w:t>
      </w:r>
      <w:proofErr w:type="spellStart"/>
      <w:r w:rsidRPr="00B419CE">
        <w:t>leiargruppa</w:t>
      </w:r>
      <w:proofErr w:type="spellEnd"/>
      <w:r w:rsidRPr="00B419CE">
        <w:t xml:space="preserve"> var </w:t>
      </w:r>
      <w:proofErr w:type="spellStart"/>
      <w:r w:rsidRPr="00B419CE">
        <w:t>gjennomsnittsløna</w:t>
      </w:r>
      <w:proofErr w:type="spellEnd"/>
      <w:r w:rsidRPr="00B419CE">
        <w:t xml:space="preserve"> </w:t>
      </w:r>
      <w:proofErr w:type="spellStart"/>
      <w:r w:rsidRPr="00B419CE">
        <w:t>høgare</w:t>
      </w:r>
      <w:proofErr w:type="spellEnd"/>
      <w:r w:rsidRPr="00B419CE">
        <w:t xml:space="preserve"> for kvinner enn for menn. </w:t>
      </w:r>
      <w:proofErr w:type="spellStart"/>
      <w:r w:rsidRPr="00B419CE">
        <w:t>Gjennomsnittsløna</w:t>
      </w:r>
      <w:proofErr w:type="spellEnd"/>
      <w:r w:rsidRPr="00B419CE">
        <w:t xml:space="preserve"> for menn og kvinner i andre grupper varierte, avhengig av fagområde, kompetanse og arbeidserfaring. For </w:t>
      </w:r>
      <w:proofErr w:type="spellStart"/>
      <w:r w:rsidRPr="00B419CE">
        <w:t>advokatane</w:t>
      </w:r>
      <w:proofErr w:type="spellEnd"/>
      <w:r w:rsidRPr="00B419CE">
        <w:t xml:space="preserve"> gjeld </w:t>
      </w:r>
      <w:proofErr w:type="spellStart"/>
      <w:r w:rsidRPr="00B419CE">
        <w:t>eit</w:t>
      </w:r>
      <w:proofErr w:type="spellEnd"/>
      <w:r w:rsidRPr="00B419CE">
        <w:t xml:space="preserve"> rent ansiennitetsprinsipp ved </w:t>
      </w:r>
      <w:proofErr w:type="spellStart"/>
      <w:r w:rsidRPr="00B419CE">
        <w:t>fastsetjing</w:t>
      </w:r>
      <w:proofErr w:type="spellEnd"/>
      <w:r w:rsidRPr="00B419CE">
        <w:t xml:space="preserve"> av </w:t>
      </w:r>
      <w:proofErr w:type="spellStart"/>
      <w:r w:rsidRPr="00B419CE">
        <w:t>løn</w:t>
      </w:r>
      <w:proofErr w:type="spellEnd"/>
      <w:r w:rsidRPr="00B419CE">
        <w:t xml:space="preserve">, </w:t>
      </w:r>
      <w:proofErr w:type="spellStart"/>
      <w:r w:rsidRPr="00B419CE">
        <w:t>noko</w:t>
      </w:r>
      <w:proofErr w:type="spellEnd"/>
      <w:r w:rsidRPr="00B419CE">
        <w:t xml:space="preserve"> som medfører at kvinner og menn har lik </w:t>
      </w:r>
      <w:proofErr w:type="spellStart"/>
      <w:r w:rsidRPr="00B419CE">
        <w:t>løn</w:t>
      </w:r>
      <w:proofErr w:type="spellEnd"/>
      <w:r w:rsidRPr="00B419CE">
        <w:t xml:space="preserve"> gitt same ansiennitet.</w:t>
      </w:r>
    </w:p>
    <w:p w14:paraId="4E502A7C" w14:textId="77777777" w:rsidR="00B419CE" w:rsidRPr="00B419CE" w:rsidRDefault="00B419CE" w:rsidP="00B419CE">
      <w:r w:rsidRPr="00B419CE">
        <w:t xml:space="preserve">Hos Regjeringsadvokaten får </w:t>
      </w:r>
      <w:proofErr w:type="spellStart"/>
      <w:r w:rsidRPr="00B419CE">
        <w:t>advokatane</w:t>
      </w:r>
      <w:proofErr w:type="spellEnd"/>
      <w:r w:rsidRPr="00B419CE">
        <w:t xml:space="preserve"> </w:t>
      </w:r>
      <w:proofErr w:type="spellStart"/>
      <w:r w:rsidRPr="00B419CE">
        <w:t>eit</w:t>
      </w:r>
      <w:proofErr w:type="spellEnd"/>
      <w:r w:rsidRPr="00B419CE">
        <w:t xml:space="preserve"> relativt stort </w:t>
      </w:r>
      <w:proofErr w:type="spellStart"/>
      <w:r w:rsidRPr="00B419CE">
        <w:t>lønshopp</w:t>
      </w:r>
      <w:proofErr w:type="spellEnd"/>
      <w:r w:rsidRPr="00B419CE">
        <w:t xml:space="preserve"> når </w:t>
      </w:r>
      <w:proofErr w:type="spellStart"/>
      <w:r w:rsidRPr="00B419CE">
        <w:t>dei</w:t>
      </w:r>
      <w:proofErr w:type="spellEnd"/>
      <w:r w:rsidRPr="00B419CE">
        <w:t xml:space="preserve"> får møterett for Høgsterett. Tildeling av prøvesaker for Høgsterett følgjer i stor grad ansiennitet og vil såleis alltid skje på kjønnsnøytrale premiss.</w:t>
      </w:r>
    </w:p>
    <w:p w14:paraId="747AA4E5" w14:textId="77777777" w:rsidR="00B419CE" w:rsidRPr="00B419CE" w:rsidRDefault="00B419CE" w:rsidP="00B419CE">
      <w:pPr>
        <w:pStyle w:val="avsnitt-undertittel"/>
      </w:pPr>
      <w:r w:rsidRPr="00B419CE">
        <w:t xml:space="preserve">Samla </w:t>
      </w:r>
      <w:proofErr w:type="spellStart"/>
      <w:r w:rsidRPr="00B419CE">
        <w:t>sjukefråvær</w:t>
      </w:r>
      <w:proofErr w:type="spellEnd"/>
      <w:r w:rsidRPr="00B419CE">
        <w:t>:</w:t>
      </w:r>
    </w:p>
    <w:p w14:paraId="2014DAD5" w14:textId="77777777" w:rsidR="00B419CE" w:rsidRPr="00B419CE" w:rsidRDefault="00B419CE" w:rsidP="00B419CE">
      <w:pPr>
        <w:pStyle w:val="Tabellnavn"/>
      </w:pPr>
      <w:r w:rsidRPr="00B419CE">
        <w:t>04N1xt1</w:t>
      </w:r>
    </w:p>
    <w:tbl>
      <w:tblPr>
        <w:tblStyle w:val="StandardTabell"/>
        <w:tblW w:w="0" w:type="auto"/>
        <w:tblLayout w:type="fixed"/>
        <w:tblLook w:val="04A0" w:firstRow="1" w:lastRow="0" w:firstColumn="1" w:lastColumn="0" w:noHBand="0" w:noVBand="1"/>
      </w:tblPr>
      <w:tblGrid>
        <w:gridCol w:w="5200"/>
        <w:gridCol w:w="1300"/>
        <w:gridCol w:w="1300"/>
        <w:gridCol w:w="1300"/>
      </w:tblGrid>
      <w:tr w:rsidR="00B419CE" w:rsidRPr="00B419CE" w14:paraId="25BF5471" w14:textId="77777777" w:rsidTr="00B419CE">
        <w:trPr>
          <w:trHeight w:val="360"/>
        </w:trPr>
        <w:tc>
          <w:tcPr>
            <w:tcW w:w="5200" w:type="dxa"/>
            <w:shd w:val="clear" w:color="auto" w:fill="FFFFFF"/>
          </w:tcPr>
          <w:p w14:paraId="5B1BD7BF" w14:textId="77777777" w:rsidR="00B419CE" w:rsidRPr="00B419CE" w:rsidRDefault="00B419CE" w:rsidP="00B419CE">
            <w:proofErr w:type="spellStart"/>
            <w:r w:rsidRPr="00B419CE">
              <w:t>Prosentdelar</w:t>
            </w:r>
            <w:proofErr w:type="spellEnd"/>
          </w:p>
        </w:tc>
        <w:tc>
          <w:tcPr>
            <w:tcW w:w="1300" w:type="dxa"/>
          </w:tcPr>
          <w:p w14:paraId="5630A755" w14:textId="77777777" w:rsidR="00B419CE" w:rsidRPr="00B419CE" w:rsidRDefault="00B419CE" w:rsidP="00B419CE">
            <w:pPr>
              <w:jc w:val="right"/>
            </w:pPr>
            <w:r w:rsidRPr="00B419CE">
              <w:t>Båe kjønn</w:t>
            </w:r>
          </w:p>
        </w:tc>
        <w:tc>
          <w:tcPr>
            <w:tcW w:w="1300" w:type="dxa"/>
          </w:tcPr>
          <w:p w14:paraId="239045C4" w14:textId="77777777" w:rsidR="00B419CE" w:rsidRPr="00B419CE" w:rsidRDefault="00B419CE" w:rsidP="00B419CE">
            <w:pPr>
              <w:jc w:val="right"/>
            </w:pPr>
            <w:r w:rsidRPr="00B419CE">
              <w:t>Kvinner</w:t>
            </w:r>
          </w:p>
        </w:tc>
        <w:tc>
          <w:tcPr>
            <w:tcW w:w="1300" w:type="dxa"/>
          </w:tcPr>
          <w:p w14:paraId="70D13A88" w14:textId="77777777" w:rsidR="00B419CE" w:rsidRPr="00B419CE" w:rsidRDefault="00B419CE" w:rsidP="00B419CE">
            <w:pPr>
              <w:jc w:val="right"/>
            </w:pPr>
            <w:r w:rsidRPr="00B419CE">
              <w:t>Menn</w:t>
            </w:r>
          </w:p>
        </w:tc>
      </w:tr>
      <w:tr w:rsidR="00B419CE" w:rsidRPr="00B419CE" w14:paraId="78FF8A95" w14:textId="77777777" w:rsidTr="00B419CE">
        <w:trPr>
          <w:trHeight w:val="380"/>
        </w:trPr>
        <w:tc>
          <w:tcPr>
            <w:tcW w:w="5200" w:type="dxa"/>
          </w:tcPr>
          <w:p w14:paraId="38172F38" w14:textId="77777777" w:rsidR="00B419CE" w:rsidRPr="00B419CE" w:rsidRDefault="00B419CE" w:rsidP="00B419CE"/>
        </w:tc>
        <w:tc>
          <w:tcPr>
            <w:tcW w:w="1300" w:type="dxa"/>
          </w:tcPr>
          <w:p w14:paraId="6C7B4BB6" w14:textId="77777777" w:rsidR="00B419CE" w:rsidRPr="00B419CE" w:rsidRDefault="00B419CE" w:rsidP="00B419CE">
            <w:pPr>
              <w:jc w:val="right"/>
            </w:pPr>
            <w:r w:rsidRPr="00B419CE">
              <w:t>1,9</w:t>
            </w:r>
          </w:p>
        </w:tc>
        <w:tc>
          <w:tcPr>
            <w:tcW w:w="1300" w:type="dxa"/>
          </w:tcPr>
          <w:p w14:paraId="51147330" w14:textId="77777777" w:rsidR="00B419CE" w:rsidRPr="00B419CE" w:rsidRDefault="00B419CE" w:rsidP="00B419CE">
            <w:pPr>
              <w:jc w:val="right"/>
            </w:pPr>
            <w:r w:rsidRPr="00B419CE">
              <w:t>2,6</w:t>
            </w:r>
          </w:p>
        </w:tc>
        <w:tc>
          <w:tcPr>
            <w:tcW w:w="1300" w:type="dxa"/>
          </w:tcPr>
          <w:p w14:paraId="1893CBD6" w14:textId="77777777" w:rsidR="00B419CE" w:rsidRPr="00B419CE" w:rsidRDefault="00B419CE" w:rsidP="00B419CE">
            <w:pPr>
              <w:jc w:val="right"/>
            </w:pPr>
            <w:r w:rsidRPr="00B419CE">
              <w:t>1,2</w:t>
            </w:r>
          </w:p>
        </w:tc>
      </w:tr>
    </w:tbl>
    <w:p w14:paraId="7E747F05" w14:textId="77777777" w:rsidR="00B419CE" w:rsidRPr="00B419CE" w:rsidRDefault="00B419CE" w:rsidP="00B419CE">
      <w:r w:rsidRPr="00B419CE">
        <w:t xml:space="preserve">Ved utlysing av </w:t>
      </w:r>
      <w:proofErr w:type="spellStart"/>
      <w:r w:rsidRPr="00B419CE">
        <w:t>stillingar</w:t>
      </w:r>
      <w:proofErr w:type="spellEnd"/>
      <w:r w:rsidRPr="00B419CE">
        <w:t xml:space="preserve"> i grupper med skeiv kjønnsfordeling, vert det underrepresenterte kjønnet </w:t>
      </w:r>
      <w:proofErr w:type="spellStart"/>
      <w:r w:rsidRPr="00B419CE">
        <w:t>oppmoda</w:t>
      </w:r>
      <w:proofErr w:type="spellEnd"/>
      <w:r w:rsidRPr="00B419CE">
        <w:t xml:space="preserve"> til å </w:t>
      </w:r>
      <w:proofErr w:type="spellStart"/>
      <w:r w:rsidRPr="00B419CE">
        <w:t>søkje</w:t>
      </w:r>
      <w:proofErr w:type="spellEnd"/>
      <w:r w:rsidRPr="00B419CE">
        <w:t xml:space="preserve">. Regjeringsadvokaten </w:t>
      </w:r>
      <w:proofErr w:type="spellStart"/>
      <w:r w:rsidRPr="00B419CE">
        <w:t>kallar</w:t>
      </w:r>
      <w:proofErr w:type="spellEnd"/>
      <w:r w:rsidRPr="00B419CE">
        <w:t xml:space="preserve"> som </w:t>
      </w:r>
      <w:proofErr w:type="spellStart"/>
      <w:r w:rsidRPr="00B419CE">
        <w:t>hovudregel</w:t>
      </w:r>
      <w:proofErr w:type="spellEnd"/>
      <w:r w:rsidRPr="00B419CE">
        <w:t xml:space="preserve"> inn minst </w:t>
      </w:r>
      <w:proofErr w:type="spellStart"/>
      <w:r w:rsidRPr="00B419CE">
        <w:t>ein</w:t>
      </w:r>
      <w:proofErr w:type="spellEnd"/>
      <w:r w:rsidRPr="00B419CE">
        <w:t xml:space="preserve"> </w:t>
      </w:r>
      <w:proofErr w:type="spellStart"/>
      <w:r w:rsidRPr="00B419CE">
        <w:t>søkjar</w:t>
      </w:r>
      <w:proofErr w:type="spellEnd"/>
      <w:r w:rsidRPr="00B419CE">
        <w:t xml:space="preserve">, som regel </w:t>
      </w:r>
      <w:proofErr w:type="spellStart"/>
      <w:r w:rsidRPr="00B419CE">
        <w:t>fleire</w:t>
      </w:r>
      <w:proofErr w:type="spellEnd"/>
      <w:r w:rsidRPr="00B419CE">
        <w:t xml:space="preserve">, med </w:t>
      </w:r>
      <w:proofErr w:type="spellStart"/>
      <w:r w:rsidRPr="00B419CE">
        <w:t>innvandrarbakgrunn</w:t>
      </w:r>
      <w:proofErr w:type="spellEnd"/>
      <w:r w:rsidRPr="00B419CE">
        <w:t xml:space="preserve"> til intervju. </w:t>
      </w:r>
      <w:proofErr w:type="spellStart"/>
      <w:r w:rsidRPr="00B419CE">
        <w:t>Tilsvarande</w:t>
      </w:r>
      <w:proofErr w:type="spellEnd"/>
      <w:r w:rsidRPr="00B419CE">
        <w:t xml:space="preserve"> gjeld dersom det er kvalifiserte </w:t>
      </w:r>
      <w:proofErr w:type="spellStart"/>
      <w:r w:rsidRPr="00B419CE">
        <w:t>søkjarar</w:t>
      </w:r>
      <w:proofErr w:type="spellEnd"/>
      <w:r w:rsidRPr="00B419CE">
        <w:t xml:space="preserve"> med nedsett funksjonsevne eller </w:t>
      </w:r>
      <w:r w:rsidRPr="00B419CE">
        <w:rPr>
          <w:rStyle w:val="kursiv"/>
        </w:rPr>
        <w:t>«</w:t>
      </w:r>
      <w:proofErr w:type="spellStart"/>
      <w:r w:rsidRPr="00B419CE">
        <w:rPr>
          <w:rStyle w:val="kursiv"/>
        </w:rPr>
        <w:t>hòl</w:t>
      </w:r>
      <w:proofErr w:type="spellEnd"/>
      <w:r w:rsidRPr="00B419CE">
        <w:rPr>
          <w:rStyle w:val="kursiv"/>
        </w:rPr>
        <w:t xml:space="preserve"> i CV-en».</w:t>
      </w:r>
    </w:p>
    <w:p w14:paraId="5639DD9F" w14:textId="77777777" w:rsidR="00B419CE" w:rsidRPr="00B419CE" w:rsidRDefault="00B419CE" w:rsidP="00B419CE">
      <w:r w:rsidRPr="00B419CE">
        <w:t xml:space="preserve">Regjeringsadvokaten legg vekt på å tilpasse den fysiske arbeidsplassen, utstyr og </w:t>
      </w:r>
      <w:proofErr w:type="spellStart"/>
      <w:r w:rsidRPr="00B419CE">
        <w:t>arbeidsoppgåver</w:t>
      </w:r>
      <w:proofErr w:type="spellEnd"/>
      <w:r w:rsidRPr="00B419CE">
        <w:t xml:space="preserve"> for </w:t>
      </w:r>
      <w:proofErr w:type="spellStart"/>
      <w:r w:rsidRPr="00B419CE">
        <w:t>medarbeidarane</w:t>
      </w:r>
      <w:proofErr w:type="spellEnd"/>
      <w:r w:rsidRPr="00B419CE">
        <w:t xml:space="preserve"> i tillegg til </w:t>
      </w:r>
      <w:proofErr w:type="spellStart"/>
      <w:r w:rsidRPr="00B419CE">
        <w:t>arbeidsoppgåver</w:t>
      </w:r>
      <w:proofErr w:type="spellEnd"/>
      <w:r w:rsidRPr="00B419CE">
        <w:t xml:space="preserve"> og arbeidstid for </w:t>
      </w:r>
      <w:proofErr w:type="spellStart"/>
      <w:r w:rsidRPr="00B419CE">
        <w:t>dei</w:t>
      </w:r>
      <w:proofErr w:type="spellEnd"/>
      <w:r w:rsidRPr="00B419CE">
        <w:t xml:space="preserve"> med behov for særskilt tilpassing. Embetet tilbyr arbeidsplassvurdering til alle tilsette og gir </w:t>
      </w:r>
      <w:proofErr w:type="spellStart"/>
      <w:r w:rsidRPr="00B419CE">
        <w:t>moglegheit</w:t>
      </w:r>
      <w:proofErr w:type="spellEnd"/>
      <w:r w:rsidRPr="00B419CE">
        <w:t xml:space="preserve"> til trening.</w:t>
      </w:r>
    </w:p>
    <w:p w14:paraId="04F811E1" w14:textId="77777777" w:rsidR="00B419CE" w:rsidRPr="00B419CE" w:rsidRDefault="00B419CE" w:rsidP="00B419CE">
      <w:r w:rsidRPr="00B419CE">
        <w:t xml:space="preserve">For </w:t>
      </w:r>
      <w:proofErr w:type="spellStart"/>
      <w:r w:rsidRPr="00B419CE">
        <w:t>dei</w:t>
      </w:r>
      <w:proofErr w:type="spellEnd"/>
      <w:r w:rsidRPr="00B419CE">
        <w:t xml:space="preserve"> som har minimum fem år til fyrste </w:t>
      </w:r>
      <w:proofErr w:type="spellStart"/>
      <w:r w:rsidRPr="00B419CE">
        <w:t>moglege</w:t>
      </w:r>
      <w:proofErr w:type="spellEnd"/>
      <w:r w:rsidRPr="00B419CE">
        <w:t xml:space="preserve"> avgangstidspunkt, vert det lagt opp til </w:t>
      </w:r>
      <w:proofErr w:type="spellStart"/>
      <w:r w:rsidRPr="00B419CE">
        <w:t>ein</w:t>
      </w:r>
      <w:proofErr w:type="spellEnd"/>
      <w:r w:rsidRPr="00B419CE">
        <w:t xml:space="preserve"> seniorsamtale. </w:t>
      </w:r>
      <w:proofErr w:type="spellStart"/>
      <w:r w:rsidRPr="00B419CE">
        <w:t>Føremålet</w:t>
      </w:r>
      <w:proofErr w:type="spellEnd"/>
      <w:r w:rsidRPr="00B419CE">
        <w:t xml:space="preserve"> er å diskutere framtidsutsikter og kva </w:t>
      </w:r>
      <w:proofErr w:type="spellStart"/>
      <w:r w:rsidRPr="00B419CE">
        <w:t>moglegheiter</w:t>
      </w:r>
      <w:proofErr w:type="spellEnd"/>
      <w:r w:rsidRPr="00B419CE">
        <w:t xml:space="preserve"> </w:t>
      </w:r>
      <w:proofErr w:type="spellStart"/>
      <w:r w:rsidRPr="00B419CE">
        <w:t>arbeidsgjevar</w:t>
      </w:r>
      <w:proofErr w:type="spellEnd"/>
      <w:r w:rsidRPr="00B419CE">
        <w:t xml:space="preserve"> har til å foreslå </w:t>
      </w:r>
      <w:proofErr w:type="spellStart"/>
      <w:r w:rsidRPr="00B419CE">
        <w:t>utfordrande</w:t>
      </w:r>
      <w:proofErr w:type="spellEnd"/>
      <w:r w:rsidRPr="00B419CE">
        <w:t xml:space="preserve"> </w:t>
      </w:r>
      <w:proofErr w:type="spellStart"/>
      <w:r w:rsidRPr="00B419CE">
        <w:t>oppgåver</w:t>
      </w:r>
      <w:proofErr w:type="spellEnd"/>
      <w:r w:rsidRPr="00B419CE">
        <w:t xml:space="preserve"> og </w:t>
      </w:r>
      <w:proofErr w:type="spellStart"/>
      <w:r w:rsidRPr="00B419CE">
        <w:t>kompetansehevande</w:t>
      </w:r>
      <w:proofErr w:type="spellEnd"/>
      <w:r w:rsidRPr="00B419CE">
        <w:t xml:space="preserve"> tiltak som kan </w:t>
      </w:r>
      <w:proofErr w:type="spellStart"/>
      <w:r w:rsidRPr="00B419CE">
        <w:t>gjere</w:t>
      </w:r>
      <w:proofErr w:type="spellEnd"/>
      <w:r w:rsidRPr="00B419CE">
        <w:t xml:space="preserve"> det attraktivt å stå lenger i stillinga. For at </w:t>
      </w:r>
      <w:proofErr w:type="spellStart"/>
      <w:r w:rsidRPr="00B419CE">
        <w:t>dei</w:t>
      </w:r>
      <w:proofErr w:type="spellEnd"/>
      <w:r w:rsidRPr="00B419CE">
        <w:t xml:space="preserve"> eldre skal stå lenger i stillinga, har embetet innført betre </w:t>
      </w:r>
      <w:proofErr w:type="spellStart"/>
      <w:r w:rsidRPr="00B419CE">
        <w:t>ordningar</w:t>
      </w:r>
      <w:proofErr w:type="spellEnd"/>
      <w:r w:rsidRPr="00B419CE">
        <w:t xml:space="preserve"> for </w:t>
      </w:r>
      <w:proofErr w:type="spellStart"/>
      <w:r w:rsidRPr="00B419CE">
        <w:t>seniorar</w:t>
      </w:r>
      <w:proofErr w:type="spellEnd"/>
      <w:r w:rsidRPr="00B419CE">
        <w:t>.</w:t>
      </w:r>
    </w:p>
    <w:p w14:paraId="3BD2948B" w14:textId="77777777" w:rsidR="00B419CE" w:rsidRPr="00B419CE" w:rsidRDefault="00B419CE" w:rsidP="00B419CE">
      <w:pPr>
        <w:pStyle w:val="Overskrift2"/>
      </w:pPr>
      <w:r w:rsidRPr="00B419CE">
        <w:lastRenderedPageBreak/>
        <w:t xml:space="preserve">Verknader av </w:t>
      </w:r>
      <w:proofErr w:type="spellStart"/>
      <w:r w:rsidRPr="00B419CE">
        <w:t>virusutbrotet</w:t>
      </w:r>
      <w:proofErr w:type="spellEnd"/>
      <w:r w:rsidRPr="00B419CE">
        <w:t xml:space="preserve"> i 2020</w:t>
      </w:r>
    </w:p>
    <w:p w14:paraId="18996DFE" w14:textId="77777777" w:rsidR="00B419CE" w:rsidRPr="00B419CE" w:rsidRDefault="00B419CE" w:rsidP="00B419CE">
      <w:r w:rsidRPr="00B419CE">
        <w:t xml:space="preserve">I </w:t>
      </w:r>
      <w:proofErr w:type="spellStart"/>
      <w:r w:rsidRPr="00B419CE">
        <w:t>Prop</w:t>
      </w:r>
      <w:proofErr w:type="spellEnd"/>
      <w:r w:rsidRPr="00B419CE">
        <w:t xml:space="preserve">. 1 S (2020–2021), punkt 6.4, vart det gjeve </w:t>
      </w:r>
      <w:proofErr w:type="spellStart"/>
      <w:r w:rsidRPr="00B419CE">
        <w:t>ein</w:t>
      </w:r>
      <w:proofErr w:type="spellEnd"/>
      <w:r w:rsidRPr="00B419CE">
        <w:t xml:space="preserve"> omtale av verknadene av </w:t>
      </w:r>
      <w:proofErr w:type="spellStart"/>
      <w:r w:rsidRPr="00B419CE">
        <w:t>virusutbrotet</w:t>
      </w:r>
      <w:proofErr w:type="spellEnd"/>
      <w:r w:rsidRPr="00B419CE">
        <w:t xml:space="preserve"> i 1. halvår 2020. </w:t>
      </w:r>
      <w:proofErr w:type="spellStart"/>
      <w:r w:rsidRPr="00B419CE">
        <w:t>Nedanfor</w:t>
      </w:r>
      <w:proofErr w:type="spellEnd"/>
      <w:r w:rsidRPr="00B419CE">
        <w:t xml:space="preserve"> gjev Finansdepartementet ei overordna oversikt over verknader for heile 2020.</w:t>
      </w:r>
    </w:p>
    <w:p w14:paraId="511D666A" w14:textId="77777777" w:rsidR="00B419CE" w:rsidRPr="00B419CE" w:rsidRDefault="00B419CE" w:rsidP="00B419CE">
      <w:pPr>
        <w:pStyle w:val="avsnitt-under-undertittel"/>
      </w:pPr>
      <w:r w:rsidRPr="00B419CE">
        <w:t>Finansdepartementet</w:t>
      </w:r>
    </w:p>
    <w:p w14:paraId="6FEED2BC" w14:textId="77777777" w:rsidR="00B419CE" w:rsidRPr="00B419CE" w:rsidRDefault="00B419CE" w:rsidP="00B419CE">
      <w:r w:rsidRPr="00B419CE">
        <w:t xml:space="preserve">Finansdepartementet har </w:t>
      </w:r>
      <w:proofErr w:type="spellStart"/>
      <w:r w:rsidRPr="00B419CE">
        <w:t>ikkje</w:t>
      </w:r>
      <w:proofErr w:type="spellEnd"/>
      <w:r w:rsidRPr="00B419CE">
        <w:t xml:space="preserve"> registrert </w:t>
      </w:r>
      <w:proofErr w:type="spellStart"/>
      <w:r w:rsidRPr="00B419CE">
        <w:t>likestillingsutfordringar</w:t>
      </w:r>
      <w:proofErr w:type="spellEnd"/>
      <w:r w:rsidRPr="00B419CE">
        <w:t xml:space="preserve"> i samband med </w:t>
      </w:r>
      <w:proofErr w:type="spellStart"/>
      <w:r w:rsidRPr="00B419CE">
        <w:t>virusutbrotet</w:t>
      </w:r>
      <w:proofErr w:type="spellEnd"/>
      <w:r w:rsidRPr="00B419CE">
        <w:t xml:space="preserve"> i 2020.</w:t>
      </w:r>
    </w:p>
    <w:p w14:paraId="38177B85" w14:textId="77777777" w:rsidR="00B419CE" w:rsidRPr="00B419CE" w:rsidRDefault="00B419CE" w:rsidP="00B419CE">
      <w:r w:rsidRPr="00B419CE">
        <w:t xml:space="preserve">2020 vart i stor grad prega av </w:t>
      </w:r>
      <w:proofErr w:type="spellStart"/>
      <w:r w:rsidRPr="00B419CE">
        <w:t>virusutbrotet</w:t>
      </w:r>
      <w:proofErr w:type="spellEnd"/>
      <w:r w:rsidRPr="00B419CE">
        <w:t xml:space="preserve"> med tidvis </w:t>
      </w:r>
      <w:proofErr w:type="spellStart"/>
      <w:r w:rsidRPr="00B419CE">
        <w:t>stengde</w:t>
      </w:r>
      <w:proofErr w:type="spellEnd"/>
      <w:r w:rsidRPr="00B419CE">
        <w:t xml:space="preserve"> </w:t>
      </w:r>
      <w:proofErr w:type="spellStart"/>
      <w:r w:rsidRPr="00B419CE">
        <w:t>skular</w:t>
      </w:r>
      <w:proofErr w:type="spellEnd"/>
      <w:r w:rsidRPr="00B419CE">
        <w:t xml:space="preserve"> og </w:t>
      </w:r>
      <w:proofErr w:type="spellStart"/>
      <w:r w:rsidRPr="00B419CE">
        <w:t>barnehagar</w:t>
      </w:r>
      <w:proofErr w:type="spellEnd"/>
      <w:r w:rsidRPr="00B419CE">
        <w:t xml:space="preserve"> og heimekontor for </w:t>
      </w:r>
      <w:proofErr w:type="spellStart"/>
      <w:r w:rsidRPr="00B419CE">
        <w:t>dei</w:t>
      </w:r>
      <w:proofErr w:type="spellEnd"/>
      <w:r w:rsidRPr="00B419CE">
        <w:t xml:space="preserve"> aller fleste i departementet. Dette har </w:t>
      </w:r>
      <w:proofErr w:type="spellStart"/>
      <w:r w:rsidRPr="00B419CE">
        <w:t>truleg</w:t>
      </w:r>
      <w:proofErr w:type="spellEnd"/>
      <w:r w:rsidRPr="00B419CE">
        <w:t xml:space="preserve"> </w:t>
      </w:r>
      <w:proofErr w:type="spellStart"/>
      <w:r w:rsidRPr="00B419CE">
        <w:t>påverka</w:t>
      </w:r>
      <w:proofErr w:type="spellEnd"/>
      <w:r w:rsidRPr="00B419CE">
        <w:t xml:space="preserve"> </w:t>
      </w:r>
      <w:proofErr w:type="spellStart"/>
      <w:r w:rsidRPr="00B419CE">
        <w:t>sjukefråværet</w:t>
      </w:r>
      <w:proofErr w:type="spellEnd"/>
      <w:r w:rsidRPr="00B419CE">
        <w:t xml:space="preserve"> enten ved at </w:t>
      </w:r>
      <w:proofErr w:type="spellStart"/>
      <w:r w:rsidRPr="00B419CE">
        <w:t>medarbeidarane</w:t>
      </w:r>
      <w:proofErr w:type="spellEnd"/>
      <w:r w:rsidRPr="00B419CE">
        <w:t xml:space="preserve"> </w:t>
      </w:r>
      <w:proofErr w:type="spellStart"/>
      <w:r w:rsidRPr="00B419CE">
        <w:t>ikkje</w:t>
      </w:r>
      <w:proofErr w:type="spellEnd"/>
      <w:r w:rsidRPr="00B419CE">
        <w:t xml:space="preserve"> har </w:t>
      </w:r>
      <w:proofErr w:type="spellStart"/>
      <w:r w:rsidRPr="00B419CE">
        <w:t>vore</w:t>
      </w:r>
      <w:proofErr w:type="spellEnd"/>
      <w:r w:rsidRPr="00B419CE">
        <w:t xml:space="preserve"> like </w:t>
      </w:r>
      <w:proofErr w:type="spellStart"/>
      <w:r w:rsidRPr="00B419CE">
        <w:t>mykje</w:t>
      </w:r>
      <w:proofErr w:type="spellEnd"/>
      <w:r w:rsidRPr="00B419CE">
        <w:t xml:space="preserve"> sjuke eller har </w:t>
      </w:r>
      <w:proofErr w:type="spellStart"/>
      <w:r w:rsidRPr="00B419CE">
        <w:t>kunna</w:t>
      </w:r>
      <w:proofErr w:type="spellEnd"/>
      <w:r w:rsidRPr="00B419CE">
        <w:t xml:space="preserve"> arbeide litt fordi </w:t>
      </w:r>
      <w:proofErr w:type="spellStart"/>
      <w:r w:rsidRPr="00B419CE">
        <w:t>dei</w:t>
      </w:r>
      <w:proofErr w:type="spellEnd"/>
      <w:r w:rsidRPr="00B419CE">
        <w:t xml:space="preserve"> har arbeidd </w:t>
      </w:r>
      <w:proofErr w:type="spellStart"/>
      <w:r w:rsidRPr="00B419CE">
        <w:t>heimanfrå</w:t>
      </w:r>
      <w:proofErr w:type="spellEnd"/>
      <w:r w:rsidRPr="00B419CE">
        <w:t xml:space="preserve">. Det er </w:t>
      </w:r>
      <w:proofErr w:type="spellStart"/>
      <w:r w:rsidRPr="00B419CE">
        <w:t>berre</w:t>
      </w:r>
      <w:proofErr w:type="spellEnd"/>
      <w:r w:rsidRPr="00B419CE">
        <w:t xml:space="preserve"> registrert </w:t>
      </w:r>
      <w:proofErr w:type="spellStart"/>
      <w:r w:rsidRPr="00B419CE">
        <w:t>covid</w:t>
      </w:r>
      <w:proofErr w:type="spellEnd"/>
      <w:r w:rsidRPr="00B419CE">
        <w:t xml:space="preserve">-relatert </w:t>
      </w:r>
      <w:proofErr w:type="spellStart"/>
      <w:r w:rsidRPr="00B419CE">
        <w:t>fråvær</w:t>
      </w:r>
      <w:proofErr w:type="spellEnd"/>
      <w:r w:rsidRPr="00B419CE">
        <w:t xml:space="preserve"> på til </w:t>
      </w:r>
      <w:proofErr w:type="spellStart"/>
      <w:r w:rsidRPr="00B419CE">
        <w:t>saman</w:t>
      </w:r>
      <w:proofErr w:type="spellEnd"/>
      <w:r w:rsidRPr="00B419CE">
        <w:t xml:space="preserve"> 7 </w:t>
      </w:r>
      <w:proofErr w:type="spellStart"/>
      <w:r w:rsidRPr="00B419CE">
        <w:t>arbeidsdagar</w:t>
      </w:r>
      <w:proofErr w:type="spellEnd"/>
      <w:r w:rsidRPr="00B419CE">
        <w:t xml:space="preserve"> i 2020.</w:t>
      </w:r>
    </w:p>
    <w:p w14:paraId="77EA75A7" w14:textId="77777777" w:rsidR="00B419CE" w:rsidRPr="00B419CE" w:rsidRDefault="00B419CE" w:rsidP="00B419CE">
      <w:proofErr w:type="spellStart"/>
      <w:r w:rsidRPr="00B419CE">
        <w:t>Fråvær</w:t>
      </w:r>
      <w:proofErr w:type="spellEnd"/>
      <w:r w:rsidRPr="00B419CE">
        <w:t xml:space="preserve"> på grunn av sjuke barn utgjorde 0,5 pst. i 2020 mot 0,4 pst. i 2019. Kvinner har i gjennomsnitt hatt slikt </w:t>
      </w:r>
      <w:proofErr w:type="spellStart"/>
      <w:r w:rsidRPr="00B419CE">
        <w:t>fråvær</w:t>
      </w:r>
      <w:proofErr w:type="spellEnd"/>
      <w:r w:rsidRPr="00B419CE">
        <w:t xml:space="preserve"> 3,6 </w:t>
      </w:r>
      <w:proofErr w:type="spellStart"/>
      <w:r w:rsidRPr="00B419CE">
        <w:t>dagar</w:t>
      </w:r>
      <w:proofErr w:type="spellEnd"/>
      <w:r w:rsidRPr="00B419CE">
        <w:t xml:space="preserve"> mot 3,1 </w:t>
      </w:r>
      <w:proofErr w:type="spellStart"/>
      <w:r w:rsidRPr="00B419CE">
        <w:t>dagar</w:t>
      </w:r>
      <w:proofErr w:type="spellEnd"/>
      <w:r w:rsidRPr="00B419CE">
        <w:t xml:space="preserve"> i 2019, og menn har hatt 2,9 </w:t>
      </w:r>
      <w:proofErr w:type="spellStart"/>
      <w:r w:rsidRPr="00B419CE">
        <w:t>dagar</w:t>
      </w:r>
      <w:proofErr w:type="spellEnd"/>
      <w:r w:rsidRPr="00B419CE">
        <w:t xml:space="preserve"> mot 2,5 </w:t>
      </w:r>
      <w:proofErr w:type="spellStart"/>
      <w:r w:rsidRPr="00B419CE">
        <w:t>dagar</w:t>
      </w:r>
      <w:proofErr w:type="spellEnd"/>
      <w:r w:rsidRPr="00B419CE">
        <w:t xml:space="preserve"> i 2019. Det er </w:t>
      </w:r>
      <w:proofErr w:type="spellStart"/>
      <w:r w:rsidRPr="00B419CE">
        <w:t>ein</w:t>
      </w:r>
      <w:proofErr w:type="spellEnd"/>
      <w:r w:rsidRPr="00B419CE">
        <w:t xml:space="preserve"> </w:t>
      </w:r>
      <w:proofErr w:type="spellStart"/>
      <w:r w:rsidRPr="00B419CE">
        <w:t>noko</w:t>
      </w:r>
      <w:proofErr w:type="spellEnd"/>
      <w:r w:rsidRPr="00B419CE">
        <w:t xml:space="preserve"> større prosentdel av menn som har hatt slikt </w:t>
      </w:r>
      <w:proofErr w:type="spellStart"/>
      <w:r w:rsidRPr="00B419CE">
        <w:t>fråvær</w:t>
      </w:r>
      <w:proofErr w:type="spellEnd"/>
      <w:r w:rsidRPr="00B419CE">
        <w:t xml:space="preserve"> i 2020, 62 pst. mot 53 pst. blant kvinner.</w:t>
      </w:r>
    </w:p>
    <w:p w14:paraId="78B08DC9" w14:textId="77777777" w:rsidR="00B419CE" w:rsidRPr="00B419CE" w:rsidRDefault="00B419CE" w:rsidP="00B419CE">
      <w:proofErr w:type="spellStart"/>
      <w:r w:rsidRPr="00B419CE">
        <w:t>Sjukefråværet</w:t>
      </w:r>
      <w:proofErr w:type="spellEnd"/>
      <w:r w:rsidRPr="00B419CE">
        <w:t xml:space="preserve"> for menn gjekk ned i 2020 og var </w:t>
      </w:r>
      <w:proofErr w:type="spellStart"/>
      <w:r w:rsidRPr="00B419CE">
        <w:t>berre</w:t>
      </w:r>
      <w:proofErr w:type="spellEnd"/>
      <w:r w:rsidRPr="00B419CE">
        <w:t xml:space="preserve"> 1,0 pst. mot 1,8 pst. i 2019. Kvinner sitt </w:t>
      </w:r>
      <w:proofErr w:type="spellStart"/>
      <w:r w:rsidRPr="00B419CE">
        <w:t>sjukefråvær</w:t>
      </w:r>
      <w:proofErr w:type="spellEnd"/>
      <w:r w:rsidRPr="00B419CE">
        <w:t xml:space="preserve"> var 3,8 pst. mot 4,1 pst. i 2019. Det er grunn til å tru at </w:t>
      </w:r>
      <w:proofErr w:type="spellStart"/>
      <w:r w:rsidRPr="00B419CE">
        <w:t>ein</w:t>
      </w:r>
      <w:proofErr w:type="spellEnd"/>
      <w:r w:rsidRPr="00B419CE">
        <w:t xml:space="preserve"> </w:t>
      </w:r>
      <w:proofErr w:type="spellStart"/>
      <w:r w:rsidRPr="00B419CE">
        <w:t>vesentleg</w:t>
      </w:r>
      <w:proofErr w:type="spellEnd"/>
      <w:r w:rsidRPr="00B419CE">
        <w:t xml:space="preserve"> del av nedgangen er knytt til at svært mange har hatt heimekontor i store </w:t>
      </w:r>
      <w:proofErr w:type="spellStart"/>
      <w:r w:rsidRPr="00B419CE">
        <w:t>delar</w:t>
      </w:r>
      <w:proofErr w:type="spellEnd"/>
      <w:r w:rsidRPr="00B419CE">
        <w:t xml:space="preserve"> av 2020.</w:t>
      </w:r>
    </w:p>
    <w:p w14:paraId="283C5D9E" w14:textId="77777777" w:rsidR="00B419CE" w:rsidRPr="00B419CE" w:rsidRDefault="00B419CE" w:rsidP="00B419CE">
      <w:r w:rsidRPr="00B419CE">
        <w:t xml:space="preserve">På grunn av arbeidet med koronatiltaka vart det nytta markant </w:t>
      </w:r>
      <w:proofErr w:type="spellStart"/>
      <w:r w:rsidRPr="00B419CE">
        <w:t>meir</w:t>
      </w:r>
      <w:proofErr w:type="spellEnd"/>
      <w:r w:rsidRPr="00B419CE">
        <w:t xml:space="preserve"> overtid </w:t>
      </w:r>
      <w:proofErr w:type="spellStart"/>
      <w:r w:rsidRPr="00B419CE">
        <w:t>frå</w:t>
      </w:r>
      <w:proofErr w:type="spellEnd"/>
      <w:r w:rsidRPr="00B419CE">
        <w:t xml:space="preserve"> mars til mai, jamført med same periode i 2019. </w:t>
      </w:r>
      <w:proofErr w:type="spellStart"/>
      <w:r w:rsidRPr="00B419CE">
        <w:t>Hausten</w:t>
      </w:r>
      <w:proofErr w:type="spellEnd"/>
      <w:r w:rsidRPr="00B419CE">
        <w:t xml:space="preserve"> 2020 vart det òg arbeidd </w:t>
      </w:r>
      <w:proofErr w:type="spellStart"/>
      <w:r w:rsidRPr="00B419CE">
        <w:t>meir</w:t>
      </w:r>
      <w:proofErr w:type="spellEnd"/>
      <w:r w:rsidRPr="00B419CE">
        <w:t xml:space="preserve"> overtid enn </w:t>
      </w:r>
      <w:proofErr w:type="spellStart"/>
      <w:r w:rsidRPr="00B419CE">
        <w:t>hausten</w:t>
      </w:r>
      <w:proofErr w:type="spellEnd"/>
      <w:r w:rsidRPr="00B419CE">
        <w:t xml:space="preserve"> 2019. Året 2020 under </w:t>
      </w:r>
      <w:proofErr w:type="spellStart"/>
      <w:r w:rsidRPr="00B419CE">
        <w:t>eitt</w:t>
      </w:r>
      <w:proofErr w:type="spellEnd"/>
      <w:r w:rsidRPr="00B419CE">
        <w:t xml:space="preserve"> har kvinner arbeidd 29 pst. </w:t>
      </w:r>
      <w:proofErr w:type="spellStart"/>
      <w:r w:rsidRPr="00B419CE">
        <w:t>meir</w:t>
      </w:r>
      <w:proofErr w:type="spellEnd"/>
      <w:r w:rsidRPr="00B419CE">
        <w:t xml:space="preserve"> overtid enn i 2019, </w:t>
      </w:r>
      <w:proofErr w:type="spellStart"/>
      <w:r w:rsidRPr="00B419CE">
        <w:t>medan</w:t>
      </w:r>
      <w:proofErr w:type="spellEnd"/>
      <w:r w:rsidRPr="00B419CE">
        <w:t xml:space="preserve"> menn har </w:t>
      </w:r>
      <w:proofErr w:type="spellStart"/>
      <w:r w:rsidRPr="00B419CE">
        <w:t>arbeidd</w:t>
      </w:r>
      <w:proofErr w:type="spellEnd"/>
      <w:r w:rsidRPr="00B419CE">
        <w:t xml:space="preserve"> 23 pst. </w:t>
      </w:r>
      <w:proofErr w:type="spellStart"/>
      <w:r w:rsidRPr="00B419CE">
        <w:t>meir</w:t>
      </w:r>
      <w:proofErr w:type="spellEnd"/>
      <w:r w:rsidRPr="00B419CE">
        <w:t xml:space="preserve"> overtid.</w:t>
      </w:r>
    </w:p>
    <w:p w14:paraId="2EE04B25" w14:textId="77777777" w:rsidR="00B419CE" w:rsidRPr="00B419CE" w:rsidRDefault="00B419CE" w:rsidP="00B419CE">
      <w:pPr>
        <w:pStyle w:val="avsnitt-under-undertittel"/>
      </w:pPr>
      <w:proofErr w:type="spellStart"/>
      <w:r w:rsidRPr="00B419CE">
        <w:t>Etatane</w:t>
      </w:r>
      <w:proofErr w:type="spellEnd"/>
      <w:r w:rsidRPr="00B419CE">
        <w:t xml:space="preserve"> og Statsministerens kontor</w:t>
      </w:r>
    </w:p>
    <w:p w14:paraId="6DAF8EA0" w14:textId="77777777" w:rsidR="00B419CE" w:rsidRPr="00B419CE" w:rsidRDefault="00B419CE" w:rsidP="00B419CE">
      <w:r w:rsidRPr="00B419CE">
        <w:t xml:space="preserve">Året 2020 sett under </w:t>
      </w:r>
      <w:proofErr w:type="spellStart"/>
      <w:r w:rsidRPr="00B419CE">
        <w:t>eitt</w:t>
      </w:r>
      <w:proofErr w:type="spellEnd"/>
      <w:r w:rsidRPr="00B419CE">
        <w:t xml:space="preserve"> har ingen av </w:t>
      </w:r>
      <w:proofErr w:type="spellStart"/>
      <w:r w:rsidRPr="00B419CE">
        <w:t>etatane</w:t>
      </w:r>
      <w:proofErr w:type="spellEnd"/>
      <w:r w:rsidRPr="00B419CE">
        <w:t xml:space="preserve"> funne grunn til å tru at </w:t>
      </w:r>
      <w:proofErr w:type="spellStart"/>
      <w:r w:rsidRPr="00B419CE">
        <w:t>virusutbrotet</w:t>
      </w:r>
      <w:proofErr w:type="spellEnd"/>
      <w:r w:rsidRPr="00B419CE">
        <w:t xml:space="preserve">, eller tiltak som er sette i verk som </w:t>
      </w:r>
      <w:proofErr w:type="spellStart"/>
      <w:r w:rsidRPr="00B419CE">
        <w:t>følgje</w:t>
      </w:r>
      <w:proofErr w:type="spellEnd"/>
      <w:r w:rsidRPr="00B419CE">
        <w:t xml:space="preserve"> av det, har forsterka </w:t>
      </w:r>
      <w:proofErr w:type="spellStart"/>
      <w:r w:rsidRPr="00B419CE">
        <w:t>eksisterande</w:t>
      </w:r>
      <w:proofErr w:type="spellEnd"/>
      <w:r w:rsidRPr="00B419CE">
        <w:t xml:space="preserve"> </w:t>
      </w:r>
      <w:proofErr w:type="spellStart"/>
      <w:r w:rsidRPr="00B419CE">
        <w:t>likestillingsutfordringar</w:t>
      </w:r>
      <w:proofErr w:type="spellEnd"/>
      <w:r w:rsidRPr="00B419CE">
        <w:t xml:space="preserve"> eller skapt nye slike.</w:t>
      </w:r>
    </w:p>
    <w:p w14:paraId="02FF7535" w14:textId="77777777" w:rsidR="00B419CE" w:rsidRPr="00B419CE" w:rsidRDefault="00B419CE" w:rsidP="00B419CE">
      <w:pPr>
        <w:rPr>
          <w:rStyle w:val="kursiv"/>
        </w:rPr>
      </w:pPr>
      <w:r w:rsidRPr="00B419CE">
        <w:rPr>
          <w:rStyle w:val="kursiv"/>
        </w:rPr>
        <w:t>Skatteetaten</w:t>
      </w:r>
      <w:r w:rsidRPr="00B419CE">
        <w:t xml:space="preserve"> meiner heimekontor og </w:t>
      </w:r>
      <w:proofErr w:type="spellStart"/>
      <w:r w:rsidRPr="00B419CE">
        <w:t>dei</w:t>
      </w:r>
      <w:proofErr w:type="spellEnd"/>
      <w:r w:rsidRPr="00B419CE">
        <w:t xml:space="preserve"> iverksette tiltaka har </w:t>
      </w:r>
      <w:proofErr w:type="spellStart"/>
      <w:r w:rsidRPr="00B419CE">
        <w:t>bidrege</w:t>
      </w:r>
      <w:proofErr w:type="spellEnd"/>
      <w:r w:rsidRPr="00B419CE">
        <w:t xml:space="preserve"> til at </w:t>
      </w:r>
      <w:proofErr w:type="spellStart"/>
      <w:r w:rsidRPr="00B419CE">
        <w:t>sjukefråværet</w:t>
      </w:r>
      <w:proofErr w:type="spellEnd"/>
      <w:r w:rsidRPr="00B419CE">
        <w:t xml:space="preserve"> er </w:t>
      </w:r>
      <w:proofErr w:type="spellStart"/>
      <w:r w:rsidRPr="00B419CE">
        <w:t>mykje</w:t>
      </w:r>
      <w:proofErr w:type="spellEnd"/>
      <w:r w:rsidRPr="00B419CE">
        <w:t xml:space="preserve"> </w:t>
      </w:r>
      <w:proofErr w:type="spellStart"/>
      <w:r w:rsidRPr="00B419CE">
        <w:t>lågare</w:t>
      </w:r>
      <w:proofErr w:type="spellEnd"/>
      <w:r w:rsidRPr="00B419CE">
        <w:t xml:space="preserve"> enn </w:t>
      </w:r>
      <w:proofErr w:type="spellStart"/>
      <w:r w:rsidRPr="00B419CE">
        <w:t>tidlegare</w:t>
      </w:r>
      <w:proofErr w:type="spellEnd"/>
      <w:r w:rsidRPr="00B419CE">
        <w:t xml:space="preserve">. Etaten har gjort store </w:t>
      </w:r>
      <w:proofErr w:type="spellStart"/>
      <w:r w:rsidRPr="00B419CE">
        <w:t>tilpassingar</w:t>
      </w:r>
      <w:proofErr w:type="spellEnd"/>
      <w:r w:rsidRPr="00B419CE">
        <w:t xml:space="preserve"> for heimekontor. Tilsette med uheldig fysisk arbeidsmiljø eller </w:t>
      </w:r>
      <w:proofErr w:type="spellStart"/>
      <w:r w:rsidRPr="00B419CE">
        <w:t>belastningar</w:t>
      </w:r>
      <w:proofErr w:type="spellEnd"/>
      <w:r w:rsidRPr="00B419CE">
        <w:t xml:space="preserve"> heime, vert prioriterte for tilbakeføring til kontoret. </w:t>
      </w:r>
      <w:proofErr w:type="spellStart"/>
      <w:r w:rsidRPr="00B419CE">
        <w:t>Utbrotet</w:t>
      </w:r>
      <w:proofErr w:type="spellEnd"/>
      <w:r w:rsidRPr="00B419CE">
        <w:t xml:space="preserve"> har for </w:t>
      </w:r>
      <w:proofErr w:type="spellStart"/>
      <w:r w:rsidRPr="00B419CE">
        <w:t>dei</w:t>
      </w:r>
      <w:proofErr w:type="spellEnd"/>
      <w:r w:rsidRPr="00B419CE">
        <w:t xml:space="preserve"> fleste i etaten </w:t>
      </w:r>
      <w:proofErr w:type="spellStart"/>
      <w:r w:rsidRPr="00B419CE">
        <w:t>ikkje</w:t>
      </w:r>
      <w:proofErr w:type="spellEnd"/>
      <w:r w:rsidRPr="00B419CE">
        <w:t xml:space="preserve"> ført til </w:t>
      </w:r>
      <w:proofErr w:type="spellStart"/>
      <w:r w:rsidRPr="00B419CE">
        <w:t>auka</w:t>
      </w:r>
      <w:proofErr w:type="spellEnd"/>
      <w:r w:rsidRPr="00B419CE">
        <w:t xml:space="preserve"> </w:t>
      </w:r>
      <w:proofErr w:type="spellStart"/>
      <w:r w:rsidRPr="00B419CE">
        <w:t>belastningar</w:t>
      </w:r>
      <w:proofErr w:type="spellEnd"/>
      <w:r w:rsidRPr="00B419CE">
        <w:t xml:space="preserve">, men det </w:t>
      </w:r>
      <w:proofErr w:type="spellStart"/>
      <w:r w:rsidRPr="00B419CE">
        <w:t>vart</w:t>
      </w:r>
      <w:proofErr w:type="spellEnd"/>
      <w:r w:rsidRPr="00B419CE">
        <w:t xml:space="preserve"> brukt </w:t>
      </w:r>
      <w:proofErr w:type="spellStart"/>
      <w:r w:rsidRPr="00B419CE">
        <w:t>mykje</w:t>
      </w:r>
      <w:proofErr w:type="spellEnd"/>
      <w:r w:rsidRPr="00B419CE">
        <w:t xml:space="preserve"> </w:t>
      </w:r>
      <w:proofErr w:type="spellStart"/>
      <w:r w:rsidRPr="00B419CE">
        <w:t>meir</w:t>
      </w:r>
      <w:proofErr w:type="spellEnd"/>
      <w:r w:rsidRPr="00B419CE">
        <w:t xml:space="preserve"> overtid for </w:t>
      </w:r>
      <w:proofErr w:type="spellStart"/>
      <w:r w:rsidRPr="00B419CE">
        <w:t>dei</w:t>
      </w:r>
      <w:proofErr w:type="spellEnd"/>
      <w:r w:rsidRPr="00B419CE">
        <w:t xml:space="preserve"> som arbeidde med grunnlaget og systemet for kompensasjonsordninga for inntektssvikt. I tillegg la etaten til rette for overføringa av </w:t>
      </w:r>
      <w:proofErr w:type="spellStart"/>
      <w:r w:rsidRPr="00B419CE">
        <w:t>skatteoppkrevjingsfunksjonen</w:t>
      </w:r>
      <w:proofErr w:type="spellEnd"/>
      <w:r w:rsidRPr="00B419CE">
        <w:t xml:space="preserve"> </w:t>
      </w:r>
      <w:proofErr w:type="spellStart"/>
      <w:r w:rsidRPr="00B419CE">
        <w:t>frå</w:t>
      </w:r>
      <w:proofErr w:type="spellEnd"/>
      <w:r w:rsidRPr="00B419CE">
        <w:t xml:space="preserve"> </w:t>
      </w:r>
      <w:proofErr w:type="spellStart"/>
      <w:r w:rsidRPr="00B419CE">
        <w:t>kommunane</w:t>
      </w:r>
      <w:proofErr w:type="spellEnd"/>
      <w:r w:rsidRPr="00B419CE">
        <w:t xml:space="preserve"> </w:t>
      </w:r>
      <w:proofErr w:type="spellStart"/>
      <w:r w:rsidRPr="00B419CE">
        <w:t>frå</w:t>
      </w:r>
      <w:proofErr w:type="spellEnd"/>
      <w:r w:rsidRPr="00B419CE">
        <w:t xml:space="preserve"> 1. november 2020.</w:t>
      </w:r>
    </w:p>
    <w:p w14:paraId="1D402715" w14:textId="77777777" w:rsidR="00B419CE" w:rsidRPr="00B419CE" w:rsidRDefault="00B419CE" w:rsidP="00B419CE">
      <w:pPr>
        <w:rPr>
          <w:rStyle w:val="kursiv"/>
        </w:rPr>
      </w:pPr>
      <w:r w:rsidRPr="00B419CE">
        <w:rPr>
          <w:rStyle w:val="kursiv"/>
        </w:rPr>
        <w:t>Tolletaten</w:t>
      </w:r>
      <w:r w:rsidRPr="00B419CE">
        <w:t xml:space="preserve"> har i 2020 lagt ekstra vekt på </w:t>
      </w:r>
      <w:proofErr w:type="spellStart"/>
      <w:r w:rsidRPr="00B419CE">
        <w:t>medarbeidaroppfølging</w:t>
      </w:r>
      <w:proofErr w:type="spellEnd"/>
      <w:r w:rsidRPr="00B419CE">
        <w:t xml:space="preserve"> med mange tilsette på heimekontor. Tiltaka har primært som mål å forhindre muskel- og skjelettplager, men psykososiale </w:t>
      </w:r>
      <w:proofErr w:type="spellStart"/>
      <w:r w:rsidRPr="00B419CE">
        <w:t>utfordringar</w:t>
      </w:r>
      <w:proofErr w:type="spellEnd"/>
      <w:r w:rsidRPr="00B419CE">
        <w:t xml:space="preserve"> er òg handtert der det er fanga opp. Det er liten forskjell i </w:t>
      </w:r>
      <w:proofErr w:type="spellStart"/>
      <w:r w:rsidRPr="00B419CE">
        <w:t>fråvær</w:t>
      </w:r>
      <w:proofErr w:type="spellEnd"/>
      <w:r w:rsidRPr="00B419CE">
        <w:t xml:space="preserve"> på grunn av sjuke barn i 2020 </w:t>
      </w:r>
      <w:proofErr w:type="spellStart"/>
      <w:r w:rsidRPr="00B419CE">
        <w:t>samanlikna</w:t>
      </w:r>
      <w:proofErr w:type="spellEnd"/>
      <w:r w:rsidRPr="00B419CE">
        <w:t xml:space="preserve"> med 2019. Det er litt færre tilfelle av </w:t>
      </w:r>
      <w:proofErr w:type="spellStart"/>
      <w:r w:rsidRPr="00B419CE">
        <w:t>fråvær</w:t>
      </w:r>
      <w:proofErr w:type="spellEnd"/>
      <w:r w:rsidRPr="00B419CE">
        <w:t xml:space="preserve"> på </w:t>
      </w:r>
      <w:r w:rsidRPr="00B419CE">
        <w:lastRenderedPageBreak/>
        <w:t xml:space="preserve">grunn av sjuke barn i 2020 enn i 2019. Samstundes er </w:t>
      </w:r>
      <w:proofErr w:type="spellStart"/>
      <w:r w:rsidRPr="00B419CE">
        <w:t>fråværet</w:t>
      </w:r>
      <w:proofErr w:type="spellEnd"/>
      <w:r w:rsidRPr="00B419CE">
        <w:t xml:space="preserve"> litt lengre for kvinner i 2020 enn i 2019 og litt </w:t>
      </w:r>
      <w:proofErr w:type="spellStart"/>
      <w:r w:rsidRPr="00B419CE">
        <w:t>kortare</w:t>
      </w:r>
      <w:proofErr w:type="spellEnd"/>
      <w:r w:rsidRPr="00B419CE">
        <w:t xml:space="preserve"> for menn i 2020 enn i 2019. Det er samla sett mindre bruk av overtid i 2020 enn i 2019. I 2020 hadde kvinner 31 pst. av </w:t>
      </w:r>
      <w:proofErr w:type="spellStart"/>
      <w:r w:rsidRPr="00B419CE">
        <w:t>overtidstimane</w:t>
      </w:r>
      <w:proofErr w:type="spellEnd"/>
      <w:r w:rsidRPr="00B419CE">
        <w:t xml:space="preserve"> i etaten, mot 40 pst. i 2019. I 2020 hadde menn 69 pst. av </w:t>
      </w:r>
      <w:proofErr w:type="spellStart"/>
      <w:r w:rsidRPr="00B419CE">
        <w:t>overtidstimane</w:t>
      </w:r>
      <w:proofErr w:type="spellEnd"/>
      <w:r w:rsidRPr="00B419CE">
        <w:t>, mot 60 pst. i 2019.</w:t>
      </w:r>
    </w:p>
    <w:p w14:paraId="41280648" w14:textId="77777777" w:rsidR="00B419CE" w:rsidRPr="00B419CE" w:rsidRDefault="00B419CE" w:rsidP="00B419CE">
      <w:pPr>
        <w:rPr>
          <w:rStyle w:val="kursiv"/>
        </w:rPr>
      </w:pPr>
      <w:r w:rsidRPr="00B419CE">
        <w:rPr>
          <w:rStyle w:val="kursiv"/>
        </w:rPr>
        <w:t>Statistisk sentralbyrå</w:t>
      </w:r>
      <w:r w:rsidRPr="00B419CE">
        <w:t xml:space="preserve"> har i 2020 hatt </w:t>
      </w:r>
      <w:proofErr w:type="spellStart"/>
      <w:r w:rsidRPr="00B419CE">
        <w:t>eit</w:t>
      </w:r>
      <w:proofErr w:type="spellEnd"/>
      <w:r w:rsidRPr="00B419CE">
        <w:t xml:space="preserve"> </w:t>
      </w:r>
      <w:proofErr w:type="spellStart"/>
      <w:r w:rsidRPr="00B419CE">
        <w:t>sjukefråvær</w:t>
      </w:r>
      <w:proofErr w:type="spellEnd"/>
      <w:r w:rsidRPr="00B419CE">
        <w:t xml:space="preserve"> på 3,1 pst. mot 4,7 pst. i 2019, og det er det </w:t>
      </w:r>
      <w:proofErr w:type="spellStart"/>
      <w:r w:rsidRPr="00B419CE">
        <w:t>lågaste</w:t>
      </w:r>
      <w:proofErr w:type="spellEnd"/>
      <w:r w:rsidRPr="00B419CE">
        <w:t xml:space="preserve"> som er registrert på mange år. Dette kan henge </w:t>
      </w:r>
      <w:proofErr w:type="spellStart"/>
      <w:r w:rsidRPr="00B419CE">
        <w:t>saman</w:t>
      </w:r>
      <w:proofErr w:type="spellEnd"/>
      <w:r w:rsidRPr="00B419CE">
        <w:t xml:space="preserve"> med at smitteverntiltak og mindre fysisk kontakt har ført til </w:t>
      </w:r>
      <w:proofErr w:type="spellStart"/>
      <w:r w:rsidRPr="00B419CE">
        <w:t>lågare</w:t>
      </w:r>
      <w:proofErr w:type="spellEnd"/>
      <w:r w:rsidRPr="00B419CE">
        <w:t xml:space="preserve"> risiko for sjukdom. Dei tilsette har rapportert om </w:t>
      </w:r>
      <w:proofErr w:type="spellStart"/>
      <w:r w:rsidRPr="00B419CE">
        <w:t>lågare</w:t>
      </w:r>
      <w:proofErr w:type="spellEnd"/>
      <w:r w:rsidRPr="00B419CE">
        <w:t xml:space="preserve"> terskel for å arbeide heilt eller delvis under sjukdom i </w:t>
      </w:r>
      <w:proofErr w:type="spellStart"/>
      <w:r w:rsidRPr="00B419CE">
        <w:t>ein</w:t>
      </w:r>
      <w:proofErr w:type="spellEnd"/>
      <w:r w:rsidRPr="00B419CE">
        <w:t xml:space="preserve"> situasjon der heimekontor er </w:t>
      </w:r>
      <w:proofErr w:type="spellStart"/>
      <w:r w:rsidRPr="00B419CE">
        <w:t>hovudregelen</w:t>
      </w:r>
      <w:proofErr w:type="spellEnd"/>
      <w:r w:rsidRPr="00B419CE">
        <w:t xml:space="preserve">. </w:t>
      </w:r>
      <w:proofErr w:type="spellStart"/>
      <w:r w:rsidRPr="00B419CE">
        <w:t>Fråvær</w:t>
      </w:r>
      <w:proofErr w:type="spellEnd"/>
      <w:r w:rsidRPr="00B419CE">
        <w:t xml:space="preserve"> på grunn av barns sjukdom </w:t>
      </w:r>
      <w:proofErr w:type="spellStart"/>
      <w:r w:rsidRPr="00B419CE">
        <w:t>auka</w:t>
      </w:r>
      <w:proofErr w:type="spellEnd"/>
      <w:r w:rsidRPr="00B419CE">
        <w:t xml:space="preserve"> markant i 2020 </w:t>
      </w:r>
      <w:proofErr w:type="spellStart"/>
      <w:r w:rsidRPr="00B419CE">
        <w:t>samanlikna</w:t>
      </w:r>
      <w:proofErr w:type="spellEnd"/>
      <w:r w:rsidRPr="00B419CE">
        <w:t xml:space="preserve"> med 2019. Målt i </w:t>
      </w:r>
      <w:proofErr w:type="spellStart"/>
      <w:r w:rsidRPr="00B419CE">
        <w:t>gjennomsnittleg</w:t>
      </w:r>
      <w:proofErr w:type="spellEnd"/>
      <w:r w:rsidRPr="00B419CE">
        <w:t xml:space="preserve"> antall </w:t>
      </w:r>
      <w:proofErr w:type="spellStart"/>
      <w:r w:rsidRPr="00B419CE">
        <w:t>dagar</w:t>
      </w:r>
      <w:proofErr w:type="spellEnd"/>
      <w:r w:rsidRPr="00B419CE">
        <w:t xml:space="preserve"> brukte menn 6,9 </w:t>
      </w:r>
      <w:proofErr w:type="spellStart"/>
      <w:r w:rsidRPr="00B419CE">
        <w:t>dagar</w:t>
      </w:r>
      <w:proofErr w:type="spellEnd"/>
      <w:r w:rsidRPr="00B419CE">
        <w:t xml:space="preserve"> på grunn av barns sjukdom i 2020, </w:t>
      </w:r>
      <w:proofErr w:type="spellStart"/>
      <w:r w:rsidRPr="00B419CE">
        <w:t>medan</w:t>
      </w:r>
      <w:proofErr w:type="spellEnd"/>
      <w:r w:rsidRPr="00B419CE">
        <w:t xml:space="preserve"> kvinner brukte 7,2 </w:t>
      </w:r>
      <w:proofErr w:type="spellStart"/>
      <w:r w:rsidRPr="00B419CE">
        <w:t>dagar</w:t>
      </w:r>
      <w:proofErr w:type="spellEnd"/>
      <w:r w:rsidRPr="00B419CE">
        <w:t xml:space="preserve">. I 2019 var </w:t>
      </w:r>
      <w:proofErr w:type="spellStart"/>
      <w:r w:rsidRPr="00B419CE">
        <w:t>tala</w:t>
      </w:r>
      <w:proofErr w:type="spellEnd"/>
      <w:r w:rsidRPr="00B419CE">
        <w:t xml:space="preserve"> 3,8 </w:t>
      </w:r>
      <w:proofErr w:type="spellStart"/>
      <w:r w:rsidRPr="00B419CE">
        <w:t>dagar</w:t>
      </w:r>
      <w:proofErr w:type="spellEnd"/>
      <w:r w:rsidRPr="00B419CE">
        <w:t xml:space="preserve"> for menn og 4,3 </w:t>
      </w:r>
      <w:proofErr w:type="spellStart"/>
      <w:r w:rsidRPr="00B419CE">
        <w:t>dagar</w:t>
      </w:r>
      <w:proofErr w:type="spellEnd"/>
      <w:r w:rsidRPr="00B419CE">
        <w:t xml:space="preserve"> for kvinner.</w:t>
      </w:r>
    </w:p>
    <w:p w14:paraId="3785C4BC" w14:textId="77777777" w:rsidR="00B419CE" w:rsidRPr="00B419CE" w:rsidRDefault="00B419CE" w:rsidP="00B419CE">
      <w:r w:rsidRPr="00B419CE">
        <w:rPr>
          <w:rStyle w:val="kursiv"/>
        </w:rPr>
        <w:t>Statsministerens kontor</w:t>
      </w:r>
      <w:r w:rsidRPr="00B419CE">
        <w:t xml:space="preserve"> har </w:t>
      </w:r>
      <w:proofErr w:type="spellStart"/>
      <w:r w:rsidRPr="00B419CE">
        <w:t>ikkje</w:t>
      </w:r>
      <w:proofErr w:type="spellEnd"/>
      <w:r w:rsidRPr="00B419CE">
        <w:t xml:space="preserve"> registrert </w:t>
      </w:r>
      <w:proofErr w:type="spellStart"/>
      <w:r w:rsidRPr="00B419CE">
        <w:t>særskilde</w:t>
      </w:r>
      <w:proofErr w:type="spellEnd"/>
      <w:r w:rsidRPr="00B419CE">
        <w:t xml:space="preserve"> </w:t>
      </w:r>
      <w:proofErr w:type="spellStart"/>
      <w:r w:rsidRPr="00B419CE">
        <w:t>utfordringar</w:t>
      </w:r>
      <w:proofErr w:type="spellEnd"/>
      <w:r w:rsidRPr="00B419CE">
        <w:t xml:space="preserve"> knytt til likestilling i eiga </w:t>
      </w:r>
      <w:proofErr w:type="spellStart"/>
      <w:r w:rsidRPr="00B419CE">
        <w:t>verksemd</w:t>
      </w:r>
      <w:proofErr w:type="spellEnd"/>
      <w:r w:rsidRPr="00B419CE">
        <w:t xml:space="preserve"> i samband med </w:t>
      </w:r>
      <w:proofErr w:type="spellStart"/>
      <w:r w:rsidRPr="00B419CE">
        <w:t>virusutbrotet</w:t>
      </w:r>
      <w:proofErr w:type="spellEnd"/>
      <w:r w:rsidRPr="00B419CE">
        <w:t xml:space="preserve"> i 2020. Det har </w:t>
      </w:r>
      <w:proofErr w:type="spellStart"/>
      <w:r w:rsidRPr="00B419CE">
        <w:t>vore</w:t>
      </w:r>
      <w:proofErr w:type="spellEnd"/>
      <w:r w:rsidRPr="00B419CE">
        <w:t xml:space="preserve"> </w:t>
      </w:r>
      <w:proofErr w:type="spellStart"/>
      <w:r w:rsidRPr="00B419CE">
        <w:t>eit</w:t>
      </w:r>
      <w:proofErr w:type="spellEnd"/>
      <w:r w:rsidRPr="00B419CE">
        <w:t xml:space="preserve"> </w:t>
      </w:r>
      <w:proofErr w:type="spellStart"/>
      <w:r w:rsidRPr="00B419CE">
        <w:t>arbeidskrevjande</w:t>
      </w:r>
      <w:proofErr w:type="spellEnd"/>
      <w:r w:rsidRPr="00B419CE">
        <w:t xml:space="preserve"> år, men det er </w:t>
      </w:r>
      <w:proofErr w:type="spellStart"/>
      <w:r w:rsidRPr="00B419CE">
        <w:t>ikkje</w:t>
      </w:r>
      <w:proofErr w:type="spellEnd"/>
      <w:r w:rsidRPr="00B419CE">
        <w:t xml:space="preserve"> </w:t>
      </w:r>
      <w:proofErr w:type="spellStart"/>
      <w:r w:rsidRPr="00B419CE">
        <w:t>noko</w:t>
      </w:r>
      <w:proofErr w:type="spellEnd"/>
      <w:r w:rsidRPr="00B419CE">
        <w:t xml:space="preserve"> som tyder på at arbeidsbelastning og overtidsbruk, fordelt på kjønn og alder, er endra.</w:t>
      </w:r>
    </w:p>
    <w:p w14:paraId="21D92C34" w14:textId="77777777" w:rsidR="00B419CE" w:rsidRPr="00B419CE" w:rsidRDefault="00B419CE" w:rsidP="00B419CE">
      <w:pPr>
        <w:pStyle w:val="Overskrift1"/>
      </w:pPr>
      <w:r w:rsidRPr="00B419CE">
        <w:t>Omtale av klima- og miljørelevante saker</w:t>
      </w:r>
    </w:p>
    <w:p w14:paraId="23817A71" w14:textId="77777777" w:rsidR="00B419CE" w:rsidRPr="00B419CE" w:rsidRDefault="00B419CE" w:rsidP="00B419CE">
      <w:pPr>
        <w:pStyle w:val="Overskrift2"/>
      </w:pPr>
      <w:r w:rsidRPr="00B419CE">
        <w:t>Finansdepartementet</w:t>
      </w:r>
    </w:p>
    <w:p w14:paraId="394319B1" w14:textId="77777777" w:rsidR="00B419CE" w:rsidRPr="00B419CE" w:rsidRDefault="00B419CE" w:rsidP="00B419CE">
      <w:pPr>
        <w:pStyle w:val="avsnitt-tittel"/>
      </w:pPr>
      <w:proofErr w:type="spellStart"/>
      <w:r w:rsidRPr="00B419CE">
        <w:t>Berekraftig</w:t>
      </w:r>
      <w:proofErr w:type="spellEnd"/>
      <w:r w:rsidRPr="00B419CE">
        <w:t xml:space="preserve"> utvikling</w:t>
      </w:r>
    </w:p>
    <w:p w14:paraId="5E3D7091" w14:textId="77777777" w:rsidR="00B419CE" w:rsidRPr="00B419CE" w:rsidRDefault="00B419CE" w:rsidP="00B419CE">
      <w:r w:rsidRPr="00B419CE">
        <w:t xml:space="preserve">Finansdepartementet har </w:t>
      </w:r>
      <w:proofErr w:type="spellStart"/>
      <w:r w:rsidRPr="00B419CE">
        <w:t>eit</w:t>
      </w:r>
      <w:proofErr w:type="spellEnd"/>
      <w:r w:rsidRPr="00B419CE">
        <w:t xml:space="preserve"> </w:t>
      </w:r>
      <w:proofErr w:type="spellStart"/>
      <w:r w:rsidRPr="00B419CE">
        <w:t>sektorovergripande</w:t>
      </w:r>
      <w:proofErr w:type="spellEnd"/>
      <w:r w:rsidRPr="00B419CE">
        <w:t xml:space="preserve"> ansvar for å </w:t>
      </w:r>
      <w:proofErr w:type="spellStart"/>
      <w:r w:rsidRPr="00B419CE">
        <w:t>leggje</w:t>
      </w:r>
      <w:proofErr w:type="spellEnd"/>
      <w:r w:rsidRPr="00B419CE">
        <w:t xml:space="preserve"> grunnlaget for effektiv forvalting av </w:t>
      </w:r>
      <w:proofErr w:type="spellStart"/>
      <w:r w:rsidRPr="00B419CE">
        <w:t>dei</w:t>
      </w:r>
      <w:proofErr w:type="spellEnd"/>
      <w:r w:rsidRPr="00B419CE">
        <w:t xml:space="preserve"> økonomiske </w:t>
      </w:r>
      <w:proofErr w:type="spellStart"/>
      <w:r w:rsidRPr="00B419CE">
        <w:t>ressursane</w:t>
      </w:r>
      <w:proofErr w:type="spellEnd"/>
      <w:r w:rsidRPr="00B419CE">
        <w:t xml:space="preserve">. I arbeidet med den økonomiske politikken skal Finansdepartementet </w:t>
      </w:r>
      <w:proofErr w:type="spellStart"/>
      <w:r w:rsidRPr="00B419CE">
        <w:t>medverke</w:t>
      </w:r>
      <w:proofErr w:type="spellEnd"/>
      <w:r w:rsidRPr="00B419CE">
        <w:t xml:space="preserve"> til at den økonomiske utviklinga skjer på </w:t>
      </w:r>
      <w:proofErr w:type="spellStart"/>
      <w:r w:rsidRPr="00B419CE">
        <w:t>eit</w:t>
      </w:r>
      <w:proofErr w:type="spellEnd"/>
      <w:r w:rsidRPr="00B419CE">
        <w:t xml:space="preserve"> miljømessig </w:t>
      </w:r>
      <w:proofErr w:type="spellStart"/>
      <w:r w:rsidRPr="00B419CE">
        <w:t>forsvarleg</w:t>
      </w:r>
      <w:proofErr w:type="spellEnd"/>
      <w:r w:rsidRPr="00B419CE">
        <w:t xml:space="preserve"> grunnlag.</w:t>
      </w:r>
    </w:p>
    <w:p w14:paraId="76145FA3" w14:textId="77777777" w:rsidR="00B419CE" w:rsidRPr="00B419CE" w:rsidRDefault="00B419CE" w:rsidP="00B419CE">
      <w:r w:rsidRPr="00B419CE">
        <w:t xml:space="preserve">Oppfølginga av Dei </w:t>
      </w:r>
      <w:proofErr w:type="spellStart"/>
      <w:r w:rsidRPr="00B419CE">
        <w:t>Sameinte</w:t>
      </w:r>
      <w:proofErr w:type="spellEnd"/>
      <w:r w:rsidRPr="00B419CE">
        <w:t xml:space="preserve"> </w:t>
      </w:r>
      <w:proofErr w:type="spellStart"/>
      <w:r w:rsidRPr="00B419CE">
        <w:t>Nasjonanes</w:t>
      </w:r>
      <w:proofErr w:type="spellEnd"/>
      <w:r w:rsidRPr="00B419CE">
        <w:t xml:space="preserve"> 17 mål for </w:t>
      </w:r>
      <w:proofErr w:type="spellStart"/>
      <w:r w:rsidRPr="00B419CE">
        <w:t>berekraft</w:t>
      </w:r>
      <w:proofErr w:type="spellEnd"/>
      <w:r w:rsidRPr="00B419CE">
        <w:t xml:space="preserve"> er </w:t>
      </w:r>
      <w:proofErr w:type="gramStart"/>
      <w:r w:rsidRPr="00B419CE">
        <w:t>integrert</w:t>
      </w:r>
      <w:proofErr w:type="gramEnd"/>
      <w:r w:rsidRPr="00B419CE">
        <w:t xml:space="preserve"> i regjeringas ordinære politiske arbeid. Kommunal- og moderniseringsdepartementet koordinerer den nasjonale oppfølginga, </w:t>
      </w:r>
      <w:proofErr w:type="spellStart"/>
      <w:r w:rsidRPr="00B419CE">
        <w:t>Utanriksdepartementet</w:t>
      </w:r>
      <w:proofErr w:type="spellEnd"/>
      <w:r w:rsidRPr="00B419CE">
        <w:t xml:space="preserve"> koordinerer oppfølginga internasjonalt og Finansdepartementet </w:t>
      </w:r>
      <w:proofErr w:type="spellStart"/>
      <w:r w:rsidRPr="00B419CE">
        <w:t>samanfattar</w:t>
      </w:r>
      <w:proofErr w:type="spellEnd"/>
      <w:r w:rsidRPr="00B419CE">
        <w:t xml:space="preserve"> rapporteringa i nasjonalbudsjettet.</w:t>
      </w:r>
    </w:p>
    <w:p w14:paraId="06A5DED0" w14:textId="77777777" w:rsidR="00B419CE" w:rsidRPr="00B419CE" w:rsidRDefault="00B419CE" w:rsidP="00B419CE">
      <w:pPr>
        <w:pStyle w:val="avsnitt-tittel"/>
      </w:pPr>
      <w:proofErr w:type="spellStart"/>
      <w:r w:rsidRPr="00B419CE">
        <w:t>Sektorovergripande</w:t>
      </w:r>
      <w:proofErr w:type="spellEnd"/>
      <w:r w:rsidRPr="00B419CE">
        <w:t xml:space="preserve"> klima- og miljøverkemiddel</w:t>
      </w:r>
    </w:p>
    <w:p w14:paraId="246188F0" w14:textId="77777777" w:rsidR="00B419CE" w:rsidRPr="00B419CE" w:rsidRDefault="00B419CE" w:rsidP="00B419CE">
      <w:r w:rsidRPr="00B419CE">
        <w:t xml:space="preserve">Finansdepartementet har det overordna ansvaret for innretting av avgifter i miljøpolitikken. Rett utforma miljøavgifter gjev tildriv til å minke utsleppa og </w:t>
      </w:r>
      <w:proofErr w:type="spellStart"/>
      <w:r w:rsidRPr="00B419CE">
        <w:t>sikrar</w:t>
      </w:r>
      <w:proofErr w:type="spellEnd"/>
      <w:r w:rsidRPr="00B419CE">
        <w:t xml:space="preserve"> òg at </w:t>
      </w:r>
      <w:proofErr w:type="spellStart"/>
      <w:r w:rsidRPr="00B419CE">
        <w:t>forureinarane</w:t>
      </w:r>
      <w:proofErr w:type="spellEnd"/>
      <w:r w:rsidRPr="00B419CE">
        <w:t xml:space="preserve"> betaler.</w:t>
      </w:r>
    </w:p>
    <w:p w14:paraId="4CCF1B94" w14:textId="77777777" w:rsidR="00B419CE" w:rsidRPr="00B419CE" w:rsidRDefault="00B419CE" w:rsidP="00B419CE">
      <w:pPr>
        <w:pStyle w:val="Overskrift2"/>
      </w:pPr>
      <w:r w:rsidRPr="00B419CE">
        <w:t>Statistisk sentralbyrå</w:t>
      </w:r>
    </w:p>
    <w:p w14:paraId="4061E60A" w14:textId="77777777" w:rsidR="00B419CE" w:rsidRPr="00B419CE" w:rsidRDefault="00B419CE" w:rsidP="00B419CE">
      <w:r w:rsidRPr="00B419CE">
        <w:t xml:space="preserve">Statistikk over utslepp til luft er </w:t>
      </w:r>
      <w:proofErr w:type="spellStart"/>
      <w:r w:rsidRPr="00B419CE">
        <w:t>eit</w:t>
      </w:r>
      <w:proofErr w:type="spellEnd"/>
      <w:r w:rsidRPr="00B419CE">
        <w:t xml:space="preserve"> prioritert område. Statistikken over utsleppa av </w:t>
      </w:r>
      <w:proofErr w:type="spellStart"/>
      <w:r w:rsidRPr="00B419CE">
        <w:t>klimagassar</w:t>
      </w:r>
      <w:proofErr w:type="spellEnd"/>
      <w:r w:rsidRPr="00B419CE">
        <w:t xml:space="preserve"> er mellom anna knytt til oppfølginga av </w:t>
      </w:r>
      <w:proofErr w:type="spellStart"/>
      <w:r w:rsidRPr="00B419CE">
        <w:t>Noregs</w:t>
      </w:r>
      <w:proofErr w:type="spellEnd"/>
      <w:r w:rsidRPr="00B419CE">
        <w:t xml:space="preserve"> klimamål slik </w:t>
      </w:r>
      <w:proofErr w:type="spellStart"/>
      <w:r w:rsidRPr="00B419CE">
        <w:t>dei</w:t>
      </w:r>
      <w:proofErr w:type="spellEnd"/>
      <w:r w:rsidRPr="00B419CE">
        <w:t xml:space="preserve"> mellom anna kjem fram i Kyoto-protokollen og i </w:t>
      </w:r>
      <w:proofErr w:type="spellStart"/>
      <w:r w:rsidRPr="00B419CE">
        <w:t>Parisavtala</w:t>
      </w:r>
      <w:proofErr w:type="spellEnd"/>
      <w:r w:rsidRPr="00B419CE">
        <w:t xml:space="preserve">, til ei ny forordning om </w:t>
      </w:r>
      <w:proofErr w:type="spellStart"/>
      <w:r w:rsidRPr="00B419CE">
        <w:lastRenderedPageBreak/>
        <w:t>miljørekneskapar</w:t>
      </w:r>
      <w:proofErr w:type="spellEnd"/>
      <w:r w:rsidRPr="00B419CE">
        <w:t xml:space="preserve"> i Eurostat, samt rapportering som følgjer av klimalova. I tillegg til </w:t>
      </w:r>
      <w:proofErr w:type="spellStart"/>
      <w:r w:rsidRPr="00B419CE">
        <w:t>dei</w:t>
      </w:r>
      <w:proofErr w:type="spellEnd"/>
      <w:r w:rsidRPr="00B419CE">
        <w:t xml:space="preserve"> krava som Kyoto-protokollen </w:t>
      </w:r>
      <w:proofErr w:type="spellStart"/>
      <w:r w:rsidRPr="00B419CE">
        <w:t>set</w:t>
      </w:r>
      <w:proofErr w:type="spellEnd"/>
      <w:r w:rsidRPr="00B419CE">
        <w:t xml:space="preserve">, vert det </w:t>
      </w:r>
      <w:proofErr w:type="spellStart"/>
      <w:r w:rsidRPr="00B419CE">
        <w:t>teke</w:t>
      </w:r>
      <w:proofErr w:type="spellEnd"/>
      <w:r w:rsidRPr="00B419CE">
        <w:t xml:space="preserve"> med tal for utslepp </w:t>
      </w:r>
      <w:proofErr w:type="spellStart"/>
      <w:r w:rsidRPr="00B419CE">
        <w:t>frå</w:t>
      </w:r>
      <w:proofErr w:type="spellEnd"/>
      <w:r w:rsidRPr="00B419CE">
        <w:t xml:space="preserve"> internasjonal luft- og sjøfart og opptak av CO</w:t>
      </w:r>
      <w:r w:rsidRPr="00B419CE">
        <w:rPr>
          <w:rStyle w:val="skrift-senket"/>
        </w:rPr>
        <w:t>2</w:t>
      </w:r>
      <w:r w:rsidRPr="00B419CE">
        <w:t xml:space="preserve"> i skog. Norsk klimapolitikk er nært knytt til EU. </w:t>
      </w:r>
      <w:proofErr w:type="spellStart"/>
      <w:r w:rsidRPr="00B419CE">
        <w:t>Noreg</w:t>
      </w:r>
      <w:proofErr w:type="spellEnd"/>
      <w:r w:rsidRPr="00B419CE">
        <w:t xml:space="preserve"> og EU vil </w:t>
      </w:r>
      <w:proofErr w:type="spellStart"/>
      <w:r w:rsidRPr="00B419CE">
        <w:t>frå</w:t>
      </w:r>
      <w:proofErr w:type="spellEnd"/>
      <w:r w:rsidRPr="00B419CE">
        <w:t xml:space="preserve"> 2021 ha </w:t>
      </w:r>
      <w:proofErr w:type="spellStart"/>
      <w:r w:rsidRPr="00B419CE">
        <w:t>eit</w:t>
      </w:r>
      <w:proofErr w:type="spellEnd"/>
      <w:r w:rsidRPr="00B419CE">
        <w:t xml:space="preserve"> samarbeid om klimaskyldnadene for 2030. Statistikken over langtransportert </w:t>
      </w:r>
      <w:proofErr w:type="spellStart"/>
      <w:r w:rsidRPr="00B419CE">
        <w:t>forureining</w:t>
      </w:r>
      <w:proofErr w:type="spellEnd"/>
      <w:r w:rsidRPr="00B419CE">
        <w:t xml:space="preserve"> er mest knytt til oppfølginga av Gøteborg-protokollen.</w:t>
      </w:r>
    </w:p>
    <w:p w14:paraId="06C2EF58" w14:textId="77777777" w:rsidR="00B419CE" w:rsidRPr="00B419CE" w:rsidRDefault="00B419CE" w:rsidP="00B419CE">
      <w:r w:rsidRPr="00B419CE">
        <w:t xml:space="preserve">Utviklinga av statistikk over verkemiddelbruk, m.a. avgifter og </w:t>
      </w:r>
      <w:proofErr w:type="spellStart"/>
      <w:r w:rsidRPr="00B419CE">
        <w:t>utsleppskvotar</w:t>
      </w:r>
      <w:proofErr w:type="spellEnd"/>
      <w:r w:rsidRPr="00B419CE">
        <w:t xml:space="preserve">, skal </w:t>
      </w:r>
      <w:proofErr w:type="spellStart"/>
      <w:r w:rsidRPr="00B419CE">
        <w:t>halde</w:t>
      </w:r>
      <w:proofErr w:type="spellEnd"/>
      <w:r w:rsidRPr="00B419CE">
        <w:t xml:space="preserve"> fram. I 2019 </w:t>
      </w:r>
      <w:proofErr w:type="spellStart"/>
      <w:r w:rsidRPr="00B419CE">
        <w:t>vart</w:t>
      </w:r>
      <w:proofErr w:type="spellEnd"/>
      <w:r w:rsidRPr="00B419CE">
        <w:t xml:space="preserve"> statistikken utvida med tal for </w:t>
      </w:r>
      <w:proofErr w:type="spellStart"/>
      <w:r w:rsidRPr="00B419CE">
        <w:t>miljøsubsidiar</w:t>
      </w:r>
      <w:proofErr w:type="spellEnd"/>
      <w:r w:rsidRPr="00B419CE">
        <w:t xml:space="preserve">. Statistikken over </w:t>
      </w:r>
      <w:proofErr w:type="spellStart"/>
      <w:r w:rsidRPr="00B419CE">
        <w:t>reinsing</w:t>
      </w:r>
      <w:proofErr w:type="spellEnd"/>
      <w:r w:rsidRPr="00B419CE">
        <w:t xml:space="preserve"> og utslepp av kommunalt avløpsvatn vert utvikla </w:t>
      </w:r>
      <w:proofErr w:type="spellStart"/>
      <w:r w:rsidRPr="00B419CE">
        <w:t>vidare</w:t>
      </w:r>
      <w:proofErr w:type="spellEnd"/>
      <w:r w:rsidRPr="00B419CE">
        <w:t xml:space="preserve">. SSB følgjer òg opp statistikkforordninga om </w:t>
      </w:r>
      <w:proofErr w:type="spellStart"/>
      <w:r w:rsidRPr="00B419CE">
        <w:t>materialrekneskapar</w:t>
      </w:r>
      <w:proofErr w:type="spellEnd"/>
      <w:r w:rsidRPr="00B419CE">
        <w:t xml:space="preserve">; </w:t>
      </w:r>
      <w:r w:rsidRPr="00B419CE">
        <w:rPr>
          <w:rStyle w:val="kursiv"/>
        </w:rPr>
        <w:t>«Sirkulær økonomi»</w:t>
      </w:r>
      <w:r w:rsidRPr="00B419CE">
        <w:t xml:space="preserve"> (</w:t>
      </w:r>
      <w:proofErr w:type="spellStart"/>
      <w:r w:rsidRPr="00B419CE">
        <w:t>materialstraumar</w:t>
      </w:r>
      <w:proofErr w:type="spellEnd"/>
      <w:r w:rsidRPr="00B419CE">
        <w:t xml:space="preserve"> og attvinning). SSB skal hjelpe Miljødirektoratet med å finne målepunkt som er tilpassa nytt direktiv, tilpasse innhentinga av data og avklare korleis statistikken skal kunne ta vare på nasjonale og internasjonale behov. SSB skal ta i bruk nye kjelder om plastavfall ved utarbeiding av </w:t>
      </w:r>
      <w:proofErr w:type="spellStart"/>
      <w:r w:rsidRPr="00B419CE">
        <w:t>avfallsrekneskapen</w:t>
      </w:r>
      <w:proofErr w:type="spellEnd"/>
      <w:r w:rsidRPr="00B419CE">
        <w:t xml:space="preserve">. SSB er med på å </w:t>
      </w:r>
      <w:proofErr w:type="spellStart"/>
      <w:r w:rsidRPr="00B419CE">
        <w:t>kartleggje</w:t>
      </w:r>
      <w:proofErr w:type="spellEnd"/>
      <w:r w:rsidRPr="00B419CE">
        <w:t xml:space="preserve"> matsvinn i primærleddet, altså hos jordbruksbedriftene. Det er Landbruksdirektoratet som finansierer arbeidet ved utviding av skjema i to </w:t>
      </w:r>
      <w:proofErr w:type="spellStart"/>
      <w:r w:rsidRPr="00B419CE">
        <w:t>avlingsundersøkingar</w:t>
      </w:r>
      <w:proofErr w:type="spellEnd"/>
      <w:r w:rsidRPr="00B419CE">
        <w:t xml:space="preserve">. SSB skal oppdatere og publisere arealstatistikken for </w:t>
      </w:r>
      <w:proofErr w:type="spellStart"/>
      <w:r w:rsidRPr="00B419CE">
        <w:t>Noreg</w:t>
      </w:r>
      <w:proofErr w:type="spellEnd"/>
      <w:r w:rsidRPr="00B419CE">
        <w:t xml:space="preserve"> (arealbruk og </w:t>
      </w:r>
      <w:proofErr w:type="spellStart"/>
      <w:r w:rsidRPr="00B419CE">
        <w:t>arealressursar</w:t>
      </w:r>
      <w:proofErr w:type="spellEnd"/>
      <w:r w:rsidRPr="00B419CE">
        <w:t xml:space="preserve">) og andre </w:t>
      </w:r>
      <w:proofErr w:type="spellStart"/>
      <w:r w:rsidRPr="00B419CE">
        <w:t>meir</w:t>
      </w:r>
      <w:proofErr w:type="spellEnd"/>
      <w:r w:rsidRPr="00B419CE">
        <w:t xml:space="preserve"> analyseprega </w:t>
      </w:r>
      <w:proofErr w:type="spellStart"/>
      <w:r w:rsidRPr="00B419CE">
        <w:t>temastatistikkar</w:t>
      </w:r>
      <w:proofErr w:type="spellEnd"/>
      <w:r w:rsidRPr="00B419CE">
        <w:t xml:space="preserve"> om areal. Statistikk og </w:t>
      </w:r>
      <w:proofErr w:type="spellStart"/>
      <w:r w:rsidRPr="00B419CE">
        <w:t>analysar</w:t>
      </w:r>
      <w:proofErr w:type="spellEnd"/>
      <w:r w:rsidRPr="00B419CE">
        <w:t xml:space="preserve"> er publiserte som </w:t>
      </w:r>
      <w:proofErr w:type="spellStart"/>
      <w:r w:rsidRPr="00B419CE">
        <w:t>planlagd</w:t>
      </w:r>
      <w:proofErr w:type="spellEnd"/>
      <w:r w:rsidRPr="00B419CE">
        <w:t>.</w:t>
      </w:r>
    </w:p>
    <w:p w14:paraId="7F64B10C" w14:textId="77777777" w:rsidR="00B419CE" w:rsidRPr="00B419CE" w:rsidRDefault="00B419CE" w:rsidP="00B419CE">
      <w:proofErr w:type="spellStart"/>
      <w:r w:rsidRPr="00B419CE">
        <w:t>Etterspurnaden</w:t>
      </w:r>
      <w:proofErr w:type="spellEnd"/>
      <w:r w:rsidRPr="00B419CE">
        <w:t xml:space="preserve"> etter miljøstatistikk til internasjonale </w:t>
      </w:r>
      <w:proofErr w:type="spellStart"/>
      <w:r w:rsidRPr="00B419CE">
        <w:t>publikasjonar</w:t>
      </w:r>
      <w:proofErr w:type="spellEnd"/>
      <w:r w:rsidRPr="00B419CE">
        <w:t xml:space="preserve"> og indikatorsystem, </w:t>
      </w:r>
      <w:proofErr w:type="spellStart"/>
      <w:r w:rsidRPr="00B419CE">
        <w:t>særleg</w:t>
      </w:r>
      <w:proofErr w:type="spellEnd"/>
      <w:r w:rsidRPr="00B419CE">
        <w:t xml:space="preserve"> i EU og OECD, er </w:t>
      </w:r>
      <w:proofErr w:type="spellStart"/>
      <w:r w:rsidRPr="00B419CE">
        <w:t>aukande</w:t>
      </w:r>
      <w:proofErr w:type="spellEnd"/>
      <w:r w:rsidRPr="00B419CE">
        <w:t>.</w:t>
      </w:r>
    </w:p>
    <w:p w14:paraId="54E90E65" w14:textId="77777777" w:rsidR="00B419CE" w:rsidRPr="00B419CE" w:rsidRDefault="00B419CE" w:rsidP="00B419CE">
      <w:proofErr w:type="spellStart"/>
      <w:r w:rsidRPr="00B419CE">
        <w:t>Frå</w:t>
      </w:r>
      <w:proofErr w:type="spellEnd"/>
      <w:r w:rsidRPr="00B419CE">
        <w:t xml:space="preserve"> 2017 gav ei EU-</w:t>
      </w:r>
      <w:proofErr w:type="gramStart"/>
      <w:r w:rsidRPr="00B419CE">
        <w:t>forordning rapporteringsplikt</w:t>
      </w:r>
      <w:proofErr w:type="gramEnd"/>
      <w:r w:rsidRPr="00B419CE">
        <w:t xml:space="preserve"> på områda </w:t>
      </w:r>
      <w:proofErr w:type="spellStart"/>
      <w:r w:rsidRPr="00B419CE">
        <w:t>rekneskap</w:t>
      </w:r>
      <w:proofErr w:type="spellEnd"/>
      <w:r w:rsidRPr="00B419CE">
        <w:t xml:space="preserve"> for miljøvernutgifter (EPEA), statistikk for produksjon, bruttoprodukt, sysselsetting og eksport av miljørelaterte varer og </w:t>
      </w:r>
      <w:proofErr w:type="spellStart"/>
      <w:r w:rsidRPr="00B419CE">
        <w:t>tenester</w:t>
      </w:r>
      <w:proofErr w:type="spellEnd"/>
      <w:r w:rsidRPr="00B419CE">
        <w:t xml:space="preserve"> (EGSS) og næringsfordelt energibruk. Alle </w:t>
      </w:r>
      <w:proofErr w:type="spellStart"/>
      <w:r w:rsidRPr="00B419CE">
        <w:t>desse</w:t>
      </w:r>
      <w:proofErr w:type="spellEnd"/>
      <w:r w:rsidRPr="00B419CE">
        <w:t xml:space="preserve"> områda vert utarbeidd etter den internasjonale standarden SEEA (System for </w:t>
      </w:r>
      <w:proofErr w:type="spellStart"/>
      <w:r w:rsidRPr="00B419CE">
        <w:t>Environmental</w:t>
      </w:r>
      <w:proofErr w:type="spellEnd"/>
      <w:r w:rsidRPr="00B419CE">
        <w:t xml:space="preserve"> and </w:t>
      </w:r>
      <w:proofErr w:type="spellStart"/>
      <w:r w:rsidRPr="00B419CE">
        <w:t>Economic</w:t>
      </w:r>
      <w:proofErr w:type="spellEnd"/>
      <w:r w:rsidRPr="00B419CE">
        <w:t xml:space="preserve"> Accounting) og i tråd med prinsipp i </w:t>
      </w:r>
      <w:proofErr w:type="spellStart"/>
      <w:r w:rsidRPr="00B419CE">
        <w:t>nasjonalrekneskapen</w:t>
      </w:r>
      <w:proofErr w:type="spellEnd"/>
      <w:r w:rsidRPr="00B419CE">
        <w:t>.</w:t>
      </w:r>
    </w:p>
    <w:p w14:paraId="0BDA2E68" w14:textId="77777777" w:rsidR="00B419CE" w:rsidRPr="00B419CE" w:rsidRDefault="00B419CE" w:rsidP="00B419CE">
      <w:proofErr w:type="spellStart"/>
      <w:r w:rsidRPr="00B419CE">
        <w:t>Innanfor</w:t>
      </w:r>
      <w:proofErr w:type="spellEnd"/>
      <w:r w:rsidRPr="00B419CE">
        <w:t xml:space="preserve"> </w:t>
      </w:r>
      <w:proofErr w:type="spellStart"/>
      <w:r w:rsidRPr="00B419CE">
        <w:t>forskingsverksemda</w:t>
      </w:r>
      <w:proofErr w:type="spellEnd"/>
      <w:r w:rsidRPr="00B419CE">
        <w:t xml:space="preserve"> i SSB på miljø- og klimafeltet er det </w:t>
      </w:r>
      <w:proofErr w:type="spellStart"/>
      <w:r w:rsidRPr="00B419CE">
        <w:t>fleire</w:t>
      </w:r>
      <w:proofErr w:type="spellEnd"/>
      <w:r w:rsidRPr="00B419CE">
        <w:t xml:space="preserve"> analyseprosjekt i gang, knytt til </w:t>
      </w:r>
      <w:proofErr w:type="spellStart"/>
      <w:r w:rsidRPr="00B419CE">
        <w:t>energimarknadstrendar</w:t>
      </w:r>
      <w:proofErr w:type="spellEnd"/>
      <w:r w:rsidRPr="00B419CE">
        <w:t xml:space="preserve">, klimapolitisk utvikling og bruk av </w:t>
      </w:r>
      <w:proofErr w:type="spellStart"/>
      <w:r w:rsidRPr="00B419CE">
        <w:t>naturressursar</w:t>
      </w:r>
      <w:proofErr w:type="spellEnd"/>
      <w:r w:rsidRPr="00B419CE">
        <w:t xml:space="preserve">. I </w:t>
      </w:r>
      <w:proofErr w:type="spellStart"/>
      <w:r w:rsidRPr="00B419CE">
        <w:t>desse</w:t>
      </w:r>
      <w:proofErr w:type="spellEnd"/>
      <w:r w:rsidRPr="00B419CE">
        <w:t xml:space="preserve"> </w:t>
      </w:r>
      <w:proofErr w:type="spellStart"/>
      <w:r w:rsidRPr="00B419CE">
        <w:t>nyttar</w:t>
      </w:r>
      <w:proofErr w:type="spellEnd"/>
      <w:r w:rsidRPr="00B419CE">
        <w:t xml:space="preserve"> </w:t>
      </w:r>
      <w:proofErr w:type="spellStart"/>
      <w:r w:rsidRPr="00B419CE">
        <w:t>ein</w:t>
      </w:r>
      <w:proofErr w:type="spellEnd"/>
      <w:r w:rsidRPr="00B419CE">
        <w:t xml:space="preserve"> økonomiske </w:t>
      </w:r>
      <w:proofErr w:type="spellStart"/>
      <w:r w:rsidRPr="00B419CE">
        <w:t>analysemodellar</w:t>
      </w:r>
      <w:proofErr w:type="spellEnd"/>
      <w:r w:rsidRPr="00B419CE">
        <w:t xml:space="preserve"> av norsk, europeisk og global økonomi. </w:t>
      </w:r>
      <w:proofErr w:type="spellStart"/>
      <w:r w:rsidRPr="00B419CE">
        <w:t>Modellar</w:t>
      </w:r>
      <w:proofErr w:type="spellEnd"/>
      <w:r w:rsidRPr="00B419CE">
        <w:t xml:space="preserve"> av norsk økonomi (SNOW) vert òg leverte til Finansdepartementet for bruk der. Forskingsprosjekta </w:t>
      </w:r>
      <w:proofErr w:type="spellStart"/>
      <w:r w:rsidRPr="00B419CE">
        <w:t>nyttar</w:t>
      </w:r>
      <w:proofErr w:type="spellEnd"/>
      <w:r w:rsidRPr="00B419CE">
        <w:t xml:space="preserve"> norske data, i </w:t>
      </w:r>
      <w:proofErr w:type="spellStart"/>
      <w:r w:rsidRPr="00B419CE">
        <w:t>hovudsak</w:t>
      </w:r>
      <w:proofErr w:type="spellEnd"/>
      <w:r w:rsidRPr="00B419CE">
        <w:t xml:space="preserve"> </w:t>
      </w:r>
      <w:proofErr w:type="spellStart"/>
      <w:r w:rsidRPr="00B419CE">
        <w:t>frå</w:t>
      </w:r>
      <w:proofErr w:type="spellEnd"/>
      <w:r w:rsidRPr="00B419CE">
        <w:t xml:space="preserve"> SSB, og </w:t>
      </w:r>
      <w:proofErr w:type="spellStart"/>
      <w:r w:rsidRPr="00B419CE">
        <w:t>medverkar</w:t>
      </w:r>
      <w:proofErr w:type="spellEnd"/>
      <w:r w:rsidRPr="00B419CE">
        <w:t xml:space="preserve"> til statistikkarbeid på energi-, utslepps- og miljøfeltet. Prosjekta </w:t>
      </w:r>
      <w:proofErr w:type="spellStart"/>
      <w:r w:rsidRPr="00B419CE">
        <w:t>omfattar</w:t>
      </w:r>
      <w:proofErr w:type="spellEnd"/>
      <w:r w:rsidRPr="00B419CE">
        <w:t xml:space="preserve"> mellom anna omstilling av norsk økonomi og </w:t>
      </w:r>
      <w:proofErr w:type="spellStart"/>
      <w:r w:rsidRPr="00B419CE">
        <w:t>studiar</w:t>
      </w:r>
      <w:proofErr w:type="spellEnd"/>
      <w:r w:rsidRPr="00B419CE">
        <w:t xml:space="preserve"> av </w:t>
      </w:r>
      <w:proofErr w:type="spellStart"/>
      <w:r w:rsidRPr="00B419CE">
        <w:t>Noregs</w:t>
      </w:r>
      <w:proofErr w:type="spellEnd"/>
      <w:r w:rsidRPr="00B419CE">
        <w:t xml:space="preserve"> klimapolitiske mål og </w:t>
      </w:r>
      <w:proofErr w:type="spellStart"/>
      <w:r w:rsidRPr="00B419CE">
        <w:t>verkemiddel</w:t>
      </w:r>
      <w:proofErr w:type="spellEnd"/>
      <w:r w:rsidRPr="00B419CE">
        <w:t xml:space="preserve">, </w:t>
      </w:r>
      <w:proofErr w:type="spellStart"/>
      <w:r w:rsidRPr="00B419CE">
        <w:t>løysingar</w:t>
      </w:r>
      <w:proofErr w:type="spellEnd"/>
      <w:r w:rsidRPr="00B419CE">
        <w:t xml:space="preserve"> for låge utslepp i transport, energi og industri, samt </w:t>
      </w:r>
      <w:proofErr w:type="spellStart"/>
      <w:r w:rsidRPr="00B419CE">
        <w:t>verdsetjing</w:t>
      </w:r>
      <w:proofErr w:type="spellEnd"/>
      <w:r w:rsidRPr="00B419CE">
        <w:t xml:space="preserve"> av </w:t>
      </w:r>
      <w:proofErr w:type="spellStart"/>
      <w:r w:rsidRPr="00B419CE">
        <w:t>naturressursar</w:t>
      </w:r>
      <w:proofErr w:type="spellEnd"/>
      <w:r w:rsidRPr="00B419CE">
        <w:t xml:space="preserve"> og </w:t>
      </w:r>
      <w:proofErr w:type="spellStart"/>
      <w:r w:rsidRPr="00B419CE">
        <w:t>tenester</w:t>
      </w:r>
      <w:proofErr w:type="spellEnd"/>
      <w:r w:rsidRPr="00B419CE">
        <w:t xml:space="preserve"> </w:t>
      </w:r>
      <w:proofErr w:type="spellStart"/>
      <w:r w:rsidRPr="00B419CE">
        <w:t>frå</w:t>
      </w:r>
      <w:proofErr w:type="spellEnd"/>
      <w:r w:rsidRPr="00B419CE">
        <w:t xml:space="preserve"> økosystema. </w:t>
      </w:r>
      <w:proofErr w:type="spellStart"/>
      <w:r w:rsidRPr="00B419CE">
        <w:t>Forskarane</w:t>
      </w:r>
      <w:proofErr w:type="spellEnd"/>
      <w:r w:rsidRPr="00B419CE">
        <w:t xml:space="preserve"> arrangerer og deltar i </w:t>
      </w:r>
      <w:proofErr w:type="spellStart"/>
      <w:r w:rsidRPr="00B419CE">
        <w:t>aktivitetar</w:t>
      </w:r>
      <w:proofErr w:type="spellEnd"/>
      <w:r w:rsidRPr="00B419CE">
        <w:t xml:space="preserve"> overfor norske </w:t>
      </w:r>
      <w:proofErr w:type="spellStart"/>
      <w:r w:rsidRPr="00B419CE">
        <w:t>brukarar</w:t>
      </w:r>
      <w:proofErr w:type="spellEnd"/>
      <w:r w:rsidRPr="00B419CE">
        <w:t xml:space="preserve"> i forvaltninga, nærings- og organisasjonslivet, </w:t>
      </w:r>
      <w:proofErr w:type="spellStart"/>
      <w:r w:rsidRPr="00B419CE">
        <w:t>allmenta</w:t>
      </w:r>
      <w:proofErr w:type="spellEnd"/>
      <w:r w:rsidRPr="00B419CE">
        <w:t xml:space="preserve">, samt nasjonale og internasjonale </w:t>
      </w:r>
      <w:proofErr w:type="spellStart"/>
      <w:r w:rsidRPr="00B419CE">
        <w:t>samarbeidspartnarar</w:t>
      </w:r>
      <w:proofErr w:type="spellEnd"/>
      <w:r w:rsidRPr="00B419CE">
        <w:t>.</w:t>
      </w:r>
    </w:p>
    <w:p w14:paraId="4C330CF8" w14:textId="77777777" w:rsidR="00B419CE" w:rsidRPr="00B419CE" w:rsidRDefault="00B419CE" w:rsidP="00B419CE">
      <w:pPr>
        <w:pStyle w:val="a-tilraar-dep"/>
      </w:pPr>
      <w:r w:rsidRPr="00B419CE">
        <w:t>Finansdepartementet</w:t>
      </w:r>
    </w:p>
    <w:p w14:paraId="5D8560FB" w14:textId="77777777" w:rsidR="00B419CE" w:rsidRPr="00B419CE" w:rsidRDefault="00B419CE" w:rsidP="00B419CE">
      <w:pPr>
        <w:pStyle w:val="a-tilraar-tit"/>
      </w:pPr>
      <w:r w:rsidRPr="00B419CE">
        <w:t>tilrår:</w:t>
      </w:r>
    </w:p>
    <w:p w14:paraId="60E663AF" w14:textId="77777777" w:rsidR="00B419CE" w:rsidRPr="00B419CE" w:rsidRDefault="00B419CE" w:rsidP="00B419CE">
      <w:r w:rsidRPr="00B419CE">
        <w:t xml:space="preserve">I </w:t>
      </w:r>
      <w:proofErr w:type="spellStart"/>
      <w:r w:rsidRPr="00B419CE">
        <w:t>Prop</w:t>
      </w:r>
      <w:proofErr w:type="spellEnd"/>
      <w:r w:rsidRPr="00B419CE">
        <w:t xml:space="preserve">. 1 S (2021–2022) om statsbudsjettet for år 2022 blir </w:t>
      </w:r>
      <w:proofErr w:type="spellStart"/>
      <w:r w:rsidRPr="00B419CE">
        <w:t>dei</w:t>
      </w:r>
      <w:proofErr w:type="spellEnd"/>
      <w:r w:rsidRPr="00B419CE">
        <w:t xml:space="preserve"> forslag til vedtak </w:t>
      </w:r>
      <w:proofErr w:type="spellStart"/>
      <w:r w:rsidRPr="00B419CE">
        <w:t>førde</w:t>
      </w:r>
      <w:proofErr w:type="spellEnd"/>
      <w:r w:rsidRPr="00B419CE">
        <w:t xml:space="preserve"> opp som er </w:t>
      </w:r>
      <w:proofErr w:type="spellStart"/>
      <w:r w:rsidRPr="00B419CE">
        <w:t>nemnde</w:t>
      </w:r>
      <w:proofErr w:type="spellEnd"/>
      <w:r w:rsidRPr="00B419CE">
        <w:t xml:space="preserve"> i </w:t>
      </w:r>
      <w:proofErr w:type="spellStart"/>
      <w:r w:rsidRPr="00B419CE">
        <w:t>eit</w:t>
      </w:r>
      <w:proofErr w:type="spellEnd"/>
      <w:r w:rsidRPr="00B419CE">
        <w:t xml:space="preserve"> framlagt forslag.</w:t>
      </w:r>
    </w:p>
    <w:p w14:paraId="018B1D00" w14:textId="77777777" w:rsidR="00B419CE" w:rsidRPr="00B419CE" w:rsidRDefault="00B419CE" w:rsidP="00B419CE">
      <w:pPr>
        <w:pStyle w:val="a-vedtak-tit"/>
      </w:pPr>
      <w:r w:rsidRPr="00B419CE">
        <w:lastRenderedPageBreak/>
        <w:t>Forslag</w:t>
      </w:r>
    </w:p>
    <w:p w14:paraId="50E4361B" w14:textId="77777777" w:rsidR="00B419CE" w:rsidRPr="00B419CE" w:rsidRDefault="00B419CE" w:rsidP="00B419CE">
      <w:pPr>
        <w:pStyle w:val="a-vedtakdep-tit"/>
      </w:pPr>
      <w:r w:rsidRPr="00B419CE">
        <w:t xml:space="preserve">Under Finansdepartementet blir i </w:t>
      </w:r>
      <w:proofErr w:type="spellStart"/>
      <w:r w:rsidRPr="00B419CE">
        <w:t>Prop</w:t>
      </w:r>
      <w:proofErr w:type="spellEnd"/>
      <w:r w:rsidRPr="00B419CE">
        <w:t xml:space="preserve">. 1 S (2021–2022) </w:t>
      </w:r>
      <w:r w:rsidRPr="00B419CE">
        <w:br/>
        <w:t xml:space="preserve">statsbudsjettet for budsjettåret 2022 </w:t>
      </w:r>
      <w:proofErr w:type="spellStart"/>
      <w:r w:rsidRPr="00B419CE">
        <w:t>dei</w:t>
      </w:r>
      <w:proofErr w:type="spellEnd"/>
      <w:r w:rsidRPr="00B419CE">
        <w:t xml:space="preserve"> forslag til vedtak som følgjer </w:t>
      </w:r>
      <w:proofErr w:type="spellStart"/>
      <w:r w:rsidRPr="00B419CE">
        <w:t>førde</w:t>
      </w:r>
      <w:proofErr w:type="spellEnd"/>
      <w:r w:rsidRPr="00B419CE">
        <w:t xml:space="preserve"> opp:</w:t>
      </w:r>
    </w:p>
    <w:p w14:paraId="5DFC90FC" w14:textId="77777777" w:rsidR="00B419CE" w:rsidRPr="00B419CE" w:rsidRDefault="00B419CE" w:rsidP="00B419CE">
      <w:pPr>
        <w:pStyle w:val="a-vedtakkap-tit"/>
      </w:pPr>
      <w:r w:rsidRPr="00B419CE">
        <w:t>Kapitla 20–51, 1600–1650, 3024–3051, 4600–4620, 5341, 5351, 5580, 5605, 5692–5693</w:t>
      </w:r>
    </w:p>
    <w:p w14:paraId="3D52FD6C" w14:textId="77777777" w:rsidR="00B419CE" w:rsidRPr="00B419CE" w:rsidRDefault="00B419CE" w:rsidP="00B419CE">
      <w:pPr>
        <w:pStyle w:val="a-vedtak-del"/>
      </w:pPr>
      <w:r w:rsidRPr="00B419CE">
        <w:t>I</w:t>
      </w:r>
    </w:p>
    <w:p w14:paraId="33D0E4F6" w14:textId="77777777" w:rsidR="00B419CE" w:rsidRPr="00B419CE" w:rsidRDefault="00B419CE" w:rsidP="00B419CE">
      <w:pPr>
        <w:pStyle w:val="a-vedtak-tekst"/>
      </w:pPr>
      <w:r w:rsidRPr="00B419CE">
        <w:t>Utgifter:</w:t>
      </w:r>
    </w:p>
    <w:tbl>
      <w:tblPr>
        <w:tblStyle w:val="StandardTabell"/>
        <w:tblW w:w="9696" w:type="dxa"/>
        <w:tblLayout w:type="fixed"/>
        <w:tblLook w:val="04A0" w:firstRow="1" w:lastRow="0" w:firstColumn="1" w:lastColumn="0" w:noHBand="0" w:noVBand="1"/>
      </w:tblPr>
      <w:tblGrid>
        <w:gridCol w:w="846"/>
        <w:gridCol w:w="709"/>
        <w:gridCol w:w="4745"/>
        <w:gridCol w:w="236"/>
        <w:gridCol w:w="1580"/>
        <w:gridCol w:w="1580"/>
      </w:tblGrid>
      <w:tr w:rsidR="00B419CE" w:rsidRPr="00B419CE" w14:paraId="2F999092" w14:textId="77777777" w:rsidTr="00B32459">
        <w:trPr>
          <w:trHeight w:val="860"/>
          <w:hidden/>
        </w:trPr>
        <w:tc>
          <w:tcPr>
            <w:tcW w:w="846" w:type="dxa"/>
            <w:shd w:val="clear" w:color="auto" w:fill="FFFFFF"/>
          </w:tcPr>
          <w:p w14:paraId="6FEC8B34" w14:textId="77777777" w:rsidR="00B419CE" w:rsidRPr="00B419CE" w:rsidRDefault="00B419CE" w:rsidP="00B32459">
            <w:pPr>
              <w:pStyle w:val="Tabellnavn"/>
            </w:pPr>
            <w:r w:rsidRPr="00B419CE">
              <w:t>VK</w:t>
            </w:r>
          </w:p>
          <w:p w14:paraId="60A541ED" w14:textId="77777777" w:rsidR="00B419CE" w:rsidRPr="00B419CE" w:rsidRDefault="00B419CE" w:rsidP="00B32459">
            <w:r w:rsidRPr="00B419CE">
              <w:t>Kap.</w:t>
            </w:r>
          </w:p>
        </w:tc>
        <w:tc>
          <w:tcPr>
            <w:tcW w:w="709" w:type="dxa"/>
          </w:tcPr>
          <w:p w14:paraId="3EDEFAA3" w14:textId="77777777" w:rsidR="00B419CE" w:rsidRPr="00B419CE" w:rsidRDefault="00B419CE" w:rsidP="00B32459">
            <w:r w:rsidRPr="00B419CE">
              <w:t>Post</w:t>
            </w:r>
          </w:p>
        </w:tc>
        <w:tc>
          <w:tcPr>
            <w:tcW w:w="4745" w:type="dxa"/>
          </w:tcPr>
          <w:p w14:paraId="0B421B61" w14:textId="77777777" w:rsidR="00B419CE" w:rsidRPr="00B419CE" w:rsidRDefault="00B419CE" w:rsidP="00B32459"/>
        </w:tc>
        <w:tc>
          <w:tcPr>
            <w:tcW w:w="236" w:type="dxa"/>
          </w:tcPr>
          <w:p w14:paraId="02211BC1" w14:textId="77777777" w:rsidR="00B419CE" w:rsidRPr="00B419CE" w:rsidRDefault="00B419CE" w:rsidP="00B32459"/>
        </w:tc>
        <w:tc>
          <w:tcPr>
            <w:tcW w:w="1580" w:type="dxa"/>
          </w:tcPr>
          <w:p w14:paraId="4B32617A" w14:textId="77777777" w:rsidR="00B419CE" w:rsidRPr="00B419CE" w:rsidRDefault="00B419CE" w:rsidP="00B32459">
            <w:pPr>
              <w:jc w:val="right"/>
            </w:pPr>
            <w:r w:rsidRPr="00B419CE">
              <w:t>Kroner</w:t>
            </w:r>
          </w:p>
        </w:tc>
        <w:tc>
          <w:tcPr>
            <w:tcW w:w="1580" w:type="dxa"/>
          </w:tcPr>
          <w:p w14:paraId="66D25F29" w14:textId="77777777" w:rsidR="00B419CE" w:rsidRPr="00B419CE" w:rsidRDefault="00B419CE" w:rsidP="00B32459">
            <w:pPr>
              <w:jc w:val="right"/>
            </w:pPr>
            <w:r w:rsidRPr="00B419CE">
              <w:t>Kroner</w:t>
            </w:r>
          </w:p>
        </w:tc>
      </w:tr>
      <w:tr w:rsidR="00B419CE" w:rsidRPr="00B419CE" w14:paraId="4BDD1BD6" w14:textId="77777777" w:rsidTr="00B32459">
        <w:trPr>
          <w:trHeight w:val="380"/>
        </w:trPr>
        <w:tc>
          <w:tcPr>
            <w:tcW w:w="9696" w:type="dxa"/>
            <w:gridSpan w:val="6"/>
          </w:tcPr>
          <w:p w14:paraId="314C015D" w14:textId="77777777" w:rsidR="00B419CE" w:rsidRPr="00B419CE" w:rsidRDefault="00B419CE" w:rsidP="00B32459">
            <w:pPr>
              <w:jc w:val="center"/>
            </w:pPr>
            <w:r w:rsidRPr="00B419CE">
              <w:t>Regjeringa</w:t>
            </w:r>
          </w:p>
        </w:tc>
      </w:tr>
      <w:tr w:rsidR="00B419CE" w:rsidRPr="00B419CE" w14:paraId="0FD22AD9" w14:textId="77777777" w:rsidTr="00B32459">
        <w:trPr>
          <w:trHeight w:val="380"/>
        </w:trPr>
        <w:tc>
          <w:tcPr>
            <w:tcW w:w="846" w:type="dxa"/>
          </w:tcPr>
          <w:p w14:paraId="7C81AC6B" w14:textId="77777777" w:rsidR="00B419CE" w:rsidRPr="00B419CE" w:rsidRDefault="00B419CE" w:rsidP="00B32459">
            <w:r w:rsidRPr="00B419CE">
              <w:t>20</w:t>
            </w:r>
          </w:p>
        </w:tc>
        <w:tc>
          <w:tcPr>
            <w:tcW w:w="709" w:type="dxa"/>
          </w:tcPr>
          <w:p w14:paraId="15C0703F" w14:textId="77777777" w:rsidR="00B419CE" w:rsidRPr="00B419CE" w:rsidRDefault="00B419CE" w:rsidP="00B32459"/>
        </w:tc>
        <w:tc>
          <w:tcPr>
            <w:tcW w:w="4745" w:type="dxa"/>
          </w:tcPr>
          <w:p w14:paraId="129EDF9B" w14:textId="77777777" w:rsidR="00B419CE" w:rsidRPr="00B419CE" w:rsidRDefault="00B419CE" w:rsidP="00B32459">
            <w:r w:rsidRPr="00B419CE">
              <w:t>Statsministerens kontor</w:t>
            </w:r>
          </w:p>
        </w:tc>
        <w:tc>
          <w:tcPr>
            <w:tcW w:w="236" w:type="dxa"/>
          </w:tcPr>
          <w:p w14:paraId="73F4F20E" w14:textId="77777777" w:rsidR="00B419CE" w:rsidRPr="00B419CE" w:rsidRDefault="00B419CE" w:rsidP="00B32459"/>
        </w:tc>
        <w:tc>
          <w:tcPr>
            <w:tcW w:w="1580" w:type="dxa"/>
          </w:tcPr>
          <w:p w14:paraId="16F6FE7F" w14:textId="77777777" w:rsidR="00B419CE" w:rsidRPr="00B419CE" w:rsidRDefault="00B419CE" w:rsidP="00B32459">
            <w:pPr>
              <w:jc w:val="right"/>
            </w:pPr>
          </w:p>
        </w:tc>
        <w:tc>
          <w:tcPr>
            <w:tcW w:w="1580" w:type="dxa"/>
          </w:tcPr>
          <w:p w14:paraId="1C8E07E9" w14:textId="77777777" w:rsidR="00B419CE" w:rsidRPr="00B419CE" w:rsidRDefault="00B419CE" w:rsidP="00B32459">
            <w:pPr>
              <w:jc w:val="right"/>
            </w:pPr>
          </w:p>
        </w:tc>
      </w:tr>
      <w:tr w:rsidR="00B419CE" w:rsidRPr="00B419CE" w14:paraId="22537AF7" w14:textId="77777777" w:rsidTr="00B32459">
        <w:trPr>
          <w:trHeight w:val="380"/>
        </w:trPr>
        <w:tc>
          <w:tcPr>
            <w:tcW w:w="846" w:type="dxa"/>
          </w:tcPr>
          <w:p w14:paraId="0CC278F6" w14:textId="77777777" w:rsidR="00B419CE" w:rsidRPr="00B419CE" w:rsidRDefault="00B419CE" w:rsidP="00B32459"/>
        </w:tc>
        <w:tc>
          <w:tcPr>
            <w:tcW w:w="709" w:type="dxa"/>
          </w:tcPr>
          <w:p w14:paraId="1BA73CB4" w14:textId="77777777" w:rsidR="00B419CE" w:rsidRPr="00B419CE" w:rsidRDefault="00B419CE" w:rsidP="00B32459">
            <w:r w:rsidRPr="00B419CE">
              <w:t>01</w:t>
            </w:r>
          </w:p>
        </w:tc>
        <w:tc>
          <w:tcPr>
            <w:tcW w:w="4745" w:type="dxa"/>
          </w:tcPr>
          <w:p w14:paraId="79D075DE" w14:textId="77777777" w:rsidR="00B419CE" w:rsidRPr="00B419CE" w:rsidRDefault="00B419CE" w:rsidP="00B32459">
            <w:r w:rsidRPr="00B419CE">
              <w:t>Driftsutgifter</w:t>
            </w:r>
          </w:p>
        </w:tc>
        <w:tc>
          <w:tcPr>
            <w:tcW w:w="236" w:type="dxa"/>
          </w:tcPr>
          <w:p w14:paraId="4D46B37E" w14:textId="77777777" w:rsidR="00B419CE" w:rsidRPr="00B419CE" w:rsidRDefault="00B419CE" w:rsidP="00B32459"/>
        </w:tc>
        <w:tc>
          <w:tcPr>
            <w:tcW w:w="1580" w:type="dxa"/>
          </w:tcPr>
          <w:p w14:paraId="2C60CDB4" w14:textId="77777777" w:rsidR="00B419CE" w:rsidRPr="00B419CE" w:rsidRDefault="00B419CE" w:rsidP="00B32459">
            <w:pPr>
              <w:jc w:val="right"/>
            </w:pPr>
            <w:r w:rsidRPr="00B419CE">
              <w:t>95 181 000</w:t>
            </w:r>
          </w:p>
        </w:tc>
        <w:tc>
          <w:tcPr>
            <w:tcW w:w="1580" w:type="dxa"/>
          </w:tcPr>
          <w:p w14:paraId="18C03F92" w14:textId="77777777" w:rsidR="00B419CE" w:rsidRPr="00B419CE" w:rsidRDefault="00B419CE" w:rsidP="00B32459">
            <w:pPr>
              <w:jc w:val="right"/>
            </w:pPr>
          </w:p>
        </w:tc>
      </w:tr>
      <w:tr w:rsidR="00B419CE" w:rsidRPr="00B419CE" w14:paraId="5B239D5A" w14:textId="77777777" w:rsidTr="00B32459">
        <w:trPr>
          <w:trHeight w:val="640"/>
        </w:trPr>
        <w:tc>
          <w:tcPr>
            <w:tcW w:w="846" w:type="dxa"/>
          </w:tcPr>
          <w:p w14:paraId="77A10EAC" w14:textId="77777777" w:rsidR="00B419CE" w:rsidRPr="00B419CE" w:rsidRDefault="00B419CE" w:rsidP="00B32459"/>
        </w:tc>
        <w:tc>
          <w:tcPr>
            <w:tcW w:w="709" w:type="dxa"/>
          </w:tcPr>
          <w:p w14:paraId="78BCDE7B" w14:textId="77777777" w:rsidR="00B419CE" w:rsidRPr="00B419CE" w:rsidRDefault="00B419CE" w:rsidP="00B32459">
            <w:r w:rsidRPr="00B419CE">
              <w:t>21</w:t>
            </w:r>
          </w:p>
        </w:tc>
        <w:tc>
          <w:tcPr>
            <w:tcW w:w="4745" w:type="dxa"/>
          </w:tcPr>
          <w:p w14:paraId="00B01A96" w14:textId="77777777" w:rsidR="00B419CE" w:rsidRPr="00B419CE" w:rsidRDefault="00B419CE" w:rsidP="00B32459">
            <w:r w:rsidRPr="00B419CE">
              <w:t>Spesielle driftsutgifter, Koronakommisjonen</w:t>
            </w:r>
            <w:r w:rsidRPr="00B419CE">
              <w:rPr>
                <w:rStyle w:val="kursiv"/>
              </w:rPr>
              <w:t xml:space="preserve">, </w:t>
            </w:r>
            <w:r w:rsidRPr="00B419CE">
              <w:rPr>
                <w:rStyle w:val="kursiv"/>
              </w:rPr>
              <w:br/>
              <w:t xml:space="preserve">kan </w:t>
            </w:r>
            <w:proofErr w:type="spellStart"/>
            <w:r w:rsidRPr="00B419CE">
              <w:rPr>
                <w:rStyle w:val="kursiv"/>
              </w:rPr>
              <w:t>overførast</w:t>
            </w:r>
            <w:proofErr w:type="spellEnd"/>
          </w:p>
        </w:tc>
        <w:tc>
          <w:tcPr>
            <w:tcW w:w="236" w:type="dxa"/>
          </w:tcPr>
          <w:p w14:paraId="7EF89061" w14:textId="77777777" w:rsidR="00B419CE" w:rsidRPr="00B419CE" w:rsidRDefault="00B419CE" w:rsidP="00B32459"/>
        </w:tc>
        <w:tc>
          <w:tcPr>
            <w:tcW w:w="1580" w:type="dxa"/>
          </w:tcPr>
          <w:p w14:paraId="20C7D9AB" w14:textId="77777777" w:rsidR="00B419CE" w:rsidRPr="00B419CE" w:rsidRDefault="00B419CE" w:rsidP="00B32459">
            <w:pPr>
              <w:jc w:val="right"/>
            </w:pPr>
            <w:r w:rsidRPr="00B419CE">
              <w:t>5 000 000</w:t>
            </w:r>
          </w:p>
        </w:tc>
        <w:tc>
          <w:tcPr>
            <w:tcW w:w="1580" w:type="dxa"/>
          </w:tcPr>
          <w:p w14:paraId="2DF640E0" w14:textId="77777777" w:rsidR="00B419CE" w:rsidRPr="00B419CE" w:rsidRDefault="00B419CE" w:rsidP="00B32459">
            <w:pPr>
              <w:jc w:val="right"/>
            </w:pPr>
            <w:r w:rsidRPr="00B419CE">
              <w:t>100 181 000</w:t>
            </w:r>
          </w:p>
        </w:tc>
      </w:tr>
      <w:tr w:rsidR="00B419CE" w:rsidRPr="00B419CE" w14:paraId="7B1B6212" w14:textId="77777777" w:rsidTr="00B32459">
        <w:trPr>
          <w:trHeight w:val="380"/>
        </w:trPr>
        <w:tc>
          <w:tcPr>
            <w:tcW w:w="846" w:type="dxa"/>
          </w:tcPr>
          <w:p w14:paraId="00586695" w14:textId="77777777" w:rsidR="00B419CE" w:rsidRPr="00B419CE" w:rsidRDefault="00B419CE" w:rsidP="00B32459">
            <w:r w:rsidRPr="00B419CE">
              <w:t>21</w:t>
            </w:r>
          </w:p>
        </w:tc>
        <w:tc>
          <w:tcPr>
            <w:tcW w:w="709" w:type="dxa"/>
          </w:tcPr>
          <w:p w14:paraId="5A641049" w14:textId="77777777" w:rsidR="00B419CE" w:rsidRPr="00B419CE" w:rsidRDefault="00B419CE" w:rsidP="00B32459"/>
        </w:tc>
        <w:tc>
          <w:tcPr>
            <w:tcW w:w="4745" w:type="dxa"/>
          </w:tcPr>
          <w:p w14:paraId="4BD1962A" w14:textId="77777777" w:rsidR="00B419CE" w:rsidRPr="00B419CE" w:rsidRDefault="00B419CE" w:rsidP="00B32459">
            <w:r w:rsidRPr="00B419CE">
              <w:t>Statsrådet</w:t>
            </w:r>
          </w:p>
        </w:tc>
        <w:tc>
          <w:tcPr>
            <w:tcW w:w="236" w:type="dxa"/>
          </w:tcPr>
          <w:p w14:paraId="427AA2B9" w14:textId="77777777" w:rsidR="00B419CE" w:rsidRPr="00B419CE" w:rsidRDefault="00B419CE" w:rsidP="00B32459"/>
        </w:tc>
        <w:tc>
          <w:tcPr>
            <w:tcW w:w="1580" w:type="dxa"/>
          </w:tcPr>
          <w:p w14:paraId="75C16866" w14:textId="77777777" w:rsidR="00B419CE" w:rsidRPr="00B419CE" w:rsidRDefault="00B419CE" w:rsidP="00B32459">
            <w:pPr>
              <w:jc w:val="right"/>
            </w:pPr>
          </w:p>
        </w:tc>
        <w:tc>
          <w:tcPr>
            <w:tcW w:w="1580" w:type="dxa"/>
          </w:tcPr>
          <w:p w14:paraId="17CEFF0D" w14:textId="77777777" w:rsidR="00B419CE" w:rsidRPr="00B419CE" w:rsidRDefault="00B419CE" w:rsidP="00B32459">
            <w:pPr>
              <w:jc w:val="right"/>
            </w:pPr>
          </w:p>
        </w:tc>
      </w:tr>
      <w:tr w:rsidR="00B419CE" w:rsidRPr="00B419CE" w14:paraId="0C64B3F3" w14:textId="77777777" w:rsidTr="00B32459">
        <w:trPr>
          <w:trHeight w:val="380"/>
        </w:trPr>
        <w:tc>
          <w:tcPr>
            <w:tcW w:w="846" w:type="dxa"/>
          </w:tcPr>
          <w:p w14:paraId="648E5043" w14:textId="77777777" w:rsidR="00B419CE" w:rsidRPr="00B419CE" w:rsidRDefault="00B419CE" w:rsidP="00B32459"/>
        </w:tc>
        <w:tc>
          <w:tcPr>
            <w:tcW w:w="709" w:type="dxa"/>
          </w:tcPr>
          <w:p w14:paraId="42AA00C4" w14:textId="77777777" w:rsidR="00B419CE" w:rsidRPr="00B419CE" w:rsidRDefault="00B419CE" w:rsidP="00B32459">
            <w:r w:rsidRPr="00B419CE">
              <w:t>01</w:t>
            </w:r>
          </w:p>
        </w:tc>
        <w:tc>
          <w:tcPr>
            <w:tcW w:w="4745" w:type="dxa"/>
          </w:tcPr>
          <w:p w14:paraId="0EEC44A9" w14:textId="77777777" w:rsidR="00B419CE" w:rsidRPr="00B419CE" w:rsidRDefault="00B419CE" w:rsidP="00B32459">
            <w:r w:rsidRPr="00B419CE">
              <w:t>Driftsutgifter</w:t>
            </w:r>
          </w:p>
        </w:tc>
        <w:tc>
          <w:tcPr>
            <w:tcW w:w="236" w:type="dxa"/>
          </w:tcPr>
          <w:p w14:paraId="1912B8A0" w14:textId="77777777" w:rsidR="00B419CE" w:rsidRPr="00B419CE" w:rsidRDefault="00B419CE" w:rsidP="00B32459"/>
        </w:tc>
        <w:tc>
          <w:tcPr>
            <w:tcW w:w="1580" w:type="dxa"/>
          </w:tcPr>
          <w:p w14:paraId="7E41928F" w14:textId="77777777" w:rsidR="00B419CE" w:rsidRPr="00B419CE" w:rsidRDefault="00B419CE" w:rsidP="00B32459">
            <w:pPr>
              <w:jc w:val="right"/>
            </w:pPr>
            <w:r w:rsidRPr="00B419CE">
              <w:t>175 969 000</w:t>
            </w:r>
          </w:p>
        </w:tc>
        <w:tc>
          <w:tcPr>
            <w:tcW w:w="1580" w:type="dxa"/>
          </w:tcPr>
          <w:p w14:paraId="34A0803F" w14:textId="77777777" w:rsidR="00B419CE" w:rsidRPr="00B419CE" w:rsidRDefault="00B419CE" w:rsidP="00B32459">
            <w:pPr>
              <w:jc w:val="right"/>
            </w:pPr>
            <w:r w:rsidRPr="00B419CE">
              <w:t>175 969 000</w:t>
            </w:r>
          </w:p>
        </w:tc>
      </w:tr>
      <w:tr w:rsidR="00B419CE" w:rsidRPr="00B419CE" w14:paraId="7D26DC09" w14:textId="77777777" w:rsidTr="00B32459">
        <w:trPr>
          <w:trHeight w:val="380"/>
        </w:trPr>
        <w:tc>
          <w:tcPr>
            <w:tcW w:w="846" w:type="dxa"/>
          </w:tcPr>
          <w:p w14:paraId="0E583A90" w14:textId="77777777" w:rsidR="00B419CE" w:rsidRPr="00B419CE" w:rsidRDefault="00B419CE" w:rsidP="00B32459">
            <w:r w:rsidRPr="00B419CE">
              <w:t>24</w:t>
            </w:r>
          </w:p>
        </w:tc>
        <w:tc>
          <w:tcPr>
            <w:tcW w:w="709" w:type="dxa"/>
          </w:tcPr>
          <w:p w14:paraId="69CB4C26" w14:textId="77777777" w:rsidR="00B419CE" w:rsidRPr="00B419CE" w:rsidRDefault="00B419CE" w:rsidP="00B32459"/>
        </w:tc>
        <w:tc>
          <w:tcPr>
            <w:tcW w:w="4745" w:type="dxa"/>
          </w:tcPr>
          <w:p w14:paraId="37354398" w14:textId="77777777" w:rsidR="00B419CE" w:rsidRPr="00B419CE" w:rsidRDefault="00B419CE" w:rsidP="00B32459">
            <w:r w:rsidRPr="00B419CE">
              <w:t>Regjeringsadvokaten</w:t>
            </w:r>
          </w:p>
        </w:tc>
        <w:tc>
          <w:tcPr>
            <w:tcW w:w="236" w:type="dxa"/>
          </w:tcPr>
          <w:p w14:paraId="116EE661" w14:textId="77777777" w:rsidR="00B419CE" w:rsidRPr="00B419CE" w:rsidRDefault="00B419CE" w:rsidP="00B32459"/>
        </w:tc>
        <w:tc>
          <w:tcPr>
            <w:tcW w:w="1580" w:type="dxa"/>
          </w:tcPr>
          <w:p w14:paraId="6688C7A4" w14:textId="77777777" w:rsidR="00B419CE" w:rsidRPr="00B419CE" w:rsidRDefault="00B419CE" w:rsidP="00B32459">
            <w:pPr>
              <w:jc w:val="right"/>
            </w:pPr>
          </w:p>
        </w:tc>
        <w:tc>
          <w:tcPr>
            <w:tcW w:w="1580" w:type="dxa"/>
          </w:tcPr>
          <w:p w14:paraId="285FC575" w14:textId="77777777" w:rsidR="00B419CE" w:rsidRPr="00B419CE" w:rsidRDefault="00B419CE" w:rsidP="00B32459">
            <w:pPr>
              <w:jc w:val="right"/>
            </w:pPr>
          </w:p>
        </w:tc>
      </w:tr>
      <w:tr w:rsidR="00B419CE" w:rsidRPr="00B419CE" w14:paraId="7F957B71" w14:textId="77777777" w:rsidTr="00B32459">
        <w:trPr>
          <w:trHeight w:val="380"/>
        </w:trPr>
        <w:tc>
          <w:tcPr>
            <w:tcW w:w="846" w:type="dxa"/>
          </w:tcPr>
          <w:p w14:paraId="56D450DC" w14:textId="77777777" w:rsidR="00B419CE" w:rsidRPr="00B419CE" w:rsidRDefault="00B419CE" w:rsidP="00B32459"/>
        </w:tc>
        <w:tc>
          <w:tcPr>
            <w:tcW w:w="709" w:type="dxa"/>
          </w:tcPr>
          <w:p w14:paraId="2A2EF10C" w14:textId="77777777" w:rsidR="00B419CE" w:rsidRPr="00B419CE" w:rsidRDefault="00B419CE" w:rsidP="00B32459">
            <w:r w:rsidRPr="00B419CE">
              <w:t>01</w:t>
            </w:r>
          </w:p>
        </w:tc>
        <w:tc>
          <w:tcPr>
            <w:tcW w:w="4745" w:type="dxa"/>
          </w:tcPr>
          <w:p w14:paraId="65E22D21" w14:textId="77777777" w:rsidR="00B419CE" w:rsidRPr="00B419CE" w:rsidRDefault="00B419CE" w:rsidP="00B32459">
            <w:r w:rsidRPr="00B419CE">
              <w:t>Driftsutgifter</w:t>
            </w:r>
          </w:p>
        </w:tc>
        <w:tc>
          <w:tcPr>
            <w:tcW w:w="236" w:type="dxa"/>
          </w:tcPr>
          <w:p w14:paraId="30EA27AD" w14:textId="77777777" w:rsidR="00B419CE" w:rsidRPr="00B419CE" w:rsidRDefault="00B419CE" w:rsidP="00B32459"/>
        </w:tc>
        <w:tc>
          <w:tcPr>
            <w:tcW w:w="1580" w:type="dxa"/>
          </w:tcPr>
          <w:p w14:paraId="2200E5C6" w14:textId="77777777" w:rsidR="00B419CE" w:rsidRPr="00B419CE" w:rsidRDefault="00B419CE" w:rsidP="00B32459">
            <w:pPr>
              <w:jc w:val="right"/>
            </w:pPr>
            <w:r w:rsidRPr="00B419CE">
              <w:t>110 715 000</w:t>
            </w:r>
          </w:p>
        </w:tc>
        <w:tc>
          <w:tcPr>
            <w:tcW w:w="1580" w:type="dxa"/>
          </w:tcPr>
          <w:p w14:paraId="177BB32D" w14:textId="77777777" w:rsidR="00B419CE" w:rsidRPr="00B419CE" w:rsidRDefault="00B419CE" w:rsidP="00B32459">
            <w:pPr>
              <w:jc w:val="right"/>
            </w:pPr>
          </w:p>
        </w:tc>
      </w:tr>
      <w:tr w:rsidR="00B419CE" w:rsidRPr="00B419CE" w14:paraId="31871AEE" w14:textId="77777777" w:rsidTr="00B32459">
        <w:trPr>
          <w:trHeight w:val="380"/>
        </w:trPr>
        <w:tc>
          <w:tcPr>
            <w:tcW w:w="846" w:type="dxa"/>
          </w:tcPr>
          <w:p w14:paraId="24ADA3CD" w14:textId="77777777" w:rsidR="00B419CE" w:rsidRPr="00B419CE" w:rsidRDefault="00B419CE" w:rsidP="00B32459"/>
        </w:tc>
        <w:tc>
          <w:tcPr>
            <w:tcW w:w="709" w:type="dxa"/>
          </w:tcPr>
          <w:p w14:paraId="3471ABCA" w14:textId="77777777" w:rsidR="00B419CE" w:rsidRPr="00B419CE" w:rsidRDefault="00B419CE" w:rsidP="00B32459">
            <w:r w:rsidRPr="00B419CE">
              <w:t>21</w:t>
            </w:r>
          </w:p>
        </w:tc>
        <w:tc>
          <w:tcPr>
            <w:tcW w:w="4745" w:type="dxa"/>
          </w:tcPr>
          <w:p w14:paraId="07D846B1" w14:textId="77777777" w:rsidR="00B419CE" w:rsidRPr="00B419CE" w:rsidRDefault="00B419CE" w:rsidP="00B32459">
            <w:r w:rsidRPr="00B419CE">
              <w:t>Spesielle driftsutgifter</w:t>
            </w:r>
          </w:p>
        </w:tc>
        <w:tc>
          <w:tcPr>
            <w:tcW w:w="236" w:type="dxa"/>
          </w:tcPr>
          <w:p w14:paraId="0F1CB3C5" w14:textId="77777777" w:rsidR="00B419CE" w:rsidRPr="00B419CE" w:rsidRDefault="00B419CE" w:rsidP="00B32459"/>
        </w:tc>
        <w:tc>
          <w:tcPr>
            <w:tcW w:w="1580" w:type="dxa"/>
          </w:tcPr>
          <w:p w14:paraId="5B293A45" w14:textId="77777777" w:rsidR="00B419CE" w:rsidRPr="00B419CE" w:rsidRDefault="00B419CE" w:rsidP="00B32459">
            <w:pPr>
              <w:jc w:val="right"/>
            </w:pPr>
            <w:r w:rsidRPr="00B419CE">
              <w:t>15 100 000</w:t>
            </w:r>
          </w:p>
        </w:tc>
        <w:tc>
          <w:tcPr>
            <w:tcW w:w="1580" w:type="dxa"/>
          </w:tcPr>
          <w:p w14:paraId="57AD61A0" w14:textId="77777777" w:rsidR="00B419CE" w:rsidRPr="00B419CE" w:rsidRDefault="00B419CE" w:rsidP="00B32459">
            <w:pPr>
              <w:jc w:val="right"/>
            </w:pPr>
            <w:r w:rsidRPr="00B419CE">
              <w:t>125 815 000</w:t>
            </w:r>
          </w:p>
        </w:tc>
      </w:tr>
      <w:tr w:rsidR="00B419CE" w:rsidRPr="00B419CE" w14:paraId="21E5A171" w14:textId="77777777" w:rsidTr="00B32459">
        <w:trPr>
          <w:trHeight w:val="380"/>
        </w:trPr>
        <w:tc>
          <w:tcPr>
            <w:tcW w:w="846" w:type="dxa"/>
          </w:tcPr>
          <w:p w14:paraId="2720F434" w14:textId="77777777" w:rsidR="00B419CE" w:rsidRPr="00B419CE" w:rsidRDefault="00B419CE" w:rsidP="00B32459"/>
        </w:tc>
        <w:tc>
          <w:tcPr>
            <w:tcW w:w="709" w:type="dxa"/>
          </w:tcPr>
          <w:p w14:paraId="36453D44" w14:textId="77777777" w:rsidR="00B419CE" w:rsidRPr="00B419CE" w:rsidRDefault="00B419CE" w:rsidP="00B32459"/>
        </w:tc>
        <w:tc>
          <w:tcPr>
            <w:tcW w:w="4745" w:type="dxa"/>
          </w:tcPr>
          <w:p w14:paraId="194C3365" w14:textId="77777777" w:rsidR="00B419CE" w:rsidRPr="00B419CE" w:rsidRDefault="00B419CE" w:rsidP="00B32459">
            <w:r w:rsidRPr="00B419CE">
              <w:t>Sum Regjeringa</w:t>
            </w:r>
          </w:p>
        </w:tc>
        <w:tc>
          <w:tcPr>
            <w:tcW w:w="236" w:type="dxa"/>
          </w:tcPr>
          <w:p w14:paraId="1B5C6D6E" w14:textId="77777777" w:rsidR="00B419CE" w:rsidRPr="00B419CE" w:rsidRDefault="00B419CE" w:rsidP="00B32459"/>
        </w:tc>
        <w:tc>
          <w:tcPr>
            <w:tcW w:w="1580" w:type="dxa"/>
          </w:tcPr>
          <w:p w14:paraId="43DED03B" w14:textId="77777777" w:rsidR="00B419CE" w:rsidRPr="00B419CE" w:rsidRDefault="00B419CE" w:rsidP="00B32459">
            <w:pPr>
              <w:jc w:val="right"/>
            </w:pPr>
          </w:p>
        </w:tc>
        <w:tc>
          <w:tcPr>
            <w:tcW w:w="1580" w:type="dxa"/>
          </w:tcPr>
          <w:p w14:paraId="55E734E9" w14:textId="77777777" w:rsidR="00B419CE" w:rsidRPr="00B419CE" w:rsidRDefault="00B419CE" w:rsidP="00B32459">
            <w:pPr>
              <w:jc w:val="right"/>
            </w:pPr>
            <w:r w:rsidRPr="00B419CE">
              <w:t>401 965 000</w:t>
            </w:r>
          </w:p>
        </w:tc>
      </w:tr>
      <w:tr w:rsidR="00B419CE" w:rsidRPr="00B419CE" w14:paraId="23328083" w14:textId="77777777" w:rsidTr="00B32459">
        <w:trPr>
          <w:trHeight w:val="380"/>
        </w:trPr>
        <w:tc>
          <w:tcPr>
            <w:tcW w:w="9696" w:type="dxa"/>
            <w:gridSpan w:val="6"/>
          </w:tcPr>
          <w:p w14:paraId="016F3AE1" w14:textId="77777777" w:rsidR="00B419CE" w:rsidRPr="00B419CE" w:rsidRDefault="00B419CE" w:rsidP="00B32459">
            <w:pPr>
              <w:jc w:val="center"/>
            </w:pPr>
            <w:r w:rsidRPr="00B419CE">
              <w:t>Stortinget og tilknytte organ</w:t>
            </w:r>
          </w:p>
        </w:tc>
      </w:tr>
      <w:tr w:rsidR="00B419CE" w:rsidRPr="00B419CE" w14:paraId="0F8BAE6F" w14:textId="77777777" w:rsidTr="00B32459">
        <w:trPr>
          <w:trHeight w:val="380"/>
        </w:trPr>
        <w:tc>
          <w:tcPr>
            <w:tcW w:w="846" w:type="dxa"/>
          </w:tcPr>
          <w:p w14:paraId="6378F2F6" w14:textId="77777777" w:rsidR="00B419CE" w:rsidRPr="00B419CE" w:rsidRDefault="00B419CE" w:rsidP="00B32459">
            <w:r w:rsidRPr="00B419CE">
              <w:t>41</w:t>
            </w:r>
          </w:p>
        </w:tc>
        <w:tc>
          <w:tcPr>
            <w:tcW w:w="709" w:type="dxa"/>
          </w:tcPr>
          <w:p w14:paraId="320DB6C0" w14:textId="77777777" w:rsidR="00B419CE" w:rsidRPr="00B419CE" w:rsidRDefault="00B419CE" w:rsidP="00B32459"/>
        </w:tc>
        <w:tc>
          <w:tcPr>
            <w:tcW w:w="4745" w:type="dxa"/>
          </w:tcPr>
          <w:p w14:paraId="5328AAC8" w14:textId="77777777" w:rsidR="00B419CE" w:rsidRPr="00B419CE" w:rsidRDefault="00B419CE" w:rsidP="00B32459">
            <w:r w:rsidRPr="00B419CE">
              <w:t>Stortinget</w:t>
            </w:r>
          </w:p>
        </w:tc>
        <w:tc>
          <w:tcPr>
            <w:tcW w:w="236" w:type="dxa"/>
          </w:tcPr>
          <w:p w14:paraId="5A2C9BFD" w14:textId="77777777" w:rsidR="00B419CE" w:rsidRPr="00B419CE" w:rsidRDefault="00B419CE" w:rsidP="00B32459"/>
        </w:tc>
        <w:tc>
          <w:tcPr>
            <w:tcW w:w="1580" w:type="dxa"/>
          </w:tcPr>
          <w:p w14:paraId="7C6910DF" w14:textId="77777777" w:rsidR="00B419CE" w:rsidRPr="00B419CE" w:rsidRDefault="00B419CE" w:rsidP="00B32459">
            <w:pPr>
              <w:jc w:val="right"/>
            </w:pPr>
          </w:p>
        </w:tc>
        <w:tc>
          <w:tcPr>
            <w:tcW w:w="1580" w:type="dxa"/>
          </w:tcPr>
          <w:p w14:paraId="65B944A7" w14:textId="77777777" w:rsidR="00B419CE" w:rsidRPr="00B419CE" w:rsidRDefault="00B419CE" w:rsidP="00B32459">
            <w:pPr>
              <w:jc w:val="right"/>
            </w:pPr>
          </w:p>
        </w:tc>
      </w:tr>
      <w:tr w:rsidR="00B419CE" w:rsidRPr="00B419CE" w14:paraId="435A18DA" w14:textId="77777777" w:rsidTr="00B32459">
        <w:trPr>
          <w:trHeight w:val="380"/>
        </w:trPr>
        <w:tc>
          <w:tcPr>
            <w:tcW w:w="846" w:type="dxa"/>
          </w:tcPr>
          <w:p w14:paraId="7CAFA426" w14:textId="77777777" w:rsidR="00B419CE" w:rsidRPr="00B419CE" w:rsidRDefault="00B419CE" w:rsidP="00B32459"/>
        </w:tc>
        <w:tc>
          <w:tcPr>
            <w:tcW w:w="709" w:type="dxa"/>
          </w:tcPr>
          <w:p w14:paraId="79393F1C" w14:textId="77777777" w:rsidR="00B419CE" w:rsidRPr="00B419CE" w:rsidRDefault="00B419CE" w:rsidP="00B32459">
            <w:r w:rsidRPr="00B419CE">
              <w:t>01</w:t>
            </w:r>
          </w:p>
        </w:tc>
        <w:tc>
          <w:tcPr>
            <w:tcW w:w="4745" w:type="dxa"/>
          </w:tcPr>
          <w:p w14:paraId="24371860" w14:textId="77777777" w:rsidR="00B419CE" w:rsidRPr="00B419CE" w:rsidRDefault="00B419CE" w:rsidP="00B32459">
            <w:r w:rsidRPr="00B419CE">
              <w:t>Driftsutgifter</w:t>
            </w:r>
          </w:p>
        </w:tc>
        <w:tc>
          <w:tcPr>
            <w:tcW w:w="236" w:type="dxa"/>
          </w:tcPr>
          <w:p w14:paraId="70AED072" w14:textId="77777777" w:rsidR="00B419CE" w:rsidRPr="00B419CE" w:rsidRDefault="00B419CE" w:rsidP="00B32459"/>
        </w:tc>
        <w:tc>
          <w:tcPr>
            <w:tcW w:w="1580" w:type="dxa"/>
          </w:tcPr>
          <w:p w14:paraId="7D7FA0BE" w14:textId="77777777" w:rsidR="00B419CE" w:rsidRPr="00B419CE" w:rsidRDefault="00B419CE" w:rsidP="00B32459">
            <w:pPr>
              <w:jc w:val="right"/>
            </w:pPr>
            <w:r w:rsidRPr="00B419CE">
              <w:t>1 022 485 000</w:t>
            </w:r>
          </w:p>
        </w:tc>
        <w:tc>
          <w:tcPr>
            <w:tcW w:w="1580" w:type="dxa"/>
          </w:tcPr>
          <w:p w14:paraId="244698A1" w14:textId="77777777" w:rsidR="00B419CE" w:rsidRPr="00B419CE" w:rsidRDefault="00B419CE" w:rsidP="00B32459">
            <w:pPr>
              <w:jc w:val="right"/>
            </w:pPr>
          </w:p>
        </w:tc>
      </w:tr>
      <w:tr w:rsidR="00B419CE" w:rsidRPr="00B419CE" w14:paraId="29B047AF" w14:textId="77777777" w:rsidTr="00B32459">
        <w:trPr>
          <w:trHeight w:val="380"/>
        </w:trPr>
        <w:tc>
          <w:tcPr>
            <w:tcW w:w="846" w:type="dxa"/>
          </w:tcPr>
          <w:p w14:paraId="72783E28" w14:textId="77777777" w:rsidR="00B419CE" w:rsidRPr="00B419CE" w:rsidRDefault="00B419CE" w:rsidP="00B32459"/>
        </w:tc>
        <w:tc>
          <w:tcPr>
            <w:tcW w:w="709" w:type="dxa"/>
          </w:tcPr>
          <w:p w14:paraId="09F57201" w14:textId="77777777" w:rsidR="00B419CE" w:rsidRPr="00B419CE" w:rsidRDefault="00B419CE" w:rsidP="00B32459">
            <w:r w:rsidRPr="00B419CE">
              <w:t>21</w:t>
            </w:r>
          </w:p>
        </w:tc>
        <w:tc>
          <w:tcPr>
            <w:tcW w:w="4745" w:type="dxa"/>
          </w:tcPr>
          <w:p w14:paraId="28235260" w14:textId="77777777" w:rsidR="00B419CE" w:rsidRPr="00B419CE" w:rsidRDefault="00B419CE" w:rsidP="00B32459">
            <w:r w:rsidRPr="00B419CE">
              <w:t>Spesielle driftsutgifter</w:t>
            </w:r>
            <w:r w:rsidRPr="00B419CE">
              <w:rPr>
                <w:rStyle w:val="kursiv"/>
              </w:rPr>
              <w:t xml:space="preserve">, kan </w:t>
            </w:r>
            <w:proofErr w:type="spellStart"/>
            <w:r w:rsidRPr="00B419CE">
              <w:rPr>
                <w:rStyle w:val="kursiv"/>
              </w:rPr>
              <w:t>overførast</w:t>
            </w:r>
            <w:proofErr w:type="spellEnd"/>
          </w:p>
        </w:tc>
        <w:tc>
          <w:tcPr>
            <w:tcW w:w="236" w:type="dxa"/>
          </w:tcPr>
          <w:p w14:paraId="6E1C07B0" w14:textId="77777777" w:rsidR="00B419CE" w:rsidRPr="00B419CE" w:rsidRDefault="00B419CE" w:rsidP="00B32459"/>
        </w:tc>
        <w:tc>
          <w:tcPr>
            <w:tcW w:w="1580" w:type="dxa"/>
          </w:tcPr>
          <w:p w14:paraId="445FCA79" w14:textId="77777777" w:rsidR="00B419CE" w:rsidRPr="00B419CE" w:rsidRDefault="00B419CE" w:rsidP="00B32459">
            <w:pPr>
              <w:jc w:val="right"/>
            </w:pPr>
            <w:r w:rsidRPr="00B419CE">
              <w:t>2 400 000</w:t>
            </w:r>
          </w:p>
        </w:tc>
        <w:tc>
          <w:tcPr>
            <w:tcW w:w="1580" w:type="dxa"/>
          </w:tcPr>
          <w:p w14:paraId="29E74E36" w14:textId="77777777" w:rsidR="00B419CE" w:rsidRPr="00B419CE" w:rsidRDefault="00B419CE" w:rsidP="00B32459">
            <w:pPr>
              <w:jc w:val="right"/>
            </w:pPr>
          </w:p>
        </w:tc>
      </w:tr>
      <w:tr w:rsidR="00B419CE" w:rsidRPr="00B419CE" w14:paraId="04222BC7" w14:textId="77777777" w:rsidTr="00B32459">
        <w:trPr>
          <w:trHeight w:val="380"/>
        </w:trPr>
        <w:tc>
          <w:tcPr>
            <w:tcW w:w="846" w:type="dxa"/>
          </w:tcPr>
          <w:p w14:paraId="6ABAC4C9" w14:textId="77777777" w:rsidR="00B419CE" w:rsidRPr="00B419CE" w:rsidRDefault="00B419CE" w:rsidP="00B32459"/>
        </w:tc>
        <w:tc>
          <w:tcPr>
            <w:tcW w:w="709" w:type="dxa"/>
          </w:tcPr>
          <w:p w14:paraId="1A1C4669" w14:textId="77777777" w:rsidR="00B419CE" w:rsidRPr="00B419CE" w:rsidRDefault="00B419CE" w:rsidP="00B32459">
            <w:r w:rsidRPr="00B419CE">
              <w:t>45</w:t>
            </w:r>
          </w:p>
        </w:tc>
        <w:tc>
          <w:tcPr>
            <w:tcW w:w="4745" w:type="dxa"/>
          </w:tcPr>
          <w:p w14:paraId="49C5F97E" w14:textId="77777777" w:rsidR="00B419CE" w:rsidRPr="00B419CE" w:rsidRDefault="00B419CE" w:rsidP="00B32459">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236" w:type="dxa"/>
          </w:tcPr>
          <w:p w14:paraId="4B013E53" w14:textId="77777777" w:rsidR="00B419CE" w:rsidRPr="00B419CE" w:rsidRDefault="00B419CE" w:rsidP="00B32459"/>
        </w:tc>
        <w:tc>
          <w:tcPr>
            <w:tcW w:w="1580" w:type="dxa"/>
          </w:tcPr>
          <w:p w14:paraId="09C0D10B" w14:textId="77777777" w:rsidR="00B419CE" w:rsidRPr="00B419CE" w:rsidRDefault="00B419CE" w:rsidP="00B32459">
            <w:pPr>
              <w:jc w:val="right"/>
            </w:pPr>
            <w:r w:rsidRPr="00B419CE">
              <w:t>147 400 000</w:t>
            </w:r>
          </w:p>
        </w:tc>
        <w:tc>
          <w:tcPr>
            <w:tcW w:w="1580" w:type="dxa"/>
          </w:tcPr>
          <w:p w14:paraId="45205322" w14:textId="77777777" w:rsidR="00B419CE" w:rsidRPr="00B419CE" w:rsidRDefault="00B419CE" w:rsidP="00B32459">
            <w:pPr>
              <w:jc w:val="right"/>
            </w:pPr>
          </w:p>
        </w:tc>
      </w:tr>
      <w:tr w:rsidR="00B419CE" w:rsidRPr="00B419CE" w14:paraId="5F37A22B" w14:textId="77777777" w:rsidTr="00B32459">
        <w:trPr>
          <w:trHeight w:val="380"/>
        </w:trPr>
        <w:tc>
          <w:tcPr>
            <w:tcW w:w="846" w:type="dxa"/>
          </w:tcPr>
          <w:p w14:paraId="2DF61E67" w14:textId="77777777" w:rsidR="00B419CE" w:rsidRPr="00B419CE" w:rsidRDefault="00B419CE" w:rsidP="00B32459"/>
        </w:tc>
        <w:tc>
          <w:tcPr>
            <w:tcW w:w="709" w:type="dxa"/>
          </w:tcPr>
          <w:p w14:paraId="55F9163B" w14:textId="77777777" w:rsidR="00B419CE" w:rsidRPr="00B419CE" w:rsidRDefault="00B419CE" w:rsidP="00B32459">
            <w:r w:rsidRPr="00B419CE">
              <w:t>50</w:t>
            </w:r>
          </w:p>
        </w:tc>
        <w:tc>
          <w:tcPr>
            <w:tcW w:w="4745" w:type="dxa"/>
          </w:tcPr>
          <w:p w14:paraId="4FD6B3D8" w14:textId="77777777" w:rsidR="00B419CE" w:rsidRPr="00B419CE" w:rsidRDefault="00B419CE" w:rsidP="00B32459">
            <w:r w:rsidRPr="00B419CE">
              <w:t>Sannings- og forsoningskommisjonen</w:t>
            </w:r>
          </w:p>
        </w:tc>
        <w:tc>
          <w:tcPr>
            <w:tcW w:w="236" w:type="dxa"/>
          </w:tcPr>
          <w:p w14:paraId="7ABE3A36" w14:textId="77777777" w:rsidR="00B419CE" w:rsidRPr="00B419CE" w:rsidRDefault="00B419CE" w:rsidP="00B32459"/>
        </w:tc>
        <w:tc>
          <w:tcPr>
            <w:tcW w:w="1580" w:type="dxa"/>
          </w:tcPr>
          <w:p w14:paraId="6ECC142A" w14:textId="77777777" w:rsidR="00B419CE" w:rsidRPr="00B419CE" w:rsidRDefault="00B419CE" w:rsidP="00B32459">
            <w:pPr>
              <w:jc w:val="right"/>
            </w:pPr>
            <w:r w:rsidRPr="00B419CE">
              <w:t>10 000 000</w:t>
            </w:r>
          </w:p>
        </w:tc>
        <w:tc>
          <w:tcPr>
            <w:tcW w:w="1580" w:type="dxa"/>
          </w:tcPr>
          <w:p w14:paraId="262E747D" w14:textId="77777777" w:rsidR="00B419CE" w:rsidRPr="00B419CE" w:rsidRDefault="00B419CE" w:rsidP="00B32459">
            <w:pPr>
              <w:jc w:val="right"/>
            </w:pPr>
          </w:p>
        </w:tc>
      </w:tr>
      <w:tr w:rsidR="00B419CE" w:rsidRPr="00B419CE" w14:paraId="7371EADB" w14:textId="77777777" w:rsidTr="00B32459">
        <w:trPr>
          <w:trHeight w:val="380"/>
        </w:trPr>
        <w:tc>
          <w:tcPr>
            <w:tcW w:w="846" w:type="dxa"/>
          </w:tcPr>
          <w:p w14:paraId="745545C0" w14:textId="77777777" w:rsidR="00B419CE" w:rsidRPr="00B419CE" w:rsidRDefault="00B419CE" w:rsidP="00B32459"/>
        </w:tc>
        <w:tc>
          <w:tcPr>
            <w:tcW w:w="709" w:type="dxa"/>
          </w:tcPr>
          <w:p w14:paraId="0661D9CE" w14:textId="77777777" w:rsidR="00B419CE" w:rsidRPr="00B419CE" w:rsidRDefault="00B419CE" w:rsidP="00B32459">
            <w:r w:rsidRPr="00B419CE">
              <w:t>70</w:t>
            </w:r>
          </w:p>
        </w:tc>
        <w:tc>
          <w:tcPr>
            <w:tcW w:w="4745" w:type="dxa"/>
          </w:tcPr>
          <w:p w14:paraId="72ED5B78" w14:textId="77777777" w:rsidR="00B419CE" w:rsidRPr="00B419CE" w:rsidRDefault="00B419CE" w:rsidP="00B32459">
            <w:proofErr w:type="spellStart"/>
            <w:r w:rsidRPr="00B419CE">
              <w:t>Tilskot</w:t>
            </w:r>
            <w:proofErr w:type="spellEnd"/>
            <w:r w:rsidRPr="00B419CE">
              <w:t xml:space="preserve"> til partigruppene</w:t>
            </w:r>
          </w:p>
        </w:tc>
        <w:tc>
          <w:tcPr>
            <w:tcW w:w="236" w:type="dxa"/>
          </w:tcPr>
          <w:p w14:paraId="16DB0E2C" w14:textId="77777777" w:rsidR="00B419CE" w:rsidRPr="00B419CE" w:rsidRDefault="00B419CE" w:rsidP="00B32459"/>
        </w:tc>
        <w:tc>
          <w:tcPr>
            <w:tcW w:w="1580" w:type="dxa"/>
          </w:tcPr>
          <w:p w14:paraId="6CBB5FF6" w14:textId="77777777" w:rsidR="00B419CE" w:rsidRPr="00B419CE" w:rsidRDefault="00B419CE" w:rsidP="00B32459">
            <w:pPr>
              <w:jc w:val="right"/>
            </w:pPr>
            <w:r w:rsidRPr="00B419CE">
              <w:t>210 600 000</w:t>
            </w:r>
          </w:p>
        </w:tc>
        <w:tc>
          <w:tcPr>
            <w:tcW w:w="1580" w:type="dxa"/>
          </w:tcPr>
          <w:p w14:paraId="6B5D4020" w14:textId="77777777" w:rsidR="00B419CE" w:rsidRPr="00B419CE" w:rsidRDefault="00B419CE" w:rsidP="00B32459">
            <w:pPr>
              <w:jc w:val="right"/>
            </w:pPr>
          </w:p>
        </w:tc>
      </w:tr>
      <w:tr w:rsidR="00B419CE" w:rsidRPr="00B419CE" w14:paraId="291C3610" w14:textId="77777777" w:rsidTr="00B32459">
        <w:trPr>
          <w:trHeight w:val="380"/>
        </w:trPr>
        <w:tc>
          <w:tcPr>
            <w:tcW w:w="846" w:type="dxa"/>
          </w:tcPr>
          <w:p w14:paraId="744BCEAA" w14:textId="77777777" w:rsidR="00B419CE" w:rsidRPr="00B419CE" w:rsidRDefault="00B419CE" w:rsidP="00B32459"/>
        </w:tc>
        <w:tc>
          <w:tcPr>
            <w:tcW w:w="709" w:type="dxa"/>
          </w:tcPr>
          <w:p w14:paraId="1B443A62" w14:textId="77777777" w:rsidR="00B419CE" w:rsidRPr="00B419CE" w:rsidRDefault="00B419CE" w:rsidP="00B32459">
            <w:r w:rsidRPr="00B419CE">
              <w:t>72</w:t>
            </w:r>
          </w:p>
        </w:tc>
        <w:tc>
          <w:tcPr>
            <w:tcW w:w="4745" w:type="dxa"/>
          </w:tcPr>
          <w:p w14:paraId="2380875D" w14:textId="77777777" w:rsidR="00B419CE" w:rsidRPr="00B419CE" w:rsidRDefault="00B419CE" w:rsidP="00B32459">
            <w:proofErr w:type="spellStart"/>
            <w:r w:rsidRPr="00B419CE">
              <w:t>Tilskot</w:t>
            </w:r>
            <w:proofErr w:type="spellEnd"/>
            <w:r w:rsidRPr="00B419CE">
              <w:t xml:space="preserve"> til Det Norske Nobelinstitutts bibliotek</w:t>
            </w:r>
          </w:p>
        </w:tc>
        <w:tc>
          <w:tcPr>
            <w:tcW w:w="236" w:type="dxa"/>
          </w:tcPr>
          <w:p w14:paraId="14D5B263" w14:textId="77777777" w:rsidR="00B419CE" w:rsidRPr="00B419CE" w:rsidRDefault="00B419CE" w:rsidP="00B32459"/>
        </w:tc>
        <w:tc>
          <w:tcPr>
            <w:tcW w:w="1580" w:type="dxa"/>
          </w:tcPr>
          <w:p w14:paraId="65292AE6" w14:textId="77777777" w:rsidR="00B419CE" w:rsidRPr="00B419CE" w:rsidRDefault="00B419CE" w:rsidP="00B32459">
            <w:pPr>
              <w:jc w:val="right"/>
            </w:pPr>
            <w:r w:rsidRPr="00B419CE">
              <w:t>1 500 000</w:t>
            </w:r>
          </w:p>
        </w:tc>
        <w:tc>
          <w:tcPr>
            <w:tcW w:w="1580" w:type="dxa"/>
          </w:tcPr>
          <w:p w14:paraId="775F9676" w14:textId="77777777" w:rsidR="00B419CE" w:rsidRPr="00B419CE" w:rsidRDefault="00B419CE" w:rsidP="00B32459">
            <w:pPr>
              <w:jc w:val="right"/>
            </w:pPr>
          </w:p>
        </w:tc>
      </w:tr>
      <w:tr w:rsidR="00B419CE" w:rsidRPr="00B419CE" w14:paraId="00964B33" w14:textId="77777777" w:rsidTr="00B32459">
        <w:trPr>
          <w:trHeight w:val="380"/>
        </w:trPr>
        <w:tc>
          <w:tcPr>
            <w:tcW w:w="846" w:type="dxa"/>
          </w:tcPr>
          <w:p w14:paraId="3A52CDC4" w14:textId="77777777" w:rsidR="00B419CE" w:rsidRPr="00B419CE" w:rsidRDefault="00B419CE" w:rsidP="00B32459"/>
        </w:tc>
        <w:tc>
          <w:tcPr>
            <w:tcW w:w="709" w:type="dxa"/>
          </w:tcPr>
          <w:p w14:paraId="15ACBCC3" w14:textId="77777777" w:rsidR="00B419CE" w:rsidRPr="00B419CE" w:rsidRDefault="00B419CE" w:rsidP="00B32459">
            <w:r w:rsidRPr="00B419CE">
              <w:t>73</w:t>
            </w:r>
          </w:p>
        </w:tc>
        <w:tc>
          <w:tcPr>
            <w:tcW w:w="4745" w:type="dxa"/>
          </w:tcPr>
          <w:p w14:paraId="1ED22F2D" w14:textId="77777777" w:rsidR="00B419CE" w:rsidRPr="00B419CE" w:rsidRDefault="00B419CE" w:rsidP="00B32459">
            <w:proofErr w:type="spellStart"/>
            <w:r w:rsidRPr="00B419CE">
              <w:t>Kontingentar</w:t>
            </w:r>
            <w:proofErr w:type="spellEnd"/>
            <w:r w:rsidRPr="00B419CE">
              <w:t xml:space="preserve">, internasjonale </w:t>
            </w:r>
            <w:proofErr w:type="spellStart"/>
            <w:r w:rsidRPr="00B419CE">
              <w:t>delegasjonar</w:t>
            </w:r>
            <w:proofErr w:type="spellEnd"/>
          </w:p>
        </w:tc>
        <w:tc>
          <w:tcPr>
            <w:tcW w:w="236" w:type="dxa"/>
          </w:tcPr>
          <w:p w14:paraId="00689CE1" w14:textId="77777777" w:rsidR="00B419CE" w:rsidRPr="00B419CE" w:rsidRDefault="00B419CE" w:rsidP="00B32459"/>
        </w:tc>
        <w:tc>
          <w:tcPr>
            <w:tcW w:w="1580" w:type="dxa"/>
          </w:tcPr>
          <w:p w14:paraId="48571ACF" w14:textId="77777777" w:rsidR="00B419CE" w:rsidRPr="00B419CE" w:rsidRDefault="00B419CE" w:rsidP="00B32459">
            <w:pPr>
              <w:jc w:val="right"/>
            </w:pPr>
            <w:r w:rsidRPr="00B419CE">
              <w:t>16 500 000</w:t>
            </w:r>
          </w:p>
        </w:tc>
        <w:tc>
          <w:tcPr>
            <w:tcW w:w="1580" w:type="dxa"/>
          </w:tcPr>
          <w:p w14:paraId="50AC6472" w14:textId="77777777" w:rsidR="00B419CE" w:rsidRPr="00B419CE" w:rsidRDefault="00B419CE" w:rsidP="00B32459">
            <w:pPr>
              <w:jc w:val="right"/>
            </w:pPr>
          </w:p>
        </w:tc>
      </w:tr>
      <w:tr w:rsidR="00B419CE" w:rsidRPr="00B419CE" w14:paraId="1AD03580" w14:textId="77777777" w:rsidTr="00B32459">
        <w:trPr>
          <w:trHeight w:val="380"/>
        </w:trPr>
        <w:tc>
          <w:tcPr>
            <w:tcW w:w="846" w:type="dxa"/>
          </w:tcPr>
          <w:p w14:paraId="20CF9894" w14:textId="77777777" w:rsidR="00B419CE" w:rsidRPr="00B419CE" w:rsidRDefault="00B419CE" w:rsidP="00B32459"/>
        </w:tc>
        <w:tc>
          <w:tcPr>
            <w:tcW w:w="709" w:type="dxa"/>
          </w:tcPr>
          <w:p w14:paraId="571D3052" w14:textId="77777777" w:rsidR="00B419CE" w:rsidRPr="00B419CE" w:rsidRDefault="00B419CE" w:rsidP="00B32459">
            <w:r w:rsidRPr="00B419CE">
              <w:t>74</w:t>
            </w:r>
          </w:p>
        </w:tc>
        <w:tc>
          <w:tcPr>
            <w:tcW w:w="4745" w:type="dxa"/>
          </w:tcPr>
          <w:p w14:paraId="15D394DE" w14:textId="77777777" w:rsidR="00B419CE" w:rsidRPr="00B419CE" w:rsidRDefault="00B419CE" w:rsidP="00B32459">
            <w:proofErr w:type="spellStart"/>
            <w:r w:rsidRPr="00B419CE">
              <w:t>Reisetilskot</w:t>
            </w:r>
            <w:proofErr w:type="spellEnd"/>
            <w:r w:rsidRPr="00B419CE">
              <w:t xml:space="preserve"> til </w:t>
            </w:r>
            <w:proofErr w:type="spellStart"/>
            <w:r w:rsidRPr="00B419CE">
              <w:t>skular</w:t>
            </w:r>
            <w:proofErr w:type="spellEnd"/>
          </w:p>
        </w:tc>
        <w:tc>
          <w:tcPr>
            <w:tcW w:w="236" w:type="dxa"/>
          </w:tcPr>
          <w:p w14:paraId="7102C6FC" w14:textId="77777777" w:rsidR="00B419CE" w:rsidRPr="00B419CE" w:rsidRDefault="00B419CE" w:rsidP="00B32459"/>
        </w:tc>
        <w:tc>
          <w:tcPr>
            <w:tcW w:w="1580" w:type="dxa"/>
          </w:tcPr>
          <w:p w14:paraId="1298B68C" w14:textId="77777777" w:rsidR="00B419CE" w:rsidRPr="00B419CE" w:rsidRDefault="00B419CE" w:rsidP="00B32459">
            <w:pPr>
              <w:jc w:val="right"/>
            </w:pPr>
            <w:r w:rsidRPr="00B419CE">
              <w:t>5 400 000</w:t>
            </w:r>
          </w:p>
        </w:tc>
        <w:tc>
          <w:tcPr>
            <w:tcW w:w="1580" w:type="dxa"/>
          </w:tcPr>
          <w:p w14:paraId="079FDC39" w14:textId="77777777" w:rsidR="00B419CE" w:rsidRPr="00B419CE" w:rsidRDefault="00B419CE" w:rsidP="00B32459">
            <w:pPr>
              <w:jc w:val="right"/>
            </w:pPr>
            <w:r w:rsidRPr="00B419CE">
              <w:t>1 416 285 000</w:t>
            </w:r>
          </w:p>
        </w:tc>
      </w:tr>
      <w:tr w:rsidR="00B419CE" w:rsidRPr="00B419CE" w14:paraId="6D382015" w14:textId="77777777" w:rsidTr="00B32459">
        <w:trPr>
          <w:trHeight w:val="380"/>
        </w:trPr>
        <w:tc>
          <w:tcPr>
            <w:tcW w:w="846" w:type="dxa"/>
          </w:tcPr>
          <w:p w14:paraId="40A12B38" w14:textId="77777777" w:rsidR="00B419CE" w:rsidRPr="00B419CE" w:rsidRDefault="00B419CE" w:rsidP="00B32459">
            <w:r w:rsidRPr="00B419CE">
              <w:t>42</w:t>
            </w:r>
          </w:p>
        </w:tc>
        <w:tc>
          <w:tcPr>
            <w:tcW w:w="709" w:type="dxa"/>
          </w:tcPr>
          <w:p w14:paraId="0203D445" w14:textId="77777777" w:rsidR="00B419CE" w:rsidRPr="00B419CE" w:rsidRDefault="00B419CE" w:rsidP="00B32459"/>
        </w:tc>
        <w:tc>
          <w:tcPr>
            <w:tcW w:w="4745" w:type="dxa"/>
          </w:tcPr>
          <w:p w14:paraId="67F31522" w14:textId="77777777" w:rsidR="00B419CE" w:rsidRPr="00B419CE" w:rsidRDefault="00B419CE" w:rsidP="00B32459">
            <w:r w:rsidRPr="00B419CE">
              <w:t xml:space="preserve">Stortingets </w:t>
            </w:r>
            <w:proofErr w:type="spellStart"/>
            <w:r w:rsidRPr="00B419CE">
              <w:t>ombodsnemnd</w:t>
            </w:r>
            <w:proofErr w:type="spellEnd"/>
            <w:r w:rsidRPr="00B419CE">
              <w:t xml:space="preserve"> for Forsvaret</w:t>
            </w:r>
          </w:p>
        </w:tc>
        <w:tc>
          <w:tcPr>
            <w:tcW w:w="236" w:type="dxa"/>
          </w:tcPr>
          <w:p w14:paraId="737EB0C9" w14:textId="77777777" w:rsidR="00B419CE" w:rsidRPr="00B419CE" w:rsidRDefault="00B419CE" w:rsidP="00B32459"/>
        </w:tc>
        <w:tc>
          <w:tcPr>
            <w:tcW w:w="1580" w:type="dxa"/>
          </w:tcPr>
          <w:p w14:paraId="5E511464" w14:textId="77777777" w:rsidR="00B419CE" w:rsidRPr="00B419CE" w:rsidRDefault="00B419CE" w:rsidP="00B32459">
            <w:pPr>
              <w:jc w:val="right"/>
            </w:pPr>
          </w:p>
        </w:tc>
        <w:tc>
          <w:tcPr>
            <w:tcW w:w="1580" w:type="dxa"/>
          </w:tcPr>
          <w:p w14:paraId="67882674" w14:textId="77777777" w:rsidR="00B419CE" w:rsidRPr="00B419CE" w:rsidRDefault="00B419CE" w:rsidP="00B32459">
            <w:pPr>
              <w:jc w:val="right"/>
            </w:pPr>
          </w:p>
        </w:tc>
      </w:tr>
      <w:tr w:rsidR="00B419CE" w:rsidRPr="00B419CE" w14:paraId="1293FB38" w14:textId="77777777" w:rsidTr="00B32459">
        <w:trPr>
          <w:trHeight w:val="380"/>
        </w:trPr>
        <w:tc>
          <w:tcPr>
            <w:tcW w:w="846" w:type="dxa"/>
          </w:tcPr>
          <w:p w14:paraId="1D33ADB5" w14:textId="77777777" w:rsidR="00B419CE" w:rsidRPr="00B419CE" w:rsidRDefault="00B419CE" w:rsidP="00B32459"/>
        </w:tc>
        <w:tc>
          <w:tcPr>
            <w:tcW w:w="709" w:type="dxa"/>
          </w:tcPr>
          <w:p w14:paraId="629BB7C4" w14:textId="77777777" w:rsidR="00B419CE" w:rsidRPr="00B419CE" w:rsidRDefault="00B419CE" w:rsidP="00B32459">
            <w:r w:rsidRPr="00B419CE">
              <w:t>01</w:t>
            </w:r>
          </w:p>
        </w:tc>
        <w:tc>
          <w:tcPr>
            <w:tcW w:w="4745" w:type="dxa"/>
          </w:tcPr>
          <w:p w14:paraId="0AE5D131" w14:textId="77777777" w:rsidR="00B419CE" w:rsidRPr="00B419CE" w:rsidRDefault="00B419CE" w:rsidP="00B32459">
            <w:r w:rsidRPr="00B419CE">
              <w:t>Driftsutgifter</w:t>
            </w:r>
          </w:p>
        </w:tc>
        <w:tc>
          <w:tcPr>
            <w:tcW w:w="236" w:type="dxa"/>
          </w:tcPr>
          <w:p w14:paraId="2D97095D" w14:textId="77777777" w:rsidR="00B419CE" w:rsidRPr="00B419CE" w:rsidRDefault="00B419CE" w:rsidP="00B32459"/>
        </w:tc>
        <w:tc>
          <w:tcPr>
            <w:tcW w:w="1580" w:type="dxa"/>
          </w:tcPr>
          <w:p w14:paraId="164EEFFB" w14:textId="77777777" w:rsidR="00B419CE" w:rsidRPr="00B419CE" w:rsidRDefault="00B419CE" w:rsidP="00B32459">
            <w:pPr>
              <w:jc w:val="right"/>
            </w:pPr>
            <w:r w:rsidRPr="00B419CE">
              <w:t>7 766 000</w:t>
            </w:r>
          </w:p>
        </w:tc>
        <w:tc>
          <w:tcPr>
            <w:tcW w:w="1580" w:type="dxa"/>
          </w:tcPr>
          <w:p w14:paraId="6D5936B0" w14:textId="77777777" w:rsidR="00B419CE" w:rsidRPr="00B419CE" w:rsidRDefault="00B419CE" w:rsidP="00B32459">
            <w:pPr>
              <w:jc w:val="right"/>
            </w:pPr>
            <w:r w:rsidRPr="00B419CE">
              <w:t>7 766 000</w:t>
            </w:r>
          </w:p>
        </w:tc>
      </w:tr>
      <w:tr w:rsidR="00B419CE" w:rsidRPr="00B419CE" w14:paraId="721DCA5B" w14:textId="77777777" w:rsidTr="00B32459">
        <w:trPr>
          <w:trHeight w:val="380"/>
        </w:trPr>
        <w:tc>
          <w:tcPr>
            <w:tcW w:w="846" w:type="dxa"/>
          </w:tcPr>
          <w:p w14:paraId="521961CB" w14:textId="77777777" w:rsidR="00B419CE" w:rsidRPr="00B419CE" w:rsidRDefault="00B419CE" w:rsidP="00B32459">
            <w:r w:rsidRPr="00B419CE">
              <w:t>43</w:t>
            </w:r>
          </w:p>
        </w:tc>
        <w:tc>
          <w:tcPr>
            <w:tcW w:w="709" w:type="dxa"/>
          </w:tcPr>
          <w:p w14:paraId="32C98968" w14:textId="77777777" w:rsidR="00B419CE" w:rsidRPr="00B419CE" w:rsidRDefault="00B419CE" w:rsidP="00B32459"/>
        </w:tc>
        <w:tc>
          <w:tcPr>
            <w:tcW w:w="4745" w:type="dxa"/>
          </w:tcPr>
          <w:p w14:paraId="78A91A64" w14:textId="77777777" w:rsidR="00B419CE" w:rsidRPr="00B419CE" w:rsidRDefault="00B419CE" w:rsidP="00B32459">
            <w:r w:rsidRPr="00B419CE">
              <w:t xml:space="preserve">Stortingets </w:t>
            </w:r>
            <w:proofErr w:type="spellStart"/>
            <w:r w:rsidRPr="00B419CE">
              <w:t>ombod</w:t>
            </w:r>
            <w:proofErr w:type="spellEnd"/>
            <w:r w:rsidRPr="00B419CE">
              <w:t xml:space="preserve"> for kontroll med forvaltninga</w:t>
            </w:r>
          </w:p>
        </w:tc>
        <w:tc>
          <w:tcPr>
            <w:tcW w:w="236" w:type="dxa"/>
          </w:tcPr>
          <w:p w14:paraId="0A6676B4" w14:textId="77777777" w:rsidR="00B419CE" w:rsidRPr="00B419CE" w:rsidRDefault="00B419CE" w:rsidP="00B32459"/>
        </w:tc>
        <w:tc>
          <w:tcPr>
            <w:tcW w:w="1580" w:type="dxa"/>
          </w:tcPr>
          <w:p w14:paraId="17E47AFC" w14:textId="77777777" w:rsidR="00B419CE" w:rsidRPr="00B419CE" w:rsidRDefault="00B419CE" w:rsidP="00B32459">
            <w:pPr>
              <w:jc w:val="right"/>
            </w:pPr>
          </w:p>
        </w:tc>
        <w:tc>
          <w:tcPr>
            <w:tcW w:w="1580" w:type="dxa"/>
          </w:tcPr>
          <w:p w14:paraId="334ED3BD" w14:textId="77777777" w:rsidR="00B419CE" w:rsidRPr="00B419CE" w:rsidRDefault="00B419CE" w:rsidP="00B32459">
            <w:pPr>
              <w:jc w:val="right"/>
            </w:pPr>
          </w:p>
        </w:tc>
      </w:tr>
      <w:tr w:rsidR="00B419CE" w:rsidRPr="00B419CE" w14:paraId="6BCF75A7" w14:textId="77777777" w:rsidTr="00B32459">
        <w:trPr>
          <w:trHeight w:val="380"/>
        </w:trPr>
        <w:tc>
          <w:tcPr>
            <w:tcW w:w="846" w:type="dxa"/>
          </w:tcPr>
          <w:p w14:paraId="7BE8F6F2" w14:textId="77777777" w:rsidR="00B419CE" w:rsidRPr="00B419CE" w:rsidRDefault="00B419CE" w:rsidP="00B32459"/>
        </w:tc>
        <w:tc>
          <w:tcPr>
            <w:tcW w:w="709" w:type="dxa"/>
          </w:tcPr>
          <w:p w14:paraId="3356A5B7" w14:textId="77777777" w:rsidR="00B419CE" w:rsidRPr="00B419CE" w:rsidRDefault="00B419CE" w:rsidP="00B32459">
            <w:r w:rsidRPr="00B419CE">
              <w:t>01</w:t>
            </w:r>
          </w:p>
        </w:tc>
        <w:tc>
          <w:tcPr>
            <w:tcW w:w="4745" w:type="dxa"/>
          </w:tcPr>
          <w:p w14:paraId="1E202471" w14:textId="77777777" w:rsidR="00B419CE" w:rsidRPr="00B419CE" w:rsidRDefault="00B419CE" w:rsidP="00B32459">
            <w:r w:rsidRPr="00B419CE">
              <w:t>Driftsutgifter</w:t>
            </w:r>
          </w:p>
        </w:tc>
        <w:tc>
          <w:tcPr>
            <w:tcW w:w="236" w:type="dxa"/>
          </w:tcPr>
          <w:p w14:paraId="5222B70D" w14:textId="77777777" w:rsidR="00B419CE" w:rsidRPr="00B419CE" w:rsidRDefault="00B419CE" w:rsidP="00B32459"/>
        </w:tc>
        <w:tc>
          <w:tcPr>
            <w:tcW w:w="1580" w:type="dxa"/>
          </w:tcPr>
          <w:p w14:paraId="18D549D0" w14:textId="77777777" w:rsidR="00B419CE" w:rsidRPr="00B419CE" w:rsidRDefault="00B419CE" w:rsidP="00B32459">
            <w:pPr>
              <w:jc w:val="right"/>
            </w:pPr>
            <w:r w:rsidRPr="00B419CE">
              <w:t>94 287 000</w:t>
            </w:r>
          </w:p>
        </w:tc>
        <w:tc>
          <w:tcPr>
            <w:tcW w:w="1580" w:type="dxa"/>
          </w:tcPr>
          <w:p w14:paraId="497D6D1B" w14:textId="77777777" w:rsidR="00B419CE" w:rsidRPr="00B419CE" w:rsidRDefault="00B419CE" w:rsidP="00B32459">
            <w:pPr>
              <w:jc w:val="right"/>
            </w:pPr>
            <w:r w:rsidRPr="00B419CE">
              <w:t>94 287 000</w:t>
            </w:r>
          </w:p>
        </w:tc>
      </w:tr>
      <w:tr w:rsidR="00B419CE" w:rsidRPr="00B419CE" w14:paraId="047E4211" w14:textId="77777777" w:rsidTr="00B32459">
        <w:trPr>
          <w:trHeight w:val="640"/>
        </w:trPr>
        <w:tc>
          <w:tcPr>
            <w:tcW w:w="846" w:type="dxa"/>
          </w:tcPr>
          <w:p w14:paraId="10E18780" w14:textId="77777777" w:rsidR="00B419CE" w:rsidRPr="00B419CE" w:rsidRDefault="00B419CE" w:rsidP="00B32459">
            <w:r w:rsidRPr="00B419CE">
              <w:t>44</w:t>
            </w:r>
          </w:p>
        </w:tc>
        <w:tc>
          <w:tcPr>
            <w:tcW w:w="709" w:type="dxa"/>
          </w:tcPr>
          <w:p w14:paraId="3717E87B" w14:textId="77777777" w:rsidR="00B419CE" w:rsidRPr="00B419CE" w:rsidRDefault="00B419CE" w:rsidP="00B32459"/>
        </w:tc>
        <w:tc>
          <w:tcPr>
            <w:tcW w:w="4745" w:type="dxa"/>
          </w:tcPr>
          <w:p w14:paraId="2B3E8C41" w14:textId="77777777" w:rsidR="00B419CE" w:rsidRPr="00B419CE" w:rsidRDefault="00B419CE" w:rsidP="00B32459">
            <w:r w:rsidRPr="00B419CE">
              <w:t xml:space="preserve">Stortingets </w:t>
            </w:r>
            <w:proofErr w:type="spellStart"/>
            <w:r w:rsidRPr="00B419CE">
              <w:t>kontrollutval</w:t>
            </w:r>
            <w:proofErr w:type="spellEnd"/>
            <w:r w:rsidRPr="00B419CE">
              <w:t xml:space="preserve"> for etterretnings-, </w:t>
            </w:r>
            <w:r w:rsidRPr="00B419CE">
              <w:br/>
            </w:r>
            <w:proofErr w:type="spellStart"/>
            <w:r w:rsidRPr="00B419CE">
              <w:t>overvakings</w:t>
            </w:r>
            <w:proofErr w:type="spellEnd"/>
            <w:r w:rsidRPr="00B419CE">
              <w:t xml:space="preserve">- og </w:t>
            </w:r>
            <w:proofErr w:type="spellStart"/>
            <w:r w:rsidRPr="00B419CE">
              <w:t>tryggingsteneste</w:t>
            </w:r>
            <w:proofErr w:type="spellEnd"/>
          </w:p>
        </w:tc>
        <w:tc>
          <w:tcPr>
            <w:tcW w:w="236" w:type="dxa"/>
          </w:tcPr>
          <w:p w14:paraId="19975DBA" w14:textId="77777777" w:rsidR="00B419CE" w:rsidRPr="00B419CE" w:rsidRDefault="00B419CE" w:rsidP="00B32459"/>
        </w:tc>
        <w:tc>
          <w:tcPr>
            <w:tcW w:w="1580" w:type="dxa"/>
          </w:tcPr>
          <w:p w14:paraId="5EF36051" w14:textId="77777777" w:rsidR="00B419CE" w:rsidRPr="00B419CE" w:rsidRDefault="00B419CE" w:rsidP="00B32459">
            <w:pPr>
              <w:jc w:val="right"/>
            </w:pPr>
          </w:p>
        </w:tc>
        <w:tc>
          <w:tcPr>
            <w:tcW w:w="1580" w:type="dxa"/>
          </w:tcPr>
          <w:p w14:paraId="39C2E2A9" w14:textId="77777777" w:rsidR="00B419CE" w:rsidRPr="00B419CE" w:rsidRDefault="00B419CE" w:rsidP="00B32459">
            <w:pPr>
              <w:jc w:val="right"/>
            </w:pPr>
          </w:p>
        </w:tc>
      </w:tr>
      <w:tr w:rsidR="00B419CE" w:rsidRPr="00B419CE" w14:paraId="2F10CD81" w14:textId="77777777" w:rsidTr="00B32459">
        <w:trPr>
          <w:trHeight w:val="380"/>
        </w:trPr>
        <w:tc>
          <w:tcPr>
            <w:tcW w:w="846" w:type="dxa"/>
          </w:tcPr>
          <w:p w14:paraId="7AB94364" w14:textId="77777777" w:rsidR="00B419CE" w:rsidRPr="00B419CE" w:rsidRDefault="00B419CE" w:rsidP="00B32459"/>
        </w:tc>
        <w:tc>
          <w:tcPr>
            <w:tcW w:w="709" w:type="dxa"/>
          </w:tcPr>
          <w:p w14:paraId="305B3C87" w14:textId="77777777" w:rsidR="00B419CE" w:rsidRPr="00B419CE" w:rsidRDefault="00B419CE" w:rsidP="00B32459">
            <w:r w:rsidRPr="00B419CE">
              <w:t>01</w:t>
            </w:r>
          </w:p>
        </w:tc>
        <w:tc>
          <w:tcPr>
            <w:tcW w:w="4745" w:type="dxa"/>
          </w:tcPr>
          <w:p w14:paraId="372DE1C8" w14:textId="77777777" w:rsidR="00B419CE" w:rsidRPr="00B419CE" w:rsidRDefault="00B419CE" w:rsidP="00B32459">
            <w:r w:rsidRPr="00B419CE">
              <w:t>Driftsutgifter</w:t>
            </w:r>
          </w:p>
        </w:tc>
        <w:tc>
          <w:tcPr>
            <w:tcW w:w="236" w:type="dxa"/>
          </w:tcPr>
          <w:p w14:paraId="763B8E38" w14:textId="77777777" w:rsidR="00B419CE" w:rsidRPr="00B419CE" w:rsidRDefault="00B419CE" w:rsidP="00B32459"/>
        </w:tc>
        <w:tc>
          <w:tcPr>
            <w:tcW w:w="1580" w:type="dxa"/>
          </w:tcPr>
          <w:p w14:paraId="65CBEF01" w14:textId="77777777" w:rsidR="00B419CE" w:rsidRPr="00B419CE" w:rsidRDefault="00B419CE" w:rsidP="00B32459">
            <w:pPr>
              <w:jc w:val="right"/>
            </w:pPr>
            <w:r w:rsidRPr="00B419CE">
              <w:t>35 105 000</w:t>
            </w:r>
          </w:p>
        </w:tc>
        <w:tc>
          <w:tcPr>
            <w:tcW w:w="1580" w:type="dxa"/>
          </w:tcPr>
          <w:p w14:paraId="5B9CF285" w14:textId="77777777" w:rsidR="00B419CE" w:rsidRPr="00B419CE" w:rsidRDefault="00B419CE" w:rsidP="00B32459">
            <w:pPr>
              <w:jc w:val="right"/>
            </w:pPr>
            <w:r w:rsidRPr="00B419CE">
              <w:t>35 105 000</w:t>
            </w:r>
          </w:p>
        </w:tc>
      </w:tr>
      <w:tr w:rsidR="00B419CE" w:rsidRPr="00B419CE" w14:paraId="5EA2AF9E" w14:textId="77777777" w:rsidTr="00B32459">
        <w:trPr>
          <w:trHeight w:val="380"/>
        </w:trPr>
        <w:tc>
          <w:tcPr>
            <w:tcW w:w="846" w:type="dxa"/>
          </w:tcPr>
          <w:p w14:paraId="32A8AB00" w14:textId="77777777" w:rsidR="00B419CE" w:rsidRPr="00B419CE" w:rsidRDefault="00B419CE" w:rsidP="00B32459">
            <w:r w:rsidRPr="00B419CE">
              <w:t>45</w:t>
            </w:r>
          </w:p>
        </w:tc>
        <w:tc>
          <w:tcPr>
            <w:tcW w:w="709" w:type="dxa"/>
          </w:tcPr>
          <w:p w14:paraId="0BB4F060" w14:textId="77777777" w:rsidR="00B419CE" w:rsidRPr="00B419CE" w:rsidRDefault="00B419CE" w:rsidP="00B32459"/>
        </w:tc>
        <w:tc>
          <w:tcPr>
            <w:tcW w:w="4745" w:type="dxa"/>
          </w:tcPr>
          <w:p w14:paraId="37765064" w14:textId="77777777" w:rsidR="00B419CE" w:rsidRPr="00B419CE" w:rsidRDefault="00B419CE" w:rsidP="00B32459">
            <w:proofErr w:type="spellStart"/>
            <w:r w:rsidRPr="00B419CE">
              <w:t>Noregs</w:t>
            </w:r>
            <w:proofErr w:type="spellEnd"/>
            <w:r w:rsidRPr="00B419CE">
              <w:t xml:space="preserve"> institusjon for </w:t>
            </w:r>
            <w:proofErr w:type="spellStart"/>
            <w:r w:rsidRPr="00B419CE">
              <w:t>menneskerettar</w:t>
            </w:r>
            <w:proofErr w:type="spellEnd"/>
          </w:p>
        </w:tc>
        <w:tc>
          <w:tcPr>
            <w:tcW w:w="236" w:type="dxa"/>
          </w:tcPr>
          <w:p w14:paraId="50F6EB09" w14:textId="77777777" w:rsidR="00B419CE" w:rsidRPr="00B419CE" w:rsidRDefault="00B419CE" w:rsidP="00B32459"/>
        </w:tc>
        <w:tc>
          <w:tcPr>
            <w:tcW w:w="1580" w:type="dxa"/>
          </w:tcPr>
          <w:p w14:paraId="2BA3A8E3" w14:textId="77777777" w:rsidR="00B419CE" w:rsidRPr="00B419CE" w:rsidRDefault="00B419CE" w:rsidP="00B32459">
            <w:pPr>
              <w:jc w:val="right"/>
            </w:pPr>
          </w:p>
        </w:tc>
        <w:tc>
          <w:tcPr>
            <w:tcW w:w="1580" w:type="dxa"/>
          </w:tcPr>
          <w:p w14:paraId="4092E687" w14:textId="77777777" w:rsidR="00B419CE" w:rsidRPr="00B419CE" w:rsidRDefault="00B419CE" w:rsidP="00B32459">
            <w:pPr>
              <w:jc w:val="right"/>
            </w:pPr>
          </w:p>
        </w:tc>
      </w:tr>
      <w:tr w:rsidR="00B419CE" w:rsidRPr="00B419CE" w14:paraId="48F41CDF" w14:textId="77777777" w:rsidTr="00B32459">
        <w:trPr>
          <w:trHeight w:val="380"/>
        </w:trPr>
        <w:tc>
          <w:tcPr>
            <w:tcW w:w="846" w:type="dxa"/>
          </w:tcPr>
          <w:p w14:paraId="223833CA" w14:textId="77777777" w:rsidR="00B419CE" w:rsidRPr="00B419CE" w:rsidRDefault="00B419CE" w:rsidP="00B32459"/>
        </w:tc>
        <w:tc>
          <w:tcPr>
            <w:tcW w:w="709" w:type="dxa"/>
          </w:tcPr>
          <w:p w14:paraId="61279BBB" w14:textId="77777777" w:rsidR="00B419CE" w:rsidRPr="00B419CE" w:rsidRDefault="00B419CE" w:rsidP="00B32459">
            <w:r w:rsidRPr="00B419CE">
              <w:t>01</w:t>
            </w:r>
          </w:p>
        </w:tc>
        <w:tc>
          <w:tcPr>
            <w:tcW w:w="4745" w:type="dxa"/>
          </w:tcPr>
          <w:p w14:paraId="478E3C7C" w14:textId="77777777" w:rsidR="00B419CE" w:rsidRPr="00B419CE" w:rsidRDefault="00B419CE" w:rsidP="00B32459">
            <w:r w:rsidRPr="00B419CE">
              <w:t>Driftsutgifter</w:t>
            </w:r>
          </w:p>
        </w:tc>
        <w:tc>
          <w:tcPr>
            <w:tcW w:w="236" w:type="dxa"/>
          </w:tcPr>
          <w:p w14:paraId="36B33BF0" w14:textId="77777777" w:rsidR="00B419CE" w:rsidRPr="00B419CE" w:rsidRDefault="00B419CE" w:rsidP="00B32459"/>
        </w:tc>
        <w:tc>
          <w:tcPr>
            <w:tcW w:w="1580" w:type="dxa"/>
          </w:tcPr>
          <w:p w14:paraId="150F2654" w14:textId="77777777" w:rsidR="00B419CE" w:rsidRPr="00B419CE" w:rsidRDefault="00B419CE" w:rsidP="00B32459">
            <w:pPr>
              <w:jc w:val="right"/>
            </w:pPr>
            <w:r w:rsidRPr="00B419CE">
              <w:t>26 040 000</w:t>
            </w:r>
          </w:p>
        </w:tc>
        <w:tc>
          <w:tcPr>
            <w:tcW w:w="1580" w:type="dxa"/>
          </w:tcPr>
          <w:p w14:paraId="013E2A94" w14:textId="77777777" w:rsidR="00B419CE" w:rsidRPr="00B419CE" w:rsidRDefault="00B419CE" w:rsidP="00B32459">
            <w:pPr>
              <w:jc w:val="right"/>
            </w:pPr>
            <w:r w:rsidRPr="00B419CE">
              <w:t>26 040 000</w:t>
            </w:r>
          </w:p>
        </w:tc>
      </w:tr>
      <w:tr w:rsidR="00B419CE" w:rsidRPr="00B419CE" w14:paraId="12C68575" w14:textId="77777777" w:rsidTr="00B32459">
        <w:trPr>
          <w:trHeight w:val="380"/>
        </w:trPr>
        <w:tc>
          <w:tcPr>
            <w:tcW w:w="846" w:type="dxa"/>
          </w:tcPr>
          <w:p w14:paraId="58047E30" w14:textId="77777777" w:rsidR="00B419CE" w:rsidRPr="00B419CE" w:rsidRDefault="00B419CE" w:rsidP="00B32459">
            <w:r w:rsidRPr="00B419CE">
              <w:t>51</w:t>
            </w:r>
          </w:p>
        </w:tc>
        <w:tc>
          <w:tcPr>
            <w:tcW w:w="709" w:type="dxa"/>
          </w:tcPr>
          <w:p w14:paraId="3F69E150" w14:textId="77777777" w:rsidR="00B419CE" w:rsidRPr="00B419CE" w:rsidRDefault="00B419CE" w:rsidP="00B32459"/>
        </w:tc>
        <w:tc>
          <w:tcPr>
            <w:tcW w:w="4745" w:type="dxa"/>
          </w:tcPr>
          <w:p w14:paraId="5BF586CA" w14:textId="77777777" w:rsidR="00B419CE" w:rsidRPr="00B419CE" w:rsidRDefault="00B419CE" w:rsidP="00B32459">
            <w:r w:rsidRPr="00B419CE">
              <w:t>Riksrevisjonen</w:t>
            </w:r>
          </w:p>
        </w:tc>
        <w:tc>
          <w:tcPr>
            <w:tcW w:w="236" w:type="dxa"/>
          </w:tcPr>
          <w:p w14:paraId="7540CD38" w14:textId="77777777" w:rsidR="00B419CE" w:rsidRPr="00B419CE" w:rsidRDefault="00B419CE" w:rsidP="00B32459"/>
        </w:tc>
        <w:tc>
          <w:tcPr>
            <w:tcW w:w="1580" w:type="dxa"/>
          </w:tcPr>
          <w:p w14:paraId="520DD561" w14:textId="77777777" w:rsidR="00B419CE" w:rsidRPr="00B419CE" w:rsidRDefault="00B419CE" w:rsidP="00B32459">
            <w:pPr>
              <w:jc w:val="right"/>
            </w:pPr>
          </w:p>
        </w:tc>
        <w:tc>
          <w:tcPr>
            <w:tcW w:w="1580" w:type="dxa"/>
          </w:tcPr>
          <w:p w14:paraId="77BFC3C6" w14:textId="77777777" w:rsidR="00B419CE" w:rsidRPr="00B419CE" w:rsidRDefault="00B419CE" w:rsidP="00B32459">
            <w:pPr>
              <w:jc w:val="right"/>
            </w:pPr>
          </w:p>
        </w:tc>
      </w:tr>
      <w:tr w:rsidR="00B419CE" w:rsidRPr="00B419CE" w14:paraId="3A0C2E53" w14:textId="77777777" w:rsidTr="00B32459">
        <w:trPr>
          <w:trHeight w:val="380"/>
        </w:trPr>
        <w:tc>
          <w:tcPr>
            <w:tcW w:w="846" w:type="dxa"/>
          </w:tcPr>
          <w:p w14:paraId="64FA9D2A" w14:textId="77777777" w:rsidR="00B419CE" w:rsidRPr="00B419CE" w:rsidRDefault="00B419CE" w:rsidP="00B32459"/>
        </w:tc>
        <w:tc>
          <w:tcPr>
            <w:tcW w:w="709" w:type="dxa"/>
          </w:tcPr>
          <w:p w14:paraId="7D6C2EEB" w14:textId="77777777" w:rsidR="00B419CE" w:rsidRPr="00B419CE" w:rsidRDefault="00B419CE" w:rsidP="00B32459">
            <w:r w:rsidRPr="00B419CE">
              <w:t>01</w:t>
            </w:r>
          </w:p>
        </w:tc>
        <w:tc>
          <w:tcPr>
            <w:tcW w:w="4745" w:type="dxa"/>
          </w:tcPr>
          <w:p w14:paraId="3A50E555" w14:textId="77777777" w:rsidR="00B419CE" w:rsidRPr="00B419CE" w:rsidRDefault="00B419CE" w:rsidP="00B32459">
            <w:r w:rsidRPr="00B419CE">
              <w:t>Driftsutgifter</w:t>
            </w:r>
          </w:p>
        </w:tc>
        <w:tc>
          <w:tcPr>
            <w:tcW w:w="236" w:type="dxa"/>
          </w:tcPr>
          <w:p w14:paraId="4C7AC060" w14:textId="77777777" w:rsidR="00B419CE" w:rsidRPr="00B419CE" w:rsidRDefault="00B419CE" w:rsidP="00B32459"/>
        </w:tc>
        <w:tc>
          <w:tcPr>
            <w:tcW w:w="1580" w:type="dxa"/>
          </w:tcPr>
          <w:p w14:paraId="1C32FC31" w14:textId="77777777" w:rsidR="00B419CE" w:rsidRPr="00B419CE" w:rsidRDefault="00B419CE" w:rsidP="00B32459">
            <w:pPr>
              <w:jc w:val="right"/>
            </w:pPr>
            <w:r w:rsidRPr="00B419CE">
              <w:t>563 977 000</w:t>
            </w:r>
          </w:p>
        </w:tc>
        <w:tc>
          <w:tcPr>
            <w:tcW w:w="1580" w:type="dxa"/>
          </w:tcPr>
          <w:p w14:paraId="6B01AB0E" w14:textId="77777777" w:rsidR="00B419CE" w:rsidRPr="00B419CE" w:rsidRDefault="00B419CE" w:rsidP="00B32459">
            <w:pPr>
              <w:jc w:val="right"/>
            </w:pPr>
          </w:p>
        </w:tc>
      </w:tr>
      <w:tr w:rsidR="00B419CE" w:rsidRPr="00B419CE" w14:paraId="30BE15DD" w14:textId="77777777" w:rsidTr="00B32459">
        <w:trPr>
          <w:trHeight w:val="380"/>
        </w:trPr>
        <w:tc>
          <w:tcPr>
            <w:tcW w:w="846" w:type="dxa"/>
          </w:tcPr>
          <w:p w14:paraId="0059F1E9" w14:textId="77777777" w:rsidR="00B419CE" w:rsidRPr="00B419CE" w:rsidRDefault="00B419CE" w:rsidP="00B32459"/>
        </w:tc>
        <w:tc>
          <w:tcPr>
            <w:tcW w:w="709" w:type="dxa"/>
          </w:tcPr>
          <w:p w14:paraId="15A21D43" w14:textId="77777777" w:rsidR="00B419CE" w:rsidRPr="00B419CE" w:rsidRDefault="00B419CE" w:rsidP="00B32459">
            <w:r w:rsidRPr="00B419CE">
              <w:t>75</w:t>
            </w:r>
          </w:p>
        </w:tc>
        <w:tc>
          <w:tcPr>
            <w:tcW w:w="4745" w:type="dxa"/>
          </w:tcPr>
          <w:p w14:paraId="07494DDD" w14:textId="77777777" w:rsidR="00B419CE" w:rsidRPr="00B419CE" w:rsidRDefault="00B419CE" w:rsidP="00B32459">
            <w:r w:rsidRPr="00B419CE">
              <w:t xml:space="preserve">Internasjonale </w:t>
            </w:r>
            <w:proofErr w:type="spellStart"/>
            <w:r w:rsidRPr="00B419CE">
              <w:t>organisasjonar</w:t>
            </w:r>
            <w:proofErr w:type="spellEnd"/>
            <w:r w:rsidRPr="00B419CE">
              <w:t xml:space="preserve"> og nettverk</w:t>
            </w:r>
          </w:p>
        </w:tc>
        <w:tc>
          <w:tcPr>
            <w:tcW w:w="236" w:type="dxa"/>
          </w:tcPr>
          <w:p w14:paraId="223CD3D0" w14:textId="77777777" w:rsidR="00B419CE" w:rsidRPr="00B419CE" w:rsidRDefault="00B419CE" w:rsidP="00B32459"/>
        </w:tc>
        <w:tc>
          <w:tcPr>
            <w:tcW w:w="1580" w:type="dxa"/>
          </w:tcPr>
          <w:p w14:paraId="129684E6" w14:textId="77777777" w:rsidR="00B419CE" w:rsidRPr="00B419CE" w:rsidRDefault="00B419CE" w:rsidP="00B32459">
            <w:pPr>
              <w:jc w:val="right"/>
            </w:pPr>
            <w:r w:rsidRPr="00B419CE">
              <w:t>28 600 000</w:t>
            </w:r>
          </w:p>
        </w:tc>
        <w:tc>
          <w:tcPr>
            <w:tcW w:w="1580" w:type="dxa"/>
          </w:tcPr>
          <w:p w14:paraId="3375294C" w14:textId="77777777" w:rsidR="00B419CE" w:rsidRPr="00B419CE" w:rsidRDefault="00B419CE" w:rsidP="00B32459">
            <w:pPr>
              <w:jc w:val="right"/>
            </w:pPr>
            <w:r w:rsidRPr="00B419CE">
              <w:t>592 577 000</w:t>
            </w:r>
          </w:p>
        </w:tc>
      </w:tr>
      <w:tr w:rsidR="00B419CE" w:rsidRPr="00B419CE" w14:paraId="56A76CA6" w14:textId="77777777" w:rsidTr="00B32459">
        <w:trPr>
          <w:trHeight w:val="380"/>
        </w:trPr>
        <w:tc>
          <w:tcPr>
            <w:tcW w:w="846" w:type="dxa"/>
          </w:tcPr>
          <w:p w14:paraId="07597D2E" w14:textId="77777777" w:rsidR="00B419CE" w:rsidRPr="00B419CE" w:rsidRDefault="00B419CE" w:rsidP="00B32459"/>
        </w:tc>
        <w:tc>
          <w:tcPr>
            <w:tcW w:w="709" w:type="dxa"/>
          </w:tcPr>
          <w:p w14:paraId="0F24028A" w14:textId="77777777" w:rsidR="00B419CE" w:rsidRPr="00B419CE" w:rsidRDefault="00B419CE" w:rsidP="00B32459"/>
        </w:tc>
        <w:tc>
          <w:tcPr>
            <w:tcW w:w="4745" w:type="dxa"/>
          </w:tcPr>
          <w:p w14:paraId="73821DC7" w14:textId="77777777" w:rsidR="00B419CE" w:rsidRPr="00B419CE" w:rsidRDefault="00B419CE" w:rsidP="00B32459">
            <w:r w:rsidRPr="00B419CE">
              <w:t>Sum Stortinget og tilknytte organ</w:t>
            </w:r>
          </w:p>
        </w:tc>
        <w:tc>
          <w:tcPr>
            <w:tcW w:w="236" w:type="dxa"/>
          </w:tcPr>
          <w:p w14:paraId="61BD5D97" w14:textId="77777777" w:rsidR="00B419CE" w:rsidRPr="00B419CE" w:rsidRDefault="00B419CE" w:rsidP="00B32459"/>
        </w:tc>
        <w:tc>
          <w:tcPr>
            <w:tcW w:w="1580" w:type="dxa"/>
          </w:tcPr>
          <w:p w14:paraId="38BC6543" w14:textId="77777777" w:rsidR="00B419CE" w:rsidRPr="00B419CE" w:rsidRDefault="00B419CE" w:rsidP="00B32459">
            <w:pPr>
              <w:jc w:val="right"/>
            </w:pPr>
          </w:p>
        </w:tc>
        <w:tc>
          <w:tcPr>
            <w:tcW w:w="1580" w:type="dxa"/>
          </w:tcPr>
          <w:p w14:paraId="2E859B66" w14:textId="77777777" w:rsidR="00B419CE" w:rsidRPr="00B419CE" w:rsidRDefault="00B419CE" w:rsidP="00B32459">
            <w:pPr>
              <w:jc w:val="right"/>
            </w:pPr>
            <w:r w:rsidRPr="00B419CE">
              <w:t>2 172 060 000</w:t>
            </w:r>
          </w:p>
        </w:tc>
      </w:tr>
      <w:tr w:rsidR="00B419CE" w:rsidRPr="00B419CE" w14:paraId="49FD1654" w14:textId="77777777" w:rsidTr="00B32459">
        <w:trPr>
          <w:trHeight w:val="380"/>
        </w:trPr>
        <w:tc>
          <w:tcPr>
            <w:tcW w:w="9696" w:type="dxa"/>
            <w:gridSpan w:val="6"/>
          </w:tcPr>
          <w:p w14:paraId="6FFFF8EA" w14:textId="77777777" w:rsidR="00B419CE" w:rsidRPr="00B419CE" w:rsidRDefault="00B419CE" w:rsidP="00B32459">
            <w:pPr>
              <w:jc w:val="center"/>
            </w:pPr>
            <w:r w:rsidRPr="00B419CE">
              <w:t>Finansadministrasjon</w:t>
            </w:r>
          </w:p>
        </w:tc>
      </w:tr>
      <w:tr w:rsidR="00B419CE" w:rsidRPr="00B419CE" w14:paraId="6412C05E" w14:textId="77777777" w:rsidTr="00B32459">
        <w:trPr>
          <w:trHeight w:val="380"/>
        </w:trPr>
        <w:tc>
          <w:tcPr>
            <w:tcW w:w="846" w:type="dxa"/>
          </w:tcPr>
          <w:p w14:paraId="0D4E6EF5" w14:textId="77777777" w:rsidR="00B419CE" w:rsidRPr="00B419CE" w:rsidRDefault="00B419CE" w:rsidP="00B32459">
            <w:r w:rsidRPr="00B419CE">
              <w:t>1600</w:t>
            </w:r>
          </w:p>
        </w:tc>
        <w:tc>
          <w:tcPr>
            <w:tcW w:w="709" w:type="dxa"/>
          </w:tcPr>
          <w:p w14:paraId="150369B3" w14:textId="77777777" w:rsidR="00B419CE" w:rsidRPr="00B419CE" w:rsidRDefault="00B419CE" w:rsidP="00B32459"/>
        </w:tc>
        <w:tc>
          <w:tcPr>
            <w:tcW w:w="4745" w:type="dxa"/>
          </w:tcPr>
          <w:p w14:paraId="3EFAB073" w14:textId="77777777" w:rsidR="00B419CE" w:rsidRPr="00B419CE" w:rsidRDefault="00B419CE" w:rsidP="00B32459">
            <w:r w:rsidRPr="00B419CE">
              <w:t>Finansdepartementet</w:t>
            </w:r>
          </w:p>
        </w:tc>
        <w:tc>
          <w:tcPr>
            <w:tcW w:w="236" w:type="dxa"/>
          </w:tcPr>
          <w:p w14:paraId="324FFD00" w14:textId="77777777" w:rsidR="00B419CE" w:rsidRPr="00B419CE" w:rsidRDefault="00B419CE" w:rsidP="00B32459"/>
        </w:tc>
        <w:tc>
          <w:tcPr>
            <w:tcW w:w="1580" w:type="dxa"/>
          </w:tcPr>
          <w:p w14:paraId="41A9BEF1" w14:textId="77777777" w:rsidR="00B419CE" w:rsidRPr="00B419CE" w:rsidRDefault="00B419CE" w:rsidP="00B32459">
            <w:pPr>
              <w:jc w:val="right"/>
            </w:pPr>
          </w:p>
        </w:tc>
        <w:tc>
          <w:tcPr>
            <w:tcW w:w="1580" w:type="dxa"/>
          </w:tcPr>
          <w:p w14:paraId="280F0A81" w14:textId="77777777" w:rsidR="00B419CE" w:rsidRPr="00B419CE" w:rsidRDefault="00B419CE" w:rsidP="00B32459">
            <w:pPr>
              <w:jc w:val="right"/>
            </w:pPr>
          </w:p>
        </w:tc>
      </w:tr>
      <w:tr w:rsidR="00B419CE" w:rsidRPr="00B419CE" w14:paraId="208996F0" w14:textId="77777777" w:rsidTr="00B32459">
        <w:trPr>
          <w:trHeight w:val="380"/>
        </w:trPr>
        <w:tc>
          <w:tcPr>
            <w:tcW w:w="846" w:type="dxa"/>
          </w:tcPr>
          <w:p w14:paraId="3E6AB742" w14:textId="77777777" w:rsidR="00B419CE" w:rsidRPr="00B419CE" w:rsidRDefault="00B419CE" w:rsidP="00B32459"/>
        </w:tc>
        <w:tc>
          <w:tcPr>
            <w:tcW w:w="709" w:type="dxa"/>
          </w:tcPr>
          <w:p w14:paraId="1F05220A" w14:textId="77777777" w:rsidR="00B419CE" w:rsidRPr="00B419CE" w:rsidRDefault="00B419CE" w:rsidP="00B32459">
            <w:r w:rsidRPr="00B419CE">
              <w:t>01</w:t>
            </w:r>
          </w:p>
        </w:tc>
        <w:tc>
          <w:tcPr>
            <w:tcW w:w="4745" w:type="dxa"/>
          </w:tcPr>
          <w:p w14:paraId="22F7A2EA" w14:textId="77777777" w:rsidR="00B419CE" w:rsidRPr="00B419CE" w:rsidRDefault="00B419CE" w:rsidP="00B32459">
            <w:r w:rsidRPr="00B419CE">
              <w:t>Driftsutgifter</w:t>
            </w:r>
          </w:p>
        </w:tc>
        <w:tc>
          <w:tcPr>
            <w:tcW w:w="236" w:type="dxa"/>
          </w:tcPr>
          <w:p w14:paraId="1131B737" w14:textId="77777777" w:rsidR="00B419CE" w:rsidRPr="00B419CE" w:rsidRDefault="00B419CE" w:rsidP="00B32459"/>
        </w:tc>
        <w:tc>
          <w:tcPr>
            <w:tcW w:w="1580" w:type="dxa"/>
          </w:tcPr>
          <w:p w14:paraId="3B4E620B" w14:textId="77777777" w:rsidR="00B419CE" w:rsidRPr="00B419CE" w:rsidRDefault="00B419CE" w:rsidP="00B32459">
            <w:pPr>
              <w:jc w:val="right"/>
            </w:pPr>
            <w:r w:rsidRPr="00B419CE">
              <w:t>416 321 000</w:t>
            </w:r>
          </w:p>
        </w:tc>
        <w:tc>
          <w:tcPr>
            <w:tcW w:w="1580" w:type="dxa"/>
          </w:tcPr>
          <w:p w14:paraId="49140827" w14:textId="77777777" w:rsidR="00B419CE" w:rsidRPr="00B419CE" w:rsidRDefault="00B419CE" w:rsidP="00B32459">
            <w:pPr>
              <w:jc w:val="right"/>
            </w:pPr>
          </w:p>
        </w:tc>
      </w:tr>
      <w:tr w:rsidR="00B419CE" w:rsidRPr="00B419CE" w14:paraId="25CD6F60" w14:textId="77777777" w:rsidTr="00B32459">
        <w:trPr>
          <w:trHeight w:val="380"/>
        </w:trPr>
        <w:tc>
          <w:tcPr>
            <w:tcW w:w="846" w:type="dxa"/>
          </w:tcPr>
          <w:p w14:paraId="597035B3" w14:textId="77777777" w:rsidR="00B419CE" w:rsidRPr="00B419CE" w:rsidRDefault="00B419CE" w:rsidP="00B32459"/>
        </w:tc>
        <w:tc>
          <w:tcPr>
            <w:tcW w:w="709" w:type="dxa"/>
          </w:tcPr>
          <w:p w14:paraId="40C8FCED" w14:textId="77777777" w:rsidR="00B419CE" w:rsidRPr="00B419CE" w:rsidRDefault="00B419CE" w:rsidP="00B32459">
            <w:r w:rsidRPr="00B419CE">
              <w:t>21</w:t>
            </w:r>
          </w:p>
        </w:tc>
        <w:tc>
          <w:tcPr>
            <w:tcW w:w="4745" w:type="dxa"/>
          </w:tcPr>
          <w:p w14:paraId="799BF553" w14:textId="77777777" w:rsidR="00B419CE" w:rsidRPr="00B419CE" w:rsidRDefault="00B419CE" w:rsidP="00B32459">
            <w:r w:rsidRPr="00B419CE">
              <w:t>Spesielle driftsutgifter</w:t>
            </w:r>
            <w:r w:rsidRPr="00B419CE">
              <w:rPr>
                <w:rStyle w:val="kursiv"/>
              </w:rPr>
              <w:t xml:space="preserve">, kan </w:t>
            </w:r>
            <w:proofErr w:type="spellStart"/>
            <w:r w:rsidRPr="00B419CE">
              <w:rPr>
                <w:rStyle w:val="kursiv"/>
              </w:rPr>
              <w:t>overførast</w:t>
            </w:r>
            <w:proofErr w:type="spellEnd"/>
          </w:p>
        </w:tc>
        <w:tc>
          <w:tcPr>
            <w:tcW w:w="236" w:type="dxa"/>
          </w:tcPr>
          <w:p w14:paraId="6F1F5A33" w14:textId="77777777" w:rsidR="00B419CE" w:rsidRPr="00B419CE" w:rsidRDefault="00B419CE" w:rsidP="00B32459"/>
        </w:tc>
        <w:tc>
          <w:tcPr>
            <w:tcW w:w="1580" w:type="dxa"/>
          </w:tcPr>
          <w:p w14:paraId="20D449D8" w14:textId="77777777" w:rsidR="00B419CE" w:rsidRPr="00B419CE" w:rsidRDefault="00B419CE" w:rsidP="00B32459">
            <w:pPr>
              <w:jc w:val="right"/>
            </w:pPr>
            <w:r w:rsidRPr="00B419CE">
              <w:t>101 700 000</w:t>
            </w:r>
          </w:p>
        </w:tc>
        <w:tc>
          <w:tcPr>
            <w:tcW w:w="1580" w:type="dxa"/>
          </w:tcPr>
          <w:p w14:paraId="0B21ABEE" w14:textId="77777777" w:rsidR="00B419CE" w:rsidRPr="00B419CE" w:rsidRDefault="00B419CE" w:rsidP="00B32459">
            <w:pPr>
              <w:jc w:val="right"/>
            </w:pPr>
          </w:p>
        </w:tc>
      </w:tr>
      <w:tr w:rsidR="00B419CE" w:rsidRPr="00B419CE" w14:paraId="34FD7633" w14:textId="77777777" w:rsidTr="00B32459">
        <w:trPr>
          <w:trHeight w:val="640"/>
        </w:trPr>
        <w:tc>
          <w:tcPr>
            <w:tcW w:w="846" w:type="dxa"/>
          </w:tcPr>
          <w:p w14:paraId="55368C44" w14:textId="77777777" w:rsidR="00B419CE" w:rsidRPr="00B419CE" w:rsidRDefault="00B419CE" w:rsidP="00B32459"/>
        </w:tc>
        <w:tc>
          <w:tcPr>
            <w:tcW w:w="709" w:type="dxa"/>
          </w:tcPr>
          <w:p w14:paraId="28AFF71A" w14:textId="77777777" w:rsidR="00B419CE" w:rsidRPr="00B419CE" w:rsidRDefault="00B419CE" w:rsidP="00B32459">
            <w:r w:rsidRPr="00B419CE">
              <w:t>70</w:t>
            </w:r>
          </w:p>
        </w:tc>
        <w:tc>
          <w:tcPr>
            <w:tcW w:w="4745" w:type="dxa"/>
          </w:tcPr>
          <w:p w14:paraId="01A77797" w14:textId="77777777" w:rsidR="00B419CE" w:rsidRPr="00B419CE" w:rsidRDefault="00B419CE" w:rsidP="00B32459">
            <w:r w:rsidRPr="00B419CE">
              <w:t xml:space="preserve">Forsking på og allmennopplysning om </w:t>
            </w:r>
            <w:proofErr w:type="spellStart"/>
            <w:r w:rsidRPr="00B419CE">
              <w:t>finansmarknaden</w:t>
            </w:r>
            <w:proofErr w:type="spellEnd"/>
          </w:p>
        </w:tc>
        <w:tc>
          <w:tcPr>
            <w:tcW w:w="236" w:type="dxa"/>
          </w:tcPr>
          <w:p w14:paraId="10A398DA" w14:textId="77777777" w:rsidR="00B419CE" w:rsidRPr="00B419CE" w:rsidRDefault="00B419CE" w:rsidP="00B32459"/>
        </w:tc>
        <w:tc>
          <w:tcPr>
            <w:tcW w:w="1580" w:type="dxa"/>
          </w:tcPr>
          <w:p w14:paraId="6F2B9120" w14:textId="77777777" w:rsidR="00B419CE" w:rsidRPr="00B419CE" w:rsidRDefault="00B419CE" w:rsidP="00B32459">
            <w:pPr>
              <w:jc w:val="right"/>
            </w:pPr>
            <w:r w:rsidRPr="00B419CE">
              <w:t>13 900 000</w:t>
            </w:r>
          </w:p>
        </w:tc>
        <w:tc>
          <w:tcPr>
            <w:tcW w:w="1580" w:type="dxa"/>
          </w:tcPr>
          <w:p w14:paraId="756B6B3A" w14:textId="77777777" w:rsidR="00B419CE" w:rsidRPr="00B419CE" w:rsidRDefault="00B419CE" w:rsidP="00B32459">
            <w:pPr>
              <w:jc w:val="right"/>
            </w:pPr>
            <w:r w:rsidRPr="00B419CE">
              <w:t>531 921 000</w:t>
            </w:r>
          </w:p>
        </w:tc>
      </w:tr>
      <w:tr w:rsidR="00B419CE" w:rsidRPr="00B419CE" w14:paraId="4A49FACD" w14:textId="77777777" w:rsidTr="00B32459">
        <w:trPr>
          <w:trHeight w:val="380"/>
        </w:trPr>
        <w:tc>
          <w:tcPr>
            <w:tcW w:w="846" w:type="dxa"/>
          </w:tcPr>
          <w:p w14:paraId="7AAC4C2E" w14:textId="77777777" w:rsidR="00B419CE" w:rsidRPr="00B419CE" w:rsidRDefault="00B419CE" w:rsidP="00B32459">
            <w:r w:rsidRPr="00B419CE">
              <w:t>1602</w:t>
            </w:r>
          </w:p>
        </w:tc>
        <w:tc>
          <w:tcPr>
            <w:tcW w:w="709" w:type="dxa"/>
          </w:tcPr>
          <w:p w14:paraId="3EF36FC1" w14:textId="77777777" w:rsidR="00B419CE" w:rsidRPr="00B419CE" w:rsidRDefault="00B419CE" w:rsidP="00B32459"/>
        </w:tc>
        <w:tc>
          <w:tcPr>
            <w:tcW w:w="4745" w:type="dxa"/>
          </w:tcPr>
          <w:p w14:paraId="1C132073" w14:textId="77777777" w:rsidR="00B419CE" w:rsidRPr="00B419CE" w:rsidRDefault="00B419CE" w:rsidP="00B32459">
            <w:r w:rsidRPr="00B419CE">
              <w:t>Finanstilsynet</w:t>
            </w:r>
          </w:p>
        </w:tc>
        <w:tc>
          <w:tcPr>
            <w:tcW w:w="236" w:type="dxa"/>
          </w:tcPr>
          <w:p w14:paraId="24D08D62" w14:textId="77777777" w:rsidR="00B419CE" w:rsidRPr="00B419CE" w:rsidRDefault="00B419CE" w:rsidP="00B32459"/>
        </w:tc>
        <w:tc>
          <w:tcPr>
            <w:tcW w:w="1580" w:type="dxa"/>
          </w:tcPr>
          <w:p w14:paraId="6FCCA584" w14:textId="77777777" w:rsidR="00B419CE" w:rsidRPr="00B419CE" w:rsidRDefault="00B419CE" w:rsidP="00B32459">
            <w:pPr>
              <w:jc w:val="right"/>
            </w:pPr>
          </w:p>
        </w:tc>
        <w:tc>
          <w:tcPr>
            <w:tcW w:w="1580" w:type="dxa"/>
          </w:tcPr>
          <w:p w14:paraId="18F6ACA5" w14:textId="77777777" w:rsidR="00B419CE" w:rsidRPr="00B419CE" w:rsidRDefault="00B419CE" w:rsidP="00B32459">
            <w:pPr>
              <w:jc w:val="right"/>
            </w:pPr>
          </w:p>
        </w:tc>
      </w:tr>
      <w:tr w:rsidR="00B419CE" w:rsidRPr="00B419CE" w14:paraId="0E06581C" w14:textId="77777777" w:rsidTr="00B32459">
        <w:trPr>
          <w:trHeight w:val="380"/>
        </w:trPr>
        <w:tc>
          <w:tcPr>
            <w:tcW w:w="846" w:type="dxa"/>
          </w:tcPr>
          <w:p w14:paraId="1327618B" w14:textId="77777777" w:rsidR="00B419CE" w:rsidRPr="00B419CE" w:rsidRDefault="00B419CE" w:rsidP="00B32459"/>
        </w:tc>
        <w:tc>
          <w:tcPr>
            <w:tcW w:w="709" w:type="dxa"/>
          </w:tcPr>
          <w:p w14:paraId="68D5C784" w14:textId="77777777" w:rsidR="00B419CE" w:rsidRPr="00B419CE" w:rsidRDefault="00B419CE" w:rsidP="00B32459">
            <w:r w:rsidRPr="00B419CE">
              <w:t>01</w:t>
            </w:r>
          </w:p>
        </w:tc>
        <w:tc>
          <w:tcPr>
            <w:tcW w:w="4745" w:type="dxa"/>
          </w:tcPr>
          <w:p w14:paraId="6C5411BB" w14:textId="77777777" w:rsidR="00B419CE" w:rsidRPr="00B419CE" w:rsidRDefault="00B419CE" w:rsidP="00B32459">
            <w:r w:rsidRPr="00B419CE">
              <w:t>Driftsutgifter</w:t>
            </w:r>
          </w:p>
        </w:tc>
        <w:tc>
          <w:tcPr>
            <w:tcW w:w="236" w:type="dxa"/>
          </w:tcPr>
          <w:p w14:paraId="703919A8" w14:textId="77777777" w:rsidR="00B419CE" w:rsidRPr="00B419CE" w:rsidRDefault="00B419CE" w:rsidP="00B32459"/>
        </w:tc>
        <w:tc>
          <w:tcPr>
            <w:tcW w:w="1580" w:type="dxa"/>
          </w:tcPr>
          <w:p w14:paraId="599A436E" w14:textId="77777777" w:rsidR="00B419CE" w:rsidRPr="00B419CE" w:rsidRDefault="00B419CE" w:rsidP="00B32459">
            <w:pPr>
              <w:jc w:val="right"/>
            </w:pPr>
            <w:r w:rsidRPr="00B419CE">
              <w:t>440 560 000</w:t>
            </w:r>
          </w:p>
        </w:tc>
        <w:tc>
          <w:tcPr>
            <w:tcW w:w="1580" w:type="dxa"/>
          </w:tcPr>
          <w:p w14:paraId="0E19C77A" w14:textId="77777777" w:rsidR="00B419CE" w:rsidRPr="00B419CE" w:rsidRDefault="00B419CE" w:rsidP="00B32459">
            <w:pPr>
              <w:jc w:val="right"/>
            </w:pPr>
          </w:p>
        </w:tc>
      </w:tr>
      <w:tr w:rsidR="00B419CE" w:rsidRPr="00B419CE" w14:paraId="3D74D940" w14:textId="77777777" w:rsidTr="00B32459">
        <w:trPr>
          <w:trHeight w:val="380"/>
        </w:trPr>
        <w:tc>
          <w:tcPr>
            <w:tcW w:w="846" w:type="dxa"/>
          </w:tcPr>
          <w:p w14:paraId="246ED3E9" w14:textId="77777777" w:rsidR="00B419CE" w:rsidRPr="00B419CE" w:rsidRDefault="00B419CE" w:rsidP="00B32459"/>
        </w:tc>
        <w:tc>
          <w:tcPr>
            <w:tcW w:w="709" w:type="dxa"/>
          </w:tcPr>
          <w:p w14:paraId="4AC44BCA" w14:textId="77777777" w:rsidR="00B419CE" w:rsidRPr="00B419CE" w:rsidRDefault="00B419CE" w:rsidP="00B32459">
            <w:r w:rsidRPr="00B419CE">
              <w:t>45</w:t>
            </w:r>
          </w:p>
        </w:tc>
        <w:tc>
          <w:tcPr>
            <w:tcW w:w="4745" w:type="dxa"/>
          </w:tcPr>
          <w:p w14:paraId="679C5C6C" w14:textId="77777777" w:rsidR="00B419CE" w:rsidRPr="00B419CE" w:rsidRDefault="00B419CE" w:rsidP="00B32459">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236" w:type="dxa"/>
          </w:tcPr>
          <w:p w14:paraId="7492857B" w14:textId="77777777" w:rsidR="00B419CE" w:rsidRPr="00B419CE" w:rsidRDefault="00B419CE" w:rsidP="00B32459"/>
        </w:tc>
        <w:tc>
          <w:tcPr>
            <w:tcW w:w="1580" w:type="dxa"/>
          </w:tcPr>
          <w:p w14:paraId="3417AF41" w14:textId="77777777" w:rsidR="00B419CE" w:rsidRPr="00B419CE" w:rsidRDefault="00B419CE" w:rsidP="00B32459">
            <w:pPr>
              <w:jc w:val="right"/>
            </w:pPr>
            <w:r w:rsidRPr="00B419CE">
              <w:t>35 300 000</w:t>
            </w:r>
          </w:p>
        </w:tc>
        <w:tc>
          <w:tcPr>
            <w:tcW w:w="1580" w:type="dxa"/>
          </w:tcPr>
          <w:p w14:paraId="0BAB15ED" w14:textId="77777777" w:rsidR="00B419CE" w:rsidRPr="00B419CE" w:rsidRDefault="00B419CE" w:rsidP="00B32459">
            <w:pPr>
              <w:jc w:val="right"/>
            </w:pPr>
            <w:r w:rsidRPr="00B419CE">
              <w:t>475 860 000</w:t>
            </w:r>
          </w:p>
        </w:tc>
      </w:tr>
      <w:tr w:rsidR="00B419CE" w:rsidRPr="00B419CE" w14:paraId="6B6862C5" w14:textId="77777777" w:rsidTr="00B32459">
        <w:trPr>
          <w:trHeight w:val="380"/>
        </w:trPr>
        <w:tc>
          <w:tcPr>
            <w:tcW w:w="846" w:type="dxa"/>
          </w:tcPr>
          <w:p w14:paraId="46BF2FE9" w14:textId="77777777" w:rsidR="00B419CE" w:rsidRPr="00B419CE" w:rsidRDefault="00B419CE" w:rsidP="00B32459">
            <w:r w:rsidRPr="00B419CE">
              <w:t>1605</w:t>
            </w:r>
          </w:p>
        </w:tc>
        <w:tc>
          <w:tcPr>
            <w:tcW w:w="709" w:type="dxa"/>
          </w:tcPr>
          <w:p w14:paraId="2F9DD84F" w14:textId="77777777" w:rsidR="00B419CE" w:rsidRPr="00B419CE" w:rsidRDefault="00B419CE" w:rsidP="00B32459"/>
        </w:tc>
        <w:tc>
          <w:tcPr>
            <w:tcW w:w="4745" w:type="dxa"/>
          </w:tcPr>
          <w:p w14:paraId="5580204C" w14:textId="77777777" w:rsidR="00B419CE" w:rsidRPr="00B419CE" w:rsidRDefault="00B419CE" w:rsidP="00B32459">
            <w:r w:rsidRPr="00B419CE">
              <w:t>Direktoratet for forvaltning og økonomistyring</w:t>
            </w:r>
          </w:p>
        </w:tc>
        <w:tc>
          <w:tcPr>
            <w:tcW w:w="236" w:type="dxa"/>
          </w:tcPr>
          <w:p w14:paraId="2F63D608" w14:textId="77777777" w:rsidR="00B419CE" w:rsidRPr="00B419CE" w:rsidRDefault="00B419CE" w:rsidP="00B32459"/>
        </w:tc>
        <w:tc>
          <w:tcPr>
            <w:tcW w:w="1580" w:type="dxa"/>
          </w:tcPr>
          <w:p w14:paraId="2416C341" w14:textId="77777777" w:rsidR="00B419CE" w:rsidRPr="00B419CE" w:rsidRDefault="00B419CE" w:rsidP="00B32459">
            <w:pPr>
              <w:jc w:val="right"/>
            </w:pPr>
          </w:p>
        </w:tc>
        <w:tc>
          <w:tcPr>
            <w:tcW w:w="1580" w:type="dxa"/>
          </w:tcPr>
          <w:p w14:paraId="184D5FFE" w14:textId="77777777" w:rsidR="00B419CE" w:rsidRPr="00B419CE" w:rsidRDefault="00B419CE" w:rsidP="00B32459">
            <w:pPr>
              <w:jc w:val="right"/>
            </w:pPr>
          </w:p>
        </w:tc>
      </w:tr>
      <w:tr w:rsidR="00B419CE" w:rsidRPr="00B419CE" w14:paraId="2039DC79" w14:textId="77777777" w:rsidTr="00B32459">
        <w:trPr>
          <w:trHeight w:val="380"/>
        </w:trPr>
        <w:tc>
          <w:tcPr>
            <w:tcW w:w="846" w:type="dxa"/>
          </w:tcPr>
          <w:p w14:paraId="1EA2150E" w14:textId="77777777" w:rsidR="00B419CE" w:rsidRPr="00B419CE" w:rsidRDefault="00B419CE" w:rsidP="00B32459"/>
        </w:tc>
        <w:tc>
          <w:tcPr>
            <w:tcW w:w="709" w:type="dxa"/>
          </w:tcPr>
          <w:p w14:paraId="4B0E8CBB" w14:textId="77777777" w:rsidR="00B419CE" w:rsidRPr="00B419CE" w:rsidRDefault="00B419CE" w:rsidP="00B32459">
            <w:r w:rsidRPr="00B419CE">
              <w:t>01</w:t>
            </w:r>
          </w:p>
        </w:tc>
        <w:tc>
          <w:tcPr>
            <w:tcW w:w="4745" w:type="dxa"/>
          </w:tcPr>
          <w:p w14:paraId="0839C930" w14:textId="77777777" w:rsidR="00B419CE" w:rsidRPr="00B419CE" w:rsidRDefault="00B419CE" w:rsidP="00B32459">
            <w:r w:rsidRPr="00B419CE">
              <w:t>Driftsutgifter</w:t>
            </w:r>
          </w:p>
        </w:tc>
        <w:tc>
          <w:tcPr>
            <w:tcW w:w="236" w:type="dxa"/>
          </w:tcPr>
          <w:p w14:paraId="2BE7F574" w14:textId="77777777" w:rsidR="00B419CE" w:rsidRPr="00B419CE" w:rsidRDefault="00B419CE" w:rsidP="00B32459"/>
        </w:tc>
        <w:tc>
          <w:tcPr>
            <w:tcW w:w="1580" w:type="dxa"/>
          </w:tcPr>
          <w:p w14:paraId="7CC033C3" w14:textId="77777777" w:rsidR="00B419CE" w:rsidRPr="00B419CE" w:rsidRDefault="00B419CE" w:rsidP="00B32459">
            <w:pPr>
              <w:jc w:val="right"/>
            </w:pPr>
            <w:r w:rsidRPr="00B419CE">
              <w:t>906 109 000</w:t>
            </w:r>
          </w:p>
        </w:tc>
        <w:tc>
          <w:tcPr>
            <w:tcW w:w="1580" w:type="dxa"/>
          </w:tcPr>
          <w:p w14:paraId="748EAAC2" w14:textId="77777777" w:rsidR="00B419CE" w:rsidRPr="00B419CE" w:rsidRDefault="00B419CE" w:rsidP="00B32459">
            <w:pPr>
              <w:jc w:val="right"/>
            </w:pPr>
          </w:p>
        </w:tc>
      </w:tr>
      <w:tr w:rsidR="00B419CE" w:rsidRPr="00B419CE" w14:paraId="05C351D7" w14:textId="77777777" w:rsidTr="00B32459">
        <w:trPr>
          <w:trHeight w:val="380"/>
        </w:trPr>
        <w:tc>
          <w:tcPr>
            <w:tcW w:w="846" w:type="dxa"/>
          </w:tcPr>
          <w:p w14:paraId="66CBDB81" w14:textId="77777777" w:rsidR="00B419CE" w:rsidRPr="00B419CE" w:rsidRDefault="00B419CE" w:rsidP="00B32459"/>
        </w:tc>
        <w:tc>
          <w:tcPr>
            <w:tcW w:w="709" w:type="dxa"/>
          </w:tcPr>
          <w:p w14:paraId="35B0E3FE" w14:textId="77777777" w:rsidR="00B419CE" w:rsidRPr="00B419CE" w:rsidRDefault="00B419CE" w:rsidP="00B32459">
            <w:r w:rsidRPr="00B419CE">
              <w:t>22</w:t>
            </w:r>
          </w:p>
        </w:tc>
        <w:tc>
          <w:tcPr>
            <w:tcW w:w="4745" w:type="dxa"/>
          </w:tcPr>
          <w:p w14:paraId="5E2751FA" w14:textId="77777777" w:rsidR="00B419CE" w:rsidRPr="00B419CE" w:rsidRDefault="00B419CE" w:rsidP="00B32459">
            <w:r w:rsidRPr="00B419CE">
              <w:t>Opplæringskontoret OK stat</w:t>
            </w:r>
          </w:p>
        </w:tc>
        <w:tc>
          <w:tcPr>
            <w:tcW w:w="236" w:type="dxa"/>
          </w:tcPr>
          <w:p w14:paraId="2580C155" w14:textId="77777777" w:rsidR="00B419CE" w:rsidRPr="00B419CE" w:rsidRDefault="00B419CE" w:rsidP="00B32459"/>
        </w:tc>
        <w:tc>
          <w:tcPr>
            <w:tcW w:w="1580" w:type="dxa"/>
          </w:tcPr>
          <w:p w14:paraId="5785A7BA" w14:textId="77777777" w:rsidR="00B419CE" w:rsidRPr="00B419CE" w:rsidRDefault="00B419CE" w:rsidP="00B32459">
            <w:pPr>
              <w:jc w:val="right"/>
            </w:pPr>
            <w:r w:rsidRPr="00B419CE">
              <w:t>9 248 000</w:t>
            </w:r>
          </w:p>
        </w:tc>
        <w:tc>
          <w:tcPr>
            <w:tcW w:w="1580" w:type="dxa"/>
          </w:tcPr>
          <w:p w14:paraId="3D808035" w14:textId="77777777" w:rsidR="00B419CE" w:rsidRPr="00B419CE" w:rsidRDefault="00B419CE" w:rsidP="00B32459">
            <w:pPr>
              <w:jc w:val="right"/>
            </w:pPr>
          </w:p>
        </w:tc>
      </w:tr>
      <w:tr w:rsidR="00B419CE" w:rsidRPr="00B419CE" w14:paraId="5EA48974" w14:textId="77777777" w:rsidTr="00B32459">
        <w:trPr>
          <w:trHeight w:val="380"/>
        </w:trPr>
        <w:tc>
          <w:tcPr>
            <w:tcW w:w="846" w:type="dxa"/>
          </w:tcPr>
          <w:p w14:paraId="31275DC1" w14:textId="77777777" w:rsidR="00B419CE" w:rsidRPr="00B419CE" w:rsidRDefault="00B419CE" w:rsidP="00B32459"/>
        </w:tc>
        <w:tc>
          <w:tcPr>
            <w:tcW w:w="709" w:type="dxa"/>
          </w:tcPr>
          <w:p w14:paraId="4E4474E0" w14:textId="77777777" w:rsidR="00B419CE" w:rsidRPr="00B419CE" w:rsidRDefault="00B419CE" w:rsidP="00B32459">
            <w:r w:rsidRPr="00B419CE">
              <w:t>45</w:t>
            </w:r>
          </w:p>
        </w:tc>
        <w:tc>
          <w:tcPr>
            <w:tcW w:w="4745" w:type="dxa"/>
          </w:tcPr>
          <w:p w14:paraId="3344A552" w14:textId="77777777" w:rsidR="00B419CE" w:rsidRPr="00B419CE" w:rsidRDefault="00B419CE" w:rsidP="00B32459">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236" w:type="dxa"/>
          </w:tcPr>
          <w:p w14:paraId="6B86FC80" w14:textId="77777777" w:rsidR="00B419CE" w:rsidRPr="00B419CE" w:rsidRDefault="00B419CE" w:rsidP="00B32459"/>
        </w:tc>
        <w:tc>
          <w:tcPr>
            <w:tcW w:w="1580" w:type="dxa"/>
          </w:tcPr>
          <w:p w14:paraId="34919FCE" w14:textId="77777777" w:rsidR="00B419CE" w:rsidRPr="00B419CE" w:rsidRDefault="00B419CE" w:rsidP="00B32459">
            <w:pPr>
              <w:jc w:val="right"/>
            </w:pPr>
            <w:r w:rsidRPr="00B419CE">
              <w:t>17 500 000</w:t>
            </w:r>
          </w:p>
        </w:tc>
        <w:tc>
          <w:tcPr>
            <w:tcW w:w="1580" w:type="dxa"/>
          </w:tcPr>
          <w:p w14:paraId="51AC6B7D" w14:textId="77777777" w:rsidR="00B419CE" w:rsidRPr="00B419CE" w:rsidRDefault="00B419CE" w:rsidP="00B32459">
            <w:pPr>
              <w:jc w:val="right"/>
            </w:pPr>
            <w:r w:rsidRPr="00B419CE">
              <w:t>932 857 000</w:t>
            </w:r>
          </w:p>
        </w:tc>
      </w:tr>
      <w:tr w:rsidR="00B419CE" w:rsidRPr="00B419CE" w14:paraId="3AEDF019" w14:textId="77777777" w:rsidTr="00B32459">
        <w:trPr>
          <w:trHeight w:val="380"/>
        </w:trPr>
        <w:tc>
          <w:tcPr>
            <w:tcW w:w="846" w:type="dxa"/>
          </w:tcPr>
          <w:p w14:paraId="693A0852" w14:textId="77777777" w:rsidR="00B419CE" w:rsidRPr="00B419CE" w:rsidRDefault="00B419CE" w:rsidP="00B32459"/>
        </w:tc>
        <w:tc>
          <w:tcPr>
            <w:tcW w:w="709" w:type="dxa"/>
          </w:tcPr>
          <w:p w14:paraId="725E222E" w14:textId="77777777" w:rsidR="00B419CE" w:rsidRPr="00B419CE" w:rsidRDefault="00B419CE" w:rsidP="00B32459"/>
        </w:tc>
        <w:tc>
          <w:tcPr>
            <w:tcW w:w="4745" w:type="dxa"/>
          </w:tcPr>
          <w:p w14:paraId="20522A3C" w14:textId="77777777" w:rsidR="00B419CE" w:rsidRPr="00B419CE" w:rsidRDefault="00B419CE" w:rsidP="00B32459">
            <w:r w:rsidRPr="00B419CE">
              <w:t>Sum Finansadministrasjon</w:t>
            </w:r>
          </w:p>
        </w:tc>
        <w:tc>
          <w:tcPr>
            <w:tcW w:w="236" w:type="dxa"/>
          </w:tcPr>
          <w:p w14:paraId="0B2B0C74" w14:textId="77777777" w:rsidR="00B419CE" w:rsidRPr="00B419CE" w:rsidRDefault="00B419CE" w:rsidP="00B32459"/>
        </w:tc>
        <w:tc>
          <w:tcPr>
            <w:tcW w:w="1580" w:type="dxa"/>
          </w:tcPr>
          <w:p w14:paraId="0D896AA7" w14:textId="77777777" w:rsidR="00B419CE" w:rsidRPr="00B419CE" w:rsidRDefault="00B419CE" w:rsidP="00B32459">
            <w:pPr>
              <w:jc w:val="right"/>
            </w:pPr>
          </w:p>
        </w:tc>
        <w:tc>
          <w:tcPr>
            <w:tcW w:w="1580" w:type="dxa"/>
          </w:tcPr>
          <w:p w14:paraId="6BCD3818" w14:textId="77777777" w:rsidR="00B419CE" w:rsidRPr="00B419CE" w:rsidRDefault="00B419CE" w:rsidP="00B32459">
            <w:pPr>
              <w:jc w:val="right"/>
            </w:pPr>
            <w:r w:rsidRPr="00B419CE">
              <w:t>1 940 638 000</w:t>
            </w:r>
          </w:p>
        </w:tc>
      </w:tr>
      <w:tr w:rsidR="00B419CE" w:rsidRPr="00B419CE" w14:paraId="6492655F" w14:textId="77777777" w:rsidTr="00B32459">
        <w:trPr>
          <w:trHeight w:val="380"/>
        </w:trPr>
        <w:tc>
          <w:tcPr>
            <w:tcW w:w="9696" w:type="dxa"/>
            <w:gridSpan w:val="6"/>
          </w:tcPr>
          <w:p w14:paraId="5520C0D4" w14:textId="77777777" w:rsidR="00B419CE" w:rsidRPr="00B419CE" w:rsidRDefault="00B419CE" w:rsidP="00B32459">
            <w:pPr>
              <w:jc w:val="center"/>
            </w:pPr>
            <w:r w:rsidRPr="00B419CE">
              <w:t>Skatte-, avgifts- og tolladministrasjon</w:t>
            </w:r>
          </w:p>
        </w:tc>
      </w:tr>
      <w:tr w:rsidR="00B419CE" w:rsidRPr="00B419CE" w14:paraId="480B4EAE" w14:textId="77777777" w:rsidTr="00B32459">
        <w:trPr>
          <w:trHeight w:val="380"/>
        </w:trPr>
        <w:tc>
          <w:tcPr>
            <w:tcW w:w="846" w:type="dxa"/>
          </w:tcPr>
          <w:p w14:paraId="5F47DDFA" w14:textId="77777777" w:rsidR="00B419CE" w:rsidRPr="00B419CE" w:rsidRDefault="00B419CE" w:rsidP="00B32459">
            <w:r w:rsidRPr="00B419CE">
              <w:t>1610</w:t>
            </w:r>
          </w:p>
        </w:tc>
        <w:tc>
          <w:tcPr>
            <w:tcW w:w="709" w:type="dxa"/>
          </w:tcPr>
          <w:p w14:paraId="631BB24F" w14:textId="77777777" w:rsidR="00B419CE" w:rsidRPr="00B419CE" w:rsidRDefault="00B419CE" w:rsidP="00B32459"/>
        </w:tc>
        <w:tc>
          <w:tcPr>
            <w:tcW w:w="4745" w:type="dxa"/>
          </w:tcPr>
          <w:p w14:paraId="38946F85" w14:textId="77777777" w:rsidR="00B419CE" w:rsidRPr="00B419CE" w:rsidRDefault="00B419CE" w:rsidP="00B32459">
            <w:r w:rsidRPr="00B419CE">
              <w:t>Tolletaten</w:t>
            </w:r>
          </w:p>
        </w:tc>
        <w:tc>
          <w:tcPr>
            <w:tcW w:w="236" w:type="dxa"/>
          </w:tcPr>
          <w:p w14:paraId="31870D98" w14:textId="77777777" w:rsidR="00B419CE" w:rsidRPr="00B419CE" w:rsidRDefault="00B419CE" w:rsidP="00B32459"/>
        </w:tc>
        <w:tc>
          <w:tcPr>
            <w:tcW w:w="1580" w:type="dxa"/>
          </w:tcPr>
          <w:p w14:paraId="2521569D" w14:textId="77777777" w:rsidR="00B419CE" w:rsidRPr="00B419CE" w:rsidRDefault="00B419CE" w:rsidP="00B32459">
            <w:pPr>
              <w:jc w:val="right"/>
            </w:pPr>
          </w:p>
        </w:tc>
        <w:tc>
          <w:tcPr>
            <w:tcW w:w="1580" w:type="dxa"/>
          </w:tcPr>
          <w:p w14:paraId="0B048913" w14:textId="77777777" w:rsidR="00B419CE" w:rsidRPr="00B419CE" w:rsidRDefault="00B419CE" w:rsidP="00B32459">
            <w:pPr>
              <w:jc w:val="right"/>
            </w:pPr>
          </w:p>
        </w:tc>
      </w:tr>
      <w:tr w:rsidR="00B419CE" w:rsidRPr="00B419CE" w14:paraId="72E74F7F" w14:textId="77777777" w:rsidTr="00B32459">
        <w:trPr>
          <w:trHeight w:val="380"/>
        </w:trPr>
        <w:tc>
          <w:tcPr>
            <w:tcW w:w="846" w:type="dxa"/>
          </w:tcPr>
          <w:p w14:paraId="74D64C90" w14:textId="77777777" w:rsidR="00B419CE" w:rsidRPr="00B419CE" w:rsidRDefault="00B419CE" w:rsidP="00B32459"/>
        </w:tc>
        <w:tc>
          <w:tcPr>
            <w:tcW w:w="709" w:type="dxa"/>
          </w:tcPr>
          <w:p w14:paraId="5C442AF8" w14:textId="77777777" w:rsidR="00B419CE" w:rsidRPr="00B419CE" w:rsidRDefault="00B419CE" w:rsidP="00B32459">
            <w:r w:rsidRPr="00B419CE">
              <w:t>01</w:t>
            </w:r>
          </w:p>
        </w:tc>
        <w:tc>
          <w:tcPr>
            <w:tcW w:w="4745" w:type="dxa"/>
          </w:tcPr>
          <w:p w14:paraId="3E315345" w14:textId="77777777" w:rsidR="00B419CE" w:rsidRPr="00B419CE" w:rsidRDefault="00B419CE" w:rsidP="00B32459">
            <w:r w:rsidRPr="00B419CE">
              <w:t>Driftsutgifter</w:t>
            </w:r>
          </w:p>
        </w:tc>
        <w:tc>
          <w:tcPr>
            <w:tcW w:w="236" w:type="dxa"/>
          </w:tcPr>
          <w:p w14:paraId="05545C7B" w14:textId="77777777" w:rsidR="00B419CE" w:rsidRPr="00B419CE" w:rsidRDefault="00B419CE" w:rsidP="00B32459"/>
        </w:tc>
        <w:tc>
          <w:tcPr>
            <w:tcW w:w="1580" w:type="dxa"/>
          </w:tcPr>
          <w:p w14:paraId="106C8911" w14:textId="77777777" w:rsidR="00B419CE" w:rsidRPr="00B419CE" w:rsidRDefault="00B419CE" w:rsidP="00B32459">
            <w:pPr>
              <w:jc w:val="right"/>
            </w:pPr>
            <w:r w:rsidRPr="00B419CE">
              <w:t>1 627 407 000</w:t>
            </w:r>
          </w:p>
        </w:tc>
        <w:tc>
          <w:tcPr>
            <w:tcW w:w="1580" w:type="dxa"/>
          </w:tcPr>
          <w:p w14:paraId="2ED3155D" w14:textId="77777777" w:rsidR="00B419CE" w:rsidRPr="00B419CE" w:rsidRDefault="00B419CE" w:rsidP="00B32459">
            <w:pPr>
              <w:jc w:val="right"/>
            </w:pPr>
          </w:p>
        </w:tc>
      </w:tr>
      <w:tr w:rsidR="00B419CE" w:rsidRPr="00B419CE" w14:paraId="7CA8C65D" w14:textId="77777777" w:rsidTr="00B32459">
        <w:trPr>
          <w:trHeight w:val="380"/>
        </w:trPr>
        <w:tc>
          <w:tcPr>
            <w:tcW w:w="846" w:type="dxa"/>
          </w:tcPr>
          <w:p w14:paraId="2EE1BC9D" w14:textId="77777777" w:rsidR="00B419CE" w:rsidRPr="00B419CE" w:rsidRDefault="00B419CE" w:rsidP="00B32459"/>
        </w:tc>
        <w:tc>
          <w:tcPr>
            <w:tcW w:w="709" w:type="dxa"/>
          </w:tcPr>
          <w:p w14:paraId="250DA815" w14:textId="77777777" w:rsidR="00B419CE" w:rsidRPr="00B419CE" w:rsidRDefault="00B419CE" w:rsidP="00B32459">
            <w:r w:rsidRPr="00B419CE">
              <w:t>45</w:t>
            </w:r>
          </w:p>
        </w:tc>
        <w:tc>
          <w:tcPr>
            <w:tcW w:w="4745" w:type="dxa"/>
          </w:tcPr>
          <w:p w14:paraId="17F5E754" w14:textId="77777777" w:rsidR="00B419CE" w:rsidRPr="00B419CE" w:rsidRDefault="00B419CE" w:rsidP="00B32459">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236" w:type="dxa"/>
          </w:tcPr>
          <w:p w14:paraId="4FB82FBF" w14:textId="77777777" w:rsidR="00B419CE" w:rsidRPr="00B419CE" w:rsidRDefault="00B419CE" w:rsidP="00B32459"/>
        </w:tc>
        <w:tc>
          <w:tcPr>
            <w:tcW w:w="1580" w:type="dxa"/>
          </w:tcPr>
          <w:p w14:paraId="680C8EFF" w14:textId="77777777" w:rsidR="00B419CE" w:rsidRPr="00B419CE" w:rsidRDefault="00B419CE" w:rsidP="00B32459">
            <w:pPr>
              <w:jc w:val="right"/>
            </w:pPr>
            <w:r w:rsidRPr="00B419CE">
              <w:t>166 700 000</w:t>
            </w:r>
          </w:p>
        </w:tc>
        <w:tc>
          <w:tcPr>
            <w:tcW w:w="1580" w:type="dxa"/>
          </w:tcPr>
          <w:p w14:paraId="44D6B9F5" w14:textId="77777777" w:rsidR="00B419CE" w:rsidRPr="00B419CE" w:rsidRDefault="00B419CE" w:rsidP="00B32459">
            <w:pPr>
              <w:jc w:val="right"/>
            </w:pPr>
            <w:r w:rsidRPr="00B419CE">
              <w:t>1 794 107 000</w:t>
            </w:r>
          </w:p>
        </w:tc>
      </w:tr>
      <w:tr w:rsidR="00B419CE" w:rsidRPr="00B419CE" w14:paraId="094AE504" w14:textId="77777777" w:rsidTr="00B32459">
        <w:trPr>
          <w:trHeight w:val="380"/>
        </w:trPr>
        <w:tc>
          <w:tcPr>
            <w:tcW w:w="846" w:type="dxa"/>
          </w:tcPr>
          <w:p w14:paraId="71CEE03C" w14:textId="77777777" w:rsidR="00B419CE" w:rsidRPr="00B419CE" w:rsidRDefault="00B419CE" w:rsidP="00B32459">
            <w:r w:rsidRPr="00B419CE">
              <w:t>1618</w:t>
            </w:r>
          </w:p>
        </w:tc>
        <w:tc>
          <w:tcPr>
            <w:tcW w:w="709" w:type="dxa"/>
          </w:tcPr>
          <w:p w14:paraId="287D40C7" w14:textId="77777777" w:rsidR="00B419CE" w:rsidRPr="00B419CE" w:rsidRDefault="00B419CE" w:rsidP="00B32459"/>
        </w:tc>
        <w:tc>
          <w:tcPr>
            <w:tcW w:w="4745" w:type="dxa"/>
          </w:tcPr>
          <w:p w14:paraId="682AEA2F" w14:textId="77777777" w:rsidR="00B419CE" w:rsidRPr="00B419CE" w:rsidRDefault="00B419CE" w:rsidP="00B32459">
            <w:r w:rsidRPr="00B419CE">
              <w:t>Skatteetaten</w:t>
            </w:r>
          </w:p>
        </w:tc>
        <w:tc>
          <w:tcPr>
            <w:tcW w:w="236" w:type="dxa"/>
          </w:tcPr>
          <w:p w14:paraId="5166E963" w14:textId="77777777" w:rsidR="00B419CE" w:rsidRPr="00B419CE" w:rsidRDefault="00B419CE" w:rsidP="00B32459"/>
        </w:tc>
        <w:tc>
          <w:tcPr>
            <w:tcW w:w="1580" w:type="dxa"/>
          </w:tcPr>
          <w:p w14:paraId="74144C69" w14:textId="77777777" w:rsidR="00B419CE" w:rsidRPr="00B419CE" w:rsidRDefault="00B419CE" w:rsidP="00B32459">
            <w:pPr>
              <w:jc w:val="right"/>
            </w:pPr>
          </w:p>
        </w:tc>
        <w:tc>
          <w:tcPr>
            <w:tcW w:w="1580" w:type="dxa"/>
          </w:tcPr>
          <w:p w14:paraId="49C442FE" w14:textId="77777777" w:rsidR="00B419CE" w:rsidRPr="00B419CE" w:rsidRDefault="00B419CE" w:rsidP="00B32459">
            <w:pPr>
              <w:jc w:val="right"/>
            </w:pPr>
          </w:p>
        </w:tc>
      </w:tr>
      <w:tr w:rsidR="00B419CE" w:rsidRPr="00B419CE" w14:paraId="71BBB19A" w14:textId="77777777" w:rsidTr="00B32459">
        <w:trPr>
          <w:trHeight w:val="380"/>
        </w:trPr>
        <w:tc>
          <w:tcPr>
            <w:tcW w:w="846" w:type="dxa"/>
          </w:tcPr>
          <w:p w14:paraId="19407CA8" w14:textId="77777777" w:rsidR="00B419CE" w:rsidRPr="00B419CE" w:rsidRDefault="00B419CE" w:rsidP="00B32459"/>
        </w:tc>
        <w:tc>
          <w:tcPr>
            <w:tcW w:w="709" w:type="dxa"/>
          </w:tcPr>
          <w:p w14:paraId="59FB0754" w14:textId="77777777" w:rsidR="00B419CE" w:rsidRPr="00B419CE" w:rsidRDefault="00B419CE" w:rsidP="00B32459">
            <w:r w:rsidRPr="00B419CE">
              <w:t>01</w:t>
            </w:r>
          </w:p>
        </w:tc>
        <w:tc>
          <w:tcPr>
            <w:tcW w:w="4745" w:type="dxa"/>
          </w:tcPr>
          <w:p w14:paraId="0E551A9A" w14:textId="77777777" w:rsidR="00B419CE" w:rsidRPr="00B419CE" w:rsidRDefault="00B419CE" w:rsidP="00B32459">
            <w:r w:rsidRPr="00B419CE">
              <w:t>Driftsutgifter</w:t>
            </w:r>
          </w:p>
        </w:tc>
        <w:tc>
          <w:tcPr>
            <w:tcW w:w="236" w:type="dxa"/>
          </w:tcPr>
          <w:p w14:paraId="71EA4DCC" w14:textId="77777777" w:rsidR="00B419CE" w:rsidRPr="00B419CE" w:rsidRDefault="00B419CE" w:rsidP="00B32459"/>
        </w:tc>
        <w:tc>
          <w:tcPr>
            <w:tcW w:w="1580" w:type="dxa"/>
          </w:tcPr>
          <w:p w14:paraId="44B792BB" w14:textId="77777777" w:rsidR="00B419CE" w:rsidRPr="00B419CE" w:rsidRDefault="00B419CE" w:rsidP="00B32459">
            <w:pPr>
              <w:jc w:val="right"/>
            </w:pPr>
            <w:r w:rsidRPr="00B419CE">
              <w:t>7 102 061 000</w:t>
            </w:r>
          </w:p>
        </w:tc>
        <w:tc>
          <w:tcPr>
            <w:tcW w:w="1580" w:type="dxa"/>
          </w:tcPr>
          <w:p w14:paraId="5184E115" w14:textId="77777777" w:rsidR="00B419CE" w:rsidRPr="00B419CE" w:rsidRDefault="00B419CE" w:rsidP="00B32459">
            <w:pPr>
              <w:jc w:val="right"/>
            </w:pPr>
          </w:p>
        </w:tc>
      </w:tr>
      <w:tr w:rsidR="00B419CE" w:rsidRPr="00B419CE" w14:paraId="5604FC4E" w14:textId="77777777" w:rsidTr="00B32459">
        <w:trPr>
          <w:trHeight w:val="380"/>
        </w:trPr>
        <w:tc>
          <w:tcPr>
            <w:tcW w:w="846" w:type="dxa"/>
          </w:tcPr>
          <w:p w14:paraId="48994C05" w14:textId="77777777" w:rsidR="00B419CE" w:rsidRPr="00B419CE" w:rsidRDefault="00B419CE" w:rsidP="00B32459"/>
        </w:tc>
        <w:tc>
          <w:tcPr>
            <w:tcW w:w="709" w:type="dxa"/>
          </w:tcPr>
          <w:p w14:paraId="3C062506" w14:textId="77777777" w:rsidR="00B419CE" w:rsidRPr="00B419CE" w:rsidRDefault="00B419CE" w:rsidP="00B32459">
            <w:r w:rsidRPr="00B419CE">
              <w:t>21</w:t>
            </w:r>
          </w:p>
        </w:tc>
        <w:tc>
          <w:tcPr>
            <w:tcW w:w="4745" w:type="dxa"/>
          </w:tcPr>
          <w:p w14:paraId="52C71C6A" w14:textId="77777777" w:rsidR="00B419CE" w:rsidRPr="00B419CE" w:rsidRDefault="00B419CE" w:rsidP="00B32459">
            <w:r w:rsidRPr="00B419CE">
              <w:t>Spesielle driftsutgifter</w:t>
            </w:r>
          </w:p>
        </w:tc>
        <w:tc>
          <w:tcPr>
            <w:tcW w:w="236" w:type="dxa"/>
          </w:tcPr>
          <w:p w14:paraId="3B99E20E" w14:textId="77777777" w:rsidR="00B419CE" w:rsidRPr="00B419CE" w:rsidRDefault="00B419CE" w:rsidP="00B32459"/>
        </w:tc>
        <w:tc>
          <w:tcPr>
            <w:tcW w:w="1580" w:type="dxa"/>
          </w:tcPr>
          <w:p w14:paraId="1981FADF" w14:textId="77777777" w:rsidR="00B419CE" w:rsidRPr="00B419CE" w:rsidRDefault="00B419CE" w:rsidP="00B32459">
            <w:pPr>
              <w:jc w:val="right"/>
            </w:pPr>
            <w:r w:rsidRPr="00B419CE">
              <w:t>264 800 000</w:t>
            </w:r>
          </w:p>
        </w:tc>
        <w:tc>
          <w:tcPr>
            <w:tcW w:w="1580" w:type="dxa"/>
          </w:tcPr>
          <w:p w14:paraId="2A81F0F0" w14:textId="77777777" w:rsidR="00B419CE" w:rsidRPr="00B419CE" w:rsidRDefault="00B419CE" w:rsidP="00B32459">
            <w:pPr>
              <w:jc w:val="right"/>
            </w:pPr>
          </w:p>
        </w:tc>
      </w:tr>
      <w:tr w:rsidR="00B419CE" w:rsidRPr="00B419CE" w14:paraId="1D4EDDD4" w14:textId="77777777" w:rsidTr="00B32459">
        <w:trPr>
          <w:trHeight w:val="380"/>
        </w:trPr>
        <w:tc>
          <w:tcPr>
            <w:tcW w:w="846" w:type="dxa"/>
          </w:tcPr>
          <w:p w14:paraId="1850235D" w14:textId="77777777" w:rsidR="00B419CE" w:rsidRPr="00B419CE" w:rsidRDefault="00B419CE" w:rsidP="00B32459"/>
        </w:tc>
        <w:tc>
          <w:tcPr>
            <w:tcW w:w="709" w:type="dxa"/>
          </w:tcPr>
          <w:p w14:paraId="55697742" w14:textId="77777777" w:rsidR="00B419CE" w:rsidRPr="00B419CE" w:rsidRDefault="00B419CE" w:rsidP="00B32459">
            <w:r w:rsidRPr="00B419CE">
              <w:t>22</w:t>
            </w:r>
          </w:p>
        </w:tc>
        <w:tc>
          <w:tcPr>
            <w:tcW w:w="4745" w:type="dxa"/>
          </w:tcPr>
          <w:p w14:paraId="4A10FBF6" w14:textId="77777777" w:rsidR="00B419CE" w:rsidRPr="00B419CE" w:rsidRDefault="00B419CE" w:rsidP="00B32459">
            <w:r w:rsidRPr="00B419CE">
              <w:t>Større IT-prosjekt</w:t>
            </w:r>
            <w:r w:rsidRPr="00B419CE">
              <w:rPr>
                <w:rStyle w:val="kursiv"/>
              </w:rPr>
              <w:t xml:space="preserve">, kan </w:t>
            </w:r>
            <w:proofErr w:type="spellStart"/>
            <w:r w:rsidRPr="00B419CE">
              <w:rPr>
                <w:rStyle w:val="kursiv"/>
              </w:rPr>
              <w:t>overførast</w:t>
            </w:r>
            <w:proofErr w:type="spellEnd"/>
          </w:p>
        </w:tc>
        <w:tc>
          <w:tcPr>
            <w:tcW w:w="236" w:type="dxa"/>
          </w:tcPr>
          <w:p w14:paraId="089EF62B" w14:textId="77777777" w:rsidR="00B419CE" w:rsidRPr="00B419CE" w:rsidRDefault="00B419CE" w:rsidP="00B32459"/>
        </w:tc>
        <w:tc>
          <w:tcPr>
            <w:tcW w:w="1580" w:type="dxa"/>
          </w:tcPr>
          <w:p w14:paraId="55569561" w14:textId="77777777" w:rsidR="00B419CE" w:rsidRPr="00B419CE" w:rsidRDefault="00B419CE" w:rsidP="00B32459">
            <w:pPr>
              <w:jc w:val="right"/>
            </w:pPr>
            <w:r w:rsidRPr="00B419CE">
              <w:t>616 800 000</w:t>
            </w:r>
          </w:p>
        </w:tc>
        <w:tc>
          <w:tcPr>
            <w:tcW w:w="1580" w:type="dxa"/>
          </w:tcPr>
          <w:p w14:paraId="75AD8832" w14:textId="77777777" w:rsidR="00B419CE" w:rsidRPr="00B419CE" w:rsidRDefault="00B419CE" w:rsidP="00B32459">
            <w:pPr>
              <w:jc w:val="right"/>
            </w:pPr>
          </w:p>
        </w:tc>
      </w:tr>
      <w:tr w:rsidR="00B419CE" w:rsidRPr="00B419CE" w14:paraId="6599D409" w14:textId="77777777" w:rsidTr="00B32459">
        <w:trPr>
          <w:trHeight w:val="380"/>
        </w:trPr>
        <w:tc>
          <w:tcPr>
            <w:tcW w:w="846" w:type="dxa"/>
          </w:tcPr>
          <w:p w14:paraId="75A0C4A3" w14:textId="77777777" w:rsidR="00B419CE" w:rsidRPr="00B419CE" w:rsidRDefault="00B419CE" w:rsidP="00B32459"/>
        </w:tc>
        <w:tc>
          <w:tcPr>
            <w:tcW w:w="709" w:type="dxa"/>
          </w:tcPr>
          <w:p w14:paraId="33A48B04" w14:textId="77777777" w:rsidR="00B419CE" w:rsidRPr="00B419CE" w:rsidRDefault="00B419CE" w:rsidP="00B32459">
            <w:r w:rsidRPr="00B419CE">
              <w:t>23</w:t>
            </w:r>
          </w:p>
        </w:tc>
        <w:tc>
          <w:tcPr>
            <w:tcW w:w="4745" w:type="dxa"/>
          </w:tcPr>
          <w:p w14:paraId="4A75DE36" w14:textId="77777777" w:rsidR="00B419CE" w:rsidRPr="00B419CE" w:rsidRDefault="00B419CE" w:rsidP="00B32459">
            <w:r w:rsidRPr="00B419CE">
              <w:t>Spesielle driftsutgifter, a-ordninga</w:t>
            </w:r>
          </w:p>
        </w:tc>
        <w:tc>
          <w:tcPr>
            <w:tcW w:w="236" w:type="dxa"/>
          </w:tcPr>
          <w:p w14:paraId="26DA9B94" w14:textId="77777777" w:rsidR="00B419CE" w:rsidRPr="00B419CE" w:rsidRDefault="00B419CE" w:rsidP="00B32459"/>
        </w:tc>
        <w:tc>
          <w:tcPr>
            <w:tcW w:w="1580" w:type="dxa"/>
          </w:tcPr>
          <w:p w14:paraId="2B8F4E10" w14:textId="77777777" w:rsidR="00B419CE" w:rsidRPr="00B419CE" w:rsidRDefault="00B419CE" w:rsidP="00B32459">
            <w:pPr>
              <w:jc w:val="right"/>
            </w:pPr>
            <w:r w:rsidRPr="00B419CE">
              <w:t>97 638 000</w:t>
            </w:r>
          </w:p>
        </w:tc>
        <w:tc>
          <w:tcPr>
            <w:tcW w:w="1580" w:type="dxa"/>
          </w:tcPr>
          <w:p w14:paraId="33B298BA" w14:textId="77777777" w:rsidR="00B419CE" w:rsidRPr="00B419CE" w:rsidRDefault="00B419CE" w:rsidP="00B32459">
            <w:pPr>
              <w:jc w:val="right"/>
            </w:pPr>
          </w:p>
        </w:tc>
      </w:tr>
      <w:tr w:rsidR="00B419CE" w:rsidRPr="00B419CE" w14:paraId="34D6020E" w14:textId="77777777" w:rsidTr="00B32459">
        <w:trPr>
          <w:trHeight w:val="380"/>
        </w:trPr>
        <w:tc>
          <w:tcPr>
            <w:tcW w:w="846" w:type="dxa"/>
          </w:tcPr>
          <w:p w14:paraId="59684D83" w14:textId="77777777" w:rsidR="00B419CE" w:rsidRPr="00B419CE" w:rsidRDefault="00B419CE" w:rsidP="00B32459"/>
        </w:tc>
        <w:tc>
          <w:tcPr>
            <w:tcW w:w="709" w:type="dxa"/>
          </w:tcPr>
          <w:p w14:paraId="1172782E" w14:textId="77777777" w:rsidR="00B419CE" w:rsidRPr="00B419CE" w:rsidRDefault="00B419CE" w:rsidP="00B32459">
            <w:r w:rsidRPr="00B419CE">
              <w:t>45</w:t>
            </w:r>
          </w:p>
        </w:tc>
        <w:tc>
          <w:tcPr>
            <w:tcW w:w="4745" w:type="dxa"/>
          </w:tcPr>
          <w:p w14:paraId="6F792B2A" w14:textId="77777777" w:rsidR="00B419CE" w:rsidRPr="00B419CE" w:rsidRDefault="00B419CE" w:rsidP="00B32459">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236" w:type="dxa"/>
          </w:tcPr>
          <w:p w14:paraId="1679DBC7" w14:textId="77777777" w:rsidR="00B419CE" w:rsidRPr="00B419CE" w:rsidRDefault="00B419CE" w:rsidP="00B32459"/>
        </w:tc>
        <w:tc>
          <w:tcPr>
            <w:tcW w:w="1580" w:type="dxa"/>
          </w:tcPr>
          <w:p w14:paraId="5BF11BF6" w14:textId="77777777" w:rsidR="00B419CE" w:rsidRPr="00B419CE" w:rsidRDefault="00B419CE" w:rsidP="00B32459">
            <w:pPr>
              <w:jc w:val="right"/>
            </w:pPr>
            <w:r w:rsidRPr="00B419CE">
              <w:t>143 400 000</w:t>
            </w:r>
          </w:p>
        </w:tc>
        <w:tc>
          <w:tcPr>
            <w:tcW w:w="1580" w:type="dxa"/>
          </w:tcPr>
          <w:p w14:paraId="4BCA8ED3" w14:textId="77777777" w:rsidR="00B419CE" w:rsidRPr="00B419CE" w:rsidRDefault="00B419CE" w:rsidP="00B32459">
            <w:pPr>
              <w:jc w:val="right"/>
            </w:pPr>
          </w:p>
        </w:tc>
      </w:tr>
      <w:tr w:rsidR="00B419CE" w:rsidRPr="00B419CE" w14:paraId="7ECE1E81" w14:textId="77777777" w:rsidTr="00B32459">
        <w:trPr>
          <w:trHeight w:val="380"/>
        </w:trPr>
        <w:tc>
          <w:tcPr>
            <w:tcW w:w="846" w:type="dxa"/>
          </w:tcPr>
          <w:p w14:paraId="11199EEB" w14:textId="77777777" w:rsidR="00B419CE" w:rsidRPr="00B419CE" w:rsidRDefault="00B419CE" w:rsidP="00B32459"/>
        </w:tc>
        <w:tc>
          <w:tcPr>
            <w:tcW w:w="709" w:type="dxa"/>
          </w:tcPr>
          <w:p w14:paraId="1EF249F5" w14:textId="77777777" w:rsidR="00B419CE" w:rsidRPr="00B419CE" w:rsidRDefault="00B419CE" w:rsidP="00B32459">
            <w:r w:rsidRPr="00B419CE">
              <w:t>70</w:t>
            </w:r>
          </w:p>
        </w:tc>
        <w:tc>
          <w:tcPr>
            <w:tcW w:w="4745" w:type="dxa"/>
          </w:tcPr>
          <w:p w14:paraId="500BF267" w14:textId="77777777" w:rsidR="00B419CE" w:rsidRPr="00B419CE" w:rsidRDefault="00B419CE" w:rsidP="00B32459">
            <w:proofErr w:type="spellStart"/>
            <w:r w:rsidRPr="00B419CE">
              <w:t>Tilskot</w:t>
            </w:r>
            <w:proofErr w:type="spellEnd"/>
          </w:p>
        </w:tc>
        <w:tc>
          <w:tcPr>
            <w:tcW w:w="236" w:type="dxa"/>
          </w:tcPr>
          <w:p w14:paraId="755F2E4F" w14:textId="77777777" w:rsidR="00B419CE" w:rsidRPr="00B419CE" w:rsidRDefault="00B419CE" w:rsidP="00B32459"/>
        </w:tc>
        <w:tc>
          <w:tcPr>
            <w:tcW w:w="1580" w:type="dxa"/>
          </w:tcPr>
          <w:p w14:paraId="5F80852F" w14:textId="77777777" w:rsidR="00B419CE" w:rsidRPr="00B419CE" w:rsidRDefault="00B419CE" w:rsidP="00B32459">
            <w:pPr>
              <w:jc w:val="right"/>
            </w:pPr>
            <w:r w:rsidRPr="00B419CE">
              <w:t>6 433 000</w:t>
            </w:r>
          </w:p>
        </w:tc>
        <w:tc>
          <w:tcPr>
            <w:tcW w:w="1580" w:type="dxa"/>
          </w:tcPr>
          <w:p w14:paraId="608238E9" w14:textId="77777777" w:rsidR="00B419CE" w:rsidRPr="00B419CE" w:rsidRDefault="00B419CE" w:rsidP="00B32459">
            <w:pPr>
              <w:jc w:val="right"/>
            </w:pPr>
            <w:r w:rsidRPr="00B419CE">
              <w:t>8 231 132 000</w:t>
            </w:r>
          </w:p>
        </w:tc>
      </w:tr>
      <w:tr w:rsidR="00B419CE" w:rsidRPr="00B419CE" w14:paraId="16F6B14D" w14:textId="77777777" w:rsidTr="00B32459">
        <w:trPr>
          <w:trHeight w:val="380"/>
        </w:trPr>
        <w:tc>
          <w:tcPr>
            <w:tcW w:w="846" w:type="dxa"/>
          </w:tcPr>
          <w:p w14:paraId="44752F3A" w14:textId="77777777" w:rsidR="00B419CE" w:rsidRPr="00B419CE" w:rsidRDefault="00B419CE" w:rsidP="00B32459">
            <w:r w:rsidRPr="00B419CE">
              <w:t>1619</w:t>
            </w:r>
          </w:p>
        </w:tc>
        <w:tc>
          <w:tcPr>
            <w:tcW w:w="709" w:type="dxa"/>
          </w:tcPr>
          <w:p w14:paraId="5EA1A15B" w14:textId="77777777" w:rsidR="00B419CE" w:rsidRPr="00B419CE" w:rsidRDefault="00B419CE" w:rsidP="00B32459"/>
        </w:tc>
        <w:tc>
          <w:tcPr>
            <w:tcW w:w="4745" w:type="dxa"/>
          </w:tcPr>
          <w:p w14:paraId="79B7FF5D" w14:textId="77777777" w:rsidR="00B419CE" w:rsidRPr="00B419CE" w:rsidRDefault="00B419CE" w:rsidP="00B32459">
            <w:r w:rsidRPr="00B419CE">
              <w:t>Skatteklagenemnda</w:t>
            </w:r>
          </w:p>
        </w:tc>
        <w:tc>
          <w:tcPr>
            <w:tcW w:w="236" w:type="dxa"/>
          </w:tcPr>
          <w:p w14:paraId="22CC94CA" w14:textId="77777777" w:rsidR="00B419CE" w:rsidRPr="00B419CE" w:rsidRDefault="00B419CE" w:rsidP="00B32459"/>
        </w:tc>
        <w:tc>
          <w:tcPr>
            <w:tcW w:w="1580" w:type="dxa"/>
          </w:tcPr>
          <w:p w14:paraId="1D74C28E" w14:textId="77777777" w:rsidR="00B419CE" w:rsidRPr="00B419CE" w:rsidRDefault="00B419CE" w:rsidP="00B32459">
            <w:pPr>
              <w:jc w:val="right"/>
            </w:pPr>
          </w:p>
        </w:tc>
        <w:tc>
          <w:tcPr>
            <w:tcW w:w="1580" w:type="dxa"/>
          </w:tcPr>
          <w:p w14:paraId="23588BC4" w14:textId="77777777" w:rsidR="00B419CE" w:rsidRPr="00B419CE" w:rsidRDefault="00B419CE" w:rsidP="00B32459">
            <w:pPr>
              <w:jc w:val="right"/>
            </w:pPr>
          </w:p>
        </w:tc>
      </w:tr>
      <w:tr w:rsidR="00B419CE" w:rsidRPr="00B419CE" w14:paraId="43F5E03B" w14:textId="77777777" w:rsidTr="00B32459">
        <w:trPr>
          <w:trHeight w:val="380"/>
        </w:trPr>
        <w:tc>
          <w:tcPr>
            <w:tcW w:w="846" w:type="dxa"/>
          </w:tcPr>
          <w:p w14:paraId="10FC9B4F" w14:textId="77777777" w:rsidR="00B419CE" w:rsidRPr="00B419CE" w:rsidRDefault="00B419CE" w:rsidP="00B32459"/>
        </w:tc>
        <w:tc>
          <w:tcPr>
            <w:tcW w:w="709" w:type="dxa"/>
          </w:tcPr>
          <w:p w14:paraId="45DEF25A" w14:textId="77777777" w:rsidR="00B419CE" w:rsidRPr="00B419CE" w:rsidRDefault="00B419CE" w:rsidP="00B32459">
            <w:r w:rsidRPr="00B419CE">
              <w:t>01</w:t>
            </w:r>
          </w:p>
        </w:tc>
        <w:tc>
          <w:tcPr>
            <w:tcW w:w="4745" w:type="dxa"/>
          </w:tcPr>
          <w:p w14:paraId="15043992" w14:textId="77777777" w:rsidR="00B419CE" w:rsidRPr="00B419CE" w:rsidRDefault="00B419CE" w:rsidP="00B32459">
            <w:r w:rsidRPr="00B419CE">
              <w:t>Driftsutgifter</w:t>
            </w:r>
          </w:p>
        </w:tc>
        <w:tc>
          <w:tcPr>
            <w:tcW w:w="236" w:type="dxa"/>
          </w:tcPr>
          <w:p w14:paraId="5E214578" w14:textId="77777777" w:rsidR="00B419CE" w:rsidRPr="00B419CE" w:rsidRDefault="00B419CE" w:rsidP="00B32459"/>
        </w:tc>
        <w:tc>
          <w:tcPr>
            <w:tcW w:w="1580" w:type="dxa"/>
          </w:tcPr>
          <w:p w14:paraId="3D72E59C" w14:textId="77777777" w:rsidR="00B419CE" w:rsidRPr="00B419CE" w:rsidRDefault="00B419CE" w:rsidP="00B32459">
            <w:pPr>
              <w:jc w:val="right"/>
            </w:pPr>
            <w:r w:rsidRPr="00B419CE">
              <w:t>72 090 000</w:t>
            </w:r>
          </w:p>
        </w:tc>
        <w:tc>
          <w:tcPr>
            <w:tcW w:w="1580" w:type="dxa"/>
          </w:tcPr>
          <w:p w14:paraId="7BDF636A" w14:textId="77777777" w:rsidR="00B419CE" w:rsidRPr="00B419CE" w:rsidRDefault="00B419CE" w:rsidP="00B32459">
            <w:pPr>
              <w:jc w:val="right"/>
            </w:pPr>
            <w:r w:rsidRPr="00B419CE">
              <w:t>72 090 000</w:t>
            </w:r>
          </w:p>
        </w:tc>
      </w:tr>
      <w:tr w:rsidR="00B419CE" w:rsidRPr="00B419CE" w14:paraId="44CA57D3" w14:textId="77777777" w:rsidTr="00B32459">
        <w:trPr>
          <w:trHeight w:val="380"/>
        </w:trPr>
        <w:tc>
          <w:tcPr>
            <w:tcW w:w="846" w:type="dxa"/>
          </w:tcPr>
          <w:p w14:paraId="4AA801B0" w14:textId="77777777" w:rsidR="00B419CE" w:rsidRPr="00B419CE" w:rsidRDefault="00B419CE" w:rsidP="00B32459"/>
        </w:tc>
        <w:tc>
          <w:tcPr>
            <w:tcW w:w="709" w:type="dxa"/>
          </w:tcPr>
          <w:p w14:paraId="2A559701" w14:textId="77777777" w:rsidR="00B419CE" w:rsidRPr="00B419CE" w:rsidRDefault="00B419CE" w:rsidP="00B32459"/>
        </w:tc>
        <w:tc>
          <w:tcPr>
            <w:tcW w:w="4745" w:type="dxa"/>
          </w:tcPr>
          <w:p w14:paraId="308EC194" w14:textId="77777777" w:rsidR="00B419CE" w:rsidRPr="00B419CE" w:rsidRDefault="00B419CE" w:rsidP="00B32459">
            <w:r w:rsidRPr="00B419CE">
              <w:t>Sum Skatte-, avgifts- og tolladministrasjon</w:t>
            </w:r>
          </w:p>
        </w:tc>
        <w:tc>
          <w:tcPr>
            <w:tcW w:w="236" w:type="dxa"/>
          </w:tcPr>
          <w:p w14:paraId="6FA517CA" w14:textId="77777777" w:rsidR="00B419CE" w:rsidRPr="00B419CE" w:rsidRDefault="00B419CE" w:rsidP="00B32459"/>
        </w:tc>
        <w:tc>
          <w:tcPr>
            <w:tcW w:w="1580" w:type="dxa"/>
          </w:tcPr>
          <w:p w14:paraId="2B8E9619" w14:textId="77777777" w:rsidR="00B419CE" w:rsidRPr="00B419CE" w:rsidRDefault="00B419CE" w:rsidP="00B32459">
            <w:pPr>
              <w:jc w:val="right"/>
            </w:pPr>
          </w:p>
        </w:tc>
        <w:tc>
          <w:tcPr>
            <w:tcW w:w="1580" w:type="dxa"/>
          </w:tcPr>
          <w:p w14:paraId="1820FE59" w14:textId="77777777" w:rsidR="00B419CE" w:rsidRPr="00B419CE" w:rsidRDefault="00B419CE" w:rsidP="00B32459">
            <w:pPr>
              <w:jc w:val="right"/>
            </w:pPr>
            <w:r w:rsidRPr="00B419CE">
              <w:t>10 097 329 000</w:t>
            </w:r>
          </w:p>
        </w:tc>
      </w:tr>
      <w:tr w:rsidR="00B419CE" w:rsidRPr="00B419CE" w14:paraId="63784BB3" w14:textId="77777777" w:rsidTr="00B32459">
        <w:trPr>
          <w:trHeight w:val="380"/>
        </w:trPr>
        <w:tc>
          <w:tcPr>
            <w:tcW w:w="9696" w:type="dxa"/>
            <w:gridSpan w:val="6"/>
          </w:tcPr>
          <w:p w14:paraId="21981C09" w14:textId="77777777" w:rsidR="00B419CE" w:rsidRPr="00B419CE" w:rsidRDefault="00B419CE" w:rsidP="00B32459">
            <w:pPr>
              <w:jc w:val="center"/>
            </w:pPr>
            <w:r w:rsidRPr="00B419CE">
              <w:t>Offisiell statistikk</w:t>
            </w:r>
          </w:p>
        </w:tc>
      </w:tr>
      <w:tr w:rsidR="00B419CE" w:rsidRPr="00B419CE" w14:paraId="414DAB9F" w14:textId="77777777" w:rsidTr="00B32459">
        <w:trPr>
          <w:trHeight w:val="380"/>
        </w:trPr>
        <w:tc>
          <w:tcPr>
            <w:tcW w:w="846" w:type="dxa"/>
          </w:tcPr>
          <w:p w14:paraId="18FD0858" w14:textId="77777777" w:rsidR="00B419CE" w:rsidRPr="00B419CE" w:rsidRDefault="00B419CE" w:rsidP="00B32459">
            <w:r w:rsidRPr="00B419CE">
              <w:t>1620</w:t>
            </w:r>
          </w:p>
        </w:tc>
        <w:tc>
          <w:tcPr>
            <w:tcW w:w="709" w:type="dxa"/>
          </w:tcPr>
          <w:p w14:paraId="3E35C42D" w14:textId="77777777" w:rsidR="00B419CE" w:rsidRPr="00B419CE" w:rsidRDefault="00B419CE" w:rsidP="00B32459"/>
        </w:tc>
        <w:tc>
          <w:tcPr>
            <w:tcW w:w="4745" w:type="dxa"/>
          </w:tcPr>
          <w:p w14:paraId="2FB3D2A2" w14:textId="77777777" w:rsidR="00B419CE" w:rsidRPr="00B419CE" w:rsidRDefault="00B419CE" w:rsidP="00B32459">
            <w:r w:rsidRPr="00B419CE">
              <w:t>Statistisk sentralbyrå</w:t>
            </w:r>
          </w:p>
        </w:tc>
        <w:tc>
          <w:tcPr>
            <w:tcW w:w="236" w:type="dxa"/>
          </w:tcPr>
          <w:p w14:paraId="20A453FD" w14:textId="77777777" w:rsidR="00B419CE" w:rsidRPr="00B419CE" w:rsidRDefault="00B419CE" w:rsidP="00B32459"/>
        </w:tc>
        <w:tc>
          <w:tcPr>
            <w:tcW w:w="1580" w:type="dxa"/>
          </w:tcPr>
          <w:p w14:paraId="5B36E128" w14:textId="77777777" w:rsidR="00B419CE" w:rsidRPr="00B419CE" w:rsidRDefault="00B419CE" w:rsidP="00B32459">
            <w:pPr>
              <w:jc w:val="right"/>
            </w:pPr>
          </w:p>
        </w:tc>
        <w:tc>
          <w:tcPr>
            <w:tcW w:w="1580" w:type="dxa"/>
          </w:tcPr>
          <w:p w14:paraId="6368A9F9" w14:textId="77777777" w:rsidR="00B419CE" w:rsidRPr="00B419CE" w:rsidRDefault="00B419CE" w:rsidP="00B32459">
            <w:pPr>
              <w:jc w:val="right"/>
            </w:pPr>
          </w:p>
        </w:tc>
      </w:tr>
      <w:tr w:rsidR="00B419CE" w:rsidRPr="00B419CE" w14:paraId="4BAAB793" w14:textId="77777777" w:rsidTr="00B32459">
        <w:trPr>
          <w:trHeight w:val="380"/>
        </w:trPr>
        <w:tc>
          <w:tcPr>
            <w:tcW w:w="846" w:type="dxa"/>
          </w:tcPr>
          <w:p w14:paraId="5BBDB765" w14:textId="77777777" w:rsidR="00B419CE" w:rsidRPr="00B419CE" w:rsidRDefault="00B419CE" w:rsidP="00B32459"/>
        </w:tc>
        <w:tc>
          <w:tcPr>
            <w:tcW w:w="709" w:type="dxa"/>
          </w:tcPr>
          <w:p w14:paraId="18318638" w14:textId="77777777" w:rsidR="00B419CE" w:rsidRPr="00B419CE" w:rsidRDefault="00B419CE" w:rsidP="00B32459">
            <w:r w:rsidRPr="00B419CE">
              <w:t>01</w:t>
            </w:r>
          </w:p>
        </w:tc>
        <w:tc>
          <w:tcPr>
            <w:tcW w:w="4745" w:type="dxa"/>
          </w:tcPr>
          <w:p w14:paraId="3EF6D4BB" w14:textId="77777777" w:rsidR="00B419CE" w:rsidRPr="00B419CE" w:rsidRDefault="00B419CE" w:rsidP="00B32459">
            <w:r w:rsidRPr="00B419CE">
              <w:t>Driftsutgifter</w:t>
            </w:r>
          </w:p>
        </w:tc>
        <w:tc>
          <w:tcPr>
            <w:tcW w:w="236" w:type="dxa"/>
          </w:tcPr>
          <w:p w14:paraId="1E4BE13A" w14:textId="77777777" w:rsidR="00B419CE" w:rsidRPr="00B419CE" w:rsidRDefault="00B419CE" w:rsidP="00B32459"/>
        </w:tc>
        <w:tc>
          <w:tcPr>
            <w:tcW w:w="1580" w:type="dxa"/>
          </w:tcPr>
          <w:p w14:paraId="600C38FF" w14:textId="77777777" w:rsidR="00B419CE" w:rsidRPr="00B419CE" w:rsidRDefault="00B419CE" w:rsidP="00B32459">
            <w:pPr>
              <w:jc w:val="right"/>
            </w:pPr>
            <w:r w:rsidRPr="00B419CE">
              <w:t>649 553 000</w:t>
            </w:r>
          </w:p>
        </w:tc>
        <w:tc>
          <w:tcPr>
            <w:tcW w:w="1580" w:type="dxa"/>
          </w:tcPr>
          <w:p w14:paraId="4FF3810D" w14:textId="77777777" w:rsidR="00B419CE" w:rsidRPr="00B419CE" w:rsidRDefault="00B419CE" w:rsidP="00B32459">
            <w:pPr>
              <w:jc w:val="right"/>
            </w:pPr>
          </w:p>
        </w:tc>
      </w:tr>
      <w:tr w:rsidR="00B419CE" w:rsidRPr="00B419CE" w14:paraId="65B6D6D6" w14:textId="77777777" w:rsidTr="00B32459">
        <w:trPr>
          <w:trHeight w:val="380"/>
        </w:trPr>
        <w:tc>
          <w:tcPr>
            <w:tcW w:w="846" w:type="dxa"/>
          </w:tcPr>
          <w:p w14:paraId="6F5152CC" w14:textId="77777777" w:rsidR="00B419CE" w:rsidRPr="00B419CE" w:rsidRDefault="00B419CE" w:rsidP="00B32459"/>
        </w:tc>
        <w:tc>
          <w:tcPr>
            <w:tcW w:w="709" w:type="dxa"/>
          </w:tcPr>
          <w:p w14:paraId="1DE2587E" w14:textId="77777777" w:rsidR="00B419CE" w:rsidRPr="00B419CE" w:rsidRDefault="00B419CE" w:rsidP="00B32459">
            <w:r w:rsidRPr="00B419CE">
              <w:t>21</w:t>
            </w:r>
          </w:p>
        </w:tc>
        <w:tc>
          <w:tcPr>
            <w:tcW w:w="4745" w:type="dxa"/>
          </w:tcPr>
          <w:p w14:paraId="0F69A155" w14:textId="77777777" w:rsidR="00B419CE" w:rsidRPr="00B419CE" w:rsidRDefault="00B419CE" w:rsidP="00B32459">
            <w:r w:rsidRPr="00B419CE">
              <w:t>Spesielle driftsutgifter</w:t>
            </w:r>
            <w:r w:rsidRPr="00B419CE">
              <w:rPr>
                <w:rStyle w:val="kursiv"/>
              </w:rPr>
              <w:t xml:space="preserve">, kan </w:t>
            </w:r>
            <w:proofErr w:type="spellStart"/>
            <w:r w:rsidRPr="00B419CE">
              <w:rPr>
                <w:rStyle w:val="kursiv"/>
              </w:rPr>
              <w:t>overførast</w:t>
            </w:r>
            <w:proofErr w:type="spellEnd"/>
          </w:p>
        </w:tc>
        <w:tc>
          <w:tcPr>
            <w:tcW w:w="236" w:type="dxa"/>
          </w:tcPr>
          <w:p w14:paraId="625EFF43" w14:textId="77777777" w:rsidR="00B419CE" w:rsidRPr="00B419CE" w:rsidRDefault="00B419CE" w:rsidP="00B32459"/>
        </w:tc>
        <w:tc>
          <w:tcPr>
            <w:tcW w:w="1580" w:type="dxa"/>
          </w:tcPr>
          <w:p w14:paraId="71738ED2" w14:textId="77777777" w:rsidR="00B419CE" w:rsidRPr="00B419CE" w:rsidRDefault="00B419CE" w:rsidP="00B32459">
            <w:pPr>
              <w:jc w:val="right"/>
            </w:pPr>
            <w:r w:rsidRPr="00B419CE">
              <w:t>244 194 000</w:t>
            </w:r>
          </w:p>
        </w:tc>
        <w:tc>
          <w:tcPr>
            <w:tcW w:w="1580" w:type="dxa"/>
          </w:tcPr>
          <w:p w14:paraId="793AF430" w14:textId="77777777" w:rsidR="00B419CE" w:rsidRPr="00B419CE" w:rsidRDefault="00B419CE" w:rsidP="00B32459">
            <w:pPr>
              <w:jc w:val="right"/>
            </w:pPr>
          </w:p>
        </w:tc>
      </w:tr>
      <w:tr w:rsidR="00B419CE" w:rsidRPr="00B419CE" w14:paraId="5FECDEC8" w14:textId="77777777" w:rsidTr="00B32459">
        <w:trPr>
          <w:trHeight w:val="380"/>
        </w:trPr>
        <w:tc>
          <w:tcPr>
            <w:tcW w:w="846" w:type="dxa"/>
          </w:tcPr>
          <w:p w14:paraId="325CC442" w14:textId="77777777" w:rsidR="00B419CE" w:rsidRPr="00B419CE" w:rsidRDefault="00B419CE" w:rsidP="00B32459"/>
        </w:tc>
        <w:tc>
          <w:tcPr>
            <w:tcW w:w="709" w:type="dxa"/>
          </w:tcPr>
          <w:p w14:paraId="2BE1DCC3" w14:textId="77777777" w:rsidR="00B419CE" w:rsidRPr="00B419CE" w:rsidRDefault="00B419CE" w:rsidP="00B32459">
            <w:r w:rsidRPr="00B419CE">
              <w:t>45</w:t>
            </w:r>
          </w:p>
        </w:tc>
        <w:tc>
          <w:tcPr>
            <w:tcW w:w="4745" w:type="dxa"/>
          </w:tcPr>
          <w:p w14:paraId="12DEF4F1" w14:textId="77777777" w:rsidR="00B419CE" w:rsidRPr="00B419CE" w:rsidRDefault="00B419CE" w:rsidP="00B32459">
            <w:r w:rsidRPr="00B419CE">
              <w:t xml:space="preserve">Større utstyrskjøp og </w:t>
            </w:r>
            <w:proofErr w:type="spellStart"/>
            <w:r w:rsidRPr="00B419CE">
              <w:t>vedlikehald</w:t>
            </w:r>
            <w:proofErr w:type="spellEnd"/>
            <w:r w:rsidRPr="00B419CE">
              <w:rPr>
                <w:rStyle w:val="kursiv"/>
              </w:rPr>
              <w:t xml:space="preserve">, kan </w:t>
            </w:r>
            <w:proofErr w:type="spellStart"/>
            <w:r w:rsidRPr="00B419CE">
              <w:rPr>
                <w:rStyle w:val="kursiv"/>
              </w:rPr>
              <w:t>overførast</w:t>
            </w:r>
            <w:proofErr w:type="spellEnd"/>
          </w:p>
        </w:tc>
        <w:tc>
          <w:tcPr>
            <w:tcW w:w="236" w:type="dxa"/>
          </w:tcPr>
          <w:p w14:paraId="0E677BB3" w14:textId="77777777" w:rsidR="00B419CE" w:rsidRPr="00B419CE" w:rsidRDefault="00B419CE" w:rsidP="00B32459"/>
        </w:tc>
        <w:tc>
          <w:tcPr>
            <w:tcW w:w="1580" w:type="dxa"/>
          </w:tcPr>
          <w:p w14:paraId="330133B5" w14:textId="77777777" w:rsidR="00B419CE" w:rsidRPr="00B419CE" w:rsidRDefault="00B419CE" w:rsidP="00B32459">
            <w:pPr>
              <w:jc w:val="right"/>
            </w:pPr>
            <w:r w:rsidRPr="00B419CE">
              <w:t>3 600 000</w:t>
            </w:r>
          </w:p>
        </w:tc>
        <w:tc>
          <w:tcPr>
            <w:tcW w:w="1580" w:type="dxa"/>
          </w:tcPr>
          <w:p w14:paraId="50296AA3" w14:textId="77777777" w:rsidR="00B419CE" w:rsidRPr="00B419CE" w:rsidRDefault="00B419CE" w:rsidP="00B32459">
            <w:pPr>
              <w:jc w:val="right"/>
            </w:pPr>
            <w:r w:rsidRPr="00B419CE">
              <w:t>897 347 000</w:t>
            </w:r>
          </w:p>
        </w:tc>
      </w:tr>
      <w:tr w:rsidR="00B419CE" w:rsidRPr="00B419CE" w14:paraId="1729E142" w14:textId="77777777" w:rsidTr="00B32459">
        <w:trPr>
          <w:trHeight w:val="380"/>
        </w:trPr>
        <w:tc>
          <w:tcPr>
            <w:tcW w:w="846" w:type="dxa"/>
          </w:tcPr>
          <w:p w14:paraId="1D2B8A41" w14:textId="77777777" w:rsidR="00B419CE" w:rsidRPr="00B419CE" w:rsidRDefault="00B419CE" w:rsidP="00B32459"/>
        </w:tc>
        <w:tc>
          <w:tcPr>
            <w:tcW w:w="709" w:type="dxa"/>
          </w:tcPr>
          <w:p w14:paraId="2A63B329" w14:textId="77777777" w:rsidR="00B419CE" w:rsidRPr="00B419CE" w:rsidRDefault="00B419CE" w:rsidP="00B32459"/>
        </w:tc>
        <w:tc>
          <w:tcPr>
            <w:tcW w:w="4745" w:type="dxa"/>
          </w:tcPr>
          <w:p w14:paraId="4DDCF3AD" w14:textId="77777777" w:rsidR="00B419CE" w:rsidRPr="00B419CE" w:rsidRDefault="00B419CE" w:rsidP="00B32459">
            <w:r w:rsidRPr="00B419CE">
              <w:t>Sum Offisiell statistikk</w:t>
            </w:r>
          </w:p>
        </w:tc>
        <w:tc>
          <w:tcPr>
            <w:tcW w:w="236" w:type="dxa"/>
          </w:tcPr>
          <w:p w14:paraId="307D0E23" w14:textId="77777777" w:rsidR="00B419CE" w:rsidRPr="00B419CE" w:rsidRDefault="00B419CE" w:rsidP="00B32459"/>
        </w:tc>
        <w:tc>
          <w:tcPr>
            <w:tcW w:w="1580" w:type="dxa"/>
          </w:tcPr>
          <w:p w14:paraId="489429D5" w14:textId="77777777" w:rsidR="00B419CE" w:rsidRPr="00B419CE" w:rsidRDefault="00B419CE" w:rsidP="00B32459">
            <w:pPr>
              <w:jc w:val="right"/>
            </w:pPr>
          </w:p>
        </w:tc>
        <w:tc>
          <w:tcPr>
            <w:tcW w:w="1580" w:type="dxa"/>
          </w:tcPr>
          <w:p w14:paraId="7715B767" w14:textId="77777777" w:rsidR="00B419CE" w:rsidRPr="00B419CE" w:rsidRDefault="00B419CE" w:rsidP="00B32459">
            <w:pPr>
              <w:jc w:val="right"/>
            </w:pPr>
            <w:r w:rsidRPr="00B419CE">
              <w:t>897 347 000</w:t>
            </w:r>
          </w:p>
        </w:tc>
      </w:tr>
      <w:tr w:rsidR="00B419CE" w:rsidRPr="00B419CE" w14:paraId="473A321F" w14:textId="77777777" w:rsidTr="00B32459">
        <w:trPr>
          <w:trHeight w:val="380"/>
        </w:trPr>
        <w:tc>
          <w:tcPr>
            <w:tcW w:w="9696" w:type="dxa"/>
            <w:gridSpan w:val="6"/>
          </w:tcPr>
          <w:p w14:paraId="3CB357C0" w14:textId="77777777" w:rsidR="00B419CE" w:rsidRPr="00B419CE" w:rsidRDefault="00B419CE" w:rsidP="00B32459">
            <w:pPr>
              <w:jc w:val="center"/>
            </w:pPr>
            <w:r w:rsidRPr="00B419CE">
              <w:t xml:space="preserve">Andre </w:t>
            </w:r>
            <w:proofErr w:type="spellStart"/>
            <w:r w:rsidRPr="00B419CE">
              <w:t>føremål</w:t>
            </w:r>
            <w:proofErr w:type="spellEnd"/>
          </w:p>
        </w:tc>
      </w:tr>
      <w:tr w:rsidR="00B419CE" w:rsidRPr="00B419CE" w14:paraId="0260407C" w14:textId="77777777" w:rsidTr="00B32459">
        <w:trPr>
          <w:trHeight w:val="380"/>
        </w:trPr>
        <w:tc>
          <w:tcPr>
            <w:tcW w:w="846" w:type="dxa"/>
          </w:tcPr>
          <w:p w14:paraId="1EA1B325" w14:textId="77777777" w:rsidR="00B419CE" w:rsidRPr="00B419CE" w:rsidRDefault="00B419CE" w:rsidP="00B32459">
            <w:r w:rsidRPr="00B419CE">
              <w:t>1632</w:t>
            </w:r>
          </w:p>
        </w:tc>
        <w:tc>
          <w:tcPr>
            <w:tcW w:w="709" w:type="dxa"/>
          </w:tcPr>
          <w:p w14:paraId="3C624ACA" w14:textId="77777777" w:rsidR="00B419CE" w:rsidRPr="00B419CE" w:rsidRDefault="00B419CE" w:rsidP="00B32459"/>
        </w:tc>
        <w:tc>
          <w:tcPr>
            <w:tcW w:w="4745" w:type="dxa"/>
          </w:tcPr>
          <w:p w14:paraId="21DBF1A4" w14:textId="77777777" w:rsidR="00B419CE" w:rsidRPr="00B419CE" w:rsidRDefault="00B419CE" w:rsidP="00B32459">
            <w:r w:rsidRPr="00B419CE">
              <w:t xml:space="preserve">Kompensasjon for </w:t>
            </w:r>
            <w:proofErr w:type="spellStart"/>
            <w:r w:rsidRPr="00B419CE">
              <w:t>meirverdiavgift</w:t>
            </w:r>
            <w:proofErr w:type="spellEnd"/>
          </w:p>
        </w:tc>
        <w:tc>
          <w:tcPr>
            <w:tcW w:w="236" w:type="dxa"/>
          </w:tcPr>
          <w:p w14:paraId="0DD1D448" w14:textId="77777777" w:rsidR="00B419CE" w:rsidRPr="00B419CE" w:rsidRDefault="00B419CE" w:rsidP="00B32459"/>
        </w:tc>
        <w:tc>
          <w:tcPr>
            <w:tcW w:w="1580" w:type="dxa"/>
          </w:tcPr>
          <w:p w14:paraId="45C98E5F" w14:textId="77777777" w:rsidR="00B419CE" w:rsidRPr="00B419CE" w:rsidRDefault="00B419CE" w:rsidP="00B32459">
            <w:pPr>
              <w:jc w:val="right"/>
            </w:pPr>
          </w:p>
        </w:tc>
        <w:tc>
          <w:tcPr>
            <w:tcW w:w="1580" w:type="dxa"/>
          </w:tcPr>
          <w:p w14:paraId="60679F89" w14:textId="77777777" w:rsidR="00B419CE" w:rsidRPr="00B419CE" w:rsidRDefault="00B419CE" w:rsidP="00B32459">
            <w:pPr>
              <w:jc w:val="right"/>
            </w:pPr>
          </w:p>
        </w:tc>
      </w:tr>
      <w:tr w:rsidR="00B419CE" w:rsidRPr="00B419CE" w14:paraId="06C8DFE2" w14:textId="77777777" w:rsidTr="00B32459">
        <w:trPr>
          <w:trHeight w:val="640"/>
        </w:trPr>
        <w:tc>
          <w:tcPr>
            <w:tcW w:w="846" w:type="dxa"/>
          </w:tcPr>
          <w:p w14:paraId="4196963C" w14:textId="77777777" w:rsidR="00B419CE" w:rsidRPr="00B419CE" w:rsidRDefault="00B419CE" w:rsidP="00B32459"/>
        </w:tc>
        <w:tc>
          <w:tcPr>
            <w:tcW w:w="709" w:type="dxa"/>
          </w:tcPr>
          <w:p w14:paraId="490E56B0" w14:textId="77777777" w:rsidR="00B419CE" w:rsidRPr="00B419CE" w:rsidRDefault="00B419CE" w:rsidP="00B32459">
            <w:r w:rsidRPr="00B419CE">
              <w:t>61</w:t>
            </w:r>
          </w:p>
        </w:tc>
        <w:tc>
          <w:tcPr>
            <w:tcW w:w="4745" w:type="dxa"/>
          </w:tcPr>
          <w:p w14:paraId="46207514" w14:textId="77777777" w:rsidR="00B419CE" w:rsidRPr="00B419CE" w:rsidRDefault="00B419CE" w:rsidP="00B32459">
            <w:proofErr w:type="spellStart"/>
            <w:r w:rsidRPr="00B419CE">
              <w:t>Tilskot</w:t>
            </w:r>
            <w:proofErr w:type="spellEnd"/>
            <w:r w:rsidRPr="00B419CE">
              <w:t xml:space="preserve"> til </w:t>
            </w:r>
            <w:proofErr w:type="spellStart"/>
            <w:r w:rsidRPr="00B419CE">
              <w:t>kommunar</w:t>
            </w:r>
            <w:proofErr w:type="spellEnd"/>
            <w:r w:rsidRPr="00B419CE">
              <w:t xml:space="preserve"> og </w:t>
            </w:r>
            <w:proofErr w:type="spellStart"/>
            <w:r w:rsidRPr="00B419CE">
              <w:t>fylkeskommunar</w:t>
            </w:r>
            <w:proofErr w:type="spellEnd"/>
            <w:r w:rsidRPr="00B419CE">
              <w:rPr>
                <w:rStyle w:val="kursiv"/>
              </w:rPr>
              <w:t xml:space="preserve">, </w:t>
            </w:r>
            <w:r w:rsidRPr="00B419CE">
              <w:rPr>
                <w:rStyle w:val="kursiv"/>
              </w:rPr>
              <w:br/>
              <w:t>overslagsløyving</w:t>
            </w:r>
          </w:p>
        </w:tc>
        <w:tc>
          <w:tcPr>
            <w:tcW w:w="236" w:type="dxa"/>
          </w:tcPr>
          <w:p w14:paraId="6638639E" w14:textId="77777777" w:rsidR="00B419CE" w:rsidRPr="00B419CE" w:rsidRDefault="00B419CE" w:rsidP="00B32459"/>
        </w:tc>
        <w:tc>
          <w:tcPr>
            <w:tcW w:w="1580" w:type="dxa"/>
          </w:tcPr>
          <w:p w14:paraId="1C529F0F" w14:textId="77777777" w:rsidR="00B419CE" w:rsidRPr="00B419CE" w:rsidRDefault="00B419CE" w:rsidP="00B32459">
            <w:pPr>
              <w:jc w:val="right"/>
            </w:pPr>
            <w:r w:rsidRPr="00B419CE">
              <w:t>28 900 000 000</w:t>
            </w:r>
          </w:p>
        </w:tc>
        <w:tc>
          <w:tcPr>
            <w:tcW w:w="1580" w:type="dxa"/>
          </w:tcPr>
          <w:p w14:paraId="28ACC330" w14:textId="77777777" w:rsidR="00B419CE" w:rsidRPr="00B419CE" w:rsidRDefault="00B419CE" w:rsidP="00B32459">
            <w:pPr>
              <w:jc w:val="right"/>
            </w:pPr>
          </w:p>
        </w:tc>
      </w:tr>
      <w:tr w:rsidR="00B419CE" w:rsidRPr="00B419CE" w14:paraId="06C908C5" w14:textId="77777777" w:rsidTr="00B32459">
        <w:trPr>
          <w:trHeight w:val="640"/>
        </w:trPr>
        <w:tc>
          <w:tcPr>
            <w:tcW w:w="846" w:type="dxa"/>
          </w:tcPr>
          <w:p w14:paraId="6341939A" w14:textId="77777777" w:rsidR="00B419CE" w:rsidRPr="00B419CE" w:rsidRDefault="00B419CE" w:rsidP="00B32459"/>
        </w:tc>
        <w:tc>
          <w:tcPr>
            <w:tcW w:w="709" w:type="dxa"/>
          </w:tcPr>
          <w:p w14:paraId="65C8651E" w14:textId="77777777" w:rsidR="00B419CE" w:rsidRPr="00B419CE" w:rsidRDefault="00B419CE" w:rsidP="00B32459">
            <w:r w:rsidRPr="00B419CE">
              <w:t>72</w:t>
            </w:r>
          </w:p>
        </w:tc>
        <w:tc>
          <w:tcPr>
            <w:tcW w:w="4745" w:type="dxa"/>
          </w:tcPr>
          <w:p w14:paraId="53DC187F" w14:textId="77777777" w:rsidR="00B419CE" w:rsidRPr="00B419CE" w:rsidRDefault="00B419CE" w:rsidP="00B32459">
            <w:proofErr w:type="spellStart"/>
            <w:r w:rsidRPr="00B419CE">
              <w:t>Tilskot</w:t>
            </w:r>
            <w:proofErr w:type="spellEnd"/>
            <w:r w:rsidRPr="00B419CE">
              <w:t xml:space="preserve"> til private og ideelle </w:t>
            </w:r>
            <w:proofErr w:type="spellStart"/>
            <w:r w:rsidRPr="00B419CE">
              <w:t>verksemder</w:t>
            </w:r>
            <w:proofErr w:type="spellEnd"/>
            <w:r w:rsidRPr="00B419CE">
              <w:rPr>
                <w:rStyle w:val="kursiv"/>
              </w:rPr>
              <w:t xml:space="preserve">, </w:t>
            </w:r>
            <w:r w:rsidRPr="00B419CE">
              <w:rPr>
                <w:rStyle w:val="kursiv"/>
              </w:rPr>
              <w:br/>
              <w:t>overslagsløyving</w:t>
            </w:r>
          </w:p>
        </w:tc>
        <w:tc>
          <w:tcPr>
            <w:tcW w:w="236" w:type="dxa"/>
          </w:tcPr>
          <w:p w14:paraId="3DA4AFDB" w14:textId="77777777" w:rsidR="00B419CE" w:rsidRPr="00B419CE" w:rsidRDefault="00B419CE" w:rsidP="00B32459"/>
        </w:tc>
        <w:tc>
          <w:tcPr>
            <w:tcW w:w="1580" w:type="dxa"/>
          </w:tcPr>
          <w:p w14:paraId="71FB37BA" w14:textId="77777777" w:rsidR="00B419CE" w:rsidRPr="00B419CE" w:rsidRDefault="00B419CE" w:rsidP="00B32459">
            <w:pPr>
              <w:jc w:val="right"/>
            </w:pPr>
            <w:r w:rsidRPr="00B419CE">
              <w:t>2 280 000 000</w:t>
            </w:r>
          </w:p>
        </w:tc>
        <w:tc>
          <w:tcPr>
            <w:tcW w:w="1580" w:type="dxa"/>
          </w:tcPr>
          <w:p w14:paraId="4D95CC3C" w14:textId="77777777" w:rsidR="00B419CE" w:rsidRPr="00B419CE" w:rsidRDefault="00B419CE" w:rsidP="00B32459">
            <w:pPr>
              <w:jc w:val="right"/>
            </w:pPr>
            <w:r w:rsidRPr="00B419CE">
              <w:t>31 180 000 000</w:t>
            </w:r>
          </w:p>
        </w:tc>
      </w:tr>
      <w:tr w:rsidR="00B419CE" w:rsidRPr="00B419CE" w14:paraId="0DF89393" w14:textId="77777777" w:rsidTr="00B32459">
        <w:trPr>
          <w:trHeight w:val="380"/>
        </w:trPr>
        <w:tc>
          <w:tcPr>
            <w:tcW w:w="846" w:type="dxa"/>
          </w:tcPr>
          <w:p w14:paraId="6962216A" w14:textId="77777777" w:rsidR="00B419CE" w:rsidRPr="00B419CE" w:rsidRDefault="00B419CE" w:rsidP="00B32459">
            <w:r w:rsidRPr="00B419CE">
              <w:t>1633</w:t>
            </w:r>
          </w:p>
        </w:tc>
        <w:tc>
          <w:tcPr>
            <w:tcW w:w="709" w:type="dxa"/>
          </w:tcPr>
          <w:p w14:paraId="74A8D405" w14:textId="77777777" w:rsidR="00B419CE" w:rsidRPr="00B419CE" w:rsidRDefault="00B419CE" w:rsidP="00B32459"/>
        </w:tc>
        <w:tc>
          <w:tcPr>
            <w:tcW w:w="4745" w:type="dxa"/>
          </w:tcPr>
          <w:p w14:paraId="0BDAAEF8" w14:textId="77777777" w:rsidR="00B419CE" w:rsidRPr="00B419CE" w:rsidRDefault="00B419CE" w:rsidP="00B32459">
            <w:r w:rsidRPr="00B419CE">
              <w:t xml:space="preserve">Nettoordning, </w:t>
            </w:r>
            <w:proofErr w:type="spellStart"/>
            <w:r w:rsidRPr="00B419CE">
              <w:t>statleg</w:t>
            </w:r>
            <w:proofErr w:type="spellEnd"/>
            <w:r w:rsidRPr="00B419CE">
              <w:t xml:space="preserve"> betalt </w:t>
            </w:r>
            <w:proofErr w:type="spellStart"/>
            <w:r w:rsidRPr="00B419CE">
              <w:t>meirverdiavgift</w:t>
            </w:r>
            <w:proofErr w:type="spellEnd"/>
          </w:p>
        </w:tc>
        <w:tc>
          <w:tcPr>
            <w:tcW w:w="236" w:type="dxa"/>
          </w:tcPr>
          <w:p w14:paraId="5F7709FA" w14:textId="77777777" w:rsidR="00B419CE" w:rsidRPr="00B419CE" w:rsidRDefault="00B419CE" w:rsidP="00B32459"/>
        </w:tc>
        <w:tc>
          <w:tcPr>
            <w:tcW w:w="1580" w:type="dxa"/>
          </w:tcPr>
          <w:p w14:paraId="74C6AA43" w14:textId="77777777" w:rsidR="00B419CE" w:rsidRPr="00B419CE" w:rsidRDefault="00B419CE" w:rsidP="00B32459">
            <w:pPr>
              <w:jc w:val="right"/>
            </w:pPr>
          </w:p>
        </w:tc>
        <w:tc>
          <w:tcPr>
            <w:tcW w:w="1580" w:type="dxa"/>
          </w:tcPr>
          <w:p w14:paraId="047EC281" w14:textId="77777777" w:rsidR="00B419CE" w:rsidRPr="00B419CE" w:rsidRDefault="00B419CE" w:rsidP="00B32459">
            <w:pPr>
              <w:jc w:val="right"/>
            </w:pPr>
          </w:p>
        </w:tc>
      </w:tr>
      <w:tr w:rsidR="00B419CE" w:rsidRPr="00B419CE" w14:paraId="3A2113DB" w14:textId="77777777" w:rsidTr="00B32459">
        <w:trPr>
          <w:trHeight w:val="380"/>
        </w:trPr>
        <w:tc>
          <w:tcPr>
            <w:tcW w:w="846" w:type="dxa"/>
          </w:tcPr>
          <w:p w14:paraId="14423789" w14:textId="77777777" w:rsidR="00B419CE" w:rsidRPr="00B419CE" w:rsidRDefault="00B419CE" w:rsidP="00B32459"/>
        </w:tc>
        <w:tc>
          <w:tcPr>
            <w:tcW w:w="709" w:type="dxa"/>
          </w:tcPr>
          <w:p w14:paraId="4B594109" w14:textId="77777777" w:rsidR="00B419CE" w:rsidRPr="00B419CE" w:rsidRDefault="00B419CE" w:rsidP="00B32459">
            <w:r w:rsidRPr="00B419CE">
              <w:t>01</w:t>
            </w:r>
          </w:p>
        </w:tc>
        <w:tc>
          <w:tcPr>
            <w:tcW w:w="4745" w:type="dxa"/>
          </w:tcPr>
          <w:p w14:paraId="3A20CDF0" w14:textId="77777777" w:rsidR="00B419CE" w:rsidRPr="00B419CE" w:rsidRDefault="00B419CE" w:rsidP="00B32459">
            <w:r w:rsidRPr="00B419CE">
              <w:t>Driftsutgifter</w:t>
            </w:r>
            <w:r w:rsidRPr="00B419CE">
              <w:rPr>
                <w:rStyle w:val="kursiv"/>
              </w:rPr>
              <w:t>, overslagsløyving</w:t>
            </w:r>
          </w:p>
        </w:tc>
        <w:tc>
          <w:tcPr>
            <w:tcW w:w="236" w:type="dxa"/>
          </w:tcPr>
          <w:p w14:paraId="17893799" w14:textId="77777777" w:rsidR="00B419CE" w:rsidRPr="00B419CE" w:rsidRDefault="00B419CE" w:rsidP="00B32459"/>
        </w:tc>
        <w:tc>
          <w:tcPr>
            <w:tcW w:w="1580" w:type="dxa"/>
          </w:tcPr>
          <w:p w14:paraId="0626A008" w14:textId="77777777" w:rsidR="00B419CE" w:rsidRPr="00B419CE" w:rsidRDefault="00B419CE" w:rsidP="00B32459">
            <w:pPr>
              <w:jc w:val="right"/>
            </w:pPr>
            <w:r w:rsidRPr="00B419CE">
              <w:t>9 100 000 000</w:t>
            </w:r>
          </w:p>
        </w:tc>
        <w:tc>
          <w:tcPr>
            <w:tcW w:w="1580" w:type="dxa"/>
          </w:tcPr>
          <w:p w14:paraId="12D61645" w14:textId="77777777" w:rsidR="00B419CE" w:rsidRPr="00B419CE" w:rsidRDefault="00B419CE" w:rsidP="00B32459">
            <w:pPr>
              <w:jc w:val="right"/>
            </w:pPr>
            <w:r w:rsidRPr="00B419CE">
              <w:t>9 100 000 000</w:t>
            </w:r>
          </w:p>
        </w:tc>
      </w:tr>
      <w:tr w:rsidR="00B419CE" w:rsidRPr="00B419CE" w14:paraId="22541567" w14:textId="77777777" w:rsidTr="00B32459">
        <w:trPr>
          <w:trHeight w:val="640"/>
        </w:trPr>
        <w:tc>
          <w:tcPr>
            <w:tcW w:w="846" w:type="dxa"/>
          </w:tcPr>
          <w:p w14:paraId="22039AA4" w14:textId="77777777" w:rsidR="00B419CE" w:rsidRPr="00B419CE" w:rsidRDefault="00B419CE" w:rsidP="00B32459">
            <w:r w:rsidRPr="00B419CE">
              <w:t>1645</w:t>
            </w:r>
          </w:p>
        </w:tc>
        <w:tc>
          <w:tcPr>
            <w:tcW w:w="709" w:type="dxa"/>
          </w:tcPr>
          <w:p w14:paraId="7F50567F" w14:textId="77777777" w:rsidR="00B419CE" w:rsidRPr="00B419CE" w:rsidRDefault="00B419CE" w:rsidP="00B32459"/>
        </w:tc>
        <w:tc>
          <w:tcPr>
            <w:tcW w:w="4745" w:type="dxa"/>
          </w:tcPr>
          <w:p w14:paraId="48134CEF" w14:textId="77777777" w:rsidR="00B419CE" w:rsidRPr="00B419CE" w:rsidRDefault="00B419CE" w:rsidP="00B32459">
            <w:proofErr w:type="spellStart"/>
            <w:r w:rsidRPr="00B419CE">
              <w:t>Statleg</w:t>
            </w:r>
            <w:proofErr w:type="spellEnd"/>
            <w:r w:rsidRPr="00B419CE">
              <w:t xml:space="preserve"> garantiordning for lån til små og mellomstore </w:t>
            </w:r>
            <w:proofErr w:type="spellStart"/>
            <w:r w:rsidRPr="00B419CE">
              <w:t>føretak</w:t>
            </w:r>
            <w:proofErr w:type="spellEnd"/>
          </w:p>
        </w:tc>
        <w:tc>
          <w:tcPr>
            <w:tcW w:w="236" w:type="dxa"/>
          </w:tcPr>
          <w:p w14:paraId="277B3DF9" w14:textId="77777777" w:rsidR="00B419CE" w:rsidRPr="00B419CE" w:rsidRDefault="00B419CE" w:rsidP="00B32459"/>
        </w:tc>
        <w:tc>
          <w:tcPr>
            <w:tcW w:w="1580" w:type="dxa"/>
          </w:tcPr>
          <w:p w14:paraId="3E05486F" w14:textId="77777777" w:rsidR="00B419CE" w:rsidRPr="00B419CE" w:rsidRDefault="00B419CE" w:rsidP="00B32459">
            <w:pPr>
              <w:jc w:val="right"/>
            </w:pPr>
          </w:p>
        </w:tc>
        <w:tc>
          <w:tcPr>
            <w:tcW w:w="1580" w:type="dxa"/>
          </w:tcPr>
          <w:p w14:paraId="6BB88F08" w14:textId="77777777" w:rsidR="00B419CE" w:rsidRPr="00B419CE" w:rsidRDefault="00B419CE" w:rsidP="00B32459">
            <w:pPr>
              <w:jc w:val="right"/>
            </w:pPr>
          </w:p>
        </w:tc>
      </w:tr>
      <w:tr w:rsidR="00B419CE" w:rsidRPr="00B419CE" w14:paraId="49F24FDA" w14:textId="77777777" w:rsidTr="00B32459">
        <w:trPr>
          <w:trHeight w:val="640"/>
        </w:trPr>
        <w:tc>
          <w:tcPr>
            <w:tcW w:w="846" w:type="dxa"/>
          </w:tcPr>
          <w:p w14:paraId="0EC5CEB0" w14:textId="77777777" w:rsidR="00B419CE" w:rsidRPr="00B419CE" w:rsidRDefault="00B419CE" w:rsidP="00B32459"/>
        </w:tc>
        <w:tc>
          <w:tcPr>
            <w:tcW w:w="709" w:type="dxa"/>
          </w:tcPr>
          <w:p w14:paraId="5596E73D" w14:textId="77777777" w:rsidR="00B419CE" w:rsidRPr="00B419CE" w:rsidRDefault="00B419CE" w:rsidP="00B32459">
            <w:r w:rsidRPr="00B419CE">
              <w:t>23</w:t>
            </w:r>
          </w:p>
        </w:tc>
        <w:tc>
          <w:tcPr>
            <w:tcW w:w="4745" w:type="dxa"/>
          </w:tcPr>
          <w:p w14:paraId="1931FCEF" w14:textId="77777777" w:rsidR="00B419CE" w:rsidRPr="00B419CE" w:rsidRDefault="00B419CE" w:rsidP="00B32459">
            <w:r w:rsidRPr="00B419CE">
              <w:t xml:space="preserve">Spesielle driftsutgifter til administrering av </w:t>
            </w:r>
            <w:proofErr w:type="spellStart"/>
            <w:r w:rsidRPr="00B419CE">
              <w:t>statleg</w:t>
            </w:r>
            <w:proofErr w:type="spellEnd"/>
            <w:r w:rsidRPr="00B419CE">
              <w:t xml:space="preserve"> garantiordning for små og mellomstore </w:t>
            </w:r>
            <w:proofErr w:type="spellStart"/>
            <w:r w:rsidRPr="00B419CE">
              <w:t>føretak</w:t>
            </w:r>
            <w:proofErr w:type="spellEnd"/>
          </w:p>
        </w:tc>
        <w:tc>
          <w:tcPr>
            <w:tcW w:w="236" w:type="dxa"/>
          </w:tcPr>
          <w:p w14:paraId="2DC11446" w14:textId="77777777" w:rsidR="00B419CE" w:rsidRPr="00B419CE" w:rsidRDefault="00B419CE" w:rsidP="00B32459"/>
        </w:tc>
        <w:tc>
          <w:tcPr>
            <w:tcW w:w="1580" w:type="dxa"/>
          </w:tcPr>
          <w:p w14:paraId="633384CA" w14:textId="77777777" w:rsidR="00B419CE" w:rsidRPr="00B419CE" w:rsidRDefault="00B419CE" w:rsidP="00B32459">
            <w:pPr>
              <w:jc w:val="right"/>
            </w:pPr>
            <w:r w:rsidRPr="00B419CE">
              <w:t>4 000 000</w:t>
            </w:r>
          </w:p>
        </w:tc>
        <w:tc>
          <w:tcPr>
            <w:tcW w:w="1580" w:type="dxa"/>
          </w:tcPr>
          <w:p w14:paraId="4A7A1E89" w14:textId="77777777" w:rsidR="00B419CE" w:rsidRPr="00B419CE" w:rsidRDefault="00B419CE" w:rsidP="00B32459">
            <w:pPr>
              <w:jc w:val="right"/>
            </w:pPr>
            <w:r w:rsidRPr="00B419CE">
              <w:t>4 000 000</w:t>
            </w:r>
          </w:p>
        </w:tc>
      </w:tr>
      <w:tr w:rsidR="00B419CE" w:rsidRPr="00B419CE" w14:paraId="4046561D" w14:textId="77777777" w:rsidTr="00B32459">
        <w:trPr>
          <w:trHeight w:val="380"/>
        </w:trPr>
        <w:tc>
          <w:tcPr>
            <w:tcW w:w="846" w:type="dxa"/>
          </w:tcPr>
          <w:p w14:paraId="6FEE2F1E" w14:textId="77777777" w:rsidR="00B419CE" w:rsidRPr="00B419CE" w:rsidRDefault="00B419CE" w:rsidP="00B32459"/>
        </w:tc>
        <w:tc>
          <w:tcPr>
            <w:tcW w:w="709" w:type="dxa"/>
          </w:tcPr>
          <w:p w14:paraId="1F927255" w14:textId="77777777" w:rsidR="00B419CE" w:rsidRPr="00B419CE" w:rsidRDefault="00B419CE" w:rsidP="00B32459"/>
        </w:tc>
        <w:tc>
          <w:tcPr>
            <w:tcW w:w="4745" w:type="dxa"/>
          </w:tcPr>
          <w:p w14:paraId="5038F807" w14:textId="77777777" w:rsidR="00B419CE" w:rsidRPr="00B419CE" w:rsidRDefault="00B419CE" w:rsidP="00B32459">
            <w:r w:rsidRPr="00B419CE">
              <w:t xml:space="preserve">Sum Andre </w:t>
            </w:r>
            <w:proofErr w:type="spellStart"/>
            <w:r w:rsidRPr="00B419CE">
              <w:t>føremål</w:t>
            </w:r>
            <w:proofErr w:type="spellEnd"/>
          </w:p>
        </w:tc>
        <w:tc>
          <w:tcPr>
            <w:tcW w:w="236" w:type="dxa"/>
          </w:tcPr>
          <w:p w14:paraId="348FF385" w14:textId="77777777" w:rsidR="00B419CE" w:rsidRPr="00B419CE" w:rsidRDefault="00B419CE" w:rsidP="00B32459"/>
        </w:tc>
        <w:tc>
          <w:tcPr>
            <w:tcW w:w="1580" w:type="dxa"/>
          </w:tcPr>
          <w:p w14:paraId="117DFA07" w14:textId="77777777" w:rsidR="00B419CE" w:rsidRPr="00B419CE" w:rsidRDefault="00B419CE" w:rsidP="00B32459">
            <w:pPr>
              <w:jc w:val="right"/>
            </w:pPr>
          </w:p>
        </w:tc>
        <w:tc>
          <w:tcPr>
            <w:tcW w:w="1580" w:type="dxa"/>
          </w:tcPr>
          <w:p w14:paraId="28EDA7AD" w14:textId="77777777" w:rsidR="00B419CE" w:rsidRPr="00B419CE" w:rsidRDefault="00B419CE" w:rsidP="00B32459">
            <w:pPr>
              <w:jc w:val="right"/>
            </w:pPr>
            <w:r w:rsidRPr="00B419CE">
              <w:t>40 284 000 000</w:t>
            </w:r>
          </w:p>
        </w:tc>
      </w:tr>
      <w:tr w:rsidR="00B419CE" w:rsidRPr="00B419CE" w14:paraId="0C2A884D" w14:textId="77777777" w:rsidTr="00B32459">
        <w:trPr>
          <w:trHeight w:val="380"/>
        </w:trPr>
        <w:tc>
          <w:tcPr>
            <w:tcW w:w="9696" w:type="dxa"/>
            <w:gridSpan w:val="6"/>
          </w:tcPr>
          <w:p w14:paraId="65626E33" w14:textId="77777777" w:rsidR="00B419CE" w:rsidRPr="00B419CE" w:rsidRDefault="00B419CE" w:rsidP="00B32459">
            <w:pPr>
              <w:jc w:val="center"/>
            </w:pPr>
            <w:r w:rsidRPr="00B419CE">
              <w:t>Statsgjeld, renter og avdrag m.m.</w:t>
            </w:r>
          </w:p>
        </w:tc>
      </w:tr>
      <w:tr w:rsidR="00B419CE" w:rsidRPr="00B419CE" w14:paraId="237D731C" w14:textId="77777777" w:rsidTr="00B32459">
        <w:trPr>
          <w:trHeight w:val="380"/>
        </w:trPr>
        <w:tc>
          <w:tcPr>
            <w:tcW w:w="846" w:type="dxa"/>
          </w:tcPr>
          <w:p w14:paraId="56BBA96B" w14:textId="77777777" w:rsidR="00B419CE" w:rsidRPr="00B419CE" w:rsidRDefault="00B419CE" w:rsidP="00B32459">
            <w:r w:rsidRPr="00B419CE">
              <w:t>1650</w:t>
            </w:r>
          </w:p>
        </w:tc>
        <w:tc>
          <w:tcPr>
            <w:tcW w:w="709" w:type="dxa"/>
          </w:tcPr>
          <w:p w14:paraId="785F5798" w14:textId="77777777" w:rsidR="00B419CE" w:rsidRPr="00B419CE" w:rsidRDefault="00B419CE" w:rsidP="00B32459"/>
        </w:tc>
        <w:tc>
          <w:tcPr>
            <w:tcW w:w="4745" w:type="dxa"/>
          </w:tcPr>
          <w:p w14:paraId="7CB0475E" w14:textId="77777777" w:rsidR="00B419CE" w:rsidRPr="00B419CE" w:rsidRDefault="00B419CE" w:rsidP="00B32459">
            <w:r w:rsidRPr="00B419CE">
              <w:t>Statsgjeld, renter m.m.</w:t>
            </w:r>
          </w:p>
        </w:tc>
        <w:tc>
          <w:tcPr>
            <w:tcW w:w="236" w:type="dxa"/>
          </w:tcPr>
          <w:p w14:paraId="11AEE9BF" w14:textId="77777777" w:rsidR="00B419CE" w:rsidRPr="00B419CE" w:rsidRDefault="00B419CE" w:rsidP="00B32459"/>
        </w:tc>
        <w:tc>
          <w:tcPr>
            <w:tcW w:w="1580" w:type="dxa"/>
          </w:tcPr>
          <w:p w14:paraId="7E49FCF4" w14:textId="77777777" w:rsidR="00B419CE" w:rsidRPr="00B419CE" w:rsidRDefault="00B419CE" w:rsidP="00B32459">
            <w:pPr>
              <w:jc w:val="right"/>
            </w:pPr>
          </w:p>
        </w:tc>
        <w:tc>
          <w:tcPr>
            <w:tcW w:w="1580" w:type="dxa"/>
          </w:tcPr>
          <w:p w14:paraId="777A2229" w14:textId="77777777" w:rsidR="00B419CE" w:rsidRPr="00B419CE" w:rsidRDefault="00B419CE" w:rsidP="00B32459">
            <w:pPr>
              <w:jc w:val="right"/>
            </w:pPr>
          </w:p>
        </w:tc>
      </w:tr>
      <w:tr w:rsidR="00B419CE" w:rsidRPr="00B419CE" w14:paraId="1C3CFDEB" w14:textId="77777777" w:rsidTr="00B32459">
        <w:trPr>
          <w:trHeight w:val="640"/>
        </w:trPr>
        <w:tc>
          <w:tcPr>
            <w:tcW w:w="846" w:type="dxa"/>
          </w:tcPr>
          <w:p w14:paraId="1EB5C886" w14:textId="77777777" w:rsidR="00B419CE" w:rsidRPr="00B419CE" w:rsidRDefault="00B419CE" w:rsidP="00B32459"/>
        </w:tc>
        <w:tc>
          <w:tcPr>
            <w:tcW w:w="709" w:type="dxa"/>
          </w:tcPr>
          <w:p w14:paraId="3EDA7DDE" w14:textId="77777777" w:rsidR="00B419CE" w:rsidRPr="00B419CE" w:rsidRDefault="00B419CE" w:rsidP="00B32459">
            <w:r w:rsidRPr="00B419CE">
              <w:t>89</w:t>
            </w:r>
          </w:p>
        </w:tc>
        <w:tc>
          <w:tcPr>
            <w:tcW w:w="4745" w:type="dxa"/>
          </w:tcPr>
          <w:p w14:paraId="5F1B8889" w14:textId="77777777" w:rsidR="00B419CE" w:rsidRPr="00B419CE" w:rsidRDefault="00B419CE" w:rsidP="00B32459">
            <w:r w:rsidRPr="00B419CE">
              <w:t xml:space="preserve">Renter og provisjon m.m. på </w:t>
            </w:r>
            <w:proofErr w:type="spellStart"/>
            <w:r w:rsidRPr="00B419CE">
              <w:t>innanlandsk</w:t>
            </w:r>
            <w:proofErr w:type="spellEnd"/>
            <w:r w:rsidRPr="00B419CE">
              <w:t xml:space="preserve"> statsgjeld</w:t>
            </w:r>
            <w:r w:rsidRPr="00B419CE">
              <w:rPr>
                <w:rStyle w:val="kursiv"/>
              </w:rPr>
              <w:t>, overslagsløyving</w:t>
            </w:r>
          </w:p>
        </w:tc>
        <w:tc>
          <w:tcPr>
            <w:tcW w:w="236" w:type="dxa"/>
          </w:tcPr>
          <w:p w14:paraId="3E51D646" w14:textId="77777777" w:rsidR="00B419CE" w:rsidRPr="00B419CE" w:rsidRDefault="00B419CE" w:rsidP="00B32459"/>
        </w:tc>
        <w:tc>
          <w:tcPr>
            <w:tcW w:w="1580" w:type="dxa"/>
          </w:tcPr>
          <w:p w14:paraId="6496017C" w14:textId="77777777" w:rsidR="00B419CE" w:rsidRPr="00B419CE" w:rsidRDefault="00B419CE" w:rsidP="00B32459">
            <w:pPr>
              <w:jc w:val="right"/>
            </w:pPr>
            <w:r w:rsidRPr="00B419CE">
              <w:t>10 250 600 000</w:t>
            </w:r>
          </w:p>
        </w:tc>
        <w:tc>
          <w:tcPr>
            <w:tcW w:w="1580" w:type="dxa"/>
          </w:tcPr>
          <w:p w14:paraId="69C3EBE1" w14:textId="77777777" w:rsidR="00B419CE" w:rsidRPr="00B419CE" w:rsidRDefault="00B419CE" w:rsidP="00B32459">
            <w:pPr>
              <w:jc w:val="right"/>
            </w:pPr>
            <w:r w:rsidRPr="00B419CE">
              <w:t>10 250 600 000</w:t>
            </w:r>
          </w:p>
        </w:tc>
      </w:tr>
      <w:tr w:rsidR="00B419CE" w:rsidRPr="00B419CE" w14:paraId="2EB4A93B" w14:textId="77777777" w:rsidTr="00B32459">
        <w:trPr>
          <w:trHeight w:val="380"/>
        </w:trPr>
        <w:tc>
          <w:tcPr>
            <w:tcW w:w="846" w:type="dxa"/>
          </w:tcPr>
          <w:p w14:paraId="6AE5D86A" w14:textId="77777777" w:rsidR="00B419CE" w:rsidRPr="00B419CE" w:rsidRDefault="00B419CE" w:rsidP="00B32459"/>
        </w:tc>
        <w:tc>
          <w:tcPr>
            <w:tcW w:w="709" w:type="dxa"/>
          </w:tcPr>
          <w:p w14:paraId="0EAC559E" w14:textId="77777777" w:rsidR="00B419CE" w:rsidRPr="00B419CE" w:rsidRDefault="00B419CE" w:rsidP="00B32459"/>
        </w:tc>
        <w:tc>
          <w:tcPr>
            <w:tcW w:w="4745" w:type="dxa"/>
          </w:tcPr>
          <w:p w14:paraId="045D52A9" w14:textId="77777777" w:rsidR="00B419CE" w:rsidRPr="00B419CE" w:rsidRDefault="00B419CE" w:rsidP="00B32459">
            <w:r w:rsidRPr="00B419CE">
              <w:t>Sum Statsgjeld, renter og avdrag m.m.</w:t>
            </w:r>
          </w:p>
        </w:tc>
        <w:tc>
          <w:tcPr>
            <w:tcW w:w="236" w:type="dxa"/>
          </w:tcPr>
          <w:p w14:paraId="0B38E315" w14:textId="77777777" w:rsidR="00B419CE" w:rsidRPr="00B419CE" w:rsidRDefault="00B419CE" w:rsidP="00B32459"/>
        </w:tc>
        <w:tc>
          <w:tcPr>
            <w:tcW w:w="1580" w:type="dxa"/>
          </w:tcPr>
          <w:p w14:paraId="206C4D42" w14:textId="77777777" w:rsidR="00B419CE" w:rsidRPr="00B419CE" w:rsidRDefault="00B419CE" w:rsidP="00B32459">
            <w:pPr>
              <w:jc w:val="right"/>
            </w:pPr>
          </w:p>
        </w:tc>
        <w:tc>
          <w:tcPr>
            <w:tcW w:w="1580" w:type="dxa"/>
          </w:tcPr>
          <w:p w14:paraId="75DCB264" w14:textId="77777777" w:rsidR="00B419CE" w:rsidRPr="00B419CE" w:rsidRDefault="00B419CE" w:rsidP="00B32459">
            <w:pPr>
              <w:jc w:val="right"/>
            </w:pPr>
            <w:r w:rsidRPr="00B419CE">
              <w:t>10 250 600 000</w:t>
            </w:r>
          </w:p>
        </w:tc>
      </w:tr>
      <w:tr w:rsidR="00B419CE" w:rsidRPr="00B419CE" w14:paraId="036EDFF4" w14:textId="77777777" w:rsidTr="00B32459">
        <w:trPr>
          <w:trHeight w:val="380"/>
        </w:trPr>
        <w:tc>
          <w:tcPr>
            <w:tcW w:w="846" w:type="dxa"/>
          </w:tcPr>
          <w:p w14:paraId="63CCFC7F" w14:textId="77777777" w:rsidR="00B419CE" w:rsidRPr="00B419CE" w:rsidRDefault="00B419CE" w:rsidP="00B32459"/>
        </w:tc>
        <w:tc>
          <w:tcPr>
            <w:tcW w:w="709" w:type="dxa"/>
          </w:tcPr>
          <w:p w14:paraId="49FF7997" w14:textId="77777777" w:rsidR="00B419CE" w:rsidRPr="00B419CE" w:rsidRDefault="00B419CE" w:rsidP="00B32459"/>
        </w:tc>
        <w:tc>
          <w:tcPr>
            <w:tcW w:w="4745" w:type="dxa"/>
          </w:tcPr>
          <w:p w14:paraId="68E86D72" w14:textId="77777777" w:rsidR="00B419CE" w:rsidRPr="00B419CE" w:rsidRDefault="00B419CE" w:rsidP="00B32459">
            <w:r w:rsidRPr="00B419CE">
              <w:t>Sum departementets utgifter</w:t>
            </w:r>
          </w:p>
        </w:tc>
        <w:tc>
          <w:tcPr>
            <w:tcW w:w="236" w:type="dxa"/>
          </w:tcPr>
          <w:p w14:paraId="37BB9537" w14:textId="77777777" w:rsidR="00B419CE" w:rsidRPr="00B419CE" w:rsidRDefault="00B419CE" w:rsidP="00B32459"/>
        </w:tc>
        <w:tc>
          <w:tcPr>
            <w:tcW w:w="1580" w:type="dxa"/>
          </w:tcPr>
          <w:p w14:paraId="325840EA" w14:textId="77777777" w:rsidR="00B419CE" w:rsidRPr="00B419CE" w:rsidRDefault="00B419CE" w:rsidP="00B32459">
            <w:pPr>
              <w:jc w:val="right"/>
            </w:pPr>
          </w:p>
        </w:tc>
        <w:tc>
          <w:tcPr>
            <w:tcW w:w="1580" w:type="dxa"/>
          </w:tcPr>
          <w:p w14:paraId="7EBF13FD" w14:textId="77777777" w:rsidR="00B419CE" w:rsidRPr="00B419CE" w:rsidRDefault="00B419CE" w:rsidP="00B32459">
            <w:pPr>
              <w:jc w:val="right"/>
            </w:pPr>
            <w:r w:rsidRPr="00B419CE">
              <w:t>66 043 939 000</w:t>
            </w:r>
          </w:p>
        </w:tc>
      </w:tr>
    </w:tbl>
    <w:p w14:paraId="4F923DAD" w14:textId="77777777" w:rsidR="00B419CE" w:rsidRPr="00B419CE" w:rsidRDefault="00B419CE" w:rsidP="00B419CE">
      <w:pPr>
        <w:pStyle w:val="a-vedtak-tekst"/>
      </w:pPr>
      <w:r w:rsidRPr="00B419CE">
        <w:t>Inntekter:</w:t>
      </w:r>
    </w:p>
    <w:tbl>
      <w:tblPr>
        <w:tblStyle w:val="StandardTabell"/>
        <w:tblW w:w="9696" w:type="dxa"/>
        <w:tblLayout w:type="fixed"/>
        <w:tblLook w:val="04A0" w:firstRow="1" w:lastRow="0" w:firstColumn="1" w:lastColumn="0" w:noHBand="0" w:noVBand="1"/>
      </w:tblPr>
      <w:tblGrid>
        <w:gridCol w:w="846"/>
        <w:gridCol w:w="709"/>
        <w:gridCol w:w="4745"/>
        <w:gridCol w:w="236"/>
        <w:gridCol w:w="1580"/>
        <w:gridCol w:w="1580"/>
      </w:tblGrid>
      <w:tr w:rsidR="00B419CE" w:rsidRPr="00B419CE" w14:paraId="42BFB3C4" w14:textId="77777777" w:rsidTr="00B32459">
        <w:trPr>
          <w:trHeight w:val="860"/>
          <w:hidden/>
        </w:trPr>
        <w:tc>
          <w:tcPr>
            <w:tcW w:w="846" w:type="dxa"/>
            <w:shd w:val="clear" w:color="auto" w:fill="FFFFFF"/>
          </w:tcPr>
          <w:p w14:paraId="3854EBDE" w14:textId="77777777" w:rsidR="00B419CE" w:rsidRPr="00B419CE" w:rsidRDefault="00B419CE" w:rsidP="00B32459">
            <w:pPr>
              <w:pStyle w:val="Tabellnavn"/>
            </w:pPr>
            <w:r w:rsidRPr="00B419CE">
              <w:t>VK</w:t>
            </w:r>
          </w:p>
          <w:p w14:paraId="2CE96B35" w14:textId="77777777" w:rsidR="00B419CE" w:rsidRPr="00B419CE" w:rsidRDefault="00B419CE" w:rsidP="00B32459">
            <w:r w:rsidRPr="00B419CE">
              <w:t>Kap.</w:t>
            </w:r>
          </w:p>
        </w:tc>
        <w:tc>
          <w:tcPr>
            <w:tcW w:w="709" w:type="dxa"/>
          </w:tcPr>
          <w:p w14:paraId="11C295A4" w14:textId="77777777" w:rsidR="00B419CE" w:rsidRPr="00B419CE" w:rsidRDefault="00B419CE" w:rsidP="00B32459">
            <w:r w:rsidRPr="00B419CE">
              <w:t>Post</w:t>
            </w:r>
          </w:p>
        </w:tc>
        <w:tc>
          <w:tcPr>
            <w:tcW w:w="4745" w:type="dxa"/>
          </w:tcPr>
          <w:p w14:paraId="70F36FB2" w14:textId="77777777" w:rsidR="00B419CE" w:rsidRPr="00B419CE" w:rsidRDefault="00B419CE" w:rsidP="00B32459"/>
        </w:tc>
        <w:tc>
          <w:tcPr>
            <w:tcW w:w="236" w:type="dxa"/>
          </w:tcPr>
          <w:p w14:paraId="4610E591" w14:textId="77777777" w:rsidR="00B419CE" w:rsidRPr="00B419CE" w:rsidRDefault="00B419CE" w:rsidP="00B32459"/>
        </w:tc>
        <w:tc>
          <w:tcPr>
            <w:tcW w:w="1580" w:type="dxa"/>
          </w:tcPr>
          <w:p w14:paraId="1143C6B8" w14:textId="77777777" w:rsidR="00B419CE" w:rsidRPr="00B419CE" w:rsidRDefault="00B419CE" w:rsidP="00B32459">
            <w:pPr>
              <w:jc w:val="right"/>
            </w:pPr>
            <w:r w:rsidRPr="00B419CE">
              <w:t>Kroner</w:t>
            </w:r>
          </w:p>
        </w:tc>
        <w:tc>
          <w:tcPr>
            <w:tcW w:w="1580" w:type="dxa"/>
          </w:tcPr>
          <w:p w14:paraId="702B288E" w14:textId="77777777" w:rsidR="00B419CE" w:rsidRPr="00B419CE" w:rsidRDefault="00B419CE" w:rsidP="00B32459">
            <w:pPr>
              <w:jc w:val="right"/>
            </w:pPr>
            <w:r w:rsidRPr="00B419CE">
              <w:t>Kroner</w:t>
            </w:r>
          </w:p>
        </w:tc>
      </w:tr>
      <w:tr w:rsidR="00B419CE" w:rsidRPr="00B419CE" w14:paraId="39B1013D" w14:textId="77777777" w:rsidTr="00B32459">
        <w:trPr>
          <w:trHeight w:val="380"/>
        </w:trPr>
        <w:tc>
          <w:tcPr>
            <w:tcW w:w="9696" w:type="dxa"/>
            <w:gridSpan w:val="6"/>
          </w:tcPr>
          <w:p w14:paraId="4F603A7F" w14:textId="77777777" w:rsidR="00B419CE" w:rsidRPr="00B419CE" w:rsidRDefault="00B419CE" w:rsidP="00B32459">
            <w:pPr>
              <w:jc w:val="center"/>
            </w:pPr>
            <w:r w:rsidRPr="00B419CE">
              <w:t>Regjeringa</w:t>
            </w:r>
          </w:p>
        </w:tc>
      </w:tr>
      <w:tr w:rsidR="00B419CE" w:rsidRPr="00B419CE" w14:paraId="20E13682" w14:textId="77777777" w:rsidTr="00B32459">
        <w:trPr>
          <w:trHeight w:val="380"/>
        </w:trPr>
        <w:tc>
          <w:tcPr>
            <w:tcW w:w="846" w:type="dxa"/>
          </w:tcPr>
          <w:p w14:paraId="5689589A" w14:textId="77777777" w:rsidR="00B419CE" w:rsidRPr="00B419CE" w:rsidRDefault="00B419CE" w:rsidP="00B32459">
            <w:r w:rsidRPr="00B419CE">
              <w:t>3024</w:t>
            </w:r>
          </w:p>
        </w:tc>
        <w:tc>
          <w:tcPr>
            <w:tcW w:w="709" w:type="dxa"/>
          </w:tcPr>
          <w:p w14:paraId="6E18E4CF" w14:textId="77777777" w:rsidR="00B419CE" w:rsidRPr="00B419CE" w:rsidRDefault="00B419CE" w:rsidP="00B32459"/>
        </w:tc>
        <w:tc>
          <w:tcPr>
            <w:tcW w:w="4745" w:type="dxa"/>
          </w:tcPr>
          <w:p w14:paraId="4C0EC35F" w14:textId="77777777" w:rsidR="00B419CE" w:rsidRPr="00B419CE" w:rsidRDefault="00B419CE" w:rsidP="00B32459">
            <w:r w:rsidRPr="00B419CE">
              <w:t>Regjeringsadvokaten</w:t>
            </w:r>
          </w:p>
        </w:tc>
        <w:tc>
          <w:tcPr>
            <w:tcW w:w="236" w:type="dxa"/>
          </w:tcPr>
          <w:p w14:paraId="6D69FC2F" w14:textId="77777777" w:rsidR="00B419CE" w:rsidRPr="00B419CE" w:rsidRDefault="00B419CE" w:rsidP="00B32459"/>
        </w:tc>
        <w:tc>
          <w:tcPr>
            <w:tcW w:w="1580" w:type="dxa"/>
          </w:tcPr>
          <w:p w14:paraId="15FC8DC3" w14:textId="77777777" w:rsidR="00B419CE" w:rsidRPr="00B419CE" w:rsidRDefault="00B419CE" w:rsidP="00B32459">
            <w:pPr>
              <w:jc w:val="right"/>
            </w:pPr>
          </w:p>
        </w:tc>
        <w:tc>
          <w:tcPr>
            <w:tcW w:w="1580" w:type="dxa"/>
          </w:tcPr>
          <w:p w14:paraId="14D740E4" w14:textId="77777777" w:rsidR="00B419CE" w:rsidRPr="00B419CE" w:rsidRDefault="00B419CE" w:rsidP="00B32459">
            <w:pPr>
              <w:jc w:val="right"/>
            </w:pPr>
          </w:p>
        </w:tc>
      </w:tr>
      <w:tr w:rsidR="00B419CE" w:rsidRPr="00B419CE" w14:paraId="5E88E9F7" w14:textId="77777777" w:rsidTr="00B32459">
        <w:trPr>
          <w:trHeight w:val="380"/>
        </w:trPr>
        <w:tc>
          <w:tcPr>
            <w:tcW w:w="846" w:type="dxa"/>
          </w:tcPr>
          <w:p w14:paraId="7AF4DE3B" w14:textId="77777777" w:rsidR="00B419CE" w:rsidRPr="00B419CE" w:rsidRDefault="00B419CE" w:rsidP="00B32459"/>
        </w:tc>
        <w:tc>
          <w:tcPr>
            <w:tcW w:w="709" w:type="dxa"/>
          </w:tcPr>
          <w:p w14:paraId="1EFE88CD" w14:textId="77777777" w:rsidR="00B419CE" w:rsidRPr="00B419CE" w:rsidRDefault="00B419CE" w:rsidP="00B32459">
            <w:r w:rsidRPr="00B419CE">
              <w:t>01</w:t>
            </w:r>
          </w:p>
        </w:tc>
        <w:tc>
          <w:tcPr>
            <w:tcW w:w="4745" w:type="dxa"/>
          </w:tcPr>
          <w:p w14:paraId="25D2F49E" w14:textId="77777777" w:rsidR="00B419CE" w:rsidRPr="00B419CE" w:rsidRDefault="00B419CE" w:rsidP="00B32459">
            <w:r w:rsidRPr="00B419CE">
              <w:t>Vederlag for utgifter i rettssaker</w:t>
            </w:r>
          </w:p>
        </w:tc>
        <w:tc>
          <w:tcPr>
            <w:tcW w:w="236" w:type="dxa"/>
          </w:tcPr>
          <w:p w14:paraId="28FF2A91" w14:textId="77777777" w:rsidR="00B419CE" w:rsidRPr="00B419CE" w:rsidRDefault="00B419CE" w:rsidP="00B32459"/>
        </w:tc>
        <w:tc>
          <w:tcPr>
            <w:tcW w:w="1580" w:type="dxa"/>
          </w:tcPr>
          <w:p w14:paraId="6010B5FF" w14:textId="77777777" w:rsidR="00B419CE" w:rsidRPr="00B419CE" w:rsidRDefault="00B419CE" w:rsidP="00B32459">
            <w:pPr>
              <w:jc w:val="right"/>
            </w:pPr>
            <w:r w:rsidRPr="00B419CE">
              <w:t>20 700 000</w:t>
            </w:r>
          </w:p>
        </w:tc>
        <w:tc>
          <w:tcPr>
            <w:tcW w:w="1580" w:type="dxa"/>
          </w:tcPr>
          <w:p w14:paraId="7C22CFC0" w14:textId="77777777" w:rsidR="00B419CE" w:rsidRPr="00B419CE" w:rsidRDefault="00B419CE" w:rsidP="00B32459">
            <w:pPr>
              <w:jc w:val="right"/>
            </w:pPr>
            <w:r w:rsidRPr="00B419CE">
              <w:t>20 700 000</w:t>
            </w:r>
          </w:p>
        </w:tc>
      </w:tr>
      <w:tr w:rsidR="00B419CE" w:rsidRPr="00B419CE" w14:paraId="44D58CF5" w14:textId="77777777" w:rsidTr="00B32459">
        <w:trPr>
          <w:trHeight w:val="380"/>
        </w:trPr>
        <w:tc>
          <w:tcPr>
            <w:tcW w:w="846" w:type="dxa"/>
          </w:tcPr>
          <w:p w14:paraId="45849441" w14:textId="77777777" w:rsidR="00B419CE" w:rsidRPr="00B419CE" w:rsidRDefault="00B419CE" w:rsidP="00B32459"/>
        </w:tc>
        <w:tc>
          <w:tcPr>
            <w:tcW w:w="709" w:type="dxa"/>
          </w:tcPr>
          <w:p w14:paraId="0A384E32" w14:textId="77777777" w:rsidR="00B419CE" w:rsidRPr="00B419CE" w:rsidRDefault="00B419CE" w:rsidP="00B32459"/>
        </w:tc>
        <w:tc>
          <w:tcPr>
            <w:tcW w:w="4745" w:type="dxa"/>
          </w:tcPr>
          <w:p w14:paraId="2D1C79B4" w14:textId="77777777" w:rsidR="00B419CE" w:rsidRPr="00B419CE" w:rsidRDefault="00B419CE" w:rsidP="00B32459">
            <w:r w:rsidRPr="00B419CE">
              <w:t>Sum Regjeringa</w:t>
            </w:r>
          </w:p>
        </w:tc>
        <w:tc>
          <w:tcPr>
            <w:tcW w:w="236" w:type="dxa"/>
          </w:tcPr>
          <w:p w14:paraId="3875C84E" w14:textId="77777777" w:rsidR="00B419CE" w:rsidRPr="00B419CE" w:rsidRDefault="00B419CE" w:rsidP="00B32459"/>
        </w:tc>
        <w:tc>
          <w:tcPr>
            <w:tcW w:w="1580" w:type="dxa"/>
          </w:tcPr>
          <w:p w14:paraId="199230FB" w14:textId="77777777" w:rsidR="00B419CE" w:rsidRPr="00B419CE" w:rsidRDefault="00B419CE" w:rsidP="00B32459">
            <w:pPr>
              <w:jc w:val="right"/>
            </w:pPr>
          </w:p>
        </w:tc>
        <w:tc>
          <w:tcPr>
            <w:tcW w:w="1580" w:type="dxa"/>
          </w:tcPr>
          <w:p w14:paraId="186DBC17" w14:textId="77777777" w:rsidR="00B419CE" w:rsidRPr="00B419CE" w:rsidRDefault="00B419CE" w:rsidP="00B32459">
            <w:pPr>
              <w:jc w:val="right"/>
            </w:pPr>
            <w:r w:rsidRPr="00B419CE">
              <w:t>20 700 000</w:t>
            </w:r>
          </w:p>
        </w:tc>
      </w:tr>
      <w:tr w:rsidR="00B419CE" w:rsidRPr="00B419CE" w14:paraId="7CF1EA87" w14:textId="77777777" w:rsidTr="00B32459">
        <w:trPr>
          <w:trHeight w:val="380"/>
        </w:trPr>
        <w:tc>
          <w:tcPr>
            <w:tcW w:w="9696" w:type="dxa"/>
            <w:gridSpan w:val="6"/>
          </w:tcPr>
          <w:p w14:paraId="4F8D5B3C" w14:textId="77777777" w:rsidR="00B419CE" w:rsidRPr="00B419CE" w:rsidRDefault="00B419CE" w:rsidP="00B32459">
            <w:pPr>
              <w:jc w:val="center"/>
            </w:pPr>
            <w:r w:rsidRPr="00B419CE">
              <w:t>Stortinget og tilknytte organ</w:t>
            </w:r>
          </w:p>
        </w:tc>
      </w:tr>
      <w:tr w:rsidR="00B419CE" w:rsidRPr="00B419CE" w14:paraId="7C700B96" w14:textId="77777777" w:rsidTr="00B32459">
        <w:trPr>
          <w:trHeight w:val="380"/>
        </w:trPr>
        <w:tc>
          <w:tcPr>
            <w:tcW w:w="846" w:type="dxa"/>
          </w:tcPr>
          <w:p w14:paraId="67BF4629" w14:textId="77777777" w:rsidR="00B419CE" w:rsidRPr="00B419CE" w:rsidRDefault="00B419CE" w:rsidP="00B32459">
            <w:r w:rsidRPr="00B419CE">
              <w:t>3041</w:t>
            </w:r>
          </w:p>
        </w:tc>
        <w:tc>
          <w:tcPr>
            <w:tcW w:w="709" w:type="dxa"/>
          </w:tcPr>
          <w:p w14:paraId="2FF37C52" w14:textId="77777777" w:rsidR="00B419CE" w:rsidRPr="00B419CE" w:rsidRDefault="00B419CE" w:rsidP="00B32459"/>
        </w:tc>
        <w:tc>
          <w:tcPr>
            <w:tcW w:w="4745" w:type="dxa"/>
          </w:tcPr>
          <w:p w14:paraId="2AF51F12" w14:textId="77777777" w:rsidR="00B419CE" w:rsidRPr="00B419CE" w:rsidRDefault="00B419CE" w:rsidP="00B32459">
            <w:r w:rsidRPr="00B419CE">
              <w:t>Stortinget</w:t>
            </w:r>
          </w:p>
        </w:tc>
        <w:tc>
          <w:tcPr>
            <w:tcW w:w="236" w:type="dxa"/>
          </w:tcPr>
          <w:p w14:paraId="18B5C1BE" w14:textId="77777777" w:rsidR="00B419CE" w:rsidRPr="00B419CE" w:rsidRDefault="00B419CE" w:rsidP="00B32459"/>
        </w:tc>
        <w:tc>
          <w:tcPr>
            <w:tcW w:w="1580" w:type="dxa"/>
          </w:tcPr>
          <w:p w14:paraId="0FD66573" w14:textId="77777777" w:rsidR="00B419CE" w:rsidRPr="00B419CE" w:rsidRDefault="00B419CE" w:rsidP="00B32459">
            <w:pPr>
              <w:jc w:val="right"/>
            </w:pPr>
          </w:p>
        </w:tc>
        <w:tc>
          <w:tcPr>
            <w:tcW w:w="1580" w:type="dxa"/>
          </w:tcPr>
          <w:p w14:paraId="2EFEB4EF" w14:textId="77777777" w:rsidR="00B419CE" w:rsidRPr="00B419CE" w:rsidRDefault="00B419CE" w:rsidP="00B32459">
            <w:pPr>
              <w:jc w:val="right"/>
            </w:pPr>
          </w:p>
        </w:tc>
      </w:tr>
      <w:tr w:rsidR="00B419CE" w:rsidRPr="00B419CE" w14:paraId="7C2C3FC7" w14:textId="77777777" w:rsidTr="00B32459">
        <w:trPr>
          <w:trHeight w:val="380"/>
        </w:trPr>
        <w:tc>
          <w:tcPr>
            <w:tcW w:w="846" w:type="dxa"/>
          </w:tcPr>
          <w:p w14:paraId="717986BB" w14:textId="77777777" w:rsidR="00B419CE" w:rsidRPr="00B419CE" w:rsidRDefault="00B419CE" w:rsidP="00B32459"/>
        </w:tc>
        <w:tc>
          <w:tcPr>
            <w:tcW w:w="709" w:type="dxa"/>
          </w:tcPr>
          <w:p w14:paraId="5E329CE8" w14:textId="77777777" w:rsidR="00B419CE" w:rsidRPr="00B419CE" w:rsidRDefault="00B419CE" w:rsidP="00B32459">
            <w:r w:rsidRPr="00B419CE">
              <w:t>01</w:t>
            </w:r>
          </w:p>
        </w:tc>
        <w:tc>
          <w:tcPr>
            <w:tcW w:w="4745" w:type="dxa"/>
          </w:tcPr>
          <w:p w14:paraId="56BA5C8D" w14:textId="77777777" w:rsidR="00B419CE" w:rsidRPr="00B419CE" w:rsidRDefault="00B419CE" w:rsidP="00B32459">
            <w:proofErr w:type="spellStart"/>
            <w:r w:rsidRPr="00B419CE">
              <w:t>Salsinntekter</w:t>
            </w:r>
            <w:proofErr w:type="spellEnd"/>
          </w:p>
        </w:tc>
        <w:tc>
          <w:tcPr>
            <w:tcW w:w="236" w:type="dxa"/>
          </w:tcPr>
          <w:p w14:paraId="467D791F" w14:textId="77777777" w:rsidR="00B419CE" w:rsidRPr="00B419CE" w:rsidRDefault="00B419CE" w:rsidP="00B32459"/>
        </w:tc>
        <w:tc>
          <w:tcPr>
            <w:tcW w:w="1580" w:type="dxa"/>
          </w:tcPr>
          <w:p w14:paraId="569C6351" w14:textId="77777777" w:rsidR="00B419CE" w:rsidRPr="00B419CE" w:rsidRDefault="00B419CE" w:rsidP="00B32459">
            <w:pPr>
              <w:jc w:val="right"/>
            </w:pPr>
            <w:r w:rsidRPr="00B419CE">
              <w:t>5 700 000</w:t>
            </w:r>
          </w:p>
        </w:tc>
        <w:tc>
          <w:tcPr>
            <w:tcW w:w="1580" w:type="dxa"/>
          </w:tcPr>
          <w:p w14:paraId="489AF816" w14:textId="77777777" w:rsidR="00B419CE" w:rsidRPr="00B419CE" w:rsidRDefault="00B419CE" w:rsidP="00B32459">
            <w:pPr>
              <w:jc w:val="right"/>
            </w:pPr>
          </w:p>
        </w:tc>
      </w:tr>
      <w:tr w:rsidR="00B419CE" w:rsidRPr="00B419CE" w14:paraId="5E562B48" w14:textId="77777777" w:rsidTr="00B32459">
        <w:trPr>
          <w:trHeight w:val="380"/>
        </w:trPr>
        <w:tc>
          <w:tcPr>
            <w:tcW w:w="846" w:type="dxa"/>
          </w:tcPr>
          <w:p w14:paraId="4897A2B0" w14:textId="77777777" w:rsidR="00B419CE" w:rsidRPr="00B419CE" w:rsidRDefault="00B419CE" w:rsidP="00B32459"/>
        </w:tc>
        <w:tc>
          <w:tcPr>
            <w:tcW w:w="709" w:type="dxa"/>
          </w:tcPr>
          <w:p w14:paraId="7C491B44" w14:textId="77777777" w:rsidR="00B419CE" w:rsidRPr="00B419CE" w:rsidRDefault="00B419CE" w:rsidP="00B32459">
            <w:r w:rsidRPr="00B419CE">
              <w:t>03</w:t>
            </w:r>
          </w:p>
        </w:tc>
        <w:tc>
          <w:tcPr>
            <w:tcW w:w="4745" w:type="dxa"/>
          </w:tcPr>
          <w:p w14:paraId="1BA7FE09" w14:textId="77777777" w:rsidR="00B419CE" w:rsidRPr="00B419CE" w:rsidRDefault="00B419CE" w:rsidP="00B32459">
            <w:proofErr w:type="spellStart"/>
            <w:r w:rsidRPr="00B419CE">
              <w:t>Leigeinntekter</w:t>
            </w:r>
            <w:proofErr w:type="spellEnd"/>
          </w:p>
        </w:tc>
        <w:tc>
          <w:tcPr>
            <w:tcW w:w="236" w:type="dxa"/>
          </w:tcPr>
          <w:p w14:paraId="16C95C57" w14:textId="77777777" w:rsidR="00B419CE" w:rsidRPr="00B419CE" w:rsidRDefault="00B419CE" w:rsidP="00B32459"/>
        </w:tc>
        <w:tc>
          <w:tcPr>
            <w:tcW w:w="1580" w:type="dxa"/>
          </w:tcPr>
          <w:p w14:paraId="45E82A81" w14:textId="77777777" w:rsidR="00B419CE" w:rsidRPr="00B419CE" w:rsidRDefault="00B419CE" w:rsidP="00B32459">
            <w:pPr>
              <w:jc w:val="right"/>
            </w:pPr>
            <w:r w:rsidRPr="00B419CE">
              <w:t>2 300 000</w:t>
            </w:r>
          </w:p>
        </w:tc>
        <w:tc>
          <w:tcPr>
            <w:tcW w:w="1580" w:type="dxa"/>
          </w:tcPr>
          <w:p w14:paraId="76B379D7" w14:textId="77777777" w:rsidR="00B419CE" w:rsidRPr="00B419CE" w:rsidRDefault="00B419CE" w:rsidP="00B32459">
            <w:pPr>
              <w:jc w:val="right"/>
            </w:pPr>
            <w:r w:rsidRPr="00B419CE">
              <w:t>8 000 000</w:t>
            </w:r>
          </w:p>
        </w:tc>
      </w:tr>
      <w:tr w:rsidR="00B419CE" w:rsidRPr="00B419CE" w14:paraId="12D608F7" w14:textId="77777777" w:rsidTr="00B32459">
        <w:trPr>
          <w:trHeight w:val="380"/>
        </w:trPr>
        <w:tc>
          <w:tcPr>
            <w:tcW w:w="846" w:type="dxa"/>
          </w:tcPr>
          <w:p w14:paraId="2AC764DD" w14:textId="77777777" w:rsidR="00B419CE" w:rsidRPr="00B419CE" w:rsidRDefault="00B419CE" w:rsidP="00B32459">
            <w:r w:rsidRPr="00B419CE">
              <w:t>3051</w:t>
            </w:r>
          </w:p>
        </w:tc>
        <w:tc>
          <w:tcPr>
            <w:tcW w:w="709" w:type="dxa"/>
          </w:tcPr>
          <w:p w14:paraId="3E7547DB" w14:textId="77777777" w:rsidR="00B419CE" w:rsidRPr="00B419CE" w:rsidRDefault="00B419CE" w:rsidP="00B32459"/>
        </w:tc>
        <w:tc>
          <w:tcPr>
            <w:tcW w:w="4745" w:type="dxa"/>
          </w:tcPr>
          <w:p w14:paraId="345260AB" w14:textId="77777777" w:rsidR="00B419CE" w:rsidRPr="00B419CE" w:rsidRDefault="00B419CE" w:rsidP="00B32459">
            <w:r w:rsidRPr="00B419CE">
              <w:t>Riksrevisjonen</w:t>
            </w:r>
          </w:p>
        </w:tc>
        <w:tc>
          <w:tcPr>
            <w:tcW w:w="236" w:type="dxa"/>
          </w:tcPr>
          <w:p w14:paraId="57535E3B" w14:textId="77777777" w:rsidR="00B419CE" w:rsidRPr="00B419CE" w:rsidRDefault="00B419CE" w:rsidP="00B32459"/>
        </w:tc>
        <w:tc>
          <w:tcPr>
            <w:tcW w:w="1580" w:type="dxa"/>
          </w:tcPr>
          <w:p w14:paraId="3452DCAB" w14:textId="77777777" w:rsidR="00B419CE" w:rsidRPr="00B419CE" w:rsidRDefault="00B419CE" w:rsidP="00B32459">
            <w:pPr>
              <w:jc w:val="right"/>
            </w:pPr>
          </w:p>
        </w:tc>
        <w:tc>
          <w:tcPr>
            <w:tcW w:w="1580" w:type="dxa"/>
          </w:tcPr>
          <w:p w14:paraId="69E860CA" w14:textId="77777777" w:rsidR="00B419CE" w:rsidRPr="00B419CE" w:rsidRDefault="00B419CE" w:rsidP="00B32459">
            <w:pPr>
              <w:jc w:val="right"/>
            </w:pPr>
          </w:p>
        </w:tc>
      </w:tr>
      <w:tr w:rsidR="00B419CE" w:rsidRPr="00B419CE" w14:paraId="4AB68416" w14:textId="77777777" w:rsidTr="00B32459">
        <w:trPr>
          <w:trHeight w:val="380"/>
        </w:trPr>
        <w:tc>
          <w:tcPr>
            <w:tcW w:w="846" w:type="dxa"/>
          </w:tcPr>
          <w:p w14:paraId="3822AE91" w14:textId="77777777" w:rsidR="00B419CE" w:rsidRPr="00B419CE" w:rsidRDefault="00B419CE" w:rsidP="00B32459"/>
        </w:tc>
        <w:tc>
          <w:tcPr>
            <w:tcW w:w="709" w:type="dxa"/>
          </w:tcPr>
          <w:p w14:paraId="258FCB6A" w14:textId="77777777" w:rsidR="00B419CE" w:rsidRPr="00B419CE" w:rsidRDefault="00B419CE" w:rsidP="00B32459">
            <w:r w:rsidRPr="00B419CE">
              <w:t>01</w:t>
            </w:r>
          </w:p>
        </w:tc>
        <w:tc>
          <w:tcPr>
            <w:tcW w:w="4745" w:type="dxa"/>
          </w:tcPr>
          <w:p w14:paraId="187B7A13" w14:textId="77777777" w:rsidR="00B419CE" w:rsidRPr="00B419CE" w:rsidRDefault="00B419CE" w:rsidP="00B32459">
            <w:r w:rsidRPr="00B419CE">
              <w:t>Refusjon innland</w:t>
            </w:r>
          </w:p>
        </w:tc>
        <w:tc>
          <w:tcPr>
            <w:tcW w:w="236" w:type="dxa"/>
          </w:tcPr>
          <w:p w14:paraId="5406F934" w14:textId="77777777" w:rsidR="00B419CE" w:rsidRPr="00B419CE" w:rsidRDefault="00B419CE" w:rsidP="00B32459"/>
        </w:tc>
        <w:tc>
          <w:tcPr>
            <w:tcW w:w="1580" w:type="dxa"/>
          </w:tcPr>
          <w:p w14:paraId="2A93129D" w14:textId="77777777" w:rsidR="00B419CE" w:rsidRPr="00B419CE" w:rsidRDefault="00B419CE" w:rsidP="00B32459">
            <w:pPr>
              <w:jc w:val="right"/>
            </w:pPr>
            <w:r w:rsidRPr="00B419CE">
              <w:t>2 000 000</w:t>
            </w:r>
          </w:p>
        </w:tc>
        <w:tc>
          <w:tcPr>
            <w:tcW w:w="1580" w:type="dxa"/>
          </w:tcPr>
          <w:p w14:paraId="673DD8E4" w14:textId="77777777" w:rsidR="00B419CE" w:rsidRPr="00B419CE" w:rsidRDefault="00B419CE" w:rsidP="00B32459">
            <w:pPr>
              <w:jc w:val="right"/>
            </w:pPr>
          </w:p>
        </w:tc>
      </w:tr>
      <w:tr w:rsidR="00B419CE" w:rsidRPr="00B419CE" w14:paraId="0AF10BD3" w14:textId="77777777" w:rsidTr="00B32459">
        <w:trPr>
          <w:trHeight w:val="380"/>
        </w:trPr>
        <w:tc>
          <w:tcPr>
            <w:tcW w:w="846" w:type="dxa"/>
          </w:tcPr>
          <w:p w14:paraId="56F610FD" w14:textId="77777777" w:rsidR="00B419CE" w:rsidRPr="00B419CE" w:rsidRDefault="00B419CE" w:rsidP="00B32459"/>
        </w:tc>
        <w:tc>
          <w:tcPr>
            <w:tcW w:w="709" w:type="dxa"/>
          </w:tcPr>
          <w:p w14:paraId="38F6A150" w14:textId="77777777" w:rsidR="00B419CE" w:rsidRPr="00B419CE" w:rsidRDefault="00B419CE" w:rsidP="00B32459">
            <w:r w:rsidRPr="00B419CE">
              <w:t>02</w:t>
            </w:r>
          </w:p>
        </w:tc>
        <w:tc>
          <w:tcPr>
            <w:tcW w:w="4745" w:type="dxa"/>
          </w:tcPr>
          <w:p w14:paraId="68974703" w14:textId="77777777" w:rsidR="00B419CE" w:rsidRPr="00B419CE" w:rsidRDefault="00B419CE" w:rsidP="00B32459">
            <w:r w:rsidRPr="00B419CE">
              <w:t>Refusjon utland</w:t>
            </w:r>
          </w:p>
        </w:tc>
        <w:tc>
          <w:tcPr>
            <w:tcW w:w="236" w:type="dxa"/>
          </w:tcPr>
          <w:p w14:paraId="0E8C2CD6" w14:textId="77777777" w:rsidR="00B419CE" w:rsidRPr="00B419CE" w:rsidRDefault="00B419CE" w:rsidP="00B32459"/>
        </w:tc>
        <w:tc>
          <w:tcPr>
            <w:tcW w:w="1580" w:type="dxa"/>
          </w:tcPr>
          <w:p w14:paraId="32A0D30D" w14:textId="77777777" w:rsidR="00B419CE" w:rsidRPr="00B419CE" w:rsidRDefault="00B419CE" w:rsidP="00B32459">
            <w:pPr>
              <w:jc w:val="right"/>
            </w:pPr>
            <w:r w:rsidRPr="00B419CE">
              <w:t>300 000</w:t>
            </w:r>
          </w:p>
        </w:tc>
        <w:tc>
          <w:tcPr>
            <w:tcW w:w="1580" w:type="dxa"/>
          </w:tcPr>
          <w:p w14:paraId="5ECD743C" w14:textId="77777777" w:rsidR="00B419CE" w:rsidRPr="00B419CE" w:rsidRDefault="00B419CE" w:rsidP="00B32459">
            <w:pPr>
              <w:jc w:val="right"/>
            </w:pPr>
            <w:r w:rsidRPr="00B419CE">
              <w:t>2 300 000</w:t>
            </w:r>
          </w:p>
        </w:tc>
      </w:tr>
      <w:tr w:rsidR="00B419CE" w:rsidRPr="00B419CE" w14:paraId="5F16063E" w14:textId="77777777" w:rsidTr="00B32459">
        <w:trPr>
          <w:trHeight w:val="380"/>
        </w:trPr>
        <w:tc>
          <w:tcPr>
            <w:tcW w:w="846" w:type="dxa"/>
          </w:tcPr>
          <w:p w14:paraId="5C5F51F3" w14:textId="77777777" w:rsidR="00B419CE" w:rsidRPr="00B419CE" w:rsidRDefault="00B419CE" w:rsidP="00B32459"/>
        </w:tc>
        <w:tc>
          <w:tcPr>
            <w:tcW w:w="709" w:type="dxa"/>
          </w:tcPr>
          <w:p w14:paraId="4FD7CF3D" w14:textId="77777777" w:rsidR="00B419CE" w:rsidRPr="00B419CE" w:rsidRDefault="00B419CE" w:rsidP="00B32459"/>
        </w:tc>
        <w:tc>
          <w:tcPr>
            <w:tcW w:w="4745" w:type="dxa"/>
          </w:tcPr>
          <w:p w14:paraId="25362995" w14:textId="77777777" w:rsidR="00B419CE" w:rsidRPr="00B419CE" w:rsidRDefault="00B419CE" w:rsidP="00B32459">
            <w:r w:rsidRPr="00B419CE">
              <w:t>Sum Stortinget og tilknytte organ</w:t>
            </w:r>
          </w:p>
        </w:tc>
        <w:tc>
          <w:tcPr>
            <w:tcW w:w="236" w:type="dxa"/>
          </w:tcPr>
          <w:p w14:paraId="29E60B7A" w14:textId="77777777" w:rsidR="00B419CE" w:rsidRPr="00B419CE" w:rsidRDefault="00B419CE" w:rsidP="00B32459"/>
        </w:tc>
        <w:tc>
          <w:tcPr>
            <w:tcW w:w="1580" w:type="dxa"/>
          </w:tcPr>
          <w:p w14:paraId="795312B2" w14:textId="77777777" w:rsidR="00B419CE" w:rsidRPr="00B419CE" w:rsidRDefault="00B419CE" w:rsidP="00B32459">
            <w:pPr>
              <w:jc w:val="right"/>
            </w:pPr>
          </w:p>
        </w:tc>
        <w:tc>
          <w:tcPr>
            <w:tcW w:w="1580" w:type="dxa"/>
          </w:tcPr>
          <w:p w14:paraId="03012C88" w14:textId="77777777" w:rsidR="00B419CE" w:rsidRPr="00B419CE" w:rsidRDefault="00B419CE" w:rsidP="00B32459">
            <w:pPr>
              <w:jc w:val="right"/>
            </w:pPr>
            <w:r w:rsidRPr="00B419CE">
              <w:t>10 300 000</w:t>
            </w:r>
          </w:p>
        </w:tc>
      </w:tr>
      <w:tr w:rsidR="00B419CE" w:rsidRPr="00B419CE" w14:paraId="202E02DA" w14:textId="77777777" w:rsidTr="00B32459">
        <w:trPr>
          <w:trHeight w:val="380"/>
        </w:trPr>
        <w:tc>
          <w:tcPr>
            <w:tcW w:w="9696" w:type="dxa"/>
            <w:gridSpan w:val="6"/>
          </w:tcPr>
          <w:p w14:paraId="6AFA5223" w14:textId="77777777" w:rsidR="00B419CE" w:rsidRPr="00B419CE" w:rsidRDefault="00B419CE" w:rsidP="00B32459">
            <w:pPr>
              <w:jc w:val="center"/>
            </w:pPr>
            <w:r w:rsidRPr="00B419CE">
              <w:t>Finansdepartementet</w:t>
            </w:r>
          </w:p>
        </w:tc>
      </w:tr>
      <w:tr w:rsidR="00B419CE" w:rsidRPr="00B419CE" w14:paraId="0477876D" w14:textId="77777777" w:rsidTr="00B32459">
        <w:trPr>
          <w:trHeight w:val="380"/>
        </w:trPr>
        <w:tc>
          <w:tcPr>
            <w:tcW w:w="846" w:type="dxa"/>
          </w:tcPr>
          <w:p w14:paraId="20301BAC" w14:textId="77777777" w:rsidR="00B419CE" w:rsidRPr="00B419CE" w:rsidRDefault="00B419CE" w:rsidP="00B32459">
            <w:r w:rsidRPr="00B419CE">
              <w:t>4600</w:t>
            </w:r>
          </w:p>
        </w:tc>
        <w:tc>
          <w:tcPr>
            <w:tcW w:w="709" w:type="dxa"/>
          </w:tcPr>
          <w:p w14:paraId="70A24AFB" w14:textId="77777777" w:rsidR="00B419CE" w:rsidRPr="00B419CE" w:rsidRDefault="00B419CE" w:rsidP="00B32459"/>
        </w:tc>
        <w:tc>
          <w:tcPr>
            <w:tcW w:w="4745" w:type="dxa"/>
          </w:tcPr>
          <w:p w14:paraId="1D23738D" w14:textId="77777777" w:rsidR="00B419CE" w:rsidRPr="00B419CE" w:rsidRDefault="00B419CE" w:rsidP="00B32459">
            <w:r w:rsidRPr="00B419CE">
              <w:t>Finansdepartementet</w:t>
            </w:r>
          </w:p>
        </w:tc>
        <w:tc>
          <w:tcPr>
            <w:tcW w:w="236" w:type="dxa"/>
          </w:tcPr>
          <w:p w14:paraId="74149F24" w14:textId="77777777" w:rsidR="00B419CE" w:rsidRPr="00B419CE" w:rsidRDefault="00B419CE" w:rsidP="00B32459"/>
        </w:tc>
        <w:tc>
          <w:tcPr>
            <w:tcW w:w="1580" w:type="dxa"/>
          </w:tcPr>
          <w:p w14:paraId="562A2DC0" w14:textId="77777777" w:rsidR="00B419CE" w:rsidRPr="00B419CE" w:rsidRDefault="00B419CE" w:rsidP="00B32459">
            <w:pPr>
              <w:jc w:val="right"/>
            </w:pPr>
          </w:p>
        </w:tc>
        <w:tc>
          <w:tcPr>
            <w:tcW w:w="1580" w:type="dxa"/>
          </w:tcPr>
          <w:p w14:paraId="2B29FA64" w14:textId="77777777" w:rsidR="00B419CE" w:rsidRPr="00B419CE" w:rsidRDefault="00B419CE" w:rsidP="00B32459">
            <w:pPr>
              <w:jc w:val="right"/>
            </w:pPr>
          </w:p>
        </w:tc>
      </w:tr>
      <w:tr w:rsidR="00B419CE" w:rsidRPr="00B419CE" w14:paraId="7B640E89" w14:textId="77777777" w:rsidTr="00B32459">
        <w:trPr>
          <w:trHeight w:val="380"/>
        </w:trPr>
        <w:tc>
          <w:tcPr>
            <w:tcW w:w="846" w:type="dxa"/>
          </w:tcPr>
          <w:p w14:paraId="789323CE" w14:textId="77777777" w:rsidR="00B419CE" w:rsidRPr="00B419CE" w:rsidRDefault="00B419CE" w:rsidP="00B32459"/>
        </w:tc>
        <w:tc>
          <w:tcPr>
            <w:tcW w:w="709" w:type="dxa"/>
          </w:tcPr>
          <w:p w14:paraId="3FD1936B" w14:textId="77777777" w:rsidR="00B419CE" w:rsidRPr="00B419CE" w:rsidRDefault="00B419CE" w:rsidP="00B32459">
            <w:r w:rsidRPr="00B419CE">
              <w:t>02</w:t>
            </w:r>
          </w:p>
        </w:tc>
        <w:tc>
          <w:tcPr>
            <w:tcW w:w="4745" w:type="dxa"/>
          </w:tcPr>
          <w:p w14:paraId="661133D4" w14:textId="77777777" w:rsidR="00B419CE" w:rsidRPr="00B419CE" w:rsidRDefault="00B419CE" w:rsidP="00B32459">
            <w:r w:rsidRPr="00B419CE">
              <w:t xml:space="preserve">Ymse </w:t>
            </w:r>
            <w:proofErr w:type="spellStart"/>
            <w:r w:rsidRPr="00B419CE">
              <w:t>refusjonar</w:t>
            </w:r>
            <w:proofErr w:type="spellEnd"/>
          </w:p>
        </w:tc>
        <w:tc>
          <w:tcPr>
            <w:tcW w:w="236" w:type="dxa"/>
          </w:tcPr>
          <w:p w14:paraId="3CFE428D" w14:textId="77777777" w:rsidR="00B419CE" w:rsidRPr="00B419CE" w:rsidRDefault="00B419CE" w:rsidP="00B32459"/>
        </w:tc>
        <w:tc>
          <w:tcPr>
            <w:tcW w:w="1580" w:type="dxa"/>
          </w:tcPr>
          <w:p w14:paraId="014C02B4" w14:textId="77777777" w:rsidR="00B419CE" w:rsidRPr="00B419CE" w:rsidRDefault="00B419CE" w:rsidP="00B32459">
            <w:pPr>
              <w:jc w:val="right"/>
            </w:pPr>
            <w:r w:rsidRPr="00B419CE">
              <w:t>200 000</w:t>
            </w:r>
          </w:p>
        </w:tc>
        <w:tc>
          <w:tcPr>
            <w:tcW w:w="1580" w:type="dxa"/>
          </w:tcPr>
          <w:p w14:paraId="5C1060F2" w14:textId="77777777" w:rsidR="00B419CE" w:rsidRPr="00B419CE" w:rsidRDefault="00B419CE" w:rsidP="00B32459">
            <w:pPr>
              <w:jc w:val="right"/>
            </w:pPr>
            <w:r w:rsidRPr="00B419CE">
              <w:t>200 000</w:t>
            </w:r>
          </w:p>
        </w:tc>
      </w:tr>
      <w:tr w:rsidR="00B419CE" w:rsidRPr="00B419CE" w14:paraId="2376F68E" w14:textId="77777777" w:rsidTr="00B32459">
        <w:trPr>
          <w:trHeight w:val="380"/>
        </w:trPr>
        <w:tc>
          <w:tcPr>
            <w:tcW w:w="846" w:type="dxa"/>
          </w:tcPr>
          <w:p w14:paraId="488E9548" w14:textId="77777777" w:rsidR="00B419CE" w:rsidRPr="00B419CE" w:rsidRDefault="00B419CE" w:rsidP="00B32459">
            <w:r w:rsidRPr="00B419CE">
              <w:t>4602</w:t>
            </w:r>
          </w:p>
        </w:tc>
        <w:tc>
          <w:tcPr>
            <w:tcW w:w="709" w:type="dxa"/>
          </w:tcPr>
          <w:p w14:paraId="2101BA35" w14:textId="77777777" w:rsidR="00B419CE" w:rsidRPr="00B419CE" w:rsidRDefault="00B419CE" w:rsidP="00B32459"/>
        </w:tc>
        <w:tc>
          <w:tcPr>
            <w:tcW w:w="4745" w:type="dxa"/>
          </w:tcPr>
          <w:p w14:paraId="5A514EEE" w14:textId="77777777" w:rsidR="00B419CE" w:rsidRPr="00B419CE" w:rsidRDefault="00B419CE" w:rsidP="00B32459">
            <w:r w:rsidRPr="00B419CE">
              <w:t>Finanstilsynet</w:t>
            </w:r>
          </w:p>
        </w:tc>
        <w:tc>
          <w:tcPr>
            <w:tcW w:w="236" w:type="dxa"/>
          </w:tcPr>
          <w:p w14:paraId="7C4DEBD4" w14:textId="77777777" w:rsidR="00B419CE" w:rsidRPr="00B419CE" w:rsidRDefault="00B419CE" w:rsidP="00B32459"/>
        </w:tc>
        <w:tc>
          <w:tcPr>
            <w:tcW w:w="1580" w:type="dxa"/>
          </w:tcPr>
          <w:p w14:paraId="545D2F62" w14:textId="77777777" w:rsidR="00B419CE" w:rsidRPr="00B419CE" w:rsidRDefault="00B419CE" w:rsidP="00B32459">
            <w:pPr>
              <w:jc w:val="right"/>
            </w:pPr>
          </w:p>
        </w:tc>
        <w:tc>
          <w:tcPr>
            <w:tcW w:w="1580" w:type="dxa"/>
          </w:tcPr>
          <w:p w14:paraId="15EF96C0" w14:textId="77777777" w:rsidR="00B419CE" w:rsidRPr="00B419CE" w:rsidRDefault="00B419CE" w:rsidP="00B32459">
            <w:pPr>
              <w:jc w:val="right"/>
            </w:pPr>
          </w:p>
        </w:tc>
      </w:tr>
      <w:tr w:rsidR="00B419CE" w:rsidRPr="00B419CE" w14:paraId="3C7046DB" w14:textId="77777777" w:rsidTr="00B32459">
        <w:trPr>
          <w:trHeight w:val="380"/>
        </w:trPr>
        <w:tc>
          <w:tcPr>
            <w:tcW w:w="846" w:type="dxa"/>
          </w:tcPr>
          <w:p w14:paraId="25DD5EE8" w14:textId="77777777" w:rsidR="00B419CE" w:rsidRPr="00B419CE" w:rsidRDefault="00B419CE" w:rsidP="00B32459"/>
        </w:tc>
        <w:tc>
          <w:tcPr>
            <w:tcW w:w="709" w:type="dxa"/>
          </w:tcPr>
          <w:p w14:paraId="388EC266" w14:textId="77777777" w:rsidR="00B419CE" w:rsidRPr="00B419CE" w:rsidRDefault="00B419CE" w:rsidP="00B32459">
            <w:r w:rsidRPr="00B419CE">
              <w:t>03</w:t>
            </w:r>
          </w:p>
        </w:tc>
        <w:tc>
          <w:tcPr>
            <w:tcW w:w="4745" w:type="dxa"/>
          </w:tcPr>
          <w:p w14:paraId="57C48DE8" w14:textId="77777777" w:rsidR="00B419CE" w:rsidRPr="00B419CE" w:rsidRDefault="00B419CE" w:rsidP="00B32459">
            <w:r w:rsidRPr="00B419CE">
              <w:t>Sakshandsamingsgebyr</w:t>
            </w:r>
          </w:p>
        </w:tc>
        <w:tc>
          <w:tcPr>
            <w:tcW w:w="236" w:type="dxa"/>
          </w:tcPr>
          <w:p w14:paraId="2A84E8BB" w14:textId="77777777" w:rsidR="00B419CE" w:rsidRPr="00B419CE" w:rsidRDefault="00B419CE" w:rsidP="00B32459"/>
        </w:tc>
        <w:tc>
          <w:tcPr>
            <w:tcW w:w="1580" w:type="dxa"/>
          </w:tcPr>
          <w:p w14:paraId="47E1138B" w14:textId="77777777" w:rsidR="00B419CE" w:rsidRPr="00B419CE" w:rsidRDefault="00B419CE" w:rsidP="00B32459">
            <w:pPr>
              <w:jc w:val="right"/>
            </w:pPr>
            <w:r w:rsidRPr="00B419CE">
              <w:t>12 800 000</w:t>
            </w:r>
          </w:p>
        </w:tc>
        <w:tc>
          <w:tcPr>
            <w:tcW w:w="1580" w:type="dxa"/>
          </w:tcPr>
          <w:p w14:paraId="20B78B86" w14:textId="77777777" w:rsidR="00B419CE" w:rsidRPr="00B419CE" w:rsidRDefault="00B419CE" w:rsidP="00B32459">
            <w:pPr>
              <w:jc w:val="right"/>
            </w:pPr>
          </w:p>
        </w:tc>
      </w:tr>
      <w:tr w:rsidR="00B419CE" w:rsidRPr="00B419CE" w14:paraId="44DCA7FF" w14:textId="77777777" w:rsidTr="00B32459">
        <w:trPr>
          <w:trHeight w:val="380"/>
        </w:trPr>
        <w:tc>
          <w:tcPr>
            <w:tcW w:w="846" w:type="dxa"/>
          </w:tcPr>
          <w:p w14:paraId="3A5B1BB9" w14:textId="77777777" w:rsidR="00B419CE" w:rsidRPr="00B419CE" w:rsidRDefault="00B419CE" w:rsidP="00B32459"/>
        </w:tc>
        <w:tc>
          <w:tcPr>
            <w:tcW w:w="709" w:type="dxa"/>
          </w:tcPr>
          <w:p w14:paraId="54434BB7" w14:textId="77777777" w:rsidR="00B419CE" w:rsidRPr="00B419CE" w:rsidRDefault="00B419CE" w:rsidP="00B32459">
            <w:r w:rsidRPr="00B419CE">
              <w:t>86</w:t>
            </w:r>
          </w:p>
        </w:tc>
        <w:tc>
          <w:tcPr>
            <w:tcW w:w="4745" w:type="dxa"/>
          </w:tcPr>
          <w:p w14:paraId="34BC9E92" w14:textId="77777777" w:rsidR="00B419CE" w:rsidRPr="00B419CE" w:rsidRDefault="00B419CE" w:rsidP="00B32459">
            <w:r w:rsidRPr="00B419CE">
              <w:t xml:space="preserve">Vinningsavståing og gebyr for </w:t>
            </w:r>
            <w:proofErr w:type="spellStart"/>
            <w:r w:rsidRPr="00B419CE">
              <w:t>regelbrot</w:t>
            </w:r>
            <w:proofErr w:type="spellEnd"/>
            <w:r w:rsidRPr="00B419CE">
              <w:t xml:space="preserve"> m.m.</w:t>
            </w:r>
          </w:p>
        </w:tc>
        <w:tc>
          <w:tcPr>
            <w:tcW w:w="236" w:type="dxa"/>
          </w:tcPr>
          <w:p w14:paraId="431C20E1" w14:textId="77777777" w:rsidR="00B419CE" w:rsidRPr="00B419CE" w:rsidRDefault="00B419CE" w:rsidP="00B32459"/>
        </w:tc>
        <w:tc>
          <w:tcPr>
            <w:tcW w:w="1580" w:type="dxa"/>
          </w:tcPr>
          <w:p w14:paraId="29262969" w14:textId="77777777" w:rsidR="00B419CE" w:rsidRPr="00B419CE" w:rsidRDefault="00B419CE" w:rsidP="00B32459">
            <w:pPr>
              <w:jc w:val="right"/>
            </w:pPr>
            <w:r w:rsidRPr="00B419CE">
              <w:t>500 000</w:t>
            </w:r>
          </w:p>
        </w:tc>
        <w:tc>
          <w:tcPr>
            <w:tcW w:w="1580" w:type="dxa"/>
          </w:tcPr>
          <w:p w14:paraId="380F7A89" w14:textId="77777777" w:rsidR="00B419CE" w:rsidRPr="00B419CE" w:rsidRDefault="00B419CE" w:rsidP="00B32459">
            <w:pPr>
              <w:jc w:val="right"/>
            </w:pPr>
            <w:r w:rsidRPr="00B419CE">
              <w:t>13 300 000</w:t>
            </w:r>
          </w:p>
        </w:tc>
      </w:tr>
      <w:tr w:rsidR="00B419CE" w:rsidRPr="00B419CE" w14:paraId="72FA711D" w14:textId="77777777" w:rsidTr="00B32459">
        <w:trPr>
          <w:trHeight w:val="380"/>
        </w:trPr>
        <w:tc>
          <w:tcPr>
            <w:tcW w:w="846" w:type="dxa"/>
          </w:tcPr>
          <w:p w14:paraId="6025AD63" w14:textId="77777777" w:rsidR="00B419CE" w:rsidRPr="00B419CE" w:rsidRDefault="00B419CE" w:rsidP="00B32459">
            <w:r w:rsidRPr="00B419CE">
              <w:t>4605</w:t>
            </w:r>
          </w:p>
        </w:tc>
        <w:tc>
          <w:tcPr>
            <w:tcW w:w="709" w:type="dxa"/>
          </w:tcPr>
          <w:p w14:paraId="2079A14F" w14:textId="77777777" w:rsidR="00B419CE" w:rsidRPr="00B419CE" w:rsidRDefault="00B419CE" w:rsidP="00B32459"/>
        </w:tc>
        <w:tc>
          <w:tcPr>
            <w:tcW w:w="4745" w:type="dxa"/>
          </w:tcPr>
          <w:p w14:paraId="752E0E37" w14:textId="77777777" w:rsidR="00B419CE" w:rsidRPr="00B419CE" w:rsidRDefault="00B419CE" w:rsidP="00B32459">
            <w:r w:rsidRPr="00B419CE">
              <w:t>Direktoratet for forvaltning og økonomistyring</w:t>
            </w:r>
          </w:p>
        </w:tc>
        <w:tc>
          <w:tcPr>
            <w:tcW w:w="236" w:type="dxa"/>
          </w:tcPr>
          <w:p w14:paraId="02E44EDE" w14:textId="77777777" w:rsidR="00B419CE" w:rsidRPr="00B419CE" w:rsidRDefault="00B419CE" w:rsidP="00B32459"/>
        </w:tc>
        <w:tc>
          <w:tcPr>
            <w:tcW w:w="1580" w:type="dxa"/>
          </w:tcPr>
          <w:p w14:paraId="0BB249EF" w14:textId="77777777" w:rsidR="00B419CE" w:rsidRPr="00B419CE" w:rsidRDefault="00B419CE" w:rsidP="00B32459">
            <w:pPr>
              <w:jc w:val="right"/>
            </w:pPr>
          </w:p>
        </w:tc>
        <w:tc>
          <w:tcPr>
            <w:tcW w:w="1580" w:type="dxa"/>
          </w:tcPr>
          <w:p w14:paraId="51CAFA8A" w14:textId="77777777" w:rsidR="00B419CE" w:rsidRPr="00B419CE" w:rsidRDefault="00B419CE" w:rsidP="00B32459">
            <w:pPr>
              <w:jc w:val="right"/>
            </w:pPr>
          </w:p>
        </w:tc>
      </w:tr>
      <w:tr w:rsidR="00B419CE" w:rsidRPr="00B419CE" w14:paraId="6AD610EC" w14:textId="77777777" w:rsidTr="00B32459">
        <w:trPr>
          <w:trHeight w:val="380"/>
        </w:trPr>
        <w:tc>
          <w:tcPr>
            <w:tcW w:w="846" w:type="dxa"/>
          </w:tcPr>
          <w:p w14:paraId="0CD25329" w14:textId="77777777" w:rsidR="00B419CE" w:rsidRPr="00B419CE" w:rsidRDefault="00B419CE" w:rsidP="00B32459"/>
        </w:tc>
        <w:tc>
          <w:tcPr>
            <w:tcW w:w="709" w:type="dxa"/>
          </w:tcPr>
          <w:p w14:paraId="7BCCF57A" w14:textId="77777777" w:rsidR="00B419CE" w:rsidRPr="00B419CE" w:rsidRDefault="00B419CE" w:rsidP="00B32459">
            <w:r w:rsidRPr="00B419CE">
              <w:t>01</w:t>
            </w:r>
          </w:p>
        </w:tc>
        <w:tc>
          <w:tcPr>
            <w:tcW w:w="4745" w:type="dxa"/>
          </w:tcPr>
          <w:p w14:paraId="00F24242" w14:textId="77777777" w:rsidR="00B419CE" w:rsidRPr="00B419CE" w:rsidRDefault="00B419CE" w:rsidP="00B32459">
            <w:proofErr w:type="spellStart"/>
            <w:r w:rsidRPr="00B419CE">
              <w:t>Økonomitenester</w:t>
            </w:r>
            <w:proofErr w:type="spellEnd"/>
          </w:p>
        </w:tc>
        <w:tc>
          <w:tcPr>
            <w:tcW w:w="236" w:type="dxa"/>
          </w:tcPr>
          <w:p w14:paraId="68E4980B" w14:textId="77777777" w:rsidR="00B419CE" w:rsidRPr="00B419CE" w:rsidRDefault="00B419CE" w:rsidP="00B32459"/>
        </w:tc>
        <w:tc>
          <w:tcPr>
            <w:tcW w:w="1580" w:type="dxa"/>
          </w:tcPr>
          <w:p w14:paraId="24A9D56F" w14:textId="77777777" w:rsidR="00B419CE" w:rsidRPr="00B419CE" w:rsidRDefault="00B419CE" w:rsidP="00B32459">
            <w:pPr>
              <w:jc w:val="right"/>
            </w:pPr>
            <w:r w:rsidRPr="00B419CE">
              <w:t>183 800 000</w:t>
            </w:r>
          </w:p>
        </w:tc>
        <w:tc>
          <w:tcPr>
            <w:tcW w:w="1580" w:type="dxa"/>
          </w:tcPr>
          <w:p w14:paraId="226DD6CC" w14:textId="77777777" w:rsidR="00B419CE" w:rsidRPr="00B419CE" w:rsidRDefault="00B419CE" w:rsidP="00B32459">
            <w:pPr>
              <w:jc w:val="right"/>
            </w:pPr>
          </w:p>
        </w:tc>
      </w:tr>
      <w:tr w:rsidR="00B419CE" w:rsidRPr="00B419CE" w14:paraId="5F4F6A07" w14:textId="77777777" w:rsidTr="00B32459">
        <w:trPr>
          <w:trHeight w:val="380"/>
        </w:trPr>
        <w:tc>
          <w:tcPr>
            <w:tcW w:w="846" w:type="dxa"/>
          </w:tcPr>
          <w:p w14:paraId="31540C25" w14:textId="77777777" w:rsidR="00B419CE" w:rsidRPr="00B419CE" w:rsidRDefault="00B419CE" w:rsidP="00B32459"/>
        </w:tc>
        <w:tc>
          <w:tcPr>
            <w:tcW w:w="709" w:type="dxa"/>
          </w:tcPr>
          <w:p w14:paraId="0062BC31" w14:textId="77777777" w:rsidR="00B419CE" w:rsidRPr="00B419CE" w:rsidRDefault="00B419CE" w:rsidP="00B32459">
            <w:r w:rsidRPr="00B419CE">
              <w:t>02</w:t>
            </w:r>
          </w:p>
        </w:tc>
        <w:tc>
          <w:tcPr>
            <w:tcW w:w="4745" w:type="dxa"/>
          </w:tcPr>
          <w:p w14:paraId="66DA419F" w14:textId="77777777" w:rsidR="00B419CE" w:rsidRPr="00B419CE" w:rsidRDefault="00B419CE" w:rsidP="00B32459">
            <w:r w:rsidRPr="00B419CE">
              <w:t>Opplæringskontoret OK stat</w:t>
            </w:r>
          </w:p>
        </w:tc>
        <w:tc>
          <w:tcPr>
            <w:tcW w:w="236" w:type="dxa"/>
          </w:tcPr>
          <w:p w14:paraId="5E1455D7" w14:textId="77777777" w:rsidR="00B419CE" w:rsidRPr="00B419CE" w:rsidRDefault="00B419CE" w:rsidP="00B32459"/>
        </w:tc>
        <w:tc>
          <w:tcPr>
            <w:tcW w:w="1580" w:type="dxa"/>
          </w:tcPr>
          <w:p w14:paraId="4D2E029B" w14:textId="77777777" w:rsidR="00B419CE" w:rsidRPr="00B419CE" w:rsidRDefault="00B419CE" w:rsidP="00B32459">
            <w:pPr>
              <w:jc w:val="right"/>
            </w:pPr>
            <w:r w:rsidRPr="00B419CE">
              <w:t>14 300 000</w:t>
            </w:r>
          </w:p>
        </w:tc>
        <w:tc>
          <w:tcPr>
            <w:tcW w:w="1580" w:type="dxa"/>
          </w:tcPr>
          <w:p w14:paraId="7926C48E" w14:textId="77777777" w:rsidR="00B419CE" w:rsidRPr="00B419CE" w:rsidRDefault="00B419CE" w:rsidP="00B32459">
            <w:pPr>
              <w:jc w:val="right"/>
            </w:pPr>
            <w:r w:rsidRPr="00B419CE">
              <w:t>198 100 000</w:t>
            </w:r>
          </w:p>
        </w:tc>
      </w:tr>
      <w:tr w:rsidR="00B419CE" w:rsidRPr="00B419CE" w14:paraId="6A4F14A8" w14:textId="77777777" w:rsidTr="00B32459">
        <w:trPr>
          <w:trHeight w:val="380"/>
        </w:trPr>
        <w:tc>
          <w:tcPr>
            <w:tcW w:w="846" w:type="dxa"/>
          </w:tcPr>
          <w:p w14:paraId="04A384DC" w14:textId="77777777" w:rsidR="00B419CE" w:rsidRPr="00B419CE" w:rsidRDefault="00B419CE" w:rsidP="00B32459">
            <w:r w:rsidRPr="00B419CE">
              <w:t>4610</w:t>
            </w:r>
          </w:p>
        </w:tc>
        <w:tc>
          <w:tcPr>
            <w:tcW w:w="709" w:type="dxa"/>
          </w:tcPr>
          <w:p w14:paraId="102C9822" w14:textId="77777777" w:rsidR="00B419CE" w:rsidRPr="00B419CE" w:rsidRDefault="00B419CE" w:rsidP="00B32459"/>
        </w:tc>
        <w:tc>
          <w:tcPr>
            <w:tcW w:w="4745" w:type="dxa"/>
          </w:tcPr>
          <w:p w14:paraId="19D50A46" w14:textId="77777777" w:rsidR="00B419CE" w:rsidRPr="00B419CE" w:rsidRDefault="00B419CE" w:rsidP="00B32459">
            <w:r w:rsidRPr="00B419CE">
              <w:t>Tolletaten</w:t>
            </w:r>
          </w:p>
        </w:tc>
        <w:tc>
          <w:tcPr>
            <w:tcW w:w="236" w:type="dxa"/>
          </w:tcPr>
          <w:p w14:paraId="1CF7E291" w14:textId="77777777" w:rsidR="00B419CE" w:rsidRPr="00B419CE" w:rsidRDefault="00B419CE" w:rsidP="00B32459"/>
        </w:tc>
        <w:tc>
          <w:tcPr>
            <w:tcW w:w="1580" w:type="dxa"/>
          </w:tcPr>
          <w:p w14:paraId="6CBBA4EC" w14:textId="77777777" w:rsidR="00B419CE" w:rsidRPr="00B419CE" w:rsidRDefault="00B419CE" w:rsidP="00B32459">
            <w:pPr>
              <w:jc w:val="right"/>
            </w:pPr>
          </w:p>
        </w:tc>
        <w:tc>
          <w:tcPr>
            <w:tcW w:w="1580" w:type="dxa"/>
          </w:tcPr>
          <w:p w14:paraId="75B2E02D" w14:textId="77777777" w:rsidR="00B419CE" w:rsidRPr="00B419CE" w:rsidRDefault="00B419CE" w:rsidP="00B32459">
            <w:pPr>
              <w:jc w:val="right"/>
            </w:pPr>
          </w:p>
        </w:tc>
      </w:tr>
      <w:tr w:rsidR="00B419CE" w:rsidRPr="00B419CE" w14:paraId="2C9C7705" w14:textId="77777777" w:rsidTr="00B32459">
        <w:trPr>
          <w:trHeight w:val="380"/>
        </w:trPr>
        <w:tc>
          <w:tcPr>
            <w:tcW w:w="846" w:type="dxa"/>
          </w:tcPr>
          <w:p w14:paraId="76D86A0A" w14:textId="77777777" w:rsidR="00B419CE" w:rsidRPr="00B419CE" w:rsidRDefault="00B419CE" w:rsidP="00B32459"/>
        </w:tc>
        <w:tc>
          <w:tcPr>
            <w:tcW w:w="709" w:type="dxa"/>
          </w:tcPr>
          <w:p w14:paraId="6768E8E2" w14:textId="77777777" w:rsidR="00B419CE" w:rsidRPr="00B419CE" w:rsidRDefault="00B419CE" w:rsidP="00B32459">
            <w:r w:rsidRPr="00B419CE">
              <w:t>01</w:t>
            </w:r>
          </w:p>
        </w:tc>
        <w:tc>
          <w:tcPr>
            <w:tcW w:w="4745" w:type="dxa"/>
          </w:tcPr>
          <w:p w14:paraId="3EBB0BA1" w14:textId="77777777" w:rsidR="00B419CE" w:rsidRPr="00B419CE" w:rsidRDefault="00B419CE" w:rsidP="00B32459">
            <w:r w:rsidRPr="00B419CE">
              <w:t xml:space="preserve">Særskilt vederlag for </w:t>
            </w:r>
            <w:proofErr w:type="spellStart"/>
            <w:r w:rsidRPr="00B419CE">
              <w:t>tolltenester</w:t>
            </w:r>
            <w:proofErr w:type="spellEnd"/>
          </w:p>
        </w:tc>
        <w:tc>
          <w:tcPr>
            <w:tcW w:w="236" w:type="dxa"/>
          </w:tcPr>
          <w:p w14:paraId="28B9FE0D" w14:textId="77777777" w:rsidR="00B419CE" w:rsidRPr="00B419CE" w:rsidRDefault="00B419CE" w:rsidP="00B32459"/>
        </w:tc>
        <w:tc>
          <w:tcPr>
            <w:tcW w:w="1580" w:type="dxa"/>
          </w:tcPr>
          <w:p w14:paraId="0253F50B" w14:textId="77777777" w:rsidR="00B419CE" w:rsidRPr="00B419CE" w:rsidRDefault="00B419CE" w:rsidP="00B32459">
            <w:pPr>
              <w:jc w:val="right"/>
            </w:pPr>
            <w:r w:rsidRPr="00B419CE">
              <w:t>7 600 000</w:t>
            </w:r>
          </w:p>
        </w:tc>
        <w:tc>
          <w:tcPr>
            <w:tcW w:w="1580" w:type="dxa"/>
          </w:tcPr>
          <w:p w14:paraId="69EC62F0" w14:textId="77777777" w:rsidR="00B419CE" w:rsidRPr="00B419CE" w:rsidRDefault="00B419CE" w:rsidP="00B32459">
            <w:pPr>
              <w:jc w:val="right"/>
            </w:pPr>
          </w:p>
        </w:tc>
      </w:tr>
      <w:tr w:rsidR="00B419CE" w:rsidRPr="00B419CE" w14:paraId="6DFAA118" w14:textId="77777777" w:rsidTr="00B32459">
        <w:trPr>
          <w:trHeight w:val="380"/>
        </w:trPr>
        <w:tc>
          <w:tcPr>
            <w:tcW w:w="846" w:type="dxa"/>
          </w:tcPr>
          <w:p w14:paraId="098EBF88" w14:textId="77777777" w:rsidR="00B419CE" w:rsidRPr="00B419CE" w:rsidRDefault="00B419CE" w:rsidP="00B32459"/>
        </w:tc>
        <w:tc>
          <w:tcPr>
            <w:tcW w:w="709" w:type="dxa"/>
          </w:tcPr>
          <w:p w14:paraId="4456672C" w14:textId="77777777" w:rsidR="00B419CE" w:rsidRPr="00B419CE" w:rsidRDefault="00B419CE" w:rsidP="00B32459">
            <w:r w:rsidRPr="00B419CE">
              <w:t>02</w:t>
            </w:r>
          </w:p>
        </w:tc>
        <w:tc>
          <w:tcPr>
            <w:tcW w:w="4745" w:type="dxa"/>
          </w:tcPr>
          <w:p w14:paraId="41C0E79D" w14:textId="77777777" w:rsidR="00B419CE" w:rsidRPr="00B419CE" w:rsidRDefault="00B419CE" w:rsidP="00B32459">
            <w:r w:rsidRPr="00B419CE">
              <w:t>Andre inntekter</w:t>
            </w:r>
          </w:p>
        </w:tc>
        <w:tc>
          <w:tcPr>
            <w:tcW w:w="236" w:type="dxa"/>
          </w:tcPr>
          <w:p w14:paraId="208249B4" w14:textId="77777777" w:rsidR="00B419CE" w:rsidRPr="00B419CE" w:rsidRDefault="00B419CE" w:rsidP="00B32459"/>
        </w:tc>
        <w:tc>
          <w:tcPr>
            <w:tcW w:w="1580" w:type="dxa"/>
          </w:tcPr>
          <w:p w14:paraId="415245CC" w14:textId="77777777" w:rsidR="00B419CE" w:rsidRPr="00B419CE" w:rsidRDefault="00B419CE" w:rsidP="00B32459">
            <w:pPr>
              <w:jc w:val="right"/>
            </w:pPr>
            <w:r w:rsidRPr="00B419CE">
              <w:t>2 200 000</w:t>
            </w:r>
          </w:p>
        </w:tc>
        <w:tc>
          <w:tcPr>
            <w:tcW w:w="1580" w:type="dxa"/>
          </w:tcPr>
          <w:p w14:paraId="0C4C80EC" w14:textId="77777777" w:rsidR="00B419CE" w:rsidRPr="00B419CE" w:rsidRDefault="00B419CE" w:rsidP="00B32459">
            <w:pPr>
              <w:jc w:val="right"/>
            </w:pPr>
          </w:p>
        </w:tc>
      </w:tr>
      <w:tr w:rsidR="00B419CE" w:rsidRPr="00B419CE" w14:paraId="2D157A59" w14:textId="77777777" w:rsidTr="00B32459">
        <w:trPr>
          <w:trHeight w:val="380"/>
        </w:trPr>
        <w:tc>
          <w:tcPr>
            <w:tcW w:w="846" w:type="dxa"/>
          </w:tcPr>
          <w:p w14:paraId="4302FADF" w14:textId="77777777" w:rsidR="00B419CE" w:rsidRPr="00B419CE" w:rsidRDefault="00B419CE" w:rsidP="00B32459"/>
        </w:tc>
        <w:tc>
          <w:tcPr>
            <w:tcW w:w="709" w:type="dxa"/>
          </w:tcPr>
          <w:p w14:paraId="645F1F3E" w14:textId="77777777" w:rsidR="00B419CE" w:rsidRPr="00B419CE" w:rsidRDefault="00B419CE" w:rsidP="00B32459">
            <w:r w:rsidRPr="00B419CE">
              <w:t>04</w:t>
            </w:r>
          </w:p>
        </w:tc>
        <w:tc>
          <w:tcPr>
            <w:tcW w:w="4745" w:type="dxa"/>
          </w:tcPr>
          <w:p w14:paraId="303E6C62" w14:textId="77777777" w:rsidR="00B419CE" w:rsidRPr="00B419CE" w:rsidRDefault="00B419CE" w:rsidP="00B32459">
            <w:r w:rsidRPr="00B419CE">
              <w:t xml:space="preserve">Ymse </w:t>
            </w:r>
            <w:proofErr w:type="spellStart"/>
            <w:r w:rsidRPr="00B419CE">
              <w:t>refusjonar</w:t>
            </w:r>
            <w:proofErr w:type="spellEnd"/>
          </w:p>
        </w:tc>
        <w:tc>
          <w:tcPr>
            <w:tcW w:w="236" w:type="dxa"/>
          </w:tcPr>
          <w:p w14:paraId="65D0C3CA" w14:textId="77777777" w:rsidR="00B419CE" w:rsidRPr="00B419CE" w:rsidRDefault="00B419CE" w:rsidP="00B32459"/>
        </w:tc>
        <w:tc>
          <w:tcPr>
            <w:tcW w:w="1580" w:type="dxa"/>
          </w:tcPr>
          <w:p w14:paraId="14F41492" w14:textId="77777777" w:rsidR="00B419CE" w:rsidRPr="00B419CE" w:rsidRDefault="00B419CE" w:rsidP="00B32459">
            <w:pPr>
              <w:jc w:val="right"/>
            </w:pPr>
            <w:r w:rsidRPr="00B419CE">
              <w:t>1 100 000</w:t>
            </w:r>
          </w:p>
        </w:tc>
        <w:tc>
          <w:tcPr>
            <w:tcW w:w="1580" w:type="dxa"/>
          </w:tcPr>
          <w:p w14:paraId="72C5E600" w14:textId="77777777" w:rsidR="00B419CE" w:rsidRPr="00B419CE" w:rsidRDefault="00B419CE" w:rsidP="00B32459">
            <w:pPr>
              <w:jc w:val="right"/>
            </w:pPr>
          </w:p>
        </w:tc>
      </w:tr>
      <w:tr w:rsidR="00B419CE" w:rsidRPr="00B419CE" w14:paraId="6486635B" w14:textId="77777777" w:rsidTr="00B32459">
        <w:trPr>
          <w:trHeight w:val="380"/>
        </w:trPr>
        <w:tc>
          <w:tcPr>
            <w:tcW w:w="846" w:type="dxa"/>
          </w:tcPr>
          <w:p w14:paraId="2C0374FC" w14:textId="77777777" w:rsidR="00B419CE" w:rsidRPr="00B419CE" w:rsidRDefault="00B419CE" w:rsidP="00B32459"/>
        </w:tc>
        <w:tc>
          <w:tcPr>
            <w:tcW w:w="709" w:type="dxa"/>
          </w:tcPr>
          <w:p w14:paraId="1BABBA6C" w14:textId="77777777" w:rsidR="00B419CE" w:rsidRPr="00B419CE" w:rsidRDefault="00B419CE" w:rsidP="00B32459">
            <w:r w:rsidRPr="00B419CE">
              <w:t>05</w:t>
            </w:r>
          </w:p>
        </w:tc>
        <w:tc>
          <w:tcPr>
            <w:tcW w:w="4745" w:type="dxa"/>
          </w:tcPr>
          <w:p w14:paraId="261B70AA" w14:textId="77777777" w:rsidR="00B419CE" w:rsidRPr="00B419CE" w:rsidRDefault="00B419CE" w:rsidP="00B32459">
            <w:r w:rsidRPr="00B419CE">
              <w:t xml:space="preserve">Refusjon </w:t>
            </w:r>
            <w:proofErr w:type="spellStart"/>
            <w:r w:rsidRPr="00B419CE">
              <w:t>frå</w:t>
            </w:r>
            <w:proofErr w:type="spellEnd"/>
            <w:r w:rsidRPr="00B419CE">
              <w:t xml:space="preserve"> Avinor AS</w:t>
            </w:r>
          </w:p>
        </w:tc>
        <w:tc>
          <w:tcPr>
            <w:tcW w:w="236" w:type="dxa"/>
          </w:tcPr>
          <w:p w14:paraId="05BE02C7" w14:textId="77777777" w:rsidR="00B419CE" w:rsidRPr="00B419CE" w:rsidRDefault="00B419CE" w:rsidP="00B32459"/>
        </w:tc>
        <w:tc>
          <w:tcPr>
            <w:tcW w:w="1580" w:type="dxa"/>
          </w:tcPr>
          <w:p w14:paraId="657D37AD" w14:textId="77777777" w:rsidR="00B419CE" w:rsidRPr="00B419CE" w:rsidRDefault="00B419CE" w:rsidP="00B32459">
            <w:pPr>
              <w:jc w:val="right"/>
            </w:pPr>
            <w:r w:rsidRPr="00B419CE">
              <w:t>26 300 000</w:t>
            </w:r>
          </w:p>
        </w:tc>
        <w:tc>
          <w:tcPr>
            <w:tcW w:w="1580" w:type="dxa"/>
          </w:tcPr>
          <w:p w14:paraId="0FCDC835" w14:textId="77777777" w:rsidR="00B419CE" w:rsidRPr="00B419CE" w:rsidRDefault="00B419CE" w:rsidP="00B32459">
            <w:pPr>
              <w:jc w:val="right"/>
            </w:pPr>
          </w:p>
        </w:tc>
      </w:tr>
      <w:tr w:rsidR="00B419CE" w:rsidRPr="00B419CE" w14:paraId="67A02C85" w14:textId="77777777" w:rsidTr="00B32459">
        <w:trPr>
          <w:trHeight w:val="380"/>
        </w:trPr>
        <w:tc>
          <w:tcPr>
            <w:tcW w:w="846" w:type="dxa"/>
          </w:tcPr>
          <w:p w14:paraId="129E8C8D" w14:textId="77777777" w:rsidR="00B419CE" w:rsidRPr="00B419CE" w:rsidRDefault="00B419CE" w:rsidP="00B32459"/>
        </w:tc>
        <w:tc>
          <w:tcPr>
            <w:tcW w:w="709" w:type="dxa"/>
          </w:tcPr>
          <w:p w14:paraId="6782C5AD" w14:textId="77777777" w:rsidR="00B419CE" w:rsidRPr="00B419CE" w:rsidRDefault="00B419CE" w:rsidP="00B32459">
            <w:r w:rsidRPr="00B419CE">
              <w:t>85</w:t>
            </w:r>
          </w:p>
        </w:tc>
        <w:tc>
          <w:tcPr>
            <w:tcW w:w="4745" w:type="dxa"/>
          </w:tcPr>
          <w:p w14:paraId="1EE6707E" w14:textId="77777777" w:rsidR="00B419CE" w:rsidRPr="00B419CE" w:rsidRDefault="00B419CE" w:rsidP="00B32459">
            <w:r w:rsidRPr="00B419CE">
              <w:t xml:space="preserve">Tvangsmulkt og gebyr for </w:t>
            </w:r>
            <w:proofErr w:type="spellStart"/>
            <w:r w:rsidRPr="00B419CE">
              <w:t>regelbrot</w:t>
            </w:r>
            <w:proofErr w:type="spellEnd"/>
          </w:p>
        </w:tc>
        <w:tc>
          <w:tcPr>
            <w:tcW w:w="236" w:type="dxa"/>
          </w:tcPr>
          <w:p w14:paraId="097641CE" w14:textId="77777777" w:rsidR="00B419CE" w:rsidRPr="00B419CE" w:rsidRDefault="00B419CE" w:rsidP="00B32459"/>
        </w:tc>
        <w:tc>
          <w:tcPr>
            <w:tcW w:w="1580" w:type="dxa"/>
          </w:tcPr>
          <w:p w14:paraId="18C73FE0" w14:textId="77777777" w:rsidR="00B419CE" w:rsidRPr="00B419CE" w:rsidRDefault="00B419CE" w:rsidP="00B32459">
            <w:pPr>
              <w:jc w:val="right"/>
            </w:pPr>
            <w:r w:rsidRPr="00B419CE">
              <w:t>23 000 000</w:t>
            </w:r>
          </w:p>
        </w:tc>
        <w:tc>
          <w:tcPr>
            <w:tcW w:w="1580" w:type="dxa"/>
          </w:tcPr>
          <w:p w14:paraId="2EEA2528" w14:textId="77777777" w:rsidR="00B419CE" w:rsidRPr="00B419CE" w:rsidRDefault="00B419CE" w:rsidP="00B32459">
            <w:pPr>
              <w:jc w:val="right"/>
            </w:pPr>
            <w:r w:rsidRPr="00B419CE">
              <w:t>60 200 000</w:t>
            </w:r>
          </w:p>
        </w:tc>
      </w:tr>
      <w:tr w:rsidR="00B419CE" w:rsidRPr="00B419CE" w14:paraId="54A78ACE" w14:textId="77777777" w:rsidTr="00B32459">
        <w:trPr>
          <w:trHeight w:val="380"/>
        </w:trPr>
        <w:tc>
          <w:tcPr>
            <w:tcW w:w="846" w:type="dxa"/>
          </w:tcPr>
          <w:p w14:paraId="06D8E4FA" w14:textId="77777777" w:rsidR="00B419CE" w:rsidRPr="00B419CE" w:rsidRDefault="00B419CE" w:rsidP="00B32459">
            <w:r w:rsidRPr="00B419CE">
              <w:t>4618</w:t>
            </w:r>
          </w:p>
        </w:tc>
        <w:tc>
          <w:tcPr>
            <w:tcW w:w="709" w:type="dxa"/>
          </w:tcPr>
          <w:p w14:paraId="49D50B8F" w14:textId="77777777" w:rsidR="00B419CE" w:rsidRPr="00B419CE" w:rsidRDefault="00B419CE" w:rsidP="00B32459"/>
        </w:tc>
        <w:tc>
          <w:tcPr>
            <w:tcW w:w="4745" w:type="dxa"/>
          </w:tcPr>
          <w:p w14:paraId="0D294465" w14:textId="77777777" w:rsidR="00B419CE" w:rsidRPr="00B419CE" w:rsidRDefault="00B419CE" w:rsidP="00B32459">
            <w:r w:rsidRPr="00B419CE">
              <w:t>Skatteetaten</w:t>
            </w:r>
          </w:p>
        </w:tc>
        <w:tc>
          <w:tcPr>
            <w:tcW w:w="236" w:type="dxa"/>
          </w:tcPr>
          <w:p w14:paraId="03318932" w14:textId="77777777" w:rsidR="00B419CE" w:rsidRPr="00B419CE" w:rsidRDefault="00B419CE" w:rsidP="00B32459"/>
        </w:tc>
        <w:tc>
          <w:tcPr>
            <w:tcW w:w="1580" w:type="dxa"/>
          </w:tcPr>
          <w:p w14:paraId="1E6906FA" w14:textId="77777777" w:rsidR="00B419CE" w:rsidRPr="00B419CE" w:rsidRDefault="00B419CE" w:rsidP="00B32459">
            <w:pPr>
              <w:jc w:val="right"/>
            </w:pPr>
          </w:p>
        </w:tc>
        <w:tc>
          <w:tcPr>
            <w:tcW w:w="1580" w:type="dxa"/>
          </w:tcPr>
          <w:p w14:paraId="3E3D670F" w14:textId="77777777" w:rsidR="00B419CE" w:rsidRPr="00B419CE" w:rsidRDefault="00B419CE" w:rsidP="00B32459">
            <w:pPr>
              <w:jc w:val="right"/>
            </w:pPr>
          </w:p>
        </w:tc>
      </w:tr>
      <w:tr w:rsidR="00B419CE" w:rsidRPr="00B419CE" w14:paraId="5B618C92" w14:textId="77777777" w:rsidTr="00B32459">
        <w:trPr>
          <w:trHeight w:val="380"/>
        </w:trPr>
        <w:tc>
          <w:tcPr>
            <w:tcW w:w="846" w:type="dxa"/>
          </w:tcPr>
          <w:p w14:paraId="3A84F14E" w14:textId="77777777" w:rsidR="00B419CE" w:rsidRPr="00B419CE" w:rsidRDefault="00B419CE" w:rsidP="00B32459"/>
        </w:tc>
        <w:tc>
          <w:tcPr>
            <w:tcW w:w="709" w:type="dxa"/>
          </w:tcPr>
          <w:p w14:paraId="192A0977" w14:textId="77777777" w:rsidR="00B419CE" w:rsidRPr="00B419CE" w:rsidRDefault="00B419CE" w:rsidP="00B32459">
            <w:r w:rsidRPr="00B419CE">
              <w:t>01</w:t>
            </w:r>
          </w:p>
        </w:tc>
        <w:tc>
          <w:tcPr>
            <w:tcW w:w="4745" w:type="dxa"/>
          </w:tcPr>
          <w:p w14:paraId="7CB9E2AF" w14:textId="77777777" w:rsidR="00B419CE" w:rsidRPr="00B419CE" w:rsidRDefault="00B419CE" w:rsidP="00B32459">
            <w:r w:rsidRPr="00B419CE">
              <w:t>Refunderte utleggs- og tinglysingsgebyr</w:t>
            </w:r>
          </w:p>
        </w:tc>
        <w:tc>
          <w:tcPr>
            <w:tcW w:w="236" w:type="dxa"/>
          </w:tcPr>
          <w:p w14:paraId="023A4638" w14:textId="77777777" w:rsidR="00B419CE" w:rsidRPr="00B419CE" w:rsidRDefault="00B419CE" w:rsidP="00B32459"/>
        </w:tc>
        <w:tc>
          <w:tcPr>
            <w:tcW w:w="1580" w:type="dxa"/>
          </w:tcPr>
          <w:p w14:paraId="10A48287" w14:textId="77777777" w:rsidR="00B419CE" w:rsidRPr="00B419CE" w:rsidRDefault="00B419CE" w:rsidP="00B32459">
            <w:pPr>
              <w:jc w:val="right"/>
            </w:pPr>
            <w:r w:rsidRPr="00B419CE">
              <w:t>37 300 000</w:t>
            </w:r>
          </w:p>
        </w:tc>
        <w:tc>
          <w:tcPr>
            <w:tcW w:w="1580" w:type="dxa"/>
          </w:tcPr>
          <w:p w14:paraId="123020A8" w14:textId="77777777" w:rsidR="00B419CE" w:rsidRPr="00B419CE" w:rsidRDefault="00B419CE" w:rsidP="00B32459">
            <w:pPr>
              <w:jc w:val="right"/>
            </w:pPr>
          </w:p>
        </w:tc>
      </w:tr>
      <w:tr w:rsidR="00B419CE" w:rsidRPr="00B419CE" w14:paraId="377396D7" w14:textId="77777777" w:rsidTr="00B32459">
        <w:trPr>
          <w:trHeight w:val="380"/>
        </w:trPr>
        <w:tc>
          <w:tcPr>
            <w:tcW w:w="846" w:type="dxa"/>
          </w:tcPr>
          <w:p w14:paraId="485A9814" w14:textId="77777777" w:rsidR="00B419CE" w:rsidRPr="00B419CE" w:rsidRDefault="00B419CE" w:rsidP="00B32459"/>
        </w:tc>
        <w:tc>
          <w:tcPr>
            <w:tcW w:w="709" w:type="dxa"/>
          </w:tcPr>
          <w:p w14:paraId="56890557" w14:textId="77777777" w:rsidR="00B419CE" w:rsidRPr="00B419CE" w:rsidRDefault="00B419CE" w:rsidP="00B32459">
            <w:r w:rsidRPr="00B419CE">
              <w:t>03</w:t>
            </w:r>
          </w:p>
        </w:tc>
        <w:tc>
          <w:tcPr>
            <w:tcW w:w="4745" w:type="dxa"/>
          </w:tcPr>
          <w:p w14:paraId="619EBEC8" w14:textId="77777777" w:rsidR="00B419CE" w:rsidRPr="00B419CE" w:rsidRDefault="00B419CE" w:rsidP="00B32459">
            <w:r w:rsidRPr="00B419CE">
              <w:t>Andre inntekter</w:t>
            </w:r>
          </w:p>
        </w:tc>
        <w:tc>
          <w:tcPr>
            <w:tcW w:w="236" w:type="dxa"/>
          </w:tcPr>
          <w:p w14:paraId="2209F93E" w14:textId="77777777" w:rsidR="00B419CE" w:rsidRPr="00B419CE" w:rsidRDefault="00B419CE" w:rsidP="00B32459"/>
        </w:tc>
        <w:tc>
          <w:tcPr>
            <w:tcW w:w="1580" w:type="dxa"/>
          </w:tcPr>
          <w:p w14:paraId="73AB794A" w14:textId="77777777" w:rsidR="00B419CE" w:rsidRPr="00B419CE" w:rsidRDefault="00B419CE" w:rsidP="00B32459">
            <w:pPr>
              <w:jc w:val="right"/>
            </w:pPr>
            <w:r w:rsidRPr="00B419CE">
              <w:t>6 300 000</w:t>
            </w:r>
          </w:p>
        </w:tc>
        <w:tc>
          <w:tcPr>
            <w:tcW w:w="1580" w:type="dxa"/>
          </w:tcPr>
          <w:p w14:paraId="14590DD0" w14:textId="77777777" w:rsidR="00B419CE" w:rsidRPr="00B419CE" w:rsidRDefault="00B419CE" w:rsidP="00B32459">
            <w:pPr>
              <w:jc w:val="right"/>
            </w:pPr>
          </w:p>
        </w:tc>
      </w:tr>
      <w:tr w:rsidR="00B419CE" w:rsidRPr="00B419CE" w14:paraId="0061AD47" w14:textId="77777777" w:rsidTr="00B32459">
        <w:trPr>
          <w:trHeight w:val="380"/>
        </w:trPr>
        <w:tc>
          <w:tcPr>
            <w:tcW w:w="846" w:type="dxa"/>
          </w:tcPr>
          <w:p w14:paraId="686E8B5F" w14:textId="77777777" w:rsidR="00B419CE" w:rsidRPr="00B419CE" w:rsidRDefault="00B419CE" w:rsidP="00B32459"/>
        </w:tc>
        <w:tc>
          <w:tcPr>
            <w:tcW w:w="709" w:type="dxa"/>
          </w:tcPr>
          <w:p w14:paraId="73E5B079" w14:textId="77777777" w:rsidR="00B419CE" w:rsidRPr="00B419CE" w:rsidRDefault="00B419CE" w:rsidP="00B32459">
            <w:r w:rsidRPr="00B419CE">
              <w:t>05</w:t>
            </w:r>
          </w:p>
        </w:tc>
        <w:tc>
          <w:tcPr>
            <w:tcW w:w="4745" w:type="dxa"/>
          </w:tcPr>
          <w:p w14:paraId="4DB0008D" w14:textId="77777777" w:rsidR="00B419CE" w:rsidRPr="00B419CE" w:rsidRDefault="00B419CE" w:rsidP="00B32459">
            <w:r w:rsidRPr="00B419CE">
              <w:t xml:space="preserve">Gebyr for </w:t>
            </w:r>
            <w:proofErr w:type="spellStart"/>
            <w:r w:rsidRPr="00B419CE">
              <w:t>utleggsforretningar</w:t>
            </w:r>
            <w:proofErr w:type="spellEnd"/>
          </w:p>
        </w:tc>
        <w:tc>
          <w:tcPr>
            <w:tcW w:w="236" w:type="dxa"/>
          </w:tcPr>
          <w:p w14:paraId="7411FEF5" w14:textId="77777777" w:rsidR="00B419CE" w:rsidRPr="00B419CE" w:rsidRDefault="00B419CE" w:rsidP="00B32459"/>
        </w:tc>
        <w:tc>
          <w:tcPr>
            <w:tcW w:w="1580" w:type="dxa"/>
          </w:tcPr>
          <w:p w14:paraId="716EDFC2" w14:textId="77777777" w:rsidR="00B419CE" w:rsidRPr="00B419CE" w:rsidRDefault="00B419CE" w:rsidP="00B32459">
            <w:pPr>
              <w:jc w:val="right"/>
            </w:pPr>
            <w:r w:rsidRPr="00B419CE">
              <w:t>107 800 000</w:t>
            </w:r>
          </w:p>
        </w:tc>
        <w:tc>
          <w:tcPr>
            <w:tcW w:w="1580" w:type="dxa"/>
          </w:tcPr>
          <w:p w14:paraId="458AFEE7" w14:textId="77777777" w:rsidR="00B419CE" w:rsidRPr="00B419CE" w:rsidRDefault="00B419CE" w:rsidP="00B32459">
            <w:pPr>
              <w:jc w:val="right"/>
            </w:pPr>
          </w:p>
        </w:tc>
      </w:tr>
      <w:tr w:rsidR="00B419CE" w:rsidRPr="00B419CE" w14:paraId="75AC8815" w14:textId="77777777" w:rsidTr="00B32459">
        <w:trPr>
          <w:trHeight w:val="380"/>
        </w:trPr>
        <w:tc>
          <w:tcPr>
            <w:tcW w:w="846" w:type="dxa"/>
          </w:tcPr>
          <w:p w14:paraId="3E41299A" w14:textId="77777777" w:rsidR="00B419CE" w:rsidRPr="00B419CE" w:rsidRDefault="00B419CE" w:rsidP="00B32459"/>
        </w:tc>
        <w:tc>
          <w:tcPr>
            <w:tcW w:w="709" w:type="dxa"/>
          </w:tcPr>
          <w:p w14:paraId="64E5C43F" w14:textId="77777777" w:rsidR="00B419CE" w:rsidRPr="00B419CE" w:rsidRDefault="00B419CE" w:rsidP="00B32459">
            <w:r w:rsidRPr="00B419CE">
              <w:t>07</w:t>
            </w:r>
          </w:p>
        </w:tc>
        <w:tc>
          <w:tcPr>
            <w:tcW w:w="4745" w:type="dxa"/>
          </w:tcPr>
          <w:p w14:paraId="5DA6A22A" w14:textId="77777777" w:rsidR="00B419CE" w:rsidRPr="00B419CE" w:rsidRDefault="00B419CE" w:rsidP="00B32459">
            <w:r w:rsidRPr="00B419CE">
              <w:t xml:space="preserve">Gebyr for </w:t>
            </w:r>
            <w:proofErr w:type="spellStart"/>
            <w:r w:rsidRPr="00B419CE">
              <w:t>bindande</w:t>
            </w:r>
            <w:proofErr w:type="spellEnd"/>
            <w:r w:rsidRPr="00B419CE">
              <w:t xml:space="preserve"> førehandsfråsegner</w:t>
            </w:r>
          </w:p>
        </w:tc>
        <w:tc>
          <w:tcPr>
            <w:tcW w:w="236" w:type="dxa"/>
          </w:tcPr>
          <w:p w14:paraId="5CA81A12" w14:textId="77777777" w:rsidR="00B419CE" w:rsidRPr="00B419CE" w:rsidRDefault="00B419CE" w:rsidP="00B32459"/>
        </w:tc>
        <w:tc>
          <w:tcPr>
            <w:tcW w:w="1580" w:type="dxa"/>
          </w:tcPr>
          <w:p w14:paraId="37FD0533" w14:textId="77777777" w:rsidR="00B419CE" w:rsidRPr="00B419CE" w:rsidRDefault="00B419CE" w:rsidP="00B32459">
            <w:pPr>
              <w:jc w:val="right"/>
            </w:pPr>
            <w:r w:rsidRPr="00B419CE">
              <w:t>4 500 000</w:t>
            </w:r>
          </w:p>
        </w:tc>
        <w:tc>
          <w:tcPr>
            <w:tcW w:w="1580" w:type="dxa"/>
          </w:tcPr>
          <w:p w14:paraId="00BD3525" w14:textId="77777777" w:rsidR="00B419CE" w:rsidRPr="00B419CE" w:rsidRDefault="00B419CE" w:rsidP="00B32459">
            <w:pPr>
              <w:jc w:val="right"/>
            </w:pPr>
          </w:p>
        </w:tc>
      </w:tr>
      <w:tr w:rsidR="00B419CE" w:rsidRPr="00B419CE" w14:paraId="27482B2C" w14:textId="77777777" w:rsidTr="00B32459">
        <w:trPr>
          <w:trHeight w:val="380"/>
        </w:trPr>
        <w:tc>
          <w:tcPr>
            <w:tcW w:w="846" w:type="dxa"/>
          </w:tcPr>
          <w:p w14:paraId="76ED7DF2" w14:textId="77777777" w:rsidR="00B419CE" w:rsidRPr="00B419CE" w:rsidRDefault="00B419CE" w:rsidP="00B32459"/>
        </w:tc>
        <w:tc>
          <w:tcPr>
            <w:tcW w:w="709" w:type="dxa"/>
          </w:tcPr>
          <w:p w14:paraId="10059D16" w14:textId="77777777" w:rsidR="00B419CE" w:rsidRPr="00B419CE" w:rsidRDefault="00B419CE" w:rsidP="00B32459">
            <w:r w:rsidRPr="00B419CE">
              <w:t>11</w:t>
            </w:r>
          </w:p>
        </w:tc>
        <w:tc>
          <w:tcPr>
            <w:tcW w:w="4745" w:type="dxa"/>
          </w:tcPr>
          <w:p w14:paraId="42680552" w14:textId="77777777" w:rsidR="00B419CE" w:rsidRPr="00B419CE" w:rsidRDefault="00B419CE" w:rsidP="00B32459">
            <w:r w:rsidRPr="00B419CE">
              <w:t xml:space="preserve">Gebyr på </w:t>
            </w:r>
            <w:proofErr w:type="spellStart"/>
            <w:r w:rsidRPr="00B419CE">
              <w:t>kredittdeklarasjonar</w:t>
            </w:r>
            <w:proofErr w:type="spellEnd"/>
          </w:p>
        </w:tc>
        <w:tc>
          <w:tcPr>
            <w:tcW w:w="236" w:type="dxa"/>
          </w:tcPr>
          <w:p w14:paraId="2BA0FAB3" w14:textId="77777777" w:rsidR="00B419CE" w:rsidRPr="00B419CE" w:rsidRDefault="00B419CE" w:rsidP="00B32459"/>
        </w:tc>
        <w:tc>
          <w:tcPr>
            <w:tcW w:w="1580" w:type="dxa"/>
          </w:tcPr>
          <w:p w14:paraId="59BE6BAF" w14:textId="77777777" w:rsidR="00B419CE" w:rsidRPr="00B419CE" w:rsidRDefault="00B419CE" w:rsidP="00B32459">
            <w:pPr>
              <w:jc w:val="right"/>
            </w:pPr>
            <w:r w:rsidRPr="00B419CE">
              <w:t>3 000 000</w:t>
            </w:r>
          </w:p>
        </w:tc>
        <w:tc>
          <w:tcPr>
            <w:tcW w:w="1580" w:type="dxa"/>
          </w:tcPr>
          <w:p w14:paraId="7935FD6D" w14:textId="77777777" w:rsidR="00B419CE" w:rsidRPr="00B419CE" w:rsidRDefault="00B419CE" w:rsidP="00B32459">
            <w:pPr>
              <w:jc w:val="right"/>
            </w:pPr>
          </w:p>
        </w:tc>
      </w:tr>
      <w:tr w:rsidR="00B419CE" w:rsidRPr="00B419CE" w14:paraId="1F581141" w14:textId="77777777" w:rsidTr="00B32459">
        <w:trPr>
          <w:trHeight w:val="380"/>
        </w:trPr>
        <w:tc>
          <w:tcPr>
            <w:tcW w:w="846" w:type="dxa"/>
          </w:tcPr>
          <w:p w14:paraId="16ACF21B" w14:textId="77777777" w:rsidR="00B419CE" w:rsidRPr="00B419CE" w:rsidRDefault="00B419CE" w:rsidP="00B32459"/>
        </w:tc>
        <w:tc>
          <w:tcPr>
            <w:tcW w:w="709" w:type="dxa"/>
          </w:tcPr>
          <w:p w14:paraId="03D0B55A" w14:textId="77777777" w:rsidR="00B419CE" w:rsidRPr="00B419CE" w:rsidRDefault="00B419CE" w:rsidP="00B32459">
            <w:r w:rsidRPr="00B419CE">
              <w:t>85</w:t>
            </w:r>
          </w:p>
        </w:tc>
        <w:tc>
          <w:tcPr>
            <w:tcW w:w="4745" w:type="dxa"/>
          </w:tcPr>
          <w:p w14:paraId="78C9F25E" w14:textId="77777777" w:rsidR="00B419CE" w:rsidRPr="00B419CE" w:rsidRDefault="00B419CE" w:rsidP="00B32459">
            <w:r w:rsidRPr="00B419CE">
              <w:t>Inngått på tapsførte lån m.m.</w:t>
            </w:r>
          </w:p>
        </w:tc>
        <w:tc>
          <w:tcPr>
            <w:tcW w:w="236" w:type="dxa"/>
          </w:tcPr>
          <w:p w14:paraId="7663F496" w14:textId="77777777" w:rsidR="00B419CE" w:rsidRPr="00B419CE" w:rsidRDefault="00B419CE" w:rsidP="00B32459"/>
        </w:tc>
        <w:tc>
          <w:tcPr>
            <w:tcW w:w="1580" w:type="dxa"/>
          </w:tcPr>
          <w:p w14:paraId="73AB02D1" w14:textId="77777777" w:rsidR="00B419CE" w:rsidRPr="00B419CE" w:rsidRDefault="00B419CE" w:rsidP="00B32459">
            <w:pPr>
              <w:jc w:val="right"/>
            </w:pPr>
            <w:r w:rsidRPr="00B419CE">
              <w:t>240 000 000</w:t>
            </w:r>
          </w:p>
        </w:tc>
        <w:tc>
          <w:tcPr>
            <w:tcW w:w="1580" w:type="dxa"/>
          </w:tcPr>
          <w:p w14:paraId="02981486" w14:textId="77777777" w:rsidR="00B419CE" w:rsidRPr="00B419CE" w:rsidRDefault="00B419CE" w:rsidP="00B32459">
            <w:pPr>
              <w:jc w:val="right"/>
            </w:pPr>
          </w:p>
        </w:tc>
      </w:tr>
      <w:tr w:rsidR="00B419CE" w:rsidRPr="00B419CE" w14:paraId="56B88F9B" w14:textId="77777777" w:rsidTr="00B32459">
        <w:trPr>
          <w:trHeight w:val="380"/>
        </w:trPr>
        <w:tc>
          <w:tcPr>
            <w:tcW w:w="846" w:type="dxa"/>
          </w:tcPr>
          <w:p w14:paraId="109AA36A" w14:textId="77777777" w:rsidR="00B419CE" w:rsidRPr="00B419CE" w:rsidRDefault="00B419CE" w:rsidP="00B32459"/>
        </w:tc>
        <w:tc>
          <w:tcPr>
            <w:tcW w:w="709" w:type="dxa"/>
          </w:tcPr>
          <w:p w14:paraId="177BD7DA" w14:textId="77777777" w:rsidR="00B419CE" w:rsidRPr="00B419CE" w:rsidRDefault="00B419CE" w:rsidP="00B32459">
            <w:r w:rsidRPr="00B419CE">
              <w:t>86</w:t>
            </w:r>
          </w:p>
        </w:tc>
        <w:tc>
          <w:tcPr>
            <w:tcW w:w="4745" w:type="dxa"/>
          </w:tcPr>
          <w:p w14:paraId="05147E78" w14:textId="77777777" w:rsidR="00B419CE" w:rsidRPr="00B419CE" w:rsidRDefault="00B419CE" w:rsidP="00B32459">
            <w:r w:rsidRPr="00B419CE">
              <w:t xml:space="preserve">Bøter, </w:t>
            </w:r>
            <w:proofErr w:type="spellStart"/>
            <w:r w:rsidRPr="00B419CE">
              <w:t>inndragingar</w:t>
            </w:r>
            <w:proofErr w:type="spellEnd"/>
            <w:r w:rsidRPr="00B419CE">
              <w:t xml:space="preserve"> m.m.</w:t>
            </w:r>
          </w:p>
        </w:tc>
        <w:tc>
          <w:tcPr>
            <w:tcW w:w="236" w:type="dxa"/>
          </w:tcPr>
          <w:p w14:paraId="7E4484E0" w14:textId="77777777" w:rsidR="00B419CE" w:rsidRPr="00B419CE" w:rsidRDefault="00B419CE" w:rsidP="00B32459"/>
        </w:tc>
        <w:tc>
          <w:tcPr>
            <w:tcW w:w="1580" w:type="dxa"/>
          </w:tcPr>
          <w:p w14:paraId="25AA89ED" w14:textId="77777777" w:rsidR="00B419CE" w:rsidRPr="00B419CE" w:rsidRDefault="00B419CE" w:rsidP="00B32459">
            <w:pPr>
              <w:jc w:val="right"/>
            </w:pPr>
            <w:r w:rsidRPr="00B419CE">
              <w:t>1 853 000 000</w:t>
            </w:r>
          </w:p>
        </w:tc>
        <w:tc>
          <w:tcPr>
            <w:tcW w:w="1580" w:type="dxa"/>
          </w:tcPr>
          <w:p w14:paraId="1A7A0904" w14:textId="77777777" w:rsidR="00B419CE" w:rsidRPr="00B419CE" w:rsidRDefault="00B419CE" w:rsidP="00B32459">
            <w:pPr>
              <w:jc w:val="right"/>
            </w:pPr>
          </w:p>
        </w:tc>
      </w:tr>
      <w:tr w:rsidR="00B419CE" w:rsidRPr="00B419CE" w14:paraId="62D29656" w14:textId="77777777" w:rsidTr="00B32459">
        <w:trPr>
          <w:trHeight w:val="380"/>
        </w:trPr>
        <w:tc>
          <w:tcPr>
            <w:tcW w:w="846" w:type="dxa"/>
          </w:tcPr>
          <w:p w14:paraId="016A0D25" w14:textId="77777777" w:rsidR="00B419CE" w:rsidRPr="00B419CE" w:rsidRDefault="00B419CE" w:rsidP="00B32459"/>
        </w:tc>
        <w:tc>
          <w:tcPr>
            <w:tcW w:w="709" w:type="dxa"/>
          </w:tcPr>
          <w:p w14:paraId="5C870421" w14:textId="77777777" w:rsidR="00B419CE" w:rsidRPr="00B419CE" w:rsidRDefault="00B419CE" w:rsidP="00B32459">
            <w:r w:rsidRPr="00B419CE">
              <w:t>87</w:t>
            </w:r>
          </w:p>
        </w:tc>
        <w:tc>
          <w:tcPr>
            <w:tcW w:w="4745" w:type="dxa"/>
          </w:tcPr>
          <w:p w14:paraId="42B64EF7" w14:textId="77777777" w:rsidR="00B419CE" w:rsidRPr="00B419CE" w:rsidRDefault="00B419CE" w:rsidP="00B32459">
            <w:proofErr w:type="spellStart"/>
            <w:r w:rsidRPr="00B419CE">
              <w:t>Trafikantsanksjonar</w:t>
            </w:r>
            <w:proofErr w:type="spellEnd"/>
          </w:p>
        </w:tc>
        <w:tc>
          <w:tcPr>
            <w:tcW w:w="236" w:type="dxa"/>
          </w:tcPr>
          <w:p w14:paraId="67002B07" w14:textId="77777777" w:rsidR="00B419CE" w:rsidRPr="00B419CE" w:rsidRDefault="00B419CE" w:rsidP="00B32459"/>
        </w:tc>
        <w:tc>
          <w:tcPr>
            <w:tcW w:w="1580" w:type="dxa"/>
          </w:tcPr>
          <w:p w14:paraId="0C7F8875" w14:textId="77777777" w:rsidR="00B419CE" w:rsidRPr="00B419CE" w:rsidRDefault="00B419CE" w:rsidP="00B32459">
            <w:pPr>
              <w:jc w:val="right"/>
            </w:pPr>
            <w:r w:rsidRPr="00B419CE">
              <w:t>60 000 000</w:t>
            </w:r>
          </w:p>
        </w:tc>
        <w:tc>
          <w:tcPr>
            <w:tcW w:w="1580" w:type="dxa"/>
          </w:tcPr>
          <w:p w14:paraId="13A2ACF9" w14:textId="77777777" w:rsidR="00B419CE" w:rsidRPr="00B419CE" w:rsidRDefault="00B419CE" w:rsidP="00B32459">
            <w:pPr>
              <w:jc w:val="right"/>
            </w:pPr>
          </w:p>
        </w:tc>
      </w:tr>
      <w:tr w:rsidR="00B419CE" w:rsidRPr="00B419CE" w14:paraId="547E6505" w14:textId="77777777" w:rsidTr="00B32459">
        <w:trPr>
          <w:trHeight w:val="380"/>
        </w:trPr>
        <w:tc>
          <w:tcPr>
            <w:tcW w:w="846" w:type="dxa"/>
          </w:tcPr>
          <w:p w14:paraId="43DE3ED4" w14:textId="77777777" w:rsidR="00B419CE" w:rsidRPr="00B419CE" w:rsidRDefault="00B419CE" w:rsidP="00B32459"/>
        </w:tc>
        <w:tc>
          <w:tcPr>
            <w:tcW w:w="709" w:type="dxa"/>
          </w:tcPr>
          <w:p w14:paraId="401D1FD6" w14:textId="77777777" w:rsidR="00B419CE" w:rsidRPr="00B419CE" w:rsidRDefault="00B419CE" w:rsidP="00B32459">
            <w:r w:rsidRPr="00B419CE">
              <w:t>88</w:t>
            </w:r>
          </w:p>
        </w:tc>
        <w:tc>
          <w:tcPr>
            <w:tcW w:w="4745" w:type="dxa"/>
          </w:tcPr>
          <w:p w14:paraId="385B1FE5" w14:textId="77777777" w:rsidR="00B419CE" w:rsidRPr="00B419CE" w:rsidRDefault="00B419CE" w:rsidP="00B32459">
            <w:r w:rsidRPr="00B419CE">
              <w:t xml:space="preserve">Forseinkingsgebyr, </w:t>
            </w:r>
            <w:proofErr w:type="spellStart"/>
            <w:r w:rsidRPr="00B419CE">
              <w:t>Rekneskapsregisteret</w:t>
            </w:r>
            <w:proofErr w:type="spellEnd"/>
          </w:p>
        </w:tc>
        <w:tc>
          <w:tcPr>
            <w:tcW w:w="236" w:type="dxa"/>
          </w:tcPr>
          <w:p w14:paraId="1AE37527" w14:textId="77777777" w:rsidR="00B419CE" w:rsidRPr="00B419CE" w:rsidRDefault="00B419CE" w:rsidP="00B32459"/>
        </w:tc>
        <w:tc>
          <w:tcPr>
            <w:tcW w:w="1580" w:type="dxa"/>
          </w:tcPr>
          <w:p w14:paraId="23120E4B" w14:textId="77777777" w:rsidR="00B419CE" w:rsidRPr="00B419CE" w:rsidRDefault="00B419CE" w:rsidP="00B32459">
            <w:pPr>
              <w:jc w:val="right"/>
            </w:pPr>
            <w:r w:rsidRPr="00B419CE">
              <w:t>230 000 000</w:t>
            </w:r>
          </w:p>
        </w:tc>
        <w:tc>
          <w:tcPr>
            <w:tcW w:w="1580" w:type="dxa"/>
          </w:tcPr>
          <w:p w14:paraId="06BB24C6" w14:textId="77777777" w:rsidR="00B419CE" w:rsidRPr="00B419CE" w:rsidRDefault="00B419CE" w:rsidP="00B32459">
            <w:pPr>
              <w:jc w:val="right"/>
            </w:pPr>
          </w:p>
        </w:tc>
      </w:tr>
      <w:tr w:rsidR="00B419CE" w:rsidRPr="00B419CE" w14:paraId="5E2B0BC6" w14:textId="77777777" w:rsidTr="00B32459">
        <w:trPr>
          <w:trHeight w:val="380"/>
        </w:trPr>
        <w:tc>
          <w:tcPr>
            <w:tcW w:w="846" w:type="dxa"/>
          </w:tcPr>
          <w:p w14:paraId="0FF64749" w14:textId="77777777" w:rsidR="00B419CE" w:rsidRPr="00B419CE" w:rsidRDefault="00B419CE" w:rsidP="00B32459"/>
        </w:tc>
        <w:tc>
          <w:tcPr>
            <w:tcW w:w="709" w:type="dxa"/>
          </w:tcPr>
          <w:p w14:paraId="76198685" w14:textId="77777777" w:rsidR="00B419CE" w:rsidRPr="00B419CE" w:rsidRDefault="00B419CE" w:rsidP="00B32459">
            <w:r w:rsidRPr="00B419CE">
              <w:t>89</w:t>
            </w:r>
          </w:p>
        </w:tc>
        <w:tc>
          <w:tcPr>
            <w:tcW w:w="4745" w:type="dxa"/>
          </w:tcPr>
          <w:p w14:paraId="4C4A95B3" w14:textId="77777777" w:rsidR="00B419CE" w:rsidRPr="00B419CE" w:rsidRDefault="00B419CE" w:rsidP="00B32459">
            <w:r w:rsidRPr="00B419CE">
              <w:t xml:space="preserve">Gebyr for </w:t>
            </w:r>
            <w:proofErr w:type="spellStart"/>
            <w:r w:rsidRPr="00B419CE">
              <w:t>regelbrot</w:t>
            </w:r>
            <w:proofErr w:type="spellEnd"/>
          </w:p>
        </w:tc>
        <w:tc>
          <w:tcPr>
            <w:tcW w:w="236" w:type="dxa"/>
          </w:tcPr>
          <w:p w14:paraId="645DD7C1" w14:textId="77777777" w:rsidR="00B419CE" w:rsidRPr="00B419CE" w:rsidRDefault="00B419CE" w:rsidP="00B32459"/>
        </w:tc>
        <w:tc>
          <w:tcPr>
            <w:tcW w:w="1580" w:type="dxa"/>
          </w:tcPr>
          <w:p w14:paraId="7F2AFE3F" w14:textId="77777777" w:rsidR="00B419CE" w:rsidRPr="00B419CE" w:rsidRDefault="00B419CE" w:rsidP="00B32459">
            <w:pPr>
              <w:jc w:val="right"/>
            </w:pPr>
            <w:r w:rsidRPr="00B419CE">
              <w:t>6 100 000</w:t>
            </w:r>
          </w:p>
        </w:tc>
        <w:tc>
          <w:tcPr>
            <w:tcW w:w="1580" w:type="dxa"/>
          </w:tcPr>
          <w:p w14:paraId="2F68AFBF" w14:textId="77777777" w:rsidR="00B419CE" w:rsidRPr="00B419CE" w:rsidRDefault="00B419CE" w:rsidP="00B32459">
            <w:pPr>
              <w:jc w:val="right"/>
            </w:pPr>
            <w:r w:rsidRPr="00B419CE">
              <w:t>2 548 000 000</w:t>
            </w:r>
          </w:p>
        </w:tc>
      </w:tr>
      <w:tr w:rsidR="00B419CE" w:rsidRPr="00B419CE" w14:paraId="00E006B4" w14:textId="77777777" w:rsidTr="00B32459">
        <w:trPr>
          <w:trHeight w:val="380"/>
        </w:trPr>
        <w:tc>
          <w:tcPr>
            <w:tcW w:w="846" w:type="dxa"/>
          </w:tcPr>
          <w:p w14:paraId="346F9F85" w14:textId="77777777" w:rsidR="00B419CE" w:rsidRPr="00B419CE" w:rsidRDefault="00B419CE" w:rsidP="00B32459">
            <w:r w:rsidRPr="00B419CE">
              <w:lastRenderedPageBreak/>
              <w:t>4620</w:t>
            </w:r>
          </w:p>
        </w:tc>
        <w:tc>
          <w:tcPr>
            <w:tcW w:w="709" w:type="dxa"/>
          </w:tcPr>
          <w:p w14:paraId="39477D12" w14:textId="77777777" w:rsidR="00B419CE" w:rsidRPr="00B419CE" w:rsidRDefault="00B419CE" w:rsidP="00B32459"/>
        </w:tc>
        <w:tc>
          <w:tcPr>
            <w:tcW w:w="4745" w:type="dxa"/>
          </w:tcPr>
          <w:p w14:paraId="0695E785" w14:textId="77777777" w:rsidR="00B419CE" w:rsidRPr="00B419CE" w:rsidRDefault="00B419CE" w:rsidP="00B32459">
            <w:r w:rsidRPr="00B419CE">
              <w:t>Statistisk sentralbyrå</w:t>
            </w:r>
          </w:p>
        </w:tc>
        <w:tc>
          <w:tcPr>
            <w:tcW w:w="236" w:type="dxa"/>
          </w:tcPr>
          <w:p w14:paraId="3FDF93D6" w14:textId="77777777" w:rsidR="00B419CE" w:rsidRPr="00B419CE" w:rsidRDefault="00B419CE" w:rsidP="00B32459"/>
        </w:tc>
        <w:tc>
          <w:tcPr>
            <w:tcW w:w="1580" w:type="dxa"/>
          </w:tcPr>
          <w:p w14:paraId="7F374D42" w14:textId="77777777" w:rsidR="00B419CE" w:rsidRPr="00B419CE" w:rsidRDefault="00B419CE" w:rsidP="00B32459">
            <w:pPr>
              <w:jc w:val="right"/>
            </w:pPr>
          </w:p>
        </w:tc>
        <w:tc>
          <w:tcPr>
            <w:tcW w:w="1580" w:type="dxa"/>
          </w:tcPr>
          <w:p w14:paraId="079BD8FD" w14:textId="77777777" w:rsidR="00B419CE" w:rsidRPr="00B419CE" w:rsidRDefault="00B419CE" w:rsidP="00B32459">
            <w:pPr>
              <w:jc w:val="right"/>
            </w:pPr>
          </w:p>
        </w:tc>
      </w:tr>
      <w:tr w:rsidR="00B419CE" w:rsidRPr="00B419CE" w14:paraId="628261D7" w14:textId="77777777" w:rsidTr="00B32459">
        <w:trPr>
          <w:trHeight w:val="380"/>
        </w:trPr>
        <w:tc>
          <w:tcPr>
            <w:tcW w:w="846" w:type="dxa"/>
          </w:tcPr>
          <w:p w14:paraId="2D6DE1FC" w14:textId="77777777" w:rsidR="00B419CE" w:rsidRPr="00B419CE" w:rsidRDefault="00B419CE" w:rsidP="00B32459"/>
        </w:tc>
        <w:tc>
          <w:tcPr>
            <w:tcW w:w="709" w:type="dxa"/>
          </w:tcPr>
          <w:p w14:paraId="6B835C08" w14:textId="77777777" w:rsidR="00B419CE" w:rsidRPr="00B419CE" w:rsidRDefault="00B419CE" w:rsidP="00B32459">
            <w:r w:rsidRPr="00B419CE">
              <w:t>02</w:t>
            </w:r>
          </w:p>
        </w:tc>
        <w:tc>
          <w:tcPr>
            <w:tcW w:w="4745" w:type="dxa"/>
          </w:tcPr>
          <w:p w14:paraId="296EA24B" w14:textId="77777777" w:rsidR="00B419CE" w:rsidRPr="00B419CE" w:rsidRDefault="00B419CE" w:rsidP="00B32459">
            <w:r w:rsidRPr="00B419CE">
              <w:t>Oppdragsinntekter</w:t>
            </w:r>
          </w:p>
        </w:tc>
        <w:tc>
          <w:tcPr>
            <w:tcW w:w="236" w:type="dxa"/>
          </w:tcPr>
          <w:p w14:paraId="1454F163" w14:textId="77777777" w:rsidR="00B419CE" w:rsidRPr="00B419CE" w:rsidRDefault="00B419CE" w:rsidP="00B32459"/>
        </w:tc>
        <w:tc>
          <w:tcPr>
            <w:tcW w:w="1580" w:type="dxa"/>
          </w:tcPr>
          <w:p w14:paraId="19BD2A26" w14:textId="77777777" w:rsidR="00B419CE" w:rsidRPr="00B419CE" w:rsidRDefault="00B419CE" w:rsidP="00B32459">
            <w:pPr>
              <w:jc w:val="right"/>
            </w:pPr>
            <w:r w:rsidRPr="00B419CE">
              <w:t>253 194 000</w:t>
            </w:r>
          </w:p>
        </w:tc>
        <w:tc>
          <w:tcPr>
            <w:tcW w:w="1580" w:type="dxa"/>
          </w:tcPr>
          <w:p w14:paraId="0906BCB7" w14:textId="77777777" w:rsidR="00B419CE" w:rsidRPr="00B419CE" w:rsidRDefault="00B419CE" w:rsidP="00B32459">
            <w:pPr>
              <w:jc w:val="right"/>
            </w:pPr>
          </w:p>
        </w:tc>
      </w:tr>
      <w:tr w:rsidR="00B419CE" w:rsidRPr="00B419CE" w14:paraId="503252C1" w14:textId="77777777" w:rsidTr="00B32459">
        <w:trPr>
          <w:trHeight w:val="380"/>
        </w:trPr>
        <w:tc>
          <w:tcPr>
            <w:tcW w:w="846" w:type="dxa"/>
          </w:tcPr>
          <w:p w14:paraId="3EF05923" w14:textId="77777777" w:rsidR="00B419CE" w:rsidRPr="00B419CE" w:rsidRDefault="00B419CE" w:rsidP="00B32459"/>
        </w:tc>
        <w:tc>
          <w:tcPr>
            <w:tcW w:w="709" w:type="dxa"/>
          </w:tcPr>
          <w:p w14:paraId="25985A00" w14:textId="77777777" w:rsidR="00B419CE" w:rsidRPr="00B419CE" w:rsidRDefault="00B419CE" w:rsidP="00B32459">
            <w:r w:rsidRPr="00B419CE">
              <w:t>85</w:t>
            </w:r>
          </w:p>
        </w:tc>
        <w:tc>
          <w:tcPr>
            <w:tcW w:w="4745" w:type="dxa"/>
          </w:tcPr>
          <w:p w14:paraId="60C17403" w14:textId="77777777" w:rsidR="00B419CE" w:rsidRPr="00B419CE" w:rsidRDefault="00B419CE" w:rsidP="00B32459">
            <w:r w:rsidRPr="00B419CE">
              <w:t>Tvangsmulkt</w:t>
            </w:r>
          </w:p>
        </w:tc>
        <w:tc>
          <w:tcPr>
            <w:tcW w:w="236" w:type="dxa"/>
          </w:tcPr>
          <w:p w14:paraId="788C71E6" w14:textId="77777777" w:rsidR="00B419CE" w:rsidRPr="00B419CE" w:rsidRDefault="00B419CE" w:rsidP="00B32459"/>
        </w:tc>
        <w:tc>
          <w:tcPr>
            <w:tcW w:w="1580" w:type="dxa"/>
          </w:tcPr>
          <w:p w14:paraId="3EFA8A74" w14:textId="77777777" w:rsidR="00B419CE" w:rsidRPr="00B419CE" w:rsidRDefault="00B419CE" w:rsidP="00B32459">
            <w:pPr>
              <w:jc w:val="right"/>
            </w:pPr>
            <w:r w:rsidRPr="00B419CE">
              <w:t>10 000 000</w:t>
            </w:r>
          </w:p>
        </w:tc>
        <w:tc>
          <w:tcPr>
            <w:tcW w:w="1580" w:type="dxa"/>
          </w:tcPr>
          <w:p w14:paraId="2C9E4E65" w14:textId="77777777" w:rsidR="00B419CE" w:rsidRPr="00B419CE" w:rsidRDefault="00B419CE" w:rsidP="00B32459">
            <w:pPr>
              <w:jc w:val="right"/>
            </w:pPr>
            <w:r w:rsidRPr="00B419CE">
              <w:t>263 194 000</w:t>
            </w:r>
          </w:p>
        </w:tc>
      </w:tr>
      <w:tr w:rsidR="00B419CE" w:rsidRPr="00B419CE" w14:paraId="66044188" w14:textId="77777777" w:rsidTr="00B32459">
        <w:trPr>
          <w:trHeight w:val="380"/>
        </w:trPr>
        <w:tc>
          <w:tcPr>
            <w:tcW w:w="846" w:type="dxa"/>
          </w:tcPr>
          <w:p w14:paraId="359D9CB1" w14:textId="77777777" w:rsidR="00B419CE" w:rsidRPr="00B419CE" w:rsidRDefault="00B419CE" w:rsidP="00B32459"/>
        </w:tc>
        <w:tc>
          <w:tcPr>
            <w:tcW w:w="709" w:type="dxa"/>
          </w:tcPr>
          <w:p w14:paraId="7A90FF53" w14:textId="77777777" w:rsidR="00B419CE" w:rsidRPr="00B419CE" w:rsidRDefault="00B419CE" w:rsidP="00B32459"/>
        </w:tc>
        <w:tc>
          <w:tcPr>
            <w:tcW w:w="4745" w:type="dxa"/>
          </w:tcPr>
          <w:p w14:paraId="27A008DE" w14:textId="77777777" w:rsidR="00B419CE" w:rsidRPr="00B419CE" w:rsidRDefault="00B419CE" w:rsidP="00B32459">
            <w:r w:rsidRPr="00B419CE">
              <w:t>Sum Finansdepartementet</w:t>
            </w:r>
          </w:p>
        </w:tc>
        <w:tc>
          <w:tcPr>
            <w:tcW w:w="236" w:type="dxa"/>
          </w:tcPr>
          <w:p w14:paraId="4180EDE9" w14:textId="77777777" w:rsidR="00B419CE" w:rsidRPr="00B419CE" w:rsidRDefault="00B419CE" w:rsidP="00B32459"/>
        </w:tc>
        <w:tc>
          <w:tcPr>
            <w:tcW w:w="1580" w:type="dxa"/>
          </w:tcPr>
          <w:p w14:paraId="0A33E581" w14:textId="77777777" w:rsidR="00B419CE" w:rsidRPr="00B419CE" w:rsidRDefault="00B419CE" w:rsidP="00B32459">
            <w:pPr>
              <w:jc w:val="right"/>
            </w:pPr>
          </w:p>
        </w:tc>
        <w:tc>
          <w:tcPr>
            <w:tcW w:w="1580" w:type="dxa"/>
          </w:tcPr>
          <w:p w14:paraId="03F841E3" w14:textId="77777777" w:rsidR="00B419CE" w:rsidRPr="00B419CE" w:rsidRDefault="00B419CE" w:rsidP="00B32459">
            <w:pPr>
              <w:jc w:val="right"/>
            </w:pPr>
            <w:r w:rsidRPr="00B419CE">
              <w:t>3 082 994 000</w:t>
            </w:r>
          </w:p>
        </w:tc>
      </w:tr>
      <w:tr w:rsidR="00B419CE" w:rsidRPr="00B419CE" w14:paraId="2583096B" w14:textId="77777777" w:rsidTr="00B32459">
        <w:trPr>
          <w:trHeight w:val="380"/>
        </w:trPr>
        <w:tc>
          <w:tcPr>
            <w:tcW w:w="9696" w:type="dxa"/>
            <w:gridSpan w:val="6"/>
          </w:tcPr>
          <w:p w14:paraId="4C52F4B8" w14:textId="77777777" w:rsidR="00B419CE" w:rsidRPr="00B419CE" w:rsidRDefault="00B419CE" w:rsidP="00B32459">
            <w:pPr>
              <w:jc w:val="center"/>
            </w:pPr>
            <w:r w:rsidRPr="00B419CE">
              <w:t>Ymse inntekter</w:t>
            </w:r>
          </w:p>
        </w:tc>
      </w:tr>
      <w:tr w:rsidR="00B419CE" w:rsidRPr="00B419CE" w14:paraId="4D660738" w14:textId="77777777" w:rsidTr="00B32459">
        <w:trPr>
          <w:trHeight w:val="380"/>
        </w:trPr>
        <w:tc>
          <w:tcPr>
            <w:tcW w:w="846" w:type="dxa"/>
          </w:tcPr>
          <w:p w14:paraId="2F0D07CB" w14:textId="77777777" w:rsidR="00B419CE" w:rsidRPr="00B419CE" w:rsidRDefault="00B419CE" w:rsidP="00B32459">
            <w:r w:rsidRPr="00B419CE">
              <w:t>5341</w:t>
            </w:r>
          </w:p>
        </w:tc>
        <w:tc>
          <w:tcPr>
            <w:tcW w:w="709" w:type="dxa"/>
          </w:tcPr>
          <w:p w14:paraId="21F0B9E2" w14:textId="77777777" w:rsidR="00B419CE" w:rsidRPr="00B419CE" w:rsidRDefault="00B419CE" w:rsidP="00B32459"/>
        </w:tc>
        <w:tc>
          <w:tcPr>
            <w:tcW w:w="4745" w:type="dxa"/>
          </w:tcPr>
          <w:p w14:paraId="2B17E35A" w14:textId="77777777" w:rsidR="00B419CE" w:rsidRPr="00B419CE" w:rsidRDefault="00B419CE" w:rsidP="00B32459">
            <w:r w:rsidRPr="00B419CE">
              <w:t xml:space="preserve">Avdrag på </w:t>
            </w:r>
            <w:proofErr w:type="spellStart"/>
            <w:r w:rsidRPr="00B419CE">
              <w:t>uteståande</w:t>
            </w:r>
            <w:proofErr w:type="spellEnd"/>
            <w:r w:rsidRPr="00B419CE">
              <w:t xml:space="preserve"> </w:t>
            </w:r>
            <w:proofErr w:type="spellStart"/>
            <w:r w:rsidRPr="00B419CE">
              <w:t>fordringar</w:t>
            </w:r>
            <w:proofErr w:type="spellEnd"/>
          </w:p>
        </w:tc>
        <w:tc>
          <w:tcPr>
            <w:tcW w:w="236" w:type="dxa"/>
          </w:tcPr>
          <w:p w14:paraId="4E79BBC7" w14:textId="77777777" w:rsidR="00B419CE" w:rsidRPr="00B419CE" w:rsidRDefault="00B419CE" w:rsidP="00B32459"/>
        </w:tc>
        <w:tc>
          <w:tcPr>
            <w:tcW w:w="1580" w:type="dxa"/>
          </w:tcPr>
          <w:p w14:paraId="2F259118" w14:textId="77777777" w:rsidR="00B419CE" w:rsidRPr="00B419CE" w:rsidRDefault="00B419CE" w:rsidP="00B32459">
            <w:pPr>
              <w:jc w:val="right"/>
            </w:pPr>
          </w:p>
        </w:tc>
        <w:tc>
          <w:tcPr>
            <w:tcW w:w="1580" w:type="dxa"/>
          </w:tcPr>
          <w:p w14:paraId="4F3C0A5A" w14:textId="77777777" w:rsidR="00B419CE" w:rsidRPr="00B419CE" w:rsidRDefault="00B419CE" w:rsidP="00B32459">
            <w:pPr>
              <w:jc w:val="right"/>
            </w:pPr>
          </w:p>
        </w:tc>
      </w:tr>
      <w:tr w:rsidR="00B419CE" w:rsidRPr="00B419CE" w14:paraId="58803C92" w14:textId="77777777" w:rsidTr="00B32459">
        <w:trPr>
          <w:trHeight w:val="380"/>
        </w:trPr>
        <w:tc>
          <w:tcPr>
            <w:tcW w:w="846" w:type="dxa"/>
          </w:tcPr>
          <w:p w14:paraId="5E2FD818" w14:textId="77777777" w:rsidR="00B419CE" w:rsidRPr="00B419CE" w:rsidRDefault="00B419CE" w:rsidP="00B32459"/>
        </w:tc>
        <w:tc>
          <w:tcPr>
            <w:tcW w:w="709" w:type="dxa"/>
          </w:tcPr>
          <w:p w14:paraId="6C81E802" w14:textId="77777777" w:rsidR="00B419CE" w:rsidRPr="00B419CE" w:rsidRDefault="00B419CE" w:rsidP="00B32459">
            <w:r w:rsidRPr="00B419CE">
              <w:t>95</w:t>
            </w:r>
          </w:p>
        </w:tc>
        <w:tc>
          <w:tcPr>
            <w:tcW w:w="4745" w:type="dxa"/>
          </w:tcPr>
          <w:p w14:paraId="4EAE8604" w14:textId="77777777" w:rsidR="00B419CE" w:rsidRPr="00B419CE" w:rsidRDefault="00B419CE" w:rsidP="00B32459">
            <w:r w:rsidRPr="00B419CE">
              <w:t xml:space="preserve">Avdrag på lån til andre </w:t>
            </w:r>
            <w:proofErr w:type="spellStart"/>
            <w:r w:rsidRPr="00B419CE">
              <w:t>statar</w:t>
            </w:r>
            <w:proofErr w:type="spellEnd"/>
          </w:p>
        </w:tc>
        <w:tc>
          <w:tcPr>
            <w:tcW w:w="236" w:type="dxa"/>
          </w:tcPr>
          <w:p w14:paraId="185839DF" w14:textId="77777777" w:rsidR="00B419CE" w:rsidRPr="00B419CE" w:rsidRDefault="00B419CE" w:rsidP="00B32459"/>
        </w:tc>
        <w:tc>
          <w:tcPr>
            <w:tcW w:w="1580" w:type="dxa"/>
          </w:tcPr>
          <w:p w14:paraId="0BB0E181" w14:textId="77777777" w:rsidR="00B419CE" w:rsidRPr="00B419CE" w:rsidRDefault="00B419CE" w:rsidP="00B32459">
            <w:pPr>
              <w:jc w:val="right"/>
            </w:pPr>
            <w:r w:rsidRPr="00B419CE">
              <w:t>700 000</w:t>
            </w:r>
          </w:p>
        </w:tc>
        <w:tc>
          <w:tcPr>
            <w:tcW w:w="1580" w:type="dxa"/>
          </w:tcPr>
          <w:p w14:paraId="1BC7BBE7" w14:textId="77777777" w:rsidR="00B419CE" w:rsidRPr="00B419CE" w:rsidRDefault="00B419CE" w:rsidP="00B32459">
            <w:pPr>
              <w:jc w:val="right"/>
            </w:pPr>
            <w:r w:rsidRPr="00B419CE">
              <w:t>700 000</w:t>
            </w:r>
          </w:p>
        </w:tc>
      </w:tr>
      <w:tr w:rsidR="00B419CE" w:rsidRPr="00B419CE" w14:paraId="1BB52DC4" w14:textId="77777777" w:rsidTr="00B32459">
        <w:trPr>
          <w:trHeight w:val="380"/>
        </w:trPr>
        <w:tc>
          <w:tcPr>
            <w:tcW w:w="846" w:type="dxa"/>
          </w:tcPr>
          <w:p w14:paraId="4AA09AF5" w14:textId="77777777" w:rsidR="00B419CE" w:rsidRPr="00B419CE" w:rsidRDefault="00B419CE" w:rsidP="00B32459">
            <w:r w:rsidRPr="00B419CE">
              <w:t>5351</w:t>
            </w:r>
          </w:p>
        </w:tc>
        <w:tc>
          <w:tcPr>
            <w:tcW w:w="709" w:type="dxa"/>
          </w:tcPr>
          <w:p w14:paraId="0E6594C1" w14:textId="77777777" w:rsidR="00B419CE" w:rsidRPr="00B419CE" w:rsidRDefault="00B419CE" w:rsidP="00B32459"/>
        </w:tc>
        <w:tc>
          <w:tcPr>
            <w:tcW w:w="4745" w:type="dxa"/>
          </w:tcPr>
          <w:p w14:paraId="6A086B3B" w14:textId="77777777" w:rsidR="00B419CE" w:rsidRPr="00B419CE" w:rsidRDefault="00B419CE" w:rsidP="00B32459">
            <w:r w:rsidRPr="00B419CE">
              <w:t xml:space="preserve">Overføring </w:t>
            </w:r>
            <w:proofErr w:type="spellStart"/>
            <w:r w:rsidRPr="00B419CE">
              <w:t>frå</w:t>
            </w:r>
            <w:proofErr w:type="spellEnd"/>
            <w:r w:rsidRPr="00B419CE">
              <w:t xml:space="preserve"> </w:t>
            </w:r>
            <w:proofErr w:type="spellStart"/>
            <w:r w:rsidRPr="00B419CE">
              <w:t>Noregs</w:t>
            </w:r>
            <w:proofErr w:type="spellEnd"/>
            <w:r w:rsidRPr="00B419CE">
              <w:t xml:space="preserve"> Bank</w:t>
            </w:r>
          </w:p>
        </w:tc>
        <w:tc>
          <w:tcPr>
            <w:tcW w:w="236" w:type="dxa"/>
          </w:tcPr>
          <w:p w14:paraId="60069C56" w14:textId="77777777" w:rsidR="00B419CE" w:rsidRPr="00B419CE" w:rsidRDefault="00B419CE" w:rsidP="00B32459"/>
        </w:tc>
        <w:tc>
          <w:tcPr>
            <w:tcW w:w="1580" w:type="dxa"/>
          </w:tcPr>
          <w:p w14:paraId="78A86A47" w14:textId="77777777" w:rsidR="00B419CE" w:rsidRPr="00B419CE" w:rsidRDefault="00B419CE" w:rsidP="00B32459">
            <w:pPr>
              <w:jc w:val="right"/>
            </w:pPr>
          </w:p>
        </w:tc>
        <w:tc>
          <w:tcPr>
            <w:tcW w:w="1580" w:type="dxa"/>
          </w:tcPr>
          <w:p w14:paraId="70021A3B" w14:textId="77777777" w:rsidR="00B419CE" w:rsidRPr="00B419CE" w:rsidRDefault="00B419CE" w:rsidP="00B32459">
            <w:pPr>
              <w:jc w:val="right"/>
            </w:pPr>
          </w:p>
        </w:tc>
      </w:tr>
      <w:tr w:rsidR="00B419CE" w:rsidRPr="00B419CE" w14:paraId="6655FD89" w14:textId="77777777" w:rsidTr="00B32459">
        <w:trPr>
          <w:trHeight w:val="380"/>
        </w:trPr>
        <w:tc>
          <w:tcPr>
            <w:tcW w:w="846" w:type="dxa"/>
          </w:tcPr>
          <w:p w14:paraId="10A97413" w14:textId="77777777" w:rsidR="00B419CE" w:rsidRPr="00B419CE" w:rsidRDefault="00B419CE" w:rsidP="00B32459"/>
        </w:tc>
        <w:tc>
          <w:tcPr>
            <w:tcW w:w="709" w:type="dxa"/>
          </w:tcPr>
          <w:p w14:paraId="4FD6B566" w14:textId="77777777" w:rsidR="00B419CE" w:rsidRPr="00B419CE" w:rsidRDefault="00B419CE" w:rsidP="00B32459">
            <w:r w:rsidRPr="00B419CE">
              <w:t>85</w:t>
            </w:r>
          </w:p>
        </w:tc>
        <w:tc>
          <w:tcPr>
            <w:tcW w:w="4745" w:type="dxa"/>
          </w:tcPr>
          <w:p w14:paraId="7AF9E23E" w14:textId="77777777" w:rsidR="00B419CE" w:rsidRPr="00B419CE" w:rsidRDefault="00B419CE" w:rsidP="00B32459">
            <w:r w:rsidRPr="00B419CE">
              <w:t>Overføring</w:t>
            </w:r>
          </w:p>
        </w:tc>
        <w:tc>
          <w:tcPr>
            <w:tcW w:w="236" w:type="dxa"/>
          </w:tcPr>
          <w:p w14:paraId="5F695CB5" w14:textId="77777777" w:rsidR="00B419CE" w:rsidRPr="00B419CE" w:rsidRDefault="00B419CE" w:rsidP="00B32459"/>
        </w:tc>
        <w:tc>
          <w:tcPr>
            <w:tcW w:w="1580" w:type="dxa"/>
          </w:tcPr>
          <w:p w14:paraId="68167314" w14:textId="77777777" w:rsidR="00B419CE" w:rsidRPr="00B419CE" w:rsidRDefault="00B419CE" w:rsidP="00B32459">
            <w:pPr>
              <w:jc w:val="right"/>
            </w:pPr>
            <w:r w:rsidRPr="00B419CE">
              <w:t>10 113 000 000</w:t>
            </w:r>
          </w:p>
        </w:tc>
        <w:tc>
          <w:tcPr>
            <w:tcW w:w="1580" w:type="dxa"/>
          </w:tcPr>
          <w:p w14:paraId="4049B29D" w14:textId="77777777" w:rsidR="00B419CE" w:rsidRPr="00B419CE" w:rsidRDefault="00B419CE" w:rsidP="00B32459">
            <w:pPr>
              <w:jc w:val="right"/>
            </w:pPr>
            <w:r w:rsidRPr="00B419CE">
              <w:t>10 113 000 000</w:t>
            </w:r>
          </w:p>
        </w:tc>
      </w:tr>
      <w:tr w:rsidR="00B419CE" w:rsidRPr="00B419CE" w14:paraId="6B73F577" w14:textId="77777777" w:rsidTr="00B32459">
        <w:trPr>
          <w:trHeight w:val="380"/>
        </w:trPr>
        <w:tc>
          <w:tcPr>
            <w:tcW w:w="846" w:type="dxa"/>
          </w:tcPr>
          <w:p w14:paraId="0BEC5C12" w14:textId="77777777" w:rsidR="00B419CE" w:rsidRPr="00B419CE" w:rsidRDefault="00B419CE" w:rsidP="00B32459"/>
        </w:tc>
        <w:tc>
          <w:tcPr>
            <w:tcW w:w="709" w:type="dxa"/>
          </w:tcPr>
          <w:p w14:paraId="0594D637" w14:textId="77777777" w:rsidR="00B419CE" w:rsidRPr="00B419CE" w:rsidRDefault="00B419CE" w:rsidP="00B32459"/>
        </w:tc>
        <w:tc>
          <w:tcPr>
            <w:tcW w:w="4745" w:type="dxa"/>
          </w:tcPr>
          <w:p w14:paraId="39EAADE2" w14:textId="77777777" w:rsidR="00B419CE" w:rsidRPr="00B419CE" w:rsidRDefault="00B419CE" w:rsidP="00B32459">
            <w:r w:rsidRPr="00B419CE">
              <w:t>Sum Ymse inntekter</w:t>
            </w:r>
          </w:p>
        </w:tc>
        <w:tc>
          <w:tcPr>
            <w:tcW w:w="236" w:type="dxa"/>
          </w:tcPr>
          <w:p w14:paraId="7B1D8FE3" w14:textId="77777777" w:rsidR="00B419CE" w:rsidRPr="00B419CE" w:rsidRDefault="00B419CE" w:rsidP="00B32459"/>
        </w:tc>
        <w:tc>
          <w:tcPr>
            <w:tcW w:w="1580" w:type="dxa"/>
          </w:tcPr>
          <w:p w14:paraId="38260109" w14:textId="77777777" w:rsidR="00B419CE" w:rsidRPr="00B419CE" w:rsidRDefault="00B419CE" w:rsidP="00B32459">
            <w:pPr>
              <w:jc w:val="right"/>
            </w:pPr>
          </w:p>
        </w:tc>
        <w:tc>
          <w:tcPr>
            <w:tcW w:w="1580" w:type="dxa"/>
          </w:tcPr>
          <w:p w14:paraId="25027CA1" w14:textId="77777777" w:rsidR="00B419CE" w:rsidRPr="00B419CE" w:rsidRDefault="00B419CE" w:rsidP="00B32459">
            <w:pPr>
              <w:jc w:val="right"/>
            </w:pPr>
            <w:r w:rsidRPr="00B419CE">
              <w:t>10 113 700 000</w:t>
            </w:r>
          </w:p>
        </w:tc>
      </w:tr>
      <w:tr w:rsidR="00B419CE" w:rsidRPr="00B419CE" w14:paraId="4D627781" w14:textId="77777777" w:rsidTr="00B32459">
        <w:trPr>
          <w:trHeight w:val="380"/>
        </w:trPr>
        <w:tc>
          <w:tcPr>
            <w:tcW w:w="9696" w:type="dxa"/>
            <w:gridSpan w:val="6"/>
          </w:tcPr>
          <w:p w14:paraId="5A9CD349" w14:textId="77777777" w:rsidR="00B419CE" w:rsidRPr="00B419CE" w:rsidRDefault="00B419CE" w:rsidP="00B32459">
            <w:pPr>
              <w:jc w:val="center"/>
            </w:pPr>
            <w:r w:rsidRPr="00B419CE">
              <w:t>Skatter og avgifter</w:t>
            </w:r>
          </w:p>
        </w:tc>
      </w:tr>
      <w:tr w:rsidR="00B419CE" w:rsidRPr="00B419CE" w14:paraId="0F9CF90F" w14:textId="77777777" w:rsidTr="00B32459">
        <w:trPr>
          <w:trHeight w:val="380"/>
        </w:trPr>
        <w:tc>
          <w:tcPr>
            <w:tcW w:w="846" w:type="dxa"/>
          </w:tcPr>
          <w:p w14:paraId="558F5D7D" w14:textId="77777777" w:rsidR="00B419CE" w:rsidRPr="00B419CE" w:rsidRDefault="00B419CE" w:rsidP="00B32459">
            <w:r w:rsidRPr="00B419CE">
              <w:t>5580</w:t>
            </w:r>
          </w:p>
        </w:tc>
        <w:tc>
          <w:tcPr>
            <w:tcW w:w="709" w:type="dxa"/>
          </w:tcPr>
          <w:p w14:paraId="78026524" w14:textId="77777777" w:rsidR="00B419CE" w:rsidRPr="00B419CE" w:rsidRDefault="00B419CE" w:rsidP="00B32459"/>
        </w:tc>
        <w:tc>
          <w:tcPr>
            <w:tcW w:w="4745" w:type="dxa"/>
          </w:tcPr>
          <w:p w14:paraId="0EEF0307" w14:textId="77777777" w:rsidR="00B419CE" w:rsidRPr="00B419CE" w:rsidRDefault="00B419CE" w:rsidP="00B32459">
            <w:r w:rsidRPr="00B419CE">
              <w:t>Sektoravgifter under Finansdepartementet</w:t>
            </w:r>
          </w:p>
        </w:tc>
        <w:tc>
          <w:tcPr>
            <w:tcW w:w="236" w:type="dxa"/>
          </w:tcPr>
          <w:p w14:paraId="0253DB38" w14:textId="77777777" w:rsidR="00B419CE" w:rsidRPr="00B419CE" w:rsidRDefault="00B419CE" w:rsidP="00B32459"/>
        </w:tc>
        <w:tc>
          <w:tcPr>
            <w:tcW w:w="1580" w:type="dxa"/>
          </w:tcPr>
          <w:p w14:paraId="660DA53E" w14:textId="77777777" w:rsidR="00B419CE" w:rsidRPr="00B419CE" w:rsidRDefault="00B419CE" w:rsidP="00B32459">
            <w:pPr>
              <w:jc w:val="right"/>
            </w:pPr>
          </w:p>
        </w:tc>
        <w:tc>
          <w:tcPr>
            <w:tcW w:w="1580" w:type="dxa"/>
          </w:tcPr>
          <w:p w14:paraId="34893AAE" w14:textId="77777777" w:rsidR="00B419CE" w:rsidRPr="00B419CE" w:rsidRDefault="00B419CE" w:rsidP="00B32459">
            <w:pPr>
              <w:jc w:val="right"/>
            </w:pPr>
          </w:p>
        </w:tc>
      </w:tr>
      <w:tr w:rsidR="00B419CE" w:rsidRPr="00B419CE" w14:paraId="3B2012A0" w14:textId="77777777" w:rsidTr="00B32459">
        <w:trPr>
          <w:trHeight w:val="380"/>
        </w:trPr>
        <w:tc>
          <w:tcPr>
            <w:tcW w:w="846" w:type="dxa"/>
          </w:tcPr>
          <w:p w14:paraId="140B71BE" w14:textId="77777777" w:rsidR="00B419CE" w:rsidRPr="00B419CE" w:rsidRDefault="00B419CE" w:rsidP="00B32459"/>
        </w:tc>
        <w:tc>
          <w:tcPr>
            <w:tcW w:w="709" w:type="dxa"/>
          </w:tcPr>
          <w:p w14:paraId="16174FD5" w14:textId="77777777" w:rsidR="00B419CE" w:rsidRPr="00B419CE" w:rsidRDefault="00B419CE" w:rsidP="00B32459">
            <w:r w:rsidRPr="00B419CE">
              <w:t>70</w:t>
            </w:r>
          </w:p>
        </w:tc>
        <w:tc>
          <w:tcPr>
            <w:tcW w:w="4745" w:type="dxa"/>
          </w:tcPr>
          <w:p w14:paraId="175E4EA3" w14:textId="77777777" w:rsidR="00B419CE" w:rsidRPr="00B419CE" w:rsidRDefault="00B419CE" w:rsidP="00B32459">
            <w:r w:rsidRPr="00B419CE">
              <w:t xml:space="preserve">Finanstilsynet, bidrag </w:t>
            </w:r>
            <w:proofErr w:type="spellStart"/>
            <w:r w:rsidRPr="00B419CE">
              <w:t>frå</w:t>
            </w:r>
            <w:proofErr w:type="spellEnd"/>
            <w:r w:rsidRPr="00B419CE">
              <w:t xml:space="preserve"> </w:t>
            </w:r>
            <w:proofErr w:type="spellStart"/>
            <w:r w:rsidRPr="00B419CE">
              <w:t>tilsynseiningane</w:t>
            </w:r>
            <w:proofErr w:type="spellEnd"/>
          </w:p>
        </w:tc>
        <w:tc>
          <w:tcPr>
            <w:tcW w:w="236" w:type="dxa"/>
          </w:tcPr>
          <w:p w14:paraId="17FB75CB" w14:textId="77777777" w:rsidR="00B419CE" w:rsidRPr="00B419CE" w:rsidRDefault="00B419CE" w:rsidP="00B32459"/>
        </w:tc>
        <w:tc>
          <w:tcPr>
            <w:tcW w:w="1580" w:type="dxa"/>
          </w:tcPr>
          <w:p w14:paraId="24E2B787" w14:textId="77777777" w:rsidR="00B419CE" w:rsidRPr="00B419CE" w:rsidRDefault="00B419CE" w:rsidP="00B32459">
            <w:pPr>
              <w:jc w:val="right"/>
            </w:pPr>
            <w:r w:rsidRPr="00B419CE">
              <w:t>485 860 000</w:t>
            </w:r>
          </w:p>
        </w:tc>
        <w:tc>
          <w:tcPr>
            <w:tcW w:w="1580" w:type="dxa"/>
          </w:tcPr>
          <w:p w14:paraId="28A77429" w14:textId="77777777" w:rsidR="00B419CE" w:rsidRPr="00B419CE" w:rsidRDefault="00B419CE" w:rsidP="00B32459">
            <w:pPr>
              <w:jc w:val="right"/>
            </w:pPr>
            <w:r w:rsidRPr="00B419CE">
              <w:t>485 860 000</w:t>
            </w:r>
          </w:p>
        </w:tc>
      </w:tr>
      <w:tr w:rsidR="00B419CE" w:rsidRPr="00B419CE" w14:paraId="116D2091" w14:textId="77777777" w:rsidTr="00B32459">
        <w:trPr>
          <w:trHeight w:val="380"/>
        </w:trPr>
        <w:tc>
          <w:tcPr>
            <w:tcW w:w="846" w:type="dxa"/>
          </w:tcPr>
          <w:p w14:paraId="587753C6" w14:textId="77777777" w:rsidR="00B419CE" w:rsidRPr="00B419CE" w:rsidRDefault="00B419CE" w:rsidP="00B32459"/>
        </w:tc>
        <w:tc>
          <w:tcPr>
            <w:tcW w:w="709" w:type="dxa"/>
          </w:tcPr>
          <w:p w14:paraId="74D5AFFD" w14:textId="77777777" w:rsidR="00B419CE" w:rsidRPr="00B419CE" w:rsidRDefault="00B419CE" w:rsidP="00B32459"/>
        </w:tc>
        <w:tc>
          <w:tcPr>
            <w:tcW w:w="4745" w:type="dxa"/>
          </w:tcPr>
          <w:p w14:paraId="44CD6DAD" w14:textId="77777777" w:rsidR="00B419CE" w:rsidRPr="00B419CE" w:rsidRDefault="00B419CE" w:rsidP="00B32459">
            <w:r w:rsidRPr="00B419CE">
              <w:t>Sum Skatter og avgifter</w:t>
            </w:r>
          </w:p>
        </w:tc>
        <w:tc>
          <w:tcPr>
            <w:tcW w:w="236" w:type="dxa"/>
          </w:tcPr>
          <w:p w14:paraId="17F56DED" w14:textId="77777777" w:rsidR="00B419CE" w:rsidRPr="00B419CE" w:rsidRDefault="00B419CE" w:rsidP="00B32459"/>
        </w:tc>
        <w:tc>
          <w:tcPr>
            <w:tcW w:w="1580" w:type="dxa"/>
          </w:tcPr>
          <w:p w14:paraId="3D86DC0A" w14:textId="77777777" w:rsidR="00B419CE" w:rsidRPr="00B419CE" w:rsidRDefault="00B419CE" w:rsidP="00B32459">
            <w:pPr>
              <w:jc w:val="right"/>
            </w:pPr>
          </w:p>
        </w:tc>
        <w:tc>
          <w:tcPr>
            <w:tcW w:w="1580" w:type="dxa"/>
          </w:tcPr>
          <w:p w14:paraId="79B43549" w14:textId="77777777" w:rsidR="00B419CE" w:rsidRPr="00B419CE" w:rsidRDefault="00B419CE" w:rsidP="00B32459">
            <w:pPr>
              <w:jc w:val="right"/>
            </w:pPr>
            <w:r w:rsidRPr="00B419CE">
              <w:t>485 860 000</w:t>
            </w:r>
          </w:p>
        </w:tc>
      </w:tr>
      <w:tr w:rsidR="00B419CE" w:rsidRPr="00B419CE" w14:paraId="335632E9" w14:textId="77777777" w:rsidTr="00B32459">
        <w:trPr>
          <w:trHeight w:val="380"/>
        </w:trPr>
        <w:tc>
          <w:tcPr>
            <w:tcW w:w="9696" w:type="dxa"/>
            <w:gridSpan w:val="6"/>
          </w:tcPr>
          <w:p w14:paraId="228715A5" w14:textId="77777777" w:rsidR="00B419CE" w:rsidRPr="00B419CE" w:rsidRDefault="00B419CE" w:rsidP="00B32459">
            <w:pPr>
              <w:jc w:val="center"/>
            </w:pPr>
            <w:r w:rsidRPr="00B419CE">
              <w:t xml:space="preserve">Renter og </w:t>
            </w:r>
            <w:proofErr w:type="spellStart"/>
            <w:r w:rsidRPr="00B419CE">
              <w:t>utbyte</w:t>
            </w:r>
            <w:proofErr w:type="spellEnd"/>
            <w:r w:rsidRPr="00B419CE">
              <w:t xml:space="preserve"> m.m.</w:t>
            </w:r>
          </w:p>
        </w:tc>
      </w:tr>
      <w:tr w:rsidR="00B419CE" w:rsidRPr="00B419CE" w14:paraId="41C456BC" w14:textId="77777777" w:rsidTr="00B32459">
        <w:trPr>
          <w:trHeight w:val="640"/>
        </w:trPr>
        <w:tc>
          <w:tcPr>
            <w:tcW w:w="846" w:type="dxa"/>
          </w:tcPr>
          <w:p w14:paraId="0CEBD191" w14:textId="77777777" w:rsidR="00B419CE" w:rsidRPr="00B419CE" w:rsidRDefault="00B419CE" w:rsidP="00B32459">
            <w:r w:rsidRPr="00B419CE">
              <w:t>5605</w:t>
            </w:r>
          </w:p>
        </w:tc>
        <w:tc>
          <w:tcPr>
            <w:tcW w:w="709" w:type="dxa"/>
          </w:tcPr>
          <w:p w14:paraId="4DD34EA3" w14:textId="77777777" w:rsidR="00B419CE" w:rsidRPr="00B419CE" w:rsidRDefault="00B419CE" w:rsidP="00B32459"/>
        </w:tc>
        <w:tc>
          <w:tcPr>
            <w:tcW w:w="4745" w:type="dxa"/>
          </w:tcPr>
          <w:p w14:paraId="3E7CAE70" w14:textId="77777777" w:rsidR="00B419CE" w:rsidRPr="00B419CE" w:rsidRDefault="00B419CE" w:rsidP="00B32459">
            <w:r w:rsidRPr="00B419CE">
              <w:t xml:space="preserve">Renter av </w:t>
            </w:r>
            <w:proofErr w:type="spellStart"/>
            <w:r w:rsidRPr="00B419CE">
              <w:t>kontantar</w:t>
            </w:r>
            <w:proofErr w:type="spellEnd"/>
            <w:r w:rsidRPr="00B419CE">
              <w:t xml:space="preserve"> i statskassa og av andre </w:t>
            </w:r>
            <w:r w:rsidRPr="00B419CE">
              <w:br/>
            </w:r>
            <w:proofErr w:type="spellStart"/>
            <w:r w:rsidRPr="00B419CE">
              <w:t>fordringar</w:t>
            </w:r>
            <w:proofErr w:type="spellEnd"/>
          </w:p>
        </w:tc>
        <w:tc>
          <w:tcPr>
            <w:tcW w:w="236" w:type="dxa"/>
          </w:tcPr>
          <w:p w14:paraId="503CD5C1" w14:textId="77777777" w:rsidR="00B419CE" w:rsidRPr="00B419CE" w:rsidRDefault="00B419CE" w:rsidP="00B32459"/>
        </w:tc>
        <w:tc>
          <w:tcPr>
            <w:tcW w:w="1580" w:type="dxa"/>
          </w:tcPr>
          <w:p w14:paraId="48E12980" w14:textId="77777777" w:rsidR="00B419CE" w:rsidRPr="00B419CE" w:rsidRDefault="00B419CE" w:rsidP="00B32459">
            <w:pPr>
              <w:jc w:val="right"/>
            </w:pPr>
          </w:p>
        </w:tc>
        <w:tc>
          <w:tcPr>
            <w:tcW w:w="1580" w:type="dxa"/>
          </w:tcPr>
          <w:p w14:paraId="0101EBEB" w14:textId="77777777" w:rsidR="00B419CE" w:rsidRPr="00B419CE" w:rsidRDefault="00B419CE" w:rsidP="00B32459">
            <w:pPr>
              <w:jc w:val="right"/>
            </w:pPr>
          </w:p>
        </w:tc>
      </w:tr>
      <w:tr w:rsidR="00B419CE" w:rsidRPr="00B419CE" w14:paraId="32FA5EAB" w14:textId="77777777" w:rsidTr="00B32459">
        <w:trPr>
          <w:trHeight w:val="380"/>
        </w:trPr>
        <w:tc>
          <w:tcPr>
            <w:tcW w:w="846" w:type="dxa"/>
          </w:tcPr>
          <w:p w14:paraId="24404543" w14:textId="77777777" w:rsidR="00B419CE" w:rsidRPr="00B419CE" w:rsidRDefault="00B419CE" w:rsidP="00B32459"/>
        </w:tc>
        <w:tc>
          <w:tcPr>
            <w:tcW w:w="709" w:type="dxa"/>
          </w:tcPr>
          <w:p w14:paraId="50ADEDE9" w14:textId="77777777" w:rsidR="00B419CE" w:rsidRPr="00B419CE" w:rsidRDefault="00B419CE" w:rsidP="00B32459">
            <w:r w:rsidRPr="00B419CE">
              <w:t>81</w:t>
            </w:r>
          </w:p>
        </w:tc>
        <w:tc>
          <w:tcPr>
            <w:tcW w:w="4745" w:type="dxa"/>
          </w:tcPr>
          <w:p w14:paraId="3B8CE3EE" w14:textId="77777777" w:rsidR="00B419CE" w:rsidRPr="00B419CE" w:rsidRDefault="00B419CE" w:rsidP="00B32459">
            <w:r w:rsidRPr="00B419CE">
              <w:t xml:space="preserve">Av verdipapir og </w:t>
            </w:r>
            <w:proofErr w:type="spellStart"/>
            <w:r w:rsidRPr="00B419CE">
              <w:t>bankinnskot</w:t>
            </w:r>
            <w:proofErr w:type="spellEnd"/>
            <w:r w:rsidRPr="00B419CE">
              <w:t xml:space="preserve"> i </w:t>
            </w:r>
            <w:proofErr w:type="spellStart"/>
            <w:r w:rsidRPr="00B419CE">
              <w:t>utanlandsk</w:t>
            </w:r>
            <w:proofErr w:type="spellEnd"/>
            <w:r w:rsidRPr="00B419CE">
              <w:t xml:space="preserve"> valuta</w:t>
            </w:r>
          </w:p>
        </w:tc>
        <w:tc>
          <w:tcPr>
            <w:tcW w:w="236" w:type="dxa"/>
          </w:tcPr>
          <w:p w14:paraId="2710E499" w14:textId="77777777" w:rsidR="00B419CE" w:rsidRPr="00B419CE" w:rsidRDefault="00B419CE" w:rsidP="00B32459"/>
        </w:tc>
        <w:tc>
          <w:tcPr>
            <w:tcW w:w="1580" w:type="dxa"/>
          </w:tcPr>
          <w:p w14:paraId="4E1E91D4" w14:textId="77777777" w:rsidR="00B419CE" w:rsidRPr="00B419CE" w:rsidRDefault="00B419CE" w:rsidP="00B32459">
            <w:pPr>
              <w:jc w:val="right"/>
            </w:pPr>
            <w:r w:rsidRPr="00B419CE">
              <w:t>200 000</w:t>
            </w:r>
          </w:p>
        </w:tc>
        <w:tc>
          <w:tcPr>
            <w:tcW w:w="1580" w:type="dxa"/>
          </w:tcPr>
          <w:p w14:paraId="05CD6077" w14:textId="77777777" w:rsidR="00B419CE" w:rsidRPr="00B419CE" w:rsidRDefault="00B419CE" w:rsidP="00B32459">
            <w:pPr>
              <w:jc w:val="right"/>
            </w:pPr>
          </w:p>
        </w:tc>
      </w:tr>
      <w:tr w:rsidR="00B419CE" w:rsidRPr="00B419CE" w14:paraId="5C161B8E" w14:textId="77777777" w:rsidTr="00B32459">
        <w:trPr>
          <w:trHeight w:val="380"/>
        </w:trPr>
        <w:tc>
          <w:tcPr>
            <w:tcW w:w="846" w:type="dxa"/>
          </w:tcPr>
          <w:p w14:paraId="4A0E8AC1" w14:textId="77777777" w:rsidR="00B419CE" w:rsidRPr="00B419CE" w:rsidRDefault="00B419CE" w:rsidP="00B32459"/>
        </w:tc>
        <w:tc>
          <w:tcPr>
            <w:tcW w:w="709" w:type="dxa"/>
          </w:tcPr>
          <w:p w14:paraId="2AEDF6A4" w14:textId="77777777" w:rsidR="00B419CE" w:rsidRPr="00B419CE" w:rsidRDefault="00B419CE" w:rsidP="00B32459">
            <w:r w:rsidRPr="00B419CE">
              <w:t>82</w:t>
            </w:r>
          </w:p>
        </w:tc>
        <w:tc>
          <w:tcPr>
            <w:tcW w:w="4745" w:type="dxa"/>
          </w:tcPr>
          <w:p w14:paraId="061BB3F8" w14:textId="77777777" w:rsidR="00B419CE" w:rsidRPr="00B419CE" w:rsidRDefault="00B419CE" w:rsidP="00B32459">
            <w:r w:rsidRPr="00B419CE">
              <w:t xml:space="preserve">Av </w:t>
            </w:r>
            <w:proofErr w:type="spellStart"/>
            <w:r w:rsidRPr="00B419CE">
              <w:t>innanlandske</w:t>
            </w:r>
            <w:proofErr w:type="spellEnd"/>
            <w:r w:rsidRPr="00B419CE">
              <w:t xml:space="preserve"> verdipapir</w:t>
            </w:r>
          </w:p>
        </w:tc>
        <w:tc>
          <w:tcPr>
            <w:tcW w:w="236" w:type="dxa"/>
          </w:tcPr>
          <w:p w14:paraId="6FD3E205" w14:textId="77777777" w:rsidR="00B419CE" w:rsidRPr="00B419CE" w:rsidRDefault="00B419CE" w:rsidP="00B32459"/>
        </w:tc>
        <w:tc>
          <w:tcPr>
            <w:tcW w:w="1580" w:type="dxa"/>
          </w:tcPr>
          <w:p w14:paraId="2E92CB1C" w14:textId="77777777" w:rsidR="00B419CE" w:rsidRPr="00B419CE" w:rsidRDefault="00B419CE" w:rsidP="00B32459">
            <w:pPr>
              <w:jc w:val="right"/>
            </w:pPr>
            <w:r w:rsidRPr="00B419CE">
              <w:t>925 000 000</w:t>
            </w:r>
          </w:p>
        </w:tc>
        <w:tc>
          <w:tcPr>
            <w:tcW w:w="1580" w:type="dxa"/>
          </w:tcPr>
          <w:p w14:paraId="5086BD39" w14:textId="77777777" w:rsidR="00B419CE" w:rsidRPr="00B419CE" w:rsidRDefault="00B419CE" w:rsidP="00B32459">
            <w:pPr>
              <w:jc w:val="right"/>
            </w:pPr>
          </w:p>
        </w:tc>
      </w:tr>
      <w:tr w:rsidR="00B419CE" w:rsidRPr="00B419CE" w14:paraId="3E88B5AE" w14:textId="77777777" w:rsidTr="00B32459">
        <w:trPr>
          <w:trHeight w:val="380"/>
        </w:trPr>
        <w:tc>
          <w:tcPr>
            <w:tcW w:w="846" w:type="dxa"/>
          </w:tcPr>
          <w:p w14:paraId="572C0D59" w14:textId="77777777" w:rsidR="00B419CE" w:rsidRPr="00B419CE" w:rsidRDefault="00B419CE" w:rsidP="00B32459"/>
        </w:tc>
        <w:tc>
          <w:tcPr>
            <w:tcW w:w="709" w:type="dxa"/>
          </w:tcPr>
          <w:p w14:paraId="5008E559" w14:textId="77777777" w:rsidR="00B419CE" w:rsidRPr="00B419CE" w:rsidRDefault="00B419CE" w:rsidP="00B32459">
            <w:r w:rsidRPr="00B419CE">
              <w:t>83</w:t>
            </w:r>
          </w:p>
        </w:tc>
        <w:tc>
          <w:tcPr>
            <w:tcW w:w="4745" w:type="dxa"/>
          </w:tcPr>
          <w:p w14:paraId="00537542" w14:textId="77777777" w:rsidR="00B419CE" w:rsidRPr="00B419CE" w:rsidRDefault="00B419CE" w:rsidP="00B32459">
            <w:r w:rsidRPr="00B419CE">
              <w:t xml:space="preserve">Av </w:t>
            </w:r>
            <w:proofErr w:type="spellStart"/>
            <w:r w:rsidRPr="00B419CE">
              <w:t>alminnelege</w:t>
            </w:r>
            <w:proofErr w:type="spellEnd"/>
            <w:r w:rsidRPr="00B419CE">
              <w:t xml:space="preserve"> </w:t>
            </w:r>
            <w:proofErr w:type="spellStart"/>
            <w:r w:rsidRPr="00B419CE">
              <w:t>fordringar</w:t>
            </w:r>
            <w:proofErr w:type="spellEnd"/>
          </w:p>
        </w:tc>
        <w:tc>
          <w:tcPr>
            <w:tcW w:w="236" w:type="dxa"/>
          </w:tcPr>
          <w:p w14:paraId="1CC60400" w14:textId="77777777" w:rsidR="00B419CE" w:rsidRPr="00B419CE" w:rsidRDefault="00B419CE" w:rsidP="00B32459"/>
        </w:tc>
        <w:tc>
          <w:tcPr>
            <w:tcW w:w="1580" w:type="dxa"/>
          </w:tcPr>
          <w:p w14:paraId="73942F1E" w14:textId="77777777" w:rsidR="00B419CE" w:rsidRPr="00B419CE" w:rsidRDefault="00B419CE" w:rsidP="00B32459">
            <w:pPr>
              <w:jc w:val="right"/>
            </w:pPr>
            <w:r w:rsidRPr="00B419CE">
              <w:t>120 000 000</w:t>
            </w:r>
          </w:p>
        </w:tc>
        <w:tc>
          <w:tcPr>
            <w:tcW w:w="1580" w:type="dxa"/>
          </w:tcPr>
          <w:p w14:paraId="16E08631" w14:textId="77777777" w:rsidR="00B419CE" w:rsidRPr="00B419CE" w:rsidRDefault="00B419CE" w:rsidP="00B32459">
            <w:pPr>
              <w:jc w:val="right"/>
            </w:pPr>
          </w:p>
        </w:tc>
      </w:tr>
      <w:tr w:rsidR="00B419CE" w:rsidRPr="00B419CE" w14:paraId="1BE3DCEC" w14:textId="77777777" w:rsidTr="00B32459">
        <w:trPr>
          <w:trHeight w:val="380"/>
        </w:trPr>
        <w:tc>
          <w:tcPr>
            <w:tcW w:w="846" w:type="dxa"/>
          </w:tcPr>
          <w:p w14:paraId="1DAEB0AD" w14:textId="77777777" w:rsidR="00B419CE" w:rsidRPr="00B419CE" w:rsidRDefault="00B419CE" w:rsidP="00B32459"/>
        </w:tc>
        <w:tc>
          <w:tcPr>
            <w:tcW w:w="709" w:type="dxa"/>
          </w:tcPr>
          <w:p w14:paraId="51BC95DE" w14:textId="77777777" w:rsidR="00B419CE" w:rsidRPr="00B419CE" w:rsidRDefault="00B419CE" w:rsidP="00B32459">
            <w:r w:rsidRPr="00B419CE">
              <w:t>84</w:t>
            </w:r>
          </w:p>
        </w:tc>
        <w:tc>
          <w:tcPr>
            <w:tcW w:w="4745" w:type="dxa"/>
          </w:tcPr>
          <w:p w14:paraId="4ACE4841" w14:textId="77777777" w:rsidR="00B419CE" w:rsidRPr="00B419CE" w:rsidRDefault="00B419CE" w:rsidP="00B32459">
            <w:r w:rsidRPr="00B419CE">
              <w:t xml:space="preserve">Av driftskreditt til </w:t>
            </w:r>
            <w:proofErr w:type="spellStart"/>
            <w:r w:rsidRPr="00B419CE">
              <w:t>statsverksemder</w:t>
            </w:r>
            <w:proofErr w:type="spellEnd"/>
          </w:p>
        </w:tc>
        <w:tc>
          <w:tcPr>
            <w:tcW w:w="236" w:type="dxa"/>
          </w:tcPr>
          <w:p w14:paraId="66B6C0F3" w14:textId="77777777" w:rsidR="00B419CE" w:rsidRPr="00B419CE" w:rsidRDefault="00B419CE" w:rsidP="00B32459"/>
        </w:tc>
        <w:tc>
          <w:tcPr>
            <w:tcW w:w="1580" w:type="dxa"/>
          </w:tcPr>
          <w:p w14:paraId="0C15143B" w14:textId="77777777" w:rsidR="00B419CE" w:rsidRPr="00B419CE" w:rsidRDefault="00B419CE" w:rsidP="00B32459">
            <w:pPr>
              <w:jc w:val="right"/>
            </w:pPr>
            <w:r w:rsidRPr="00B419CE">
              <w:t>413 000 000</w:t>
            </w:r>
          </w:p>
        </w:tc>
        <w:tc>
          <w:tcPr>
            <w:tcW w:w="1580" w:type="dxa"/>
          </w:tcPr>
          <w:p w14:paraId="1FB5C8C4" w14:textId="77777777" w:rsidR="00B419CE" w:rsidRPr="00B419CE" w:rsidRDefault="00B419CE" w:rsidP="00B32459">
            <w:pPr>
              <w:jc w:val="right"/>
            </w:pPr>
          </w:p>
        </w:tc>
      </w:tr>
      <w:tr w:rsidR="00B419CE" w:rsidRPr="00B419CE" w14:paraId="1E35E18A" w14:textId="77777777" w:rsidTr="00B32459">
        <w:trPr>
          <w:trHeight w:val="380"/>
        </w:trPr>
        <w:tc>
          <w:tcPr>
            <w:tcW w:w="846" w:type="dxa"/>
          </w:tcPr>
          <w:p w14:paraId="0F9F1BC9" w14:textId="77777777" w:rsidR="00B419CE" w:rsidRPr="00B419CE" w:rsidRDefault="00B419CE" w:rsidP="00B32459"/>
        </w:tc>
        <w:tc>
          <w:tcPr>
            <w:tcW w:w="709" w:type="dxa"/>
          </w:tcPr>
          <w:p w14:paraId="65F99D86" w14:textId="77777777" w:rsidR="00B419CE" w:rsidRPr="00B419CE" w:rsidRDefault="00B419CE" w:rsidP="00B32459">
            <w:r w:rsidRPr="00B419CE">
              <w:t>86</w:t>
            </w:r>
          </w:p>
        </w:tc>
        <w:tc>
          <w:tcPr>
            <w:tcW w:w="4745" w:type="dxa"/>
          </w:tcPr>
          <w:p w14:paraId="341CFDAA" w14:textId="77777777" w:rsidR="00B419CE" w:rsidRPr="00B419CE" w:rsidRDefault="00B419CE" w:rsidP="00B32459">
            <w:r w:rsidRPr="00B419CE">
              <w:t xml:space="preserve">Renter av lån til andre </w:t>
            </w:r>
            <w:proofErr w:type="spellStart"/>
            <w:r w:rsidRPr="00B419CE">
              <w:t>statar</w:t>
            </w:r>
            <w:proofErr w:type="spellEnd"/>
          </w:p>
        </w:tc>
        <w:tc>
          <w:tcPr>
            <w:tcW w:w="236" w:type="dxa"/>
          </w:tcPr>
          <w:p w14:paraId="573C3062" w14:textId="77777777" w:rsidR="00B419CE" w:rsidRPr="00B419CE" w:rsidRDefault="00B419CE" w:rsidP="00B32459"/>
        </w:tc>
        <w:tc>
          <w:tcPr>
            <w:tcW w:w="1580" w:type="dxa"/>
          </w:tcPr>
          <w:p w14:paraId="3B190056" w14:textId="77777777" w:rsidR="00B419CE" w:rsidRPr="00B419CE" w:rsidRDefault="00B419CE" w:rsidP="00B32459">
            <w:pPr>
              <w:jc w:val="right"/>
            </w:pPr>
            <w:r w:rsidRPr="00B419CE">
              <w:t>100 000</w:t>
            </w:r>
          </w:p>
        </w:tc>
        <w:tc>
          <w:tcPr>
            <w:tcW w:w="1580" w:type="dxa"/>
          </w:tcPr>
          <w:p w14:paraId="492EA9D3" w14:textId="77777777" w:rsidR="00B419CE" w:rsidRPr="00B419CE" w:rsidRDefault="00B419CE" w:rsidP="00B32459">
            <w:pPr>
              <w:jc w:val="right"/>
            </w:pPr>
          </w:p>
        </w:tc>
      </w:tr>
      <w:tr w:rsidR="00B419CE" w:rsidRPr="00B419CE" w14:paraId="3603B497" w14:textId="77777777" w:rsidTr="00B32459">
        <w:trPr>
          <w:trHeight w:val="380"/>
        </w:trPr>
        <w:tc>
          <w:tcPr>
            <w:tcW w:w="846" w:type="dxa"/>
          </w:tcPr>
          <w:p w14:paraId="141A3577" w14:textId="77777777" w:rsidR="00B419CE" w:rsidRPr="00B419CE" w:rsidRDefault="00B419CE" w:rsidP="00B32459"/>
        </w:tc>
        <w:tc>
          <w:tcPr>
            <w:tcW w:w="709" w:type="dxa"/>
          </w:tcPr>
          <w:p w14:paraId="4C81D0E6" w14:textId="77777777" w:rsidR="00B419CE" w:rsidRPr="00B419CE" w:rsidRDefault="00B419CE" w:rsidP="00B32459">
            <w:r w:rsidRPr="00B419CE">
              <w:t>89</w:t>
            </w:r>
          </w:p>
        </w:tc>
        <w:tc>
          <w:tcPr>
            <w:tcW w:w="4745" w:type="dxa"/>
          </w:tcPr>
          <w:p w14:paraId="2B37EA03" w14:textId="77777777" w:rsidR="00B419CE" w:rsidRPr="00B419CE" w:rsidRDefault="00B419CE" w:rsidP="00B32459">
            <w:r w:rsidRPr="00B419CE">
              <w:t>Garantiprovisjon</w:t>
            </w:r>
          </w:p>
        </w:tc>
        <w:tc>
          <w:tcPr>
            <w:tcW w:w="236" w:type="dxa"/>
          </w:tcPr>
          <w:p w14:paraId="1B19427E" w14:textId="77777777" w:rsidR="00B419CE" w:rsidRPr="00B419CE" w:rsidRDefault="00B419CE" w:rsidP="00B32459"/>
        </w:tc>
        <w:tc>
          <w:tcPr>
            <w:tcW w:w="1580" w:type="dxa"/>
          </w:tcPr>
          <w:p w14:paraId="3318A79A" w14:textId="77777777" w:rsidR="00B419CE" w:rsidRPr="00B419CE" w:rsidRDefault="00B419CE" w:rsidP="00B32459">
            <w:pPr>
              <w:jc w:val="right"/>
            </w:pPr>
            <w:r w:rsidRPr="00B419CE">
              <w:t>43 500 000</w:t>
            </w:r>
          </w:p>
        </w:tc>
        <w:tc>
          <w:tcPr>
            <w:tcW w:w="1580" w:type="dxa"/>
          </w:tcPr>
          <w:p w14:paraId="53E291E4" w14:textId="77777777" w:rsidR="00B419CE" w:rsidRPr="00B419CE" w:rsidRDefault="00B419CE" w:rsidP="00B32459">
            <w:pPr>
              <w:jc w:val="right"/>
            </w:pPr>
            <w:r w:rsidRPr="00B419CE">
              <w:t>1 501 800 000</w:t>
            </w:r>
          </w:p>
        </w:tc>
      </w:tr>
      <w:tr w:rsidR="00B419CE" w:rsidRPr="00B419CE" w14:paraId="13F4DD70" w14:textId="77777777" w:rsidTr="00B32459">
        <w:trPr>
          <w:trHeight w:val="640"/>
        </w:trPr>
        <w:tc>
          <w:tcPr>
            <w:tcW w:w="846" w:type="dxa"/>
          </w:tcPr>
          <w:p w14:paraId="4733D9C0" w14:textId="77777777" w:rsidR="00B419CE" w:rsidRPr="00B419CE" w:rsidRDefault="00B419CE" w:rsidP="00B32459">
            <w:r w:rsidRPr="00B419CE">
              <w:t>5692</w:t>
            </w:r>
          </w:p>
        </w:tc>
        <w:tc>
          <w:tcPr>
            <w:tcW w:w="709" w:type="dxa"/>
          </w:tcPr>
          <w:p w14:paraId="2B356CDF" w14:textId="77777777" w:rsidR="00B419CE" w:rsidRPr="00B419CE" w:rsidRDefault="00B419CE" w:rsidP="00B32459"/>
        </w:tc>
        <w:tc>
          <w:tcPr>
            <w:tcW w:w="4745" w:type="dxa"/>
          </w:tcPr>
          <w:p w14:paraId="3B9E83D9" w14:textId="77777777" w:rsidR="00B419CE" w:rsidRPr="00B419CE" w:rsidRDefault="00B419CE" w:rsidP="00B32459">
            <w:proofErr w:type="spellStart"/>
            <w:r w:rsidRPr="00B419CE">
              <w:t>Utbyte</w:t>
            </w:r>
            <w:proofErr w:type="spellEnd"/>
            <w:r w:rsidRPr="00B419CE">
              <w:t xml:space="preserve"> av statens kapital i Den nordiske </w:t>
            </w:r>
            <w:r w:rsidRPr="00B419CE">
              <w:br/>
              <w:t>investeringsbanken</w:t>
            </w:r>
          </w:p>
        </w:tc>
        <w:tc>
          <w:tcPr>
            <w:tcW w:w="236" w:type="dxa"/>
          </w:tcPr>
          <w:p w14:paraId="4B34F7B2" w14:textId="77777777" w:rsidR="00B419CE" w:rsidRPr="00B419CE" w:rsidRDefault="00B419CE" w:rsidP="00B32459"/>
        </w:tc>
        <w:tc>
          <w:tcPr>
            <w:tcW w:w="1580" w:type="dxa"/>
          </w:tcPr>
          <w:p w14:paraId="4A0F35AA" w14:textId="77777777" w:rsidR="00B419CE" w:rsidRPr="00B419CE" w:rsidRDefault="00B419CE" w:rsidP="00B32459">
            <w:pPr>
              <w:jc w:val="right"/>
            </w:pPr>
          </w:p>
        </w:tc>
        <w:tc>
          <w:tcPr>
            <w:tcW w:w="1580" w:type="dxa"/>
          </w:tcPr>
          <w:p w14:paraId="448A97F8" w14:textId="77777777" w:rsidR="00B419CE" w:rsidRPr="00B419CE" w:rsidRDefault="00B419CE" w:rsidP="00B32459">
            <w:pPr>
              <w:jc w:val="right"/>
            </w:pPr>
          </w:p>
        </w:tc>
      </w:tr>
      <w:tr w:rsidR="00B419CE" w:rsidRPr="00B419CE" w14:paraId="6F18B58C" w14:textId="77777777" w:rsidTr="00B32459">
        <w:trPr>
          <w:trHeight w:val="380"/>
        </w:trPr>
        <w:tc>
          <w:tcPr>
            <w:tcW w:w="846" w:type="dxa"/>
          </w:tcPr>
          <w:p w14:paraId="33DFCB15" w14:textId="77777777" w:rsidR="00B419CE" w:rsidRPr="00B419CE" w:rsidRDefault="00B419CE" w:rsidP="00B32459"/>
        </w:tc>
        <w:tc>
          <w:tcPr>
            <w:tcW w:w="709" w:type="dxa"/>
          </w:tcPr>
          <w:p w14:paraId="2B7EC3B7" w14:textId="77777777" w:rsidR="00B419CE" w:rsidRPr="00B419CE" w:rsidRDefault="00B419CE" w:rsidP="00B32459">
            <w:r w:rsidRPr="00B419CE">
              <w:t>85</w:t>
            </w:r>
          </w:p>
        </w:tc>
        <w:tc>
          <w:tcPr>
            <w:tcW w:w="4745" w:type="dxa"/>
          </w:tcPr>
          <w:p w14:paraId="39270A37" w14:textId="77777777" w:rsidR="00B419CE" w:rsidRPr="00B419CE" w:rsidRDefault="00B419CE" w:rsidP="00B32459">
            <w:proofErr w:type="spellStart"/>
            <w:r w:rsidRPr="00B419CE">
              <w:t>Utbyte</w:t>
            </w:r>
            <w:proofErr w:type="spellEnd"/>
          </w:p>
        </w:tc>
        <w:tc>
          <w:tcPr>
            <w:tcW w:w="236" w:type="dxa"/>
          </w:tcPr>
          <w:p w14:paraId="29BFA571" w14:textId="77777777" w:rsidR="00B419CE" w:rsidRPr="00B419CE" w:rsidRDefault="00B419CE" w:rsidP="00B32459"/>
        </w:tc>
        <w:tc>
          <w:tcPr>
            <w:tcW w:w="1580" w:type="dxa"/>
          </w:tcPr>
          <w:p w14:paraId="383AA223" w14:textId="77777777" w:rsidR="00B419CE" w:rsidRPr="00B419CE" w:rsidRDefault="00B419CE" w:rsidP="00B32459">
            <w:pPr>
              <w:jc w:val="right"/>
            </w:pPr>
            <w:r w:rsidRPr="00B419CE">
              <w:t>104 100 000</w:t>
            </w:r>
          </w:p>
        </w:tc>
        <w:tc>
          <w:tcPr>
            <w:tcW w:w="1580" w:type="dxa"/>
          </w:tcPr>
          <w:p w14:paraId="3C6AFA7F" w14:textId="77777777" w:rsidR="00B419CE" w:rsidRPr="00B419CE" w:rsidRDefault="00B419CE" w:rsidP="00B32459">
            <w:pPr>
              <w:jc w:val="right"/>
            </w:pPr>
            <w:r w:rsidRPr="00B419CE">
              <w:t>104 100 000</w:t>
            </w:r>
          </w:p>
        </w:tc>
      </w:tr>
      <w:tr w:rsidR="00B419CE" w:rsidRPr="00B419CE" w14:paraId="4CA185A3" w14:textId="77777777" w:rsidTr="00B32459">
        <w:trPr>
          <w:trHeight w:val="380"/>
        </w:trPr>
        <w:tc>
          <w:tcPr>
            <w:tcW w:w="846" w:type="dxa"/>
          </w:tcPr>
          <w:p w14:paraId="21F9ACC7" w14:textId="77777777" w:rsidR="00B419CE" w:rsidRPr="00B419CE" w:rsidRDefault="00B419CE" w:rsidP="00B32459">
            <w:r w:rsidRPr="00B419CE">
              <w:t>5693</w:t>
            </w:r>
          </w:p>
        </w:tc>
        <w:tc>
          <w:tcPr>
            <w:tcW w:w="709" w:type="dxa"/>
          </w:tcPr>
          <w:p w14:paraId="02661DF2" w14:textId="77777777" w:rsidR="00B419CE" w:rsidRPr="00B419CE" w:rsidRDefault="00B419CE" w:rsidP="00B32459"/>
        </w:tc>
        <w:tc>
          <w:tcPr>
            <w:tcW w:w="4745" w:type="dxa"/>
          </w:tcPr>
          <w:p w14:paraId="2297839D" w14:textId="77777777" w:rsidR="00B419CE" w:rsidRPr="00B419CE" w:rsidRDefault="00B419CE" w:rsidP="00B32459">
            <w:proofErr w:type="spellStart"/>
            <w:r w:rsidRPr="00B419CE">
              <w:t>Utbyte</w:t>
            </w:r>
            <w:proofErr w:type="spellEnd"/>
            <w:r w:rsidRPr="00B419CE">
              <w:t xml:space="preserve"> av </w:t>
            </w:r>
            <w:proofErr w:type="spellStart"/>
            <w:r w:rsidRPr="00B419CE">
              <w:t>aksjar</w:t>
            </w:r>
            <w:proofErr w:type="spellEnd"/>
            <w:r w:rsidRPr="00B419CE">
              <w:t xml:space="preserve"> i ymse selskap m.m.</w:t>
            </w:r>
          </w:p>
        </w:tc>
        <w:tc>
          <w:tcPr>
            <w:tcW w:w="236" w:type="dxa"/>
          </w:tcPr>
          <w:p w14:paraId="29A0E871" w14:textId="77777777" w:rsidR="00B419CE" w:rsidRPr="00B419CE" w:rsidRDefault="00B419CE" w:rsidP="00B32459"/>
        </w:tc>
        <w:tc>
          <w:tcPr>
            <w:tcW w:w="1580" w:type="dxa"/>
          </w:tcPr>
          <w:p w14:paraId="1D020FB2" w14:textId="77777777" w:rsidR="00B419CE" w:rsidRPr="00B419CE" w:rsidRDefault="00B419CE" w:rsidP="00B32459">
            <w:pPr>
              <w:jc w:val="right"/>
            </w:pPr>
          </w:p>
        </w:tc>
        <w:tc>
          <w:tcPr>
            <w:tcW w:w="1580" w:type="dxa"/>
          </w:tcPr>
          <w:p w14:paraId="7320CE91" w14:textId="77777777" w:rsidR="00B419CE" w:rsidRPr="00B419CE" w:rsidRDefault="00B419CE" w:rsidP="00B32459">
            <w:pPr>
              <w:jc w:val="right"/>
            </w:pPr>
          </w:p>
        </w:tc>
      </w:tr>
      <w:tr w:rsidR="00B419CE" w:rsidRPr="00B419CE" w14:paraId="784ECC6B" w14:textId="77777777" w:rsidTr="00B32459">
        <w:trPr>
          <w:trHeight w:val="380"/>
        </w:trPr>
        <w:tc>
          <w:tcPr>
            <w:tcW w:w="846" w:type="dxa"/>
          </w:tcPr>
          <w:p w14:paraId="6B90ACE2" w14:textId="77777777" w:rsidR="00B419CE" w:rsidRPr="00B419CE" w:rsidRDefault="00B419CE" w:rsidP="00B32459"/>
        </w:tc>
        <w:tc>
          <w:tcPr>
            <w:tcW w:w="709" w:type="dxa"/>
          </w:tcPr>
          <w:p w14:paraId="28453ECF" w14:textId="77777777" w:rsidR="00B419CE" w:rsidRPr="00B419CE" w:rsidRDefault="00B419CE" w:rsidP="00B32459">
            <w:r w:rsidRPr="00B419CE">
              <w:t>85</w:t>
            </w:r>
          </w:p>
        </w:tc>
        <w:tc>
          <w:tcPr>
            <w:tcW w:w="4745" w:type="dxa"/>
          </w:tcPr>
          <w:p w14:paraId="03874379" w14:textId="77777777" w:rsidR="00B419CE" w:rsidRPr="00B419CE" w:rsidRDefault="00B419CE" w:rsidP="00B32459">
            <w:proofErr w:type="spellStart"/>
            <w:r w:rsidRPr="00B419CE">
              <w:t>Utbyte</w:t>
            </w:r>
            <w:proofErr w:type="spellEnd"/>
            <w:r w:rsidRPr="00B419CE">
              <w:t xml:space="preserve"> </w:t>
            </w:r>
            <w:proofErr w:type="spellStart"/>
            <w:r w:rsidRPr="00B419CE">
              <w:t>frå</w:t>
            </w:r>
            <w:proofErr w:type="spellEnd"/>
            <w:r w:rsidRPr="00B419CE">
              <w:t xml:space="preserve"> Folketrygdfondet</w:t>
            </w:r>
          </w:p>
        </w:tc>
        <w:tc>
          <w:tcPr>
            <w:tcW w:w="236" w:type="dxa"/>
          </w:tcPr>
          <w:p w14:paraId="77343C3D" w14:textId="77777777" w:rsidR="00B419CE" w:rsidRPr="00B419CE" w:rsidRDefault="00B419CE" w:rsidP="00B32459"/>
        </w:tc>
        <w:tc>
          <w:tcPr>
            <w:tcW w:w="1580" w:type="dxa"/>
          </w:tcPr>
          <w:p w14:paraId="29F7F4B6" w14:textId="77777777" w:rsidR="00B419CE" w:rsidRPr="00B419CE" w:rsidRDefault="00B419CE" w:rsidP="00B32459">
            <w:pPr>
              <w:jc w:val="right"/>
            </w:pPr>
            <w:r w:rsidRPr="00B419CE">
              <w:t>300 000</w:t>
            </w:r>
          </w:p>
        </w:tc>
        <w:tc>
          <w:tcPr>
            <w:tcW w:w="1580" w:type="dxa"/>
          </w:tcPr>
          <w:p w14:paraId="2873AA08" w14:textId="77777777" w:rsidR="00B419CE" w:rsidRPr="00B419CE" w:rsidRDefault="00B419CE" w:rsidP="00B32459">
            <w:pPr>
              <w:jc w:val="right"/>
            </w:pPr>
            <w:r w:rsidRPr="00B419CE">
              <w:t>300 000</w:t>
            </w:r>
          </w:p>
        </w:tc>
      </w:tr>
      <w:tr w:rsidR="00B419CE" w:rsidRPr="00B419CE" w14:paraId="26B8949D" w14:textId="77777777" w:rsidTr="00B32459">
        <w:trPr>
          <w:trHeight w:val="380"/>
        </w:trPr>
        <w:tc>
          <w:tcPr>
            <w:tcW w:w="846" w:type="dxa"/>
          </w:tcPr>
          <w:p w14:paraId="02052B12" w14:textId="77777777" w:rsidR="00B419CE" w:rsidRPr="00B419CE" w:rsidRDefault="00B419CE" w:rsidP="00B32459"/>
        </w:tc>
        <w:tc>
          <w:tcPr>
            <w:tcW w:w="709" w:type="dxa"/>
          </w:tcPr>
          <w:p w14:paraId="1B52114E" w14:textId="77777777" w:rsidR="00B419CE" w:rsidRPr="00B419CE" w:rsidRDefault="00B419CE" w:rsidP="00B32459"/>
        </w:tc>
        <w:tc>
          <w:tcPr>
            <w:tcW w:w="4745" w:type="dxa"/>
          </w:tcPr>
          <w:p w14:paraId="366EA6EB" w14:textId="77777777" w:rsidR="00B419CE" w:rsidRPr="00B419CE" w:rsidRDefault="00B419CE" w:rsidP="00B32459">
            <w:r w:rsidRPr="00B419CE">
              <w:t xml:space="preserve">Sum Renter og </w:t>
            </w:r>
            <w:proofErr w:type="spellStart"/>
            <w:r w:rsidRPr="00B419CE">
              <w:t>utbyte</w:t>
            </w:r>
            <w:proofErr w:type="spellEnd"/>
            <w:r w:rsidRPr="00B419CE">
              <w:t xml:space="preserve"> m.m.</w:t>
            </w:r>
          </w:p>
        </w:tc>
        <w:tc>
          <w:tcPr>
            <w:tcW w:w="236" w:type="dxa"/>
          </w:tcPr>
          <w:p w14:paraId="4E065E16" w14:textId="77777777" w:rsidR="00B419CE" w:rsidRPr="00B419CE" w:rsidRDefault="00B419CE" w:rsidP="00B32459"/>
        </w:tc>
        <w:tc>
          <w:tcPr>
            <w:tcW w:w="1580" w:type="dxa"/>
          </w:tcPr>
          <w:p w14:paraId="65544E3A" w14:textId="77777777" w:rsidR="00B419CE" w:rsidRPr="00B419CE" w:rsidRDefault="00B419CE" w:rsidP="00B32459">
            <w:pPr>
              <w:jc w:val="right"/>
            </w:pPr>
          </w:p>
        </w:tc>
        <w:tc>
          <w:tcPr>
            <w:tcW w:w="1580" w:type="dxa"/>
          </w:tcPr>
          <w:p w14:paraId="6E49F7E9" w14:textId="77777777" w:rsidR="00B419CE" w:rsidRPr="00B419CE" w:rsidRDefault="00B419CE" w:rsidP="00B32459">
            <w:pPr>
              <w:jc w:val="right"/>
            </w:pPr>
            <w:r w:rsidRPr="00B419CE">
              <w:t>1 606 200 000</w:t>
            </w:r>
          </w:p>
        </w:tc>
      </w:tr>
      <w:tr w:rsidR="00B419CE" w:rsidRPr="00B419CE" w14:paraId="3E0F7340" w14:textId="77777777" w:rsidTr="00B32459">
        <w:trPr>
          <w:trHeight w:val="380"/>
        </w:trPr>
        <w:tc>
          <w:tcPr>
            <w:tcW w:w="846" w:type="dxa"/>
          </w:tcPr>
          <w:p w14:paraId="122A2554" w14:textId="77777777" w:rsidR="00B419CE" w:rsidRPr="00B419CE" w:rsidRDefault="00B419CE" w:rsidP="00B32459"/>
        </w:tc>
        <w:tc>
          <w:tcPr>
            <w:tcW w:w="709" w:type="dxa"/>
          </w:tcPr>
          <w:p w14:paraId="75E6B645" w14:textId="77777777" w:rsidR="00B419CE" w:rsidRPr="00B419CE" w:rsidRDefault="00B419CE" w:rsidP="00B32459"/>
        </w:tc>
        <w:tc>
          <w:tcPr>
            <w:tcW w:w="4745" w:type="dxa"/>
          </w:tcPr>
          <w:p w14:paraId="2EEB5C18" w14:textId="77777777" w:rsidR="00B419CE" w:rsidRPr="00B419CE" w:rsidRDefault="00B419CE" w:rsidP="00B32459">
            <w:r w:rsidRPr="00B419CE">
              <w:t>Sum departementets inntekter</w:t>
            </w:r>
          </w:p>
        </w:tc>
        <w:tc>
          <w:tcPr>
            <w:tcW w:w="236" w:type="dxa"/>
          </w:tcPr>
          <w:p w14:paraId="1638D545" w14:textId="77777777" w:rsidR="00B419CE" w:rsidRPr="00B419CE" w:rsidRDefault="00B419CE" w:rsidP="00B32459"/>
        </w:tc>
        <w:tc>
          <w:tcPr>
            <w:tcW w:w="1580" w:type="dxa"/>
          </w:tcPr>
          <w:p w14:paraId="1D5A75A9" w14:textId="77777777" w:rsidR="00B419CE" w:rsidRPr="00B419CE" w:rsidRDefault="00B419CE" w:rsidP="00B32459">
            <w:pPr>
              <w:jc w:val="right"/>
            </w:pPr>
          </w:p>
        </w:tc>
        <w:tc>
          <w:tcPr>
            <w:tcW w:w="1580" w:type="dxa"/>
          </w:tcPr>
          <w:p w14:paraId="326093B6" w14:textId="77777777" w:rsidR="00B419CE" w:rsidRPr="00B419CE" w:rsidRDefault="00B419CE" w:rsidP="00B32459">
            <w:pPr>
              <w:jc w:val="right"/>
            </w:pPr>
            <w:r w:rsidRPr="00B419CE">
              <w:t>15 319 754 000</w:t>
            </w:r>
          </w:p>
        </w:tc>
      </w:tr>
    </w:tbl>
    <w:p w14:paraId="71C538B0" w14:textId="77777777" w:rsidR="00B419CE" w:rsidRPr="00B419CE" w:rsidRDefault="00B419CE" w:rsidP="00B419CE">
      <w:pPr>
        <w:pStyle w:val="Fullmakttit"/>
      </w:pPr>
      <w:r w:rsidRPr="00B419CE">
        <w:t xml:space="preserve">Fullmakter til å overskride </w:t>
      </w:r>
      <w:proofErr w:type="spellStart"/>
      <w:r w:rsidRPr="00B419CE">
        <w:t>gjevne</w:t>
      </w:r>
      <w:proofErr w:type="spellEnd"/>
      <w:r w:rsidRPr="00B419CE">
        <w:t xml:space="preserve"> </w:t>
      </w:r>
      <w:proofErr w:type="spellStart"/>
      <w:r w:rsidRPr="00B419CE">
        <w:t>løyvingar</w:t>
      </w:r>
      <w:proofErr w:type="spellEnd"/>
    </w:p>
    <w:p w14:paraId="361C9AFE" w14:textId="77777777" w:rsidR="00B419CE" w:rsidRPr="00B419CE" w:rsidRDefault="00B419CE" w:rsidP="00B419CE">
      <w:pPr>
        <w:pStyle w:val="a-vedtak-del"/>
      </w:pPr>
      <w:r w:rsidRPr="00B419CE">
        <w:t>II</w:t>
      </w:r>
    </w:p>
    <w:p w14:paraId="0272E136" w14:textId="77777777" w:rsidR="00B419CE" w:rsidRPr="00B419CE" w:rsidRDefault="00B419CE" w:rsidP="00B419CE">
      <w:pPr>
        <w:pStyle w:val="a-vedtak-tekst"/>
      </w:pPr>
      <w:proofErr w:type="spellStart"/>
      <w:r w:rsidRPr="00B419CE">
        <w:t>Meirinntektsfullmakter</w:t>
      </w:r>
      <w:proofErr w:type="spellEnd"/>
    </w:p>
    <w:p w14:paraId="0C368D6B"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i 2022 kan:</w:t>
      </w:r>
    </w:p>
    <w:p w14:paraId="23DBE936" w14:textId="77777777" w:rsidR="00B419CE" w:rsidRPr="00B419CE" w:rsidRDefault="00B419CE" w:rsidP="00DF1D6A">
      <w:pPr>
        <w:pStyle w:val="Nummerertliste"/>
        <w:numPr>
          <w:ilvl w:val="0"/>
          <w:numId w:val="23"/>
        </w:numPr>
      </w:pPr>
      <w:r w:rsidRPr="00B419CE">
        <w:t xml:space="preserve">   </w:t>
      </w:r>
    </w:p>
    <w:p w14:paraId="468E94F3" w14:textId="77777777" w:rsidR="00B419CE" w:rsidRPr="00B419CE" w:rsidRDefault="00B419CE" w:rsidP="00B419CE">
      <w:pPr>
        <w:pStyle w:val="Tabellnavn"/>
      </w:pPr>
      <w:r w:rsidRPr="00B419CE">
        <w:t>02N1xx2</w:t>
      </w:r>
    </w:p>
    <w:tbl>
      <w:tblPr>
        <w:tblStyle w:val="StandardTabell"/>
        <w:tblW w:w="0" w:type="auto"/>
        <w:tblLayout w:type="fixed"/>
        <w:tblLook w:val="04A0" w:firstRow="1" w:lastRow="0" w:firstColumn="1" w:lastColumn="0" w:noHBand="0" w:noVBand="1"/>
      </w:tblPr>
      <w:tblGrid>
        <w:gridCol w:w="4600"/>
        <w:gridCol w:w="4600"/>
      </w:tblGrid>
      <w:tr w:rsidR="00B419CE" w:rsidRPr="00B419CE" w14:paraId="165B02FB" w14:textId="77777777" w:rsidTr="00B419CE">
        <w:trPr>
          <w:trHeight w:val="360"/>
        </w:trPr>
        <w:tc>
          <w:tcPr>
            <w:tcW w:w="4600" w:type="dxa"/>
            <w:shd w:val="clear" w:color="auto" w:fill="FFFFFF"/>
          </w:tcPr>
          <w:p w14:paraId="66F4FEC9" w14:textId="77777777" w:rsidR="00B419CE" w:rsidRPr="00B419CE" w:rsidRDefault="00B419CE" w:rsidP="00B419CE">
            <w:r w:rsidRPr="00B419CE">
              <w:t>overskride løyvinga under</w:t>
            </w:r>
          </w:p>
        </w:tc>
        <w:tc>
          <w:tcPr>
            <w:tcW w:w="4600" w:type="dxa"/>
          </w:tcPr>
          <w:p w14:paraId="5FDF58B5" w14:textId="77777777" w:rsidR="00B419CE" w:rsidRPr="00B419CE" w:rsidRDefault="00B419CE" w:rsidP="00B419CE">
            <w:r w:rsidRPr="00B419CE">
              <w:t xml:space="preserve">mot </w:t>
            </w:r>
            <w:proofErr w:type="spellStart"/>
            <w:r w:rsidRPr="00B419CE">
              <w:t>tilsvarande</w:t>
            </w:r>
            <w:proofErr w:type="spellEnd"/>
            <w:r w:rsidRPr="00B419CE">
              <w:t xml:space="preserve"> </w:t>
            </w:r>
            <w:proofErr w:type="spellStart"/>
            <w:r w:rsidRPr="00B419CE">
              <w:t>meirinntekter</w:t>
            </w:r>
            <w:proofErr w:type="spellEnd"/>
            <w:r w:rsidRPr="00B419CE">
              <w:t xml:space="preserve"> under</w:t>
            </w:r>
          </w:p>
        </w:tc>
      </w:tr>
      <w:tr w:rsidR="00B419CE" w:rsidRPr="00B419CE" w14:paraId="1023629D" w14:textId="77777777" w:rsidTr="00B419CE">
        <w:trPr>
          <w:trHeight w:val="380"/>
        </w:trPr>
        <w:tc>
          <w:tcPr>
            <w:tcW w:w="4600" w:type="dxa"/>
          </w:tcPr>
          <w:p w14:paraId="3C8E07E3" w14:textId="77777777" w:rsidR="00B419CE" w:rsidRPr="00B419CE" w:rsidRDefault="00B419CE" w:rsidP="00B419CE">
            <w:r w:rsidRPr="00B419CE">
              <w:t>kap. 41 post 01</w:t>
            </w:r>
          </w:p>
        </w:tc>
        <w:tc>
          <w:tcPr>
            <w:tcW w:w="4600" w:type="dxa"/>
          </w:tcPr>
          <w:p w14:paraId="2FD16BDA" w14:textId="77777777" w:rsidR="00B419CE" w:rsidRPr="00B419CE" w:rsidRDefault="00B419CE" w:rsidP="00B419CE">
            <w:r w:rsidRPr="00B419CE">
              <w:t xml:space="preserve">kap. 3041 post 01 </w:t>
            </w:r>
          </w:p>
        </w:tc>
      </w:tr>
      <w:tr w:rsidR="00B419CE" w:rsidRPr="00B419CE" w14:paraId="6DC643EC" w14:textId="77777777" w:rsidTr="00B419CE">
        <w:trPr>
          <w:trHeight w:val="380"/>
        </w:trPr>
        <w:tc>
          <w:tcPr>
            <w:tcW w:w="4600" w:type="dxa"/>
          </w:tcPr>
          <w:p w14:paraId="388AE166" w14:textId="77777777" w:rsidR="00B419CE" w:rsidRPr="00B419CE" w:rsidRDefault="00B419CE" w:rsidP="00B419CE">
            <w:r w:rsidRPr="00B419CE">
              <w:t>kap. 51 post 01</w:t>
            </w:r>
          </w:p>
        </w:tc>
        <w:tc>
          <w:tcPr>
            <w:tcW w:w="4600" w:type="dxa"/>
          </w:tcPr>
          <w:p w14:paraId="42F5E105" w14:textId="77777777" w:rsidR="00B419CE" w:rsidRPr="00B419CE" w:rsidRDefault="00B419CE" w:rsidP="00B419CE">
            <w:r w:rsidRPr="00B419CE">
              <w:t>kap. 3051 post 02</w:t>
            </w:r>
          </w:p>
        </w:tc>
      </w:tr>
      <w:tr w:rsidR="00B419CE" w:rsidRPr="00B419CE" w14:paraId="02B1DA32" w14:textId="77777777" w:rsidTr="00B419CE">
        <w:trPr>
          <w:trHeight w:val="380"/>
        </w:trPr>
        <w:tc>
          <w:tcPr>
            <w:tcW w:w="4600" w:type="dxa"/>
          </w:tcPr>
          <w:p w14:paraId="6A289D08" w14:textId="77777777" w:rsidR="00B419CE" w:rsidRPr="00B419CE" w:rsidRDefault="00B419CE" w:rsidP="00B419CE">
            <w:r w:rsidRPr="00B419CE">
              <w:t xml:space="preserve">kap. 1600 </w:t>
            </w:r>
            <w:proofErr w:type="spellStart"/>
            <w:r w:rsidRPr="00B419CE">
              <w:t>postane</w:t>
            </w:r>
            <w:proofErr w:type="spellEnd"/>
            <w:r w:rsidRPr="00B419CE">
              <w:t xml:space="preserve"> 01 og 21</w:t>
            </w:r>
          </w:p>
        </w:tc>
        <w:tc>
          <w:tcPr>
            <w:tcW w:w="4600" w:type="dxa"/>
          </w:tcPr>
          <w:p w14:paraId="331D361E" w14:textId="77777777" w:rsidR="00B419CE" w:rsidRPr="00B419CE" w:rsidRDefault="00B419CE" w:rsidP="00B419CE">
            <w:r w:rsidRPr="00B419CE">
              <w:t>kap. 4600 post 02</w:t>
            </w:r>
          </w:p>
        </w:tc>
      </w:tr>
      <w:tr w:rsidR="00B419CE" w:rsidRPr="00B419CE" w14:paraId="3D9E6F1E" w14:textId="77777777" w:rsidTr="00B419CE">
        <w:trPr>
          <w:trHeight w:val="380"/>
        </w:trPr>
        <w:tc>
          <w:tcPr>
            <w:tcW w:w="4600" w:type="dxa"/>
          </w:tcPr>
          <w:p w14:paraId="7C0C539A" w14:textId="77777777" w:rsidR="00B419CE" w:rsidRPr="00B419CE" w:rsidRDefault="00B419CE" w:rsidP="00B419CE">
            <w:r w:rsidRPr="00B419CE">
              <w:t>kap. 1605 post 01</w:t>
            </w:r>
          </w:p>
        </w:tc>
        <w:tc>
          <w:tcPr>
            <w:tcW w:w="4600" w:type="dxa"/>
          </w:tcPr>
          <w:p w14:paraId="7FF037ED" w14:textId="77777777" w:rsidR="00B419CE" w:rsidRPr="00B419CE" w:rsidRDefault="00B419CE" w:rsidP="00B419CE">
            <w:r w:rsidRPr="00B419CE">
              <w:t>kap. 4605 post 01</w:t>
            </w:r>
          </w:p>
        </w:tc>
      </w:tr>
      <w:tr w:rsidR="00B419CE" w:rsidRPr="00B419CE" w14:paraId="0C139E34" w14:textId="77777777" w:rsidTr="00B419CE">
        <w:trPr>
          <w:trHeight w:val="380"/>
        </w:trPr>
        <w:tc>
          <w:tcPr>
            <w:tcW w:w="4600" w:type="dxa"/>
          </w:tcPr>
          <w:p w14:paraId="02199AA8" w14:textId="77777777" w:rsidR="00B419CE" w:rsidRPr="00B419CE" w:rsidRDefault="00B419CE" w:rsidP="00B419CE">
            <w:r w:rsidRPr="00B419CE">
              <w:t xml:space="preserve">kap. 1605 </w:t>
            </w:r>
            <w:proofErr w:type="spellStart"/>
            <w:r w:rsidRPr="00B419CE">
              <w:t>postane</w:t>
            </w:r>
            <w:proofErr w:type="spellEnd"/>
            <w:r w:rsidRPr="00B419CE">
              <w:t xml:space="preserve"> 01 og 22</w:t>
            </w:r>
          </w:p>
        </w:tc>
        <w:tc>
          <w:tcPr>
            <w:tcW w:w="4600" w:type="dxa"/>
          </w:tcPr>
          <w:p w14:paraId="2B4EE0D2" w14:textId="77777777" w:rsidR="00B419CE" w:rsidRPr="00B419CE" w:rsidRDefault="00B419CE" w:rsidP="00B419CE">
            <w:r w:rsidRPr="00B419CE">
              <w:t>kap. 4605 post 02</w:t>
            </w:r>
          </w:p>
        </w:tc>
      </w:tr>
      <w:tr w:rsidR="00B419CE" w:rsidRPr="00B419CE" w14:paraId="241224BF" w14:textId="77777777" w:rsidTr="00B419CE">
        <w:trPr>
          <w:trHeight w:val="380"/>
        </w:trPr>
        <w:tc>
          <w:tcPr>
            <w:tcW w:w="4600" w:type="dxa"/>
          </w:tcPr>
          <w:p w14:paraId="67A8E710" w14:textId="77777777" w:rsidR="00B419CE" w:rsidRPr="00B419CE" w:rsidRDefault="00B419CE" w:rsidP="00B419CE">
            <w:r w:rsidRPr="00B419CE">
              <w:t>kap. 1610 post 01</w:t>
            </w:r>
          </w:p>
        </w:tc>
        <w:tc>
          <w:tcPr>
            <w:tcW w:w="4600" w:type="dxa"/>
          </w:tcPr>
          <w:p w14:paraId="55B5372A" w14:textId="77777777" w:rsidR="00B419CE" w:rsidRPr="00B419CE" w:rsidRDefault="00B419CE" w:rsidP="00B419CE">
            <w:r w:rsidRPr="00B419CE">
              <w:t xml:space="preserve">kap. 4610 </w:t>
            </w:r>
            <w:proofErr w:type="spellStart"/>
            <w:r w:rsidRPr="00B419CE">
              <w:t>postane</w:t>
            </w:r>
            <w:proofErr w:type="spellEnd"/>
            <w:r w:rsidRPr="00B419CE">
              <w:t xml:space="preserve"> 01, 04 og 05</w:t>
            </w:r>
          </w:p>
        </w:tc>
      </w:tr>
      <w:tr w:rsidR="00B419CE" w:rsidRPr="00B419CE" w14:paraId="20B1D0AA" w14:textId="77777777" w:rsidTr="00B419CE">
        <w:trPr>
          <w:trHeight w:val="380"/>
        </w:trPr>
        <w:tc>
          <w:tcPr>
            <w:tcW w:w="4600" w:type="dxa"/>
          </w:tcPr>
          <w:p w14:paraId="671868BC" w14:textId="77777777" w:rsidR="00B419CE" w:rsidRPr="00B419CE" w:rsidRDefault="00B419CE" w:rsidP="00B419CE">
            <w:r w:rsidRPr="00B419CE">
              <w:t>kap. 1618 post 01</w:t>
            </w:r>
          </w:p>
        </w:tc>
        <w:tc>
          <w:tcPr>
            <w:tcW w:w="4600" w:type="dxa"/>
          </w:tcPr>
          <w:p w14:paraId="2E76DABA" w14:textId="77777777" w:rsidR="00B419CE" w:rsidRPr="00B419CE" w:rsidRDefault="00B419CE" w:rsidP="00B419CE">
            <w:r w:rsidRPr="00B419CE">
              <w:t>kap. 4618 post 03</w:t>
            </w:r>
          </w:p>
        </w:tc>
      </w:tr>
    </w:tbl>
    <w:p w14:paraId="609EBAFC" w14:textId="77777777" w:rsidR="00B419CE" w:rsidRPr="00B419CE" w:rsidRDefault="00B419CE" w:rsidP="00B32459">
      <w:pPr>
        <w:pStyle w:val="Listeavsnitt"/>
      </w:pPr>
      <w:proofErr w:type="spellStart"/>
      <w:r w:rsidRPr="00B419CE">
        <w:t>Meirinntekt</w:t>
      </w:r>
      <w:proofErr w:type="spellEnd"/>
      <w:r w:rsidRPr="00B419CE">
        <w:t xml:space="preserve"> som </w:t>
      </w:r>
      <w:proofErr w:type="gramStart"/>
      <w:r w:rsidRPr="00B419CE">
        <w:t>gjev grunnlag</w:t>
      </w:r>
      <w:proofErr w:type="gramEnd"/>
      <w:r w:rsidRPr="00B419CE">
        <w:t xml:space="preserve"> for overskriding, skal òg </w:t>
      </w:r>
      <w:proofErr w:type="spellStart"/>
      <w:r w:rsidRPr="00B419CE">
        <w:t>dekkje</w:t>
      </w:r>
      <w:proofErr w:type="spellEnd"/>
      <w:r w:rsidRPr="00B419CE">
        <w:t xml:space="preserve"> </w:t>
      </w:r>
      <w:proofErr w:type="spellStart"/>
      <w:r w:rsidRPr="00B419CE">
        <w:t>meirverdiavgift</w:t>
      </w:r>
      <w:proofErr w:type="spellEnd"/>
      <w:r w:rsidRPr="00B419CE">
        <w:t xml:space="preserve"> som er knytt til overskridinga, og kjem </w:t>
      </w:r>
      <w:proofErr w:type="spellStart"/>
      <w:r w:rsidRPr="00B419CE">
        <w:t>difor</w:t>
      </w:r>
      <w:proofErr w:type="spellEnd"/>
      <w:r w:rsidRPr="00B419CE">
        <w:t xml:space="preserve"> òg ved kap. 1633, post 01, for </w:t>
      </w:r>
      <w:proofErr w:type="spellStart"/>
      <w:r w:rsidRPr="00B419CE">
        <w:t>dei</w:t>
      </w:r>
      <w:proofErr w:type="spellEnd"/>
      <w:r w:rsidRPr="00B419CE">
        <w:t xml:space="preserve"> </w:t>
      </w:r>
      <w:proofErr w:type="spellStart"/>
      <w:r w:rsidRPr="00B419CE">
        <w:t>statlege</w:t>
      </w:r>
      <w:proofErr w:type="spellEnd"/>
      <w:r w:rsidRPr="00B419CE">
        <w:t xml:space="preserve"> forvaltningsorgana som kjem inn under nettoordninga for </w:t>
      </w:r>
      <w:proofErr w:type="spellStart"/>
      <w:r w:rsidRPr="00B419CE">
        <w:t>meirverdiavgift</w:t>
      </w:r>
      <w:proofErr w:type="spellEnd"/>
      <w:r w:rsidRPr="00B419CE">
        <w:t>.</w:t>
      </w:r>
    </w:p>
    <w:p w14:paraId="44783C59" w14:textId="77777777" w:rsidR="00B419CE" w:rsidRPr="00B419CE" w:rsidRDefault="00B419CE" w:rsidP="00B419CE">
      <w:pPr>
        <w:pStyle w:val="Listeavsnitt"/>
      </w:pPr>
      <w:proofErr w:type="spellStart"/>
      <w:r w:rsidRPr="00B419CE">
        <w:t>Meirinntekter</w:t>
      </w:r>
      <w:proofErr w:type="spellEnd"/>
      <w:r w:rsidRPr="00B419CE">
        <w:t xml:space="preserve"> og eventuelle mindreinntekter skal </w:t>
      </w:r>
      <w:proofErr w:type="spellStart"/>
      <w:r w:rsidRPr="00B419CE">
        <w:t>reknast</w:t>
      </w:r>
      <w:proofErr w:type="spellEnd"/>
      <w:r w:rsidRPr="00B419CE">
        <w:t xml:space="preserve"> med ved </w:t>
      </w:r>
      <w:proofErr w:type="spellStart"/>
      <w:r w:rsidRPr="00B419CE">
        <w:t>berekninga</w:t>
      </w:r>
      <w:proofErr w:type="spellEnd"/>
      <w:r w:rsidRPr="00B419CE">
        <w:t xml:space="preserve"> av overføring av unytta løyving til neste år.</w:t>
      </w:r>
    </w:p>
    <w:p w14:paraId="53B00443" w14:textId="77777777" w:rsidR="00B419CE" w:rsidRPr="00B419CE" w:rsidRDefault="00B419CE" w:rsidP="00B419CE">
      <w:pPr>
        <w:pStyle w:val="Nummerertliste"/>
      </w:pPr>
      <w:r w:rsidRPr="00B419CE">
        <w:t xml:space="preserve">overskride løyvinga til </w:t>
      </w:r>
      <w:proofErr w:type="spellStart"/>
      <w:r w:rsidRPr="00B419CE">
        <w:t>oppdragsverksemd</w:t>
      </w:r>
      <w:proofErr w:type="spellEnd"/>
      <w:r w:rsidRPr="00B419CE">
        <w:t xml:space="preserve"> på kap. 1620 Statistisk sentralbyrå, post 21 Spesielle driftsutgifter, med </w:t>
      </w:r>
      <w:proofErr w:type="spellStart"/>
      <w:r w:rsidRPr="00B419CE">
        <w:t>eit</w:t>
      </w:r>
      <w:proofErr w:type="spellEnd"/>
      <w:r w:rsidRPr="00B419CE">
        <w:t xml:space="preserve"> beløp som svarer til </w:t>
      </w:r>
      <w:proofErr w:type="spellStart"/>
      <w:r w:rsidRPr="00B419CE">
        <w:t>meirinntektene</w:t>
      </w:r>
      <w:proofErr w:type="spellEnd"/>
      <w:r w:rsidRPr="00B419CE">
        <w:t xml:space="preserve"> på kap. 4620 Statistisk sentralbyrå, post 02 Oppdragsinntekter.</w:t>
      </w:r>
    </w:p>
    <w:p w14:paraId="22A067B1" w14:textId="77777777" w:rsidR="00B419CE" w:rsidRPr="00B419CE" w:rsidRDefault="00B419CE" w:rsidP="00B419CE">
      <w:pPr>
        <w:pStyle w:val="Listeavsnitt"/>
      </w:pPr>
      <w:r w:rsidRPr="00B419CE">
        <w:t xml:space="preserve">Unytta </w:t>
      </w:r>
      <w:proofErr w:type="spellStart"/>
      <w:r w:rsidRPr="00B419CE">
        <w:t>meirinntekter</w:t>
      </w:r>
      <w:proofErr w:type="spellEnd"/>
      <w:r w:rsidRPr="00B419CE">
        <w:t xml:space="preserve"> og eventuelle mindreinntekter skal </w:t>
      </w:r>
      <w:proofErr w:type="spellStart"/>
      <w:r w:rsidRPr="00B419CE">
        <w:t>reknast</w:t>
      </w:r>
      <w:proofErr w:type="spellEnd"/>
      <w:r w:rsidRPr="00B419CE">
        <w:t xml:space="preserve"> med ved utrekning av overførbart beløp på posten.</w:t>
      </w:r>
    </w:p>
    <w:p w14:paraId="7EB6B39C" w14:textId="77777777" w:rsidR="00B419CE" w:rsidRPr="00B419CE" w:rsidRDefault="00B419CE" w:rsidP="00B419CE">
      <w:pPr>
        <w:pStyle w:val="Listeavsnitt"/>
      </w:pPr>
      <w:proofErr w:type="spellStart"/>
      <w:r w:rsidRPr="00B419CE">
        <w:t>Meirinntekt</w:t>
      </w:r>
      <w:proofErr w:type="spellEnd"/>
      <w:r w:rsidRPr="00B419CE">
        <w:t xml:space="preserve"> som </w:t>
      </w:r>
      <w:proofErr w:type="gramStart"/>
      <w:r w:rsidRPr="00B419CE">
        <w:t>gjev grunnlag</w:t>
      </w:r>
      <w:proofErr w:type="gramEnd"/>
      <w:r w:rsidRPr="00B419CE">
        <w:t xml:space="preserve"> for overskriding, skal òg </w:t>
      </w:r>
      <w:proofErr w:type="spellStart"/>
      <w:r w:rsidRPr="00B419CE">
        <w:t>dekkje</w:t>
      </w:r>
      <w:proofErr w:type="spellEnd"/>
      <w:r w:rsidRPr="00B419CE">
        <w:t xml:space="preserve"> </w:t>
      </w:r>
      <w:proofErr w:type="spellStart"/>
      <w:r w:rsidRPr="00B419CE">
        <w:t>meirverdiavgift</w:t>
      </w:r>
      <w:proofErr w:type="spellEnd"/>
      <w:r w:rsidRPr="00B419CE">
        <w:t xml:space="preserve"> som er knytt til overskridinga, og kjem </w:t>
      </w:r>
      <w:proofErr w:type="spellStart"/>
      <w:r w:rsidRPr="00B419CE">
        <w:t>difor</w:t>
      </w:r>
      <w:proofErr w:type="spellEnd"/>
      <w:r w:rsidRPr="00B419CE">
        <w:t xml:space="preserve"> òg ved kap. 1633, post 01.</w:t>
      </w:r>
    </w:p>
    <w:p w14:paraId="42155E5C" w14:textId="77777777" w:rsidR="00B419CE" w:rsidRPr="00B419CE" w:rsidRDefault="00B419CE" w:rsidP="00B419CE">
      <w:pPr>
        <w:pStyle w:val="a-vedtak-del"/>
      </w:pPr>
      <w:r w:rsidRPr="00B419CE">
        <w:t>III</w:t>
      </w:r>
    </w:p>
    <w:p w14:paraId="48D1BE79" w14:textId="77777777" w:rsidR="00B419CE" w:rsidRPr="00B419CE" w:rsidRDefault="00B419CE" w:rsidP="00B419CE">
      <w:pPr>
        <w:pStyle w:val="a-vedtak-tekst"/>
      </w:pPr>
      <w:r w:rsidRPr="00B419CE">
        <w:t>Fullmakt til overskriding</w:t>
      </w:r>
    </w:p>
    <w:p w14:paraId="3184F3A3" w14:textId="77777777" w:rsidR="00B419CE" w:rsidRPr="00B419CE" w:rsidRDefault="00B419CE" w:rsidP="00B419CE">
      <w:r w:rsidRPr="00B419CE">
        <w:t xml:space="preserve">Stortinget </w:t>
      </w:r>
      <w:proofErr w:type="spellStart"/>
      <w:r w:rsidRPr="00B419CE">
        <w:t>samtykkjer</w:t>
      </w:r>
      <w:proofErr w:type="spellEnd"/>
      <w:r w:rsidRPr="00B419CE">
        <w:t xml:space="preserve"> i at Statsministerens kontor i 2022 kan overskride løyvinga på kap. 21 Statsrådet, post 01 Driftsutgifter, for å </w:t>
      </w:r>
      <w:proofErr w:type="spellStart"/>
      <w:r w:rsidRPr="00B419CE">
        <w:t>setje</w:t>
      </w:r>
      <w:proofErr w:type="spellEnd"/>
      <w:r w:rsidRPr="00B419CE">
        <w:t xml:space="preserve"> i verk </w:t>
      </w:r>
      <w:proofErr w:type="spellStart"/>
      <w:r w:rsidRPr="00B419CE">
        <w:t>naudsynte</w:t>
      </w:r>
      <w:proofErr w:type="spellEnd"/>
      <w:r w:rsidRPr="00B419CE">
        <w:t xml:space="preserve"> tryggingstiltak for regjeringa.</w:t>
      </w:r>
    </w:p>
    <w:p w14:paraId="54837939" w14:textId="77777777" w:rsidR="00B419CE" w:rsidRPr="00B419CE" w:rsidRDefault="00B419CE" w:rsidP="00B419CE">
      <w:pPr>
        <w:pStyle w:val="Fullmakttit"/>
      </w:pPr>
      <w:r w:rsidRPr="00B419CE">
        <w:lastRenderedPageBreak/>
        <w:t xml:space="preserve">Fullmakter til å pådra staten skyldnader utover </w:t>
      </w:r>
      <w:proofErr w:type="spellStart"/>
      <w:r w:rsidRPr="00B419CE">
        <w:t>løyvingane</w:t>
      </w:r>
      <w:proofErr w:type="spellEnd"/>
    </w:p>
    <w:p w14:paraId="52CE64B6" w14:textId="77777777" w:rsidR="00B419CE" w:rsidRPr="00B419CE" w:rsidRDefault="00B419CE" w:rsidP="00B419CE">
      <w:pPr>
        <w:pStyle w:val="a-vedtak-del"/>
      </w:pPr>
      <w:r w:rsidRPr="00B419CE">
        <w:t>IV</w:t>
      </w:r>
    </w:p>
    <w:p w14:paraId="52FA6E43" w14:textId="77777777" w:rsidR="00B419CE" w:rsidRPr="00B419CE" w:rsidRDefault="00B419CE" w:rsidP="00B419CE">
      <w:pPr>
        <w:pStyle w:val="a-vedtak-tekst"/>
      </w:pPr>
      <w:r w:rsidRPr="00B419CE">
        <w:t>Tingingsfullmakter</w:t>
      </w:r>
    </w:p>
    <w:p w14:paraId="6C64D981"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i 2022 kan </w:t>
      </w:r>
      <w:proofErr w:type="spellStart"/>
      <w:r w:rsidRPr="00B419CE">
        <w:t>gjere</w:t>
      </w:r>
      <w:proofErr w:type="spellEnd"/>
      <w:r w:rsidRPr="00B419CE">
        <w:t xml:space="preserve"> </w:t>
      </w:r>
      <w:proofErr w:type="spellStart"/>
      <w:r w:rsidRPr="00B419CE">
        <w:t>tingingar</w:t>
      </w:r>
      <w:proofErr w:type="spellEnd"/>
      <w:r w:rsidRPr="00B419CE">
        <w:t xml:space="preserve"> utover det som er </w:t>
      </w:r>
      <w:proofErr w:type="spellStart"/>
      <w:r w:rsidRPr="00B419CE">
        <w:t>løyvt</w:t>
      </w:r>
      <w:proofErr w:type="spellEnd"/>
      <w:r w:rsidRPr="00B419CE">
        <w:t xml:space="preserve">, men slik at den samla ramma for nye </w:t>
      </w:r>
      <w:proofErr w:type="spellStart"/>
      <w:r w:rsidRPr="00B419CE">
        <w:t>tingingar</w:t>
      </w:r>
      <w:proofErr w:type="spellEnd"/>
      <w:r w:rsidRPr="00B419CE">
        <w:t xml:space="preserve"> og gammalt ansvar </w:t>
      </w:r>
      <w:proofErr w:type="spellStart"/>
      <w:r w:rsidRPr="00B419CE">
        <w:t>ikkje</w:t>
      </w:r>
      <w:proofErr w:type="spellEnd"/>
      <w:r w:rsidRPr="00B419CE">
        <w:t xml:space="preserve"> overstig </w:t>
      </w:r>
      <w:proofErr w:type="spellStart"/>
      <w:r w:rsidRPr="00B419CE">
        <w:t>desse</w:t>
      </w:r>
      <w:proofErr w:type="spellEnd"/>
      <w:r w:rsidRPr="00B419CE">
        <w:t xml:space="preserve"> </w:t>
      </w:r>
      <w:proofErr w:type="spellStart"/>
      <w:r w:rsidRPr="00B419CE">
        <w:t>summane</w:t>
      </w:r>
      <w:proofErr w:type="spellEnd"/>
      <w:r w:rsidRPr="00B419CE">
        <w:t>:</w:t>
      </w:r>
    </w:p>
    <w:p w14:paraId="73F9098B" w14:textId="77777777" w:rsidR="00B419CE" w:rsidRPr="00B419CE" w:rsidRDefault="00B419CE" w:rsidP="00B419CE">
      <w:pPr>
        <w:pStyle w:val="Tabellnavn"/>
      </w:pPr>
      <w:r w:rsidRPr="00B419CE">
        <w:t>04N1xx2</w:t>
      </w:r>
    </w:p>
    <w:tbl>
      <w:tblPr>
        <w:tblStyle w:val="StandardTabell"/>
        <w:tblW w:w="9200" w:type="dxa"/>
        <w:tblLayout w:type="fixed"/>
        <w:tblLook w:val="04A0" w:firstRow="1" w:lastRow="0" w:firstColumn="1" w:lastColumn="0" w:noHBand="0" w:noVBand="1"/>
      </w:tblPr>
      <w:tblGrid>
        <w:gridCol w:w="1129"/>
        <w:gridCol w:w="851"/>
        <w:gridCol w:w="4920"/>
        <w:gridCol w:w="2300"/>
      </w:tblGrid>
      <w:tr w:rsidR="00B419CE" w:rsidRPr="00B419CE" w14:paraId="6B0A1CEB" w14:textId="77777777" w:rsidTr="00DF1D6A">
        <w:trPr>
          <w:trHeight w:val="360"/>
        </w:trPr>
        <w:tc>
          <w:tcPr>
            <w:tcW w:w="1129" w:type="dxa"/>
            <w:shd w:val="clear" w:color="auto" w:fill="FFFFFF"/>
          </w:tcPr>
          <w:p w14:paraId="33F0180D" w14:textId="77777777" w:rsidR="00B419CE" w:rsidRPr="00B419CE" w:rsidRDefault="00B419CE" w:rsidP="00B419CE">
            <w:r w:rsidRPr="00B419CE">
              <w:t>Kap.</w:t>
            </w:r>
          </w:p>
        </w:tc>
        <w:tc>
          <w:tcPr>
            <w:tcW w:w="851" w:type="dxa"/>
          </w:tcPr>
          <w:p w14:paraId="1CD77C9F" w14:textId="77777777" w:rsidR="00B419CE" w:rsidRPr="00B419CE" w:rsidRDefault="00B419CE" w:rsidP="00B419CE">
            <w:r w:rsidRPr="00B419CE">
              <w:t>Post</w:t>
            </w:r>
          </w:p>
        </w:tc>
        <w:tc>
          <w:tcPr>
            <w:tcW w:w="4920" w:type="dxa"/>
          </w:tcPr>
          <w:p w14:paraId="11D4A7B2" w14:textId="77777777" w:rsidR="00B419CE" w:rsidRPr="00B419CE" w:rsidRDefault="00B419CE" w:rsidP="00B419CE">
            <w:proofErr w:type="spellStart"/>
            <w:r w:rsidRPr="00B419CE">
              <w:t>Nemning</w:t>
            </w:r>
            <w:proofErr w:type="spellEnd"/>
          </w:p>
        </w:tc>
        <w:tc>
          <w:tcPr>
            <w:tcW w:w="2300" w:type="dxa"/>
          </w:tcPr>
          <w:p w14:paraId="26321987" w14:textId="77777777" w:rsidR="00B419CE" w:rsidRPr="00B419CE" w:rsidRDefault="00B419CE" w:rsidP="00DF1D6A">
            <w:pPr>
              <w:jc w:val="right"/>
            </w:pPr>
            <w:r w:rsidRPr="00B419CE">
              <w:t>Samla ramme</w:t>
            </w:r>
          </w:p>
        </w:tc>
      </w:tr>
      <w:tr w:rsidR="00B419CE" w:rsidRPr="00B419CE" w14:paraId="4A9A3683" w14:textId="77777777" w:rsidTr="00DF1D6A">
        <w:trPr>
          <w:trHeight w:val="380"/>
        </w:trPr>
        <w:tc>
          <w:tcPr>
            <w:tcW w:w="1129" w:type="dxa"/>
          </w:tcPr>
          <w:p w14:paraId="7E044B25" w14:textId="77777777" w:rsidR="00B419CE" w:rsidRPr="00B419CE" w:rsidRDefault="00B419CE" w:rsidP="00B419CE">
            <w:r w:rsidRPr="00B419CE">
              <w:t>1610</w:t>
            </w:r>
          </w:p>
        </w:tc>
        <w:tc>
          <w:tcPr>
            <w:tcW w:w="851" w:type="dxa"/>
          </w:tcPr>
          <w:p w14:paraId="05C3BA50" w14:textId="77777777" w:rsidR="00B419CE" w:rsidRPr="00B419CE" w:rsidRDefault="00B419CE" w:rsidP="00B419CE"/>
        </w:tc>
        <w:tc>
          <w:tcPr>
            <w:tcW w:w="4920" w:type="dxa"/>
          </w:tcPr>
          <w:p w14:paraId="40CF49E2" w14:textId="77777777" w:rsidR="00B419CE" w:rsidRPr="00B419CE" w:rsidRDefault="00B419CE" w:rsidP="00B419CE">
            <w:r w:rsidRPr="00B419CE">
              <w:t>Tolletaten</w:t>
            </w:r>
          </w:p>
        </w:tc>
        <w:tc>
          <w:tcPr>
            <w:tcW w:w="2300" w:type="dxa"/>
          </w:tcPr>
          <w:p w14:paraId="6B522D21" w14:textId="77777777" w:rsidR="00B419CE" w:rsidRPr="00B419CE" w:rsidRDefault="00B419CE" w:rsidP="00DF1D6A">
            <w:pPr>
              <w:jc w:val="right"/>
            </w:pPr>
          </w:p>
        </w:tc>
      </w:tr>
      <w:tr w:rsidR="00B419CE" w:rsidRPr="00B419CE" w14:paraId="421D2281" w14:textId="77777777" w:rsidTr="00DF1D6A">
        <w:trPr>
          <w:trHeight w:val="380"/>
        </w:trPr>
        <w:tc>
          <w:tcPr>
            <w:tcW w:w="1129" w:type="dxa"/>
          </w:tcPr>
          <w:p w14:paraId="192A0C3F" w14:textId="77777777" w:rsidR="00B419CE" w:rsidRPr="00B419CE" w:rsidRDefault="00B419CE" w:rsidP="00B419CE"/>
        </w:tc>
        <w:tc>
          <w:tcPr>
            <w:tcW w:w="851" w:type="dxa"/>
          </w:tcPr>
          <w:p w14:paraId="7D247964" w14:textId="77777777" w:rsidR="00B419CE" w:rsidRPr="00B419CE" w:rsidRDefault="00B419CE" w:rsidP="00B419CE">
            <w:r w:rsidRPr="00B419CE">
              <w:t>45</w:t>
            </w:r>
          </w:p>
        </w:tc>
        <w:tc>
          <w:tcPr>
            <w:tcW w:w="4920" w:type="dxa"/>
          </w:tcPr>
          <w:p w14:paraId="7B51ED7B" w14:textId="77777777" w:rsidR="00B419CE" w:rsidRPr="00B419CE" w:rsidRDefault="00B419CE" w:rsidP="00B419CE">
            <w:r w:rsidRPr="00B419CE">
              <w:t xml:space="preserve">Større utstyrskjøp og </w:t>
            </w:r>
            <w:proofErr w:type="spellStart"/>
            <w:r w:rsidRPr="00B419CE">
              <w:t>vedlikehald</w:t>
            </w:r>
            <w:proofErr w:type="spellEnd"/>
          </w:p>
        </w:tc>
        <w:tc>
          <w:tcPr>
            <w:tcW w:w="2300" w:type="dxa"/>
          </w:tcPr>
          <w:p w14:paraId="11108724" w14:textId="77777777" w:rsidR="00B419CE" w:rsidRPr="00B419CE" w:rsidRDefault="00B419CE" w:rsidP="00DF1D6A">
            <w:pPr>
              <w:jc w:val="right"/>
            </w:pPr>
            <w:r w:rsidRPr="00B419CE">
              <w:t>40 mill. kroner</w:t>
            </w:r>
          </w:p>
        </w:tc>
      </w:tr>
      <w:tr w:rsidR="00B419CE" w:rsidRPr="00B419CE" w14:paraId="29A4E8AB" w14:textId="77777777" w:rsidTr="00DF1D6A">
        <w:trPr>
          <w:trHeight w:val="380"/>
        </w:trPr>
        <w:tc>
          <w:tcPr>
            <w:tcW w:w="1129" w:type="dxa"/>
          </w:tcPr>
          <w:p w14:paraId="72C19211" w14:textId="77777777" w:rsidR="00B419CE" w:rsidRPr="00B419CE" w:rsidRDefault="00B419CE" w:rsidP="00B419CE">
            <w:r w:rsidRPr="00B419CE">
              <w:t>1618</w:t>
            </w:r>
          </w:p>
        </w:tc>
        <w:tc>
          <w:tcPr>
            <w:tcW w:w="851" w:type="dxa"/>
          </w:tcPr>
          <w:p w14:paraId="070D82E7" w14:textId="77777777" w:rsidR="00B419CE" w:rsidRPr="00B419CE" w:rsidRDefault="00B419CE" w:rsidP="00B419CE"/>
        </w:tc>
        <w:tc>
          <w:tcPr>
            <w:tcW w:w="4920" w:type="dxa"/>
          </w:tcPr>
          <w:p w14:paraId="2C637A9C" w14:textId="77777777" w:rsidR="00B419CE" w:rsidRPr="00B419CE" w:rsidRDefault="00B419CE" w:rsidP="00B419CE">
            <w:r w:rsidRPr="00B419CE">
              <w:t>Skatteetaten</w:t>
            </w:r>
          </w:p>
        </w:tc>
        <w:tc>
          <w:tcPr>
            <w:tcW w:w="2300" w:type="dxa"/>
          </w:tcPr>
          <w:p w14:paraId="7F639054" w14:textId="77777777" w:rsidR="00B419CE" w:rsidRPr="00B419CE" w:rsidRDefault="00B419CE" w:rsidP="00DF1D6A">
            <w:pPr>
              <w:jc w:val="right"/>
            </w:pPr>
          </w:p>
        </w:tc>
      </w:tr>
      <w:tr w:rsidR="00B419CE" w:rsidRPr="00B419CE" w14:paraId="6E885048" w14:textId="77777777" w:rsidTr="00DF1D6A">
        <w:trPr>
          <w:trHeight w:val="380"/>
        </w:trPr>
        <w:tc>
          <w:tcPr>
            <w:tcW w:w="1129" w:type="dxa"/>
          </w:tcPr>
          <w:p w14:paraId="367EAF3B" w14:textId="77777777" w:rsidR="00B419CE" w:rsidRPr="00B419CE" w:rsidRDefault="00B419CE" w:rsidP="00B419CE"/>
        </w:tc>
        <w:tc>
          <w:tcPr>
            <w:tcW w:w="851" w:type="dxa"/>
          </w:tcPr>
          <w:p w14:paraId="35152C5F" w14:textId="77777777" w:rsidR="00B419CE" w:rsidRPr="00B419CE" w:rsidRDefault="00B419CE" w:rsidP="00B419CE">
            <w:r w:rsidRPr="00B419CE">
              <w:t>45</w:t>
            </w:r>
          </w:p>
        </w:tc>
        <w:tc>
          <w:tcPr>
            <w:tcW w:w="4920" w:type="dxa"/>
          </w:tcPr>
          <w:p w14:paraId="08540C5C" w14:textId="77777777" w:rsidR="00B419CE" w:rsidRPr="00B419CE" w:rsidRDefault="00B419CE" w:rsidP="00B419CE">
            <w:r w:rsidRPr="00B419CE">
              <w:t xml:space="preserve">Større utstyrskjøp og </w:t>
            </w:r>
            <w:proofErr w:type="spellStart"/>
            <w:r w:rsidRPr="00B419CE">
              <w:t>vedlikehald</w:t>
            </w:r>
            <w:proofErr w:type="spellEnd"/>
          </w:p>
        </w:tc>
        <w:tc>
          <w:tcPr>
            <w:tcW w:w="2300" w:type="dxa"/>
          </w:tcPr>
          <w:p w14:paraId="1B6AE2B7" w14:textId="77777777" w:rsidR="00B419CE" w:rsidRPr="00B419CE" w:rsidRDefault="00B419CE" w:rsidP="00DF1D6A">
            <w:pPr>
              <w:jc w:val="right"/>
            </w:pPr>
            <w:r w:rsidRPr="00B419CE">
              <w:t>35 mill. kroner</w:t>
            </w:r>
          </w:p>
        </w:tc>
      </w:tr>
    </w:tbl>
    <w:p w14:paraId="7E7CD722" w14:textId="77777777" w:rsidR="00B419CE" w:rsidRPr="00B419CE" w:rsidRDefault="00B419CE" w:rsidP="00B419CE">
      <w:pPr>
        <w:pStyle w:val="a-vedtak-del"/>
      </w:pPr>
      <w:r w:rsidRPr="00B419CE">
        <w:t>V</w:t>
      </w:r>
    </w:p>
    <w:p w14:paraId="165632A8" w14:textId="77777777" w:rsidR="00B419CE" w:rsidRPr="00B419CE" w:rsidRDefault="00B419CE" w:rsidP="00B419CE">
      <w:pPr>
        <w:pStyle w:val="a-vedtak-tekst"/>
      </w:pPr>
      <w:r w:rsidRPr="00B419CE">
        <w:t>Fullmakter til å pådra staten skyldnader i investeringsprosjekt</w:t>
      </w:r>
    </w:p>
    <w:p w14:paraId="03E221E3"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i 2022 kan gjennomføre investeringsprosjekt </w:t>
      </w:r>
      <w:proofErr w:type="spellStart"/>
      <w:r w:rsidRPr="00B419CE">
        <w:t>innanfor</w:t>
      </w:r>
      <w:proofErr w:type="spellEnd"/>
      <w:r w:rsidRPr="00B419CE">
        <w:t xml:space="preserve"> kostnadsrammer som vist </w:t>
      </w:r>
      <w:proofErr w:type="spellStart"/>
      <w:r w:rsidRPr="00B419CE">
        <w:t>nedanfor</w:t>
      </w:r>
      <w:proofErr w:type="spellEnd"/>
      <w:r w:rsidRPr="00B419CE">
        <w:t>:</w:t>
      </w:r>
    </w:p>
    <w:p w14:paraId="153AC68D" w14:textId="77777777" w:rsidR="00B419CE" w:rsidRPr="00B419CE" w:rsidRDefault="00B419CE" w:rsidP="00B419CE">
      <w:pPr>
        <w:pStyle w:val="Tabellnavn"/>
      </w:pPr>
      <w:r w:rsidRPr="00B419CE">
        <w:t>03N1xx2</w:t>
      </w:r>
    </w:p>
    <w:tbl>
      <w:tblPr>
        <w:tblStyle w:val="StandardTabell"/>
        <w:tblW w:w="9180" w:type="dxa"/>
        <w:tblLayout w:type="fixed"/>
        <w:tblLook w:val="04A0" w:firstRow="1" w:lastRow="0" w:firstColumn="1" w:lastColumn="0" w:noHBand="0" w:noVBand="1"/>
      </w:tblPr>
      <w:tblGrid>
        <w:gridCol w:w="4248"/>
        <w:gridCol w:w="2551"/>
        <w:gridCol w:w="2381"/>
      </w:tblGrid>
      <w:tr w:rsidR="00B419CE" w:rsidRPr="00B419CE" w14:paraId="5854B22A" w14:textId="77777777" w:rsidTr="00DF1D6A">
        <w:trPr>
          <w:trHeight w:val="360"/>
        </w:trPr>
        <w:tc>
          <w:tcPr>
            <w:tcW w:w="4248" w:type="dxa"/>
            <w:shd w:val="clear" w:color="auto" w:fill="FFFFFF"/>
          </w:tcPr>
          <w:p w14:paraId="0ADFD4D6" w14:textId="77777777" w:rsidR="00B419CE" w:rsidRPr="00B419CE" w:rsidRDefault="00B419CE" w:rsidP="00B419CE">
            <w:proofErr w:type="spellStart"/>
            <w:r w:rsidRPr="00B419CE">
              <w:t>Nemning</w:t>
            </w:r>
            <w:proofErr w:type="spellEnd"/>
          </w:p>
        </w:tc>
        <w:tc>
          <w:tcPr>
            <w:tcW w:w="2551" w:type="dxa"/>
          </w:tcPr>
          <w:p w14:paraId="47F4BF67" w14:textId="77777777" w:rsidR="00B419CE" w:rsidRPr="00B419CE" w:rsidRDefault="00B419CE" w:rsidP="00B419CE">
            <w:r w:rsidRPr="00B419CE">
              <w:t>Etat</w:t>
            </w:r>
          </w:p>
        </w:tc>
        <w:tc>
          <w:tcPr>
            <w:tcW w:w="2381" w:type="dxa"/>
          </w:tcPr>
          <w:p w14:paraId="135FABF6" w14:textId="77777777" w:rsidR="00B419CE" w:rsidRPr="00B419CE" w:rsidRDefault="00B419CE" w:rsidP="00DF1D6A">
            <w:pPr>
              <w:jc w:val="right"/>
            </w:pPr>
            <w:r w:rsidRPr="00B419CE">
              <w:t>Samla ramme</w:t>
            </w:r>
          </w:p>
        </w:tc>
      </w:tr>
      <w:tr w:rsidR="00B419CE" w:rsidRPr="00B419CE" w14:paraId="44B1DA8E" w14:textId="77777777" w:rsidTr="00DF1D6A">
        <w:trPr>
          <w:trHeight w:val="380"/>
        </w:trPr>
        <w:tc>
          <w:tcPr>
            <w:tcW w:w="4248" w:type="dxa"/>
          </w:tcPr>
          <w:p w14:paraId="4443DF22" w14:textId="77777777" w:rsidR="00B419CE" w:rsidRPr="00B419CE" w:rsidRDefault="00B419CE" w:rsidP="00B419CE">
            <w:r w:rsidRPr="00B419CE">
              <w:t>Dialogbasert skattemelding (Sirius)</w:t>
            </w:r>
          </w:p>
        </w:tc>
        <w:tc>
          <w:tcPr>
            <w:tcW w:w="2551" w:type="dxa"/>
          </w:tcPr>
          <w:p w14:paraId="7AD3E813" w14:textId="77777777" w:rsidR="00B419CE" w:rsidRPr="00B419CE" w:rsidRDefault="00B419CE" w:rsidP="00B419CE">
            <w:r w:rsidRPr="00B419CE">
              <w:t>Skatteetaten</w:t>
            </w:r>
          </w:p>
        </w:tc>
        <w:tc>
          <w:tcPr>
            <w:tcW w:w="2381" w:type="dxa"/>
          </w:tcPr>
          <w:p w14:paraId="2E7B211B" w14:textId="77777777" w:rsidR="00B419CE" w:rsidRPr="00B419CE" w:rsidRDefault="00B419CE" w:rsidP="00DF1D6A">
            <w:pPr>
              <w:jc w:val="right"/>
            </w:pPr>
            <w:r w:rsidRPr="00B419CE">
              <w:t>772,8 mill. kroner</w:t>
            </w:r>
          </w:p>
        </w:tc>
      </w:tr>
      <w:tr w:rsidR="00B419CE" w:rsidRPr="00B419CE" w14:paraId="33A72651" w14:textId="77777777" w:rsidTr="00DF1D6A">
        <w:trPr>
          <w:trHeight w:val="380"/>
        </w:trPr>
        <w:tc>
          <w:tcPr>
            <w:tcW w:w="4248" w:type="dxa"/>
          </w:tcPr>
          <w:p w14:paraId="761A59F1" w14:textId="77777777" w:rsidR="00B419CE" w:rsidRPr="00B419CE" w:rsidRDefault="00B419CE" w:rsidP="00B419CE">
            <w:r w:rsidRPr="00B419CE">
              <w:t xml:space="preserve">Nytt IT-system for </w:t>
            </w:r>
            <w:proofErr w:type="spellStart"/>
            <w:r w:rsidRPr="00B419CE">
              <w:t>meirverdiavgift</w:t>
            </w:r>
            <w:proofErr w:type="spellEnd"/>
            <w:r w:rsidRPr="00B419CE">
              <w:t xml:space="preserve"> (Memo)</w:t>
            </w:r>
          </w:p>
        </w:tc>
        <w:tc>
          <w:tcPr>
            <w:tcW w:w="2551" w:type="dxa"/>
          </w:tcPr>
          <w:p w14:paraId="6BF96304" w14:textId="77777777" w:rsidR="00B419CE" w:rsidRPr="00B419CE" w:rsidRDefault="00B419CE" w:rsidP="00B419CE">
            <w:r w:rsidRPr="00B419CE">
              <w:t>Skatteetaten</w:t>
            </w:r>
          </w:p>
        </w:tc>
        <w:tc>
          <w:tcPr>
            <w:tcW w:w="2381" w:type="dxa"/>
          </w:tcPr>
          <w:p w14:paraId="59588304" w14:textId="77777777" w:rsidR="00B419CE" w:rsidRPr="00B419CE" w:rsidRDefault="00B419CE" w:rsidP="00DF1D6A">
            <w:pPr>
              <w:jc w:val="right"/>
            </w:pPr>
            <w:r w:rsidRPr="00B419CE">
              <w:t>646,6 mill. kroner</w:t>
            </w:r>
          </w:p>
        </w:tc>
      </w:tr>
      <w:tr w:rsidR="00B419CE" w:rsidRPr="00B419CE" w14:paraId="26B28716" w14:textId="77777777" w:rsidTr="00DF1D6A">
        <w:trPr>
          <w:trHeight w:val="380"/>
        </w:trPr>
        <w:tc>
          <w:tcPr>
            <w:tcW w:w="4248" w:type="dxa"/>
          </w:tcPr>
          <w:p w14:paraId="2E75C08D" w14:textId="77777777" w:rsidR="00B419CE" w:rsidRPr="00B419CE" w:rsidRDefault="00B419CE" w:rsidP="00B419CE">
            <w:r w:rsidRPr="00B419CE">
              <w:t>OTP og deling av data</w:t>
            </w:r>
          </w:p>
        </w:tc>
        <w:tc>
          <w:tcPr>
            <w:tcW w:w="2551" w:type="dxa"/>
          </w:tcPr>
          <w:p w14:paraId="7668B3DE" w14:textId="77777777" w:rsidR="00B419CE" w:rsidRPr="00B419CE" w:rsidRDefault="00B419CE" w:rsidP="00B419CE">
            <w:r w:rsidRPr="00B419CE">
              <w:t>Skatteetaten m.fl.</w:t>
            </w:r>
          </w:p>
        </w:tc>
        <w:tc>
          <w:tcPr>
            <w:tcW w:w="2381" w:type="dxa"/>
          </w:tcPr>
          <w:p w14:paraId="29C932E7" w14:textId="77777777" w:rsidR="00B419CE" w:rsidRPr="00B419CE" w:rsidRDefault="00B419CE" w:rsidP="00DF1D6A">
            <w:pPr>
              <w:jc w:val="right"/>
            </w:pPr>
            <w:r w:rsidRPr="00B419CE">
              <w:t>137,3 mill. kroner</w:t>
            </w:r>
          </w:p>
        </w:tc>
      </w:tr>
      <w:tr w:rsidR="00B419CE" w:rsidRPr="00B419CE" w14:paraId="28D3ECB8" w14:textId="77777777" w:rsidTr="00DF1D6A">
        <w:trPr>
          <w:trHeight w:val="380"/>
        </w:trPr>
        <w:tc>
          <w:tcPr>
            <w:tcW w:w="4248" w:type="dxa"/>
          </w:tcPr>
          <w:p w14:paraId="29F50F31" w14:textId="77777777" w:rsidR="00B419CE" w:rsidRPr="00B419CE" w:rsidRDefault="00B419CE" w:rsidP="00B419CE">
            <w:r w:rsidRPr="00B419CE">
              <w:t xml:space="preserve">Modernisering av </w:t>
            </w:r>
            <w:proofErr w:type="spellStart"/>
            <w:r w:rsidRPr="00B419CE">
              <w:t>innkrevjing</w:t>
            </w:r>
            <w:proofErr w:type="spellEnd"/>
            <w:r w:rsidRPr="00B419CE">
              <w:t xml:space="preserve"> – steg 1</w:t>
            </w:r>
          </w:p>
        </w:tc>
        <w:tc>
          <w:tcPr>
            <w:tcW w:w="2551" w:type="dxa"/>
          </w:tcPr>
          <w:p w14:paraId="3954871E" w14:textId="77777777" w:rsidR="00B419CE" w:rsidRPr="00B419CE" w:rsidRDefault="00B419CE" w:rsidP="00B419CE">
            <w:r w:rsidRPr="00B419CE">
              <w:t>Skatteetaten m.fl.</w:t>
            </w:r>
          </w:p>
        </w:tc>
        <w:tc>
          <w:tcPr>
            <w:tcW w:w="2381" w:type="dxa"/>
          </w:tcPr>
          <w:p w14:paraId="7AD06C33" w14:textId="77777777" w:rsidR="00B419CE" w:rsidRPr="00B419CE" w:rsidRDefault="00B419CE" w:rsidP="00DF1D6A">
            <w:pPr>
              <w:jc w:val="right"/>
            </w:pPr>
            <w:r w:rsidRPr="00B419CE">
              <w:t>1 864,0 mill. kroner</w:t>
            </w:r>
          </w:p>
        </w:tc>
      </w:tr>
      <w:tr w:rsidR="00B419CE" w:rsidRPr="00B419CE" w14:paraId="596CEF9B" w14:textId="77777777" w:rsidTr="00DF1D6A">
        <w:trPr>
          <w:trHeight w:val="380"/>
        </w:trPr>
        <w:tc>
          <w:tcPr>
            <w:tcW w:w="4248" w:type="dxa"/>
          </w:tcPr>
          <w:p w14:paraId="652D22FC" w14:textId="77777777" w:rsidR="00B419CE" w:rsidRPr="00B419CE" w:rsidRDefault="00B419CE" w:rsidP="00B419CE">
            <w:r w:rsidRPr="00B419CE">
              <w:t>Treff-prosjektet</w:t>
            </w:r>
          </w:p>
        </w:tc>
        <w:tc>
          <w:tcPr>
            <w:tcW w:w="2551" w:type="dxa"/>
          </w:tcPr>
          <w:p w14:paraId="0FA41D14" w14:textId="77777777" w:rsidR="00B419CE" w:rsidRPr="00B419CE" w:rsidRDefault="00B419CE" w:rsidP="00B419CE">
            <w:r w:rsidRPr="00B419CE">
              <w:t>Tolletaten</w:t>
            </w:r>
          </w:p>
        </w:tc>
        <w:tc>
          <w:tcPr>
            <w:tcW w:w="2381" w:type="dxa"/>
          </w:tcPr>
          <w:p w14:paraId="25FC4196" w14:textId="77777777" w:rsidR="00B419CE" w:rsidRPr="00B419CE" w:rsidRDefault="00B419CE" w:rsidP="00DF1D6A">
            <w:pPr>
              <w:jc w:val="right"/>
            </w:pPr>
            <w:r w:rsidRPr="00B419CE">
              <w:t>838,3 mill. kroner</w:t>
            </w:r>
          </w:p>
        </w:tc>
      </w:tr>
    </w:tbl>
    <w:p w14:paraId="4330FE86" w14:textId="77777777" w:rsidR="00B419CE" w:rsidRPr="00B419CE" w:rsidRDefault="00B419CE" w:rsidP="00B419CE">
      <w:r w:rsidRPr="00B419CE">
        <w:t xml:space="preserve">Fullmaktene </w:t>
      </w:r>
      <w:proofErr w:type="spellStart"/>
      <w:r w:rsidRPr="00B419CE">
        <w:t>gjeld</w:t>
      </w:r>
      <w:proofErr w:type="spellEnd"/>
      <w:r w:rsidRPr="00B419CE">
        <w:t xml:space="preserve"> òg </w:t>
      </w:r>
      <w:proofErr w:type="spellStart"/>
      <w:r w:rsidRPr="00B419CE">
        <w:t>forpliktingar</w:t>
      </w:r>
      <w:proofErr w:type="spellEnd"/>
      <w:r w:rsidRPr="00B419CE">
        <w:t xml:space="preserve"> som vert </w:t>
      </w:r>
      <w:proofErr w:type="spellStart"/>
      <w:r w:rsidRPr="00B419CE">
        <w:t>pådregne</w:t>
      </w:r>
      <w:proofErr w:type="spellEnd"/>
      <w:r w:rsidRPr="00B419CE">
        <w:t xml:space="preserve"> for </w:t>
      </w:r>
      <w:proofErr w:type="spellStart"/>
      <w:r w:rsidRPr="00B419CE">
        <w:t>seinare</w:t>
      </w:r>
      <w:proofErr w:type="spellEnd"/>
      <w:r w:rsidRPr="00B419CE">
        <w:t xml:space="preserve"> budsjettår og </w:t>
      </w:r>
      <w:proofErr w:type="spellStart"/>
      <w:r w:rsidRPr="00B419CE">
        <w:t>innanfor</w:t>
      </w:r>
      <w:proofErr w:type="spellEnd"/>
      <w:r w:rsidRPr="00B419CE">
        <w:t xml:space="preserve"> kostnadsrammene for prosjekta. Finansdepartementet vert gjeve fullmakt til å prisjustere kostnadsrammene i </w:t>
      </w:r>
      <w:proofErr w:type="spellStart"/>
      <w:r w:rsidRPr="00B419CE">
        <w:t>seinare</w:t>
      </w:r>
      <w:proofErr w:type="spellEnd"/>
      <w:r w:rsidRPr="00B419CE">
        <w:t xml:space="preserve"> år.</w:t>
      </w:r>
    </w:p>
    <w:p w14:paraId="49A14620" w14:textId="77777777" w:rsidR="00B419CE" w:rsidRPr="00B419CE" w:rsidRDefault="00B419CE" w:rsidP="00B419CE">
      <w:pPr>
        <w:pStyle w:val="a-vedtak-del"/>
      </w:pPr>
      <w:r w:rsidRPr="00B419CE">
        <w:t>VI</w:t>
      </w:r>
    </w:p>
    <w:p w14:paraId="4B0C2599" w14:textId="77777777" w:rsidR="00B419CE" w:rsidRPr="00B419CE" w:rsidRDefault="00B419CE" w:rsidP="00B419CE">
      <w:pPr>
        <w:pStyle w:val="a-vedtak-tekst"/>
      </w:pPr>
      <w:r w:rsidRPr="00B419CE">
        <w:t>Garantifullmakt</w:t>
      </w:r>
    </w:p>
    <w:p w14:paraId="2C0B2E9B"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i 2022 kan </w:t>
      </w:r>
      <w:proofErr w:type="spellStart"/>
      <w:r w:rsidRPr="00B419CE">
        <w:t>gje</w:t>
      </w:r>
      <w:proofErr w:type="spellEnd"/>
      <w:r w:rsidRPr="00B419CE">
        <w:t xml:space="preserve"> garanti for grunnkapitalen til Den nordiske investeringsbanken </w:t>
      </w:r>
      <w:proofErr w:type="spellStart"/>
      <w:r w:rsidRPr="00B419CE">
        <w:t>innanfor</w:t>
      </w:r>
      <w:proofErr w:type="spellEnd"/>
      <w:r w:rsidRPr="00B419CE">
        <w:t xml:space="preserve"> ei samla ramme for nye </w:t>
      </w:r>
      <w:proofErr w:type="spellStart"/>
      <w:r w:rsidRPr="00B419CE">
        <w:t>tilsegner</w:t>
      </w:r>
      <w:proofErr w:type="spellEnd"/>
      <w:r w:rsidRPr="00B419CE">
        <w:t xml:space="preserve"> og gammalt ansvar på 1 617 872 455 euro.</w:t>
      </w:r>
    </w:p>
    <w:p w14:paraId="4407C9D9" w14:textId="77777777" w:rsidR="00B419CE" w:rsidRPr="00B419CE" w:rsidRDefault="00B419CE" w:rsidP="00B419CE">
      <w:pPr>
        <w:pStyle w:val="a-vedtak-del"/>
      </w:pPr>
      <w:r w:rsidRPr="00B419CE">
        <w:t>VII</w:t>
      </w:r>
    </w:p>
    <w:p w14:paraId="79D765FE" w14:textId="77777777" w:rsidR="00B419CE" w:rsidRPr="00B419CE" w:rsidRDefault="00B419CE" w:rsidP="00B419CE">
      <w:pPr>
        <w:pStyle w:val="a-vedtak-tekst"/>
      </w:pPr>
      <w:r w:rsidRPr="00B419CE">
        <w:lastRenderedPageBreak/>
        <w:t xml:space="preserve">Fullmakt til å </w:t>
      </w:r>
      <w:proofErr w:type="spellStart"/>
      <w:r w:rsidRPr="00B419CE">
        <w:t>dekkje</w:t>
      </w:r>
      <w:proofErr w:type="spellEnd"/>
      <w:r w:rsidRPr="00B419CE">
        <w:t xml:space="preserve"> utgifter til </w:t>
      </w:r>
      <w:proofErr w:type="spellStart"/>
      <w:r w:rsidRPr="00B419CE">
        <w:t>vidare</w:t>
      </w:r>
      <w:proofErr w:type="spellEnd"/>
      <w:r w:rsidRPr="00B419CE">
        <w:t xml:space="preserve"> </w:t>
      </w:r>
      <w:proofErr w:type="spellStart"/>
      <w:r w:rsidRPr="00B419CE">
        <w:t>bubehandling</w:t>
      </w:r>
      <w:proofErr w:type="spellEnd"/>
    </w:p>
    <w:p w14:paraId="5770AB25"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for 2022 under ordninga med oppfølging av staten sine krav i konkursbu kan pådra staten skyldnader utover </w:t>
      </w:r>
      <w:proofErr w:type="spellStart"/>
      <w:r w:rsidRPr="00B419CE">
        <w:t>løyvingane</w:t>
      </w:r>
      <w:proofErr w:type="spellEnd"/>
      <w:r w:rsidRPr="00B419CE">
        <w:t xml:space="preserve">, men slik at den samla ramma for nye </w:t>
      </w:r>
      <w:proofErr w:type="spellStart"/>
      <w:r w:rsidRPr="00B419CE">
        <w:t>tilsegner</w:t>
      </w:r>
      <w:proofErr w:type="spellEnd"/>
      <w:r w:rsidRPr="00B419CE">
        <w:t xml:space="preserve"> og gammalt ansvar </w:t>
      </w:r>
      <w:proofErr w:type="spellStart"/>
      <w:r w:rsidRPr="00B419CE">
        <w:t>ikkje</w:t>
      </w:r>
      <w:proofErr w:type="spellEnd"/>
      <w:r w:rsidRPr="00B419CE">
        <w:t xml:space="preserve"> overstig 44,9 mill. kroner. </w:t>
      </w:r>
      <w:proofErr w:type="spellStart"/>
      <w:r w:rsidRPr="00B419CE">
        <w:t>Utbetalingar</w:t>
      </w:r>
      <w:proofErr w:type="spellEnd"/>
      <w:r w:rsidRPr="00B419CE">
        <w:t xml:space="preserve"> vert dekte av </w:t>
      </w:r>
      <w:proofErr w:type="spellStart"/>
      <w:r w:rsidRPr="00B419CE">
        <w:t>løyvingane</w:t>
      </w:r>
      <w:proofErr w:type="spellEnd"/>
      <w:r w:rsidRPr="00B419CE">
        <w:t xml:space="preserve"> under kap. 1618 Skatteetaten, post 21 Spesielle driftsutgifter.</w:t>
      </w:r>
    </w:p>
    <w:p w14:paraId="18629D9C" w14:textId="77777777" w:rsidR="00B419CE" w:rsidRPr="00B419CE" w:rsidRDefault="00B419CE" w:rsidP="00B419CE">
      <w:pPr>
        <w:pStyle w:val="Fullmakttit"/>
      </w:pPr>
      <w:r w:rsidRPr="00B419CE">
        <w:t>Andre fullmakter</w:t>
      </w:r>
    </w:p>
    <w:p w14:paraId="1A45241E" w14:textId="77777777" w:rsidR="00B419CE" w:rsidRPr="00B419CE" w:rsidRDefault="00B419CE" w:rsidP="00B419CE">
      <w:pPr>
        <w:pStyle w:val="a-vedtak-del"/>
      </w:pPr>
      <w:r w:rsidRPr="00B419CE">
        <w:t>VIII</w:t>
      </w:r>
    </w:p>
    <w:p w14:paraId="69876072" w14:textId="77777777" w:rsidR="00B419CE" w:rsidRPr="00B419CE" w:rsidRDefault="00B419CE" w:rsidP="00B419CE">
      <w:pPr>
        <w:pStyle w:val="a-vedtak-tekst"/>
      </w:pPr>
      <w:r w:rsidRPr="00B419CE">
        <w:t xml:space="preserve">Fullmakt til å rette opp </w:t>
      </w:r>
      <w:proofErr w:type="spellStart"/>
      <w:r w:rsidRPr="00B419CE">
        <w:t>uoppklåra</w:t>
      </w:r>
      <w:proofErr w:type="spellEnd"/>
      <w:r w:rsidRPr="00B419CE">
        <w:t xml:space="preserve"> </w:t>
      </w:r>
      <w:proofErr w:type="spellStart"/>
      <w:r w:rsidRPr="00B419CE">
        <w:t>differansar</w:t>
      </w:r>
      <w:proofErr w:type="spellEnd"/>
      <w:r w:rsidRPr="00B419CE">
        <w:t xml:space="preserve"> og </w:t>
      </w:r>
      <w:proofErr w:type="spellStart"/>
      <w:r w:rsidRPr="00B419CE">
        <w:t>feilposteringar</w:t>
      </w:r>
      <w:proofErr w:type="spellEnd"/>
      <w:r w:rsidRPr="00B419CE">
        <w:t xml:space="preserve"> i </w:t>
      </w:r>
      <w:proofErr w:type="spellStart"/>
      <w:r w:rsidRPr="00B419CE">
        <w:t>statsrekneskapar</w:t>
      </w:r>
      <w:proofErr w:type="spellEnd"/>
      <w:r w:rsidRPr="00B419CE">
        <w:t xml:space="preserve"> for </w:t>
      </w:r>
      <w:proofErr w:type="spellStart"/>
      <w:r w:rsidRPr="00B419CE">
        <w:t>tidlegare</w:t>
      </w:r>
      <w:proofErr w:type="spellEnd"/>
      <w:r w:rsidRPr="00B419CE">
        <w:t xml:space="preserve"> år</w:t>
      </w:r>
    </w:p>
    <w:p w14:paraId="098BF58C"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i 2022 i </w:t>
      </w:r>
      <w:proofErr w:type="spellStart"/>
      <w:r w:rsidRPr="00B419CE">
        <w:t>einskildsaker</w:t>
      </w:r>
      <w:proofErr w:type="spellEnd"/>
      <w:r w:rsidRPr="00B419CE">
        <w:t xml:space="preserve"> kan rette opp </w:t>
      </w:r>
      <w:proofErr w:type="spellStart"/>
      <w:r w:rsidRPr="00B419CE">
        <w:t>uoppklåra</w:t>
      </w:r>
      <w:proofErr w:type="spellEnd"/>
      <w:r w:rsidRPr="00B419CE">
        <w:t xml:space="preserve"> </w:t>
      </w:r>
      <w:proofErr w:type="spellStart"/>
      <w:r w:rsidRPr="00B419CE">
        <w:t>differansar</w:t>
      </w:r>
      <w:proofErr w:type="spellEnd"/>
      <w:r w:rsidRPr="00B419CE">
        <w:t xml:space="preserve"> i </w:t>
      </w:r>
      <w:proofErr w:type="spellStart"/>
      <w:r w:rsidRPr="00B419CE">
        <w:t>rekneskapane</w:t>
      </w:r>
      <w:proofErr w:type="spellEnd"/>
      <w:r w:rsidRPr="00B419CE">
        <w:t xml:space="preserve"> og </w:t>
      </w:r>
      <w:proofErr w:type="spellStart"/>
      <w:r w:rsidRPr="00B419CE">
        <w:t>feilposteringar</w:t>
      </w:r>
      <w:proofErr w:type="spellEnd"/>
      <w:r w:rsidRPr="00B419CE">
        <w:t xml:space="preserve"> i </w:t>
      </w:r>
      <w:proofErr w:type="spellStart"/>
      <w:r w:rsidRPr="00B419CE">
        <w:t>statsrekneskapen</w:t>
      </w:r>
      <w:proofErr w:type="spellEnd"/>
      <w:r w:rsidRPr="00B419CE">
        <w:t xml:space="preserve"> som gjeld </w:t>
      </w:r>
      <w:proofErr w:type="spellStart"/>
      <w:r w:rsidRPr="00B419CE">
        <w:t>rekneskapar</w:t>
      </w:r>
      <w:proofErr w:type="spellEnd"/>
      <w:r w:rsidRPr="00B419CE">
        <w:t xml:space="preserve"> for </w:t>
      </w:r>
      <w:proofErr w:type="spellStart"/>
      <w:r w:rsidRPr="00B419CE">
        <w:t>tidlegare</w:t>
      </w:r>
      <w:proofErr w:type="spellEnd"/>
      <w:r w:rsidRPr="00B419CE">
        <w:t xml:space="preserve"> år. Dette må </w:t>
      </w:r>
      <w:proofErr w:type="spellStart"/>
      <w:r w:rsidRPr="00B419CE">
        <w:t>gjerast</w:t>
      </w:r>
      <w:proofErr w:type="spellEnd"/>
      <w:r w:rsidRPr="00B419CE">
        <w:t xml:space="preserve"> ved å postere over kontoen for </w:t>
      </w:r>
      <w:proofErr w:type="spellStart"/>
      <w:r w:rsidRPr="00B419CE">
        <w:t>forskuvingar</w:t>
      </w:r>
      <w:proofErr w:type="spellEnd"/>
      <w:r w:rsidRPr="00B419CE">
        <w:t xml:space="preserve"> i balansen i </w:t>
      </w:r>
      <w:proofErr w:type="spellStart"/>
      <w:r w:rsidRPr="00B419CE">
        <w:t>statsrekneskapen</w:t>
      </w:r>
      <w:proofErr w:type="spellEnd"/>
      <w:r w:rsidRPr="00B419CE">
        <w:t xml:space="preserve"> i </w:t>
      </w:r>
      <w:proofErr w:type="spellStart"/>
      <w:r w:rsidRPr="00B419CE">
        <w:t>rekneskapen</w:t>
      </w:r>
      <w:proofErr w:type="spellEnd"/>
      <w:r w:rsidRPr="00B419CE">
        <w:t xml:space="preserve"> for det </w:t>
      </w:r>
      <w:proofErr w:type="spellStart"/>
      <w:r w:rsidRPr="00B419CE">
        <w:t>inneverande</w:t>
      </w:r>
      <w:proofErr w:type="spellEnd"/>
      <w:r w:rsidRPr="00B419CE">
        <w:t xml:space="preserve"> året. Fullmakta gjeld opp til 1 mill. kroner.</w:t>
      </w:r>
    </w:p>
    <w:p w14:paraId="5957A033" w14:textId="77777777" w:rsidR="00B419CE" w:rsidRPr="00B419CE" w:rsidRDefault="00B419CE" w:rsidP="00B419CE">
      <w:pPr>
        <w:pStyle w:val="a-vedtak-del"/>
      </w:pPr>
      <w:r w:rsidRPr="00B419CE">
        <w:t>IX</w:t>
      </w:r>
    </w:p>
    <w:p w14:paraId="11A9A20A" w14:textId="77777777" w:rsidR="00B419CE" w:rsidRPr="00B419CE" w:rsidRDefault="00B419CE" w:rsidP="00B419CE">
      <w:pPr>
        <w:pStyle w:val="a-vedtak-tekst"/>
      </w:pPr>
      <w:r w:rsidRPr="00B419CE">
        <w:t>Nettoposteringsfullmakt</w:t>
      </w:r>
    </w:p>
    <w:p w14:paraId="33BA277C"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i 2022 kan </w:t>
      </w:r>
      <w:proofErr w:type="spellStart"/>
      <w:r w:rsidRPr="00B419CE">
        <w:t>trekkje</w:t>
      </w:r>
      <w:proofErr w:type="spellEnd"/>
      <w:r w:rsidRPr="00B419CE">
        <w:t xml:space="preserve"> direkte utgifter i samband med </w:t>
      </w:r>
      <w:proofErr w:type="spellStart"/>
      <w:r w:rsidRPr="00B419CE">
        <w:t>auksjonssal</w:t>
      </w:r>
      <w:proofErr w:type="spellEnd"/>
      <w:r w:rsidRPr="00B419CE">
        <w:t xml:space="preserve"> </w:t>
      </w:r>
      <w:proofErr w:type="spellStart"/>
      <w:r w:rsidRPr="00B419CE">
        <w:t>frå</w:t>
      </w:r>
      <w:proofErr w:type="spellEnd"/>
      <w:r w:rsidRPr="00B419CE">
        <w:t xml:space="preserve"> </w:t>
      </w:r>
      <w:proofErr w:type="spellStart"/>
      <w:r w:rsidRPr="00B419CE">
        <w:t>salsinntektene</w:t>
      </w:r>
      <w:proofErr w:type="spellEnd"/>
      <w:r w:rsidRPr="00B419CE">
        <w:t xml:space="preserve"> før det </w:t>
      </w:r>
      <w:proofErr w:type="spellStart"/>
      <w:r w:rsidRPr="00B419CE">
        <w:t>overskytande</w:t>
      </w:r>
      <w:proofErr w:type="spellEnd"/>
      <w:r w:rsidRPr="00B419CE">
        <w:t xml:space="preserve"> vert ført som inntekter under kap. 4610 Tolletaten, post 02 Andre inntekter.</w:t>
      </w:r>
    </w:p>
    <w:p w14:paraId="07898F53" w14:textId="77777777" w:rsidR="00B419CE" w:rsidRPr="00B419CE" w:rsidRDefault="00B419CE" w:rsidP="00B419CE">
      <w:pPr>
        <w:pStyle w:val="a-vedtak-del"/>
      </w:pPr>
      <w:proofErr w:type="spellStart"/>
      <w:r w:rsidRPr="00B419CE">
        <w:t>X</w:t>
      </w:r>
      <w:proofErr w:type="spellEnd"/>
    </w:p>
    <w:p w14:paraId="434C1D5F" w14:textId="77777777" w:rsidR="00B419CE" w:rsidRPr="00B419CE" w:rsidRDefault="00B419CE" w:rsidP="00B419CE">
      <w:pPr>
        <w:pStyle w:val="a-vedtak-tekst"/>
      </w:pPr>
      <w:r w:rsidRPr="00B419CE">
        <w:t>Fullmakter til postering mot mellomværet med statskassa</w:t>
      </w:r>
    </w:p>
    <w:p w14:paraId="5A0FA485" w14:textId="77777777" w:rsidR="00B419CE" w:rsidRPr="00B419CE" w:rsidRDefault="00B419CE" w:rsidP="00B419CE">
      <w:r w:rsidRPr="00B419CE">
        <w:t xml:space="preserve">Stortinget </w:t>
      </w:r>
      <w:proofErr w:type="spellStart"/>
      <w:r w:rsidRPr="00B419CE">
        <w:t>samtykkjer</w:t>
      </w:r>
      <w:proofErr w:type="spellEnd"/>
      <w:r w:rsidRPr="00B419CE">
        <w:t xml:space="preserve"> i at Finansdepartementet i 2022 kan </w:t>
      </w:r>
      <w:proofErr w:type="spellStart"/>
      <w:r w:rsidRPr="00B419CE">
        <w:t>gje</w:t>
      </w:r>
      <w:proofErr w:type="spellEnd"/>
      <w:r w:rsidRPr="00B419CE">
        <w:t xml:space="preserve"> Skatteetaten fullmakt til å:</w:t>
      </w:r>
    </w:p>
    <w:p w14:paraId="25276872" w14:textId="77777777" w:rsidR="00B419CE" w:rsidRPr="00B419CE" w:rsidRDefault="00B419CE" w:rsidP="00DF1D6A">
      <w:pPr>
        <w:pStyle w:val="Nummerertliste"/>
        <w:numPr>
          <w:ilvl w:val="0"/>
          <w:numId w:val="24"/>
        </w:numPr>
      </w:pPr>
      <w:r w:rsidRPr="00B419CE">
        <w:t xml:space="preserve">inntektsføre statens del av skatteinngangen i </w:t>
      </w:r>
      <w:proofErr w:type="spellStart"/>
      <w:r w:rsidRPr="00B419CE">
        <w:t>statsrekneskapen</w:t>
      </w:r>
      <w:proofErr w:type="spellEnd"/>
      <w:r w:rsidRPr="00B419CE">
        <w:t xml:space="preserve"> i same periode som denne vert rapportert </w:t>
      </w:r>
      <w:proofErr w:type="spellStart"/>
      <w:r w:rsidRPr="00B419CE">
        <w:t>frå</w:t>
      </w:r>
      <w:proofErr w:type="spellEnd"/>
      <w:r w:rsidRPr="00B419CE">
        <w:t xml:space="preserve"> </w:t>
      </w:r>
      <w:proofErr w:type="spellStart"/>
      <w:r w:rsidRPr="00B419CE">
        <w:t>skatterekneskapen</w:t>
      </w:r>
      <w:proofErr w:type="spellEnd"/>
      <w:r w:rsidRPr="00B419CE">
        <w:t xml:space="preserve">, og mot mellomværet som </w:t>
      </w:r>
      <w:proofErr w:type="spellStart"/>
      <w:r w:rsidRPr="00B419CE">
        <w:t>skatterekneskapen</w:t>
      </w:r>
      <w:proofErr w:type="spellEnd"/>
      <w:r w:rsidRPr="00B419CE">
        <w:t xml:space="preserve"> har med statskassa. Mellomværet vert utlikna i </w:t>
      </w:r>
      <w:proofErr w:type="spellStart"/>
      <w:r w:rsidRPr="00B419CE">
        <w:t>påfølgjande</w:t>
      </w:r>
      <w:proofErr w:type="spellEnd"/>
      <w:r w:rsidRPr="00B419CE">
        <w:t xml:space="preserve"> periode når </w:t>
      </w:r>
      <w:proofErr w:type="spellStart"/>
      <w:r w:rsidRPr="00B419CE">
        <w:t>oppgjeret</w:t>
      </w:r>
      <w:proofErr w:type="spellEnd"/>
      <w:r w:rsidRPr="00B419CE">
        <w:t xml:space="preserve"> vert overført </w:t>
      </w:r>
      <w:proofErr w:type="spellStart"/>
      <w:r w:rsidRPr="00B419CE">
        <w:t>frå</w:t>
      </w:r>
      <w:proofErr w:type="spellEnd"/>
      <w:r w:rsidRPr="00B419CE">
        <w:t xml:space="preserve"> </w:t>
      </w:r>
      <w:proofErr w:type="spellStart"/>
      <w:r w:rsidRPr="00B419CE">
        <w:t>skatterekneskapen</w:t>
      </w:r>
      <w:proofErr w:type="spellEnd"/>
      <w:r w:rsidRPr="00B419CE">
        <w:t>.</w:t>
      </w:r>
    </w:p>
    <w:p w14:paraId="73DEA6FE" w14:textId="77777777" w:rsidR="00B419CE" w:rsidRPr="00B419CE" w:rsidRDefault="00B419CE" w:rsidP="00B419CE">
      <w:pPr>
        <w:pStyle w:val="Nummerertliste"/>
      </w:pPr>
      <w:r w:rsidRPr="00B419CE">
        <w:t xml:space="preserve">føre uplasserte </w:t>
      </w:r>
      <w:proofErr w:type="spellStart"/>
      <w:r w:rsidRPr="00B419CE">
        <w:t>innbetalingar</w:t>
      </w:r>
      <w:proofErr w:type="spellEnd"/>
      <w:r w:rsidRPr="00B419CE">
        <w:t xml:space="preserve"> mot mellomværet med statskassa. Etter at krava er fastsette og registrert i </w:t>
      </w:r>
      <w:proofErr w:type="spellStart"/>
      <w:r w:rsidRPr="00B419CE">
        <w:t>rekneskapssystemet</w:t>
      </w:r>
      <w:proofErr w:type="spellEnd"/>
      <w:r w:rsidRPr="00B419CE">
        <w:t xml:space="preserve">, vert </w:t>
      </w:r>
      <w:proofErr w:type="spellStart"/>
      <w:r w:rsidRPr="00B419CE">
        <w:t>innbetalingane</w:t>
      </w:r>
      <w:proofErr w:type="spellEnd"/>
      <w:r w:rsidRPr="00B419CE">
        <w:t xml:space="preserve"> resultatførte i </w:t>
      </w:r>
      <w:proofErr w:type="spellStart"/>
      <w:r w:rsidRPr="00B419CE">
        <w:t>statsrekneskapen</w:t>
      </w:r>
      <w:proofErr w:type="spellEnd"/>
      <w:r w:rsidRPr="00B419CE">
        <w:t xml:space="preserve"> og mellomværet utlikna.</w:t>
      </w:r>
    </w:p>
    <w:p w14:paraId="3FB94659" w14:textId="77777777" w:rsidR="00B419CE" w:rsidRPr="00B419CE" w:rsidRDefault="00B419CE" w:rsidP="00B419CE">
      <w:pPr>
        <w:pStyle w:val="Nummerertliste"/>
      </w:pPr>
      <w:r w:rsidRPr="00B419CE">
        <w:t xml:space="preserve">føre </w:t>
      </w:r>
      <w:proofErr w:type="spellStart"/>
      <w:r w:rsidRPr="00B419CE">
        <w:t>midlar</w:t>
      </w:r>
      <w:proofErr w:type="spellEnd"/>
      <w:r w:rsidRPr="00B419CE">
        <w:t xml:space="preserve"> Skatteetaten krev inn på vegner av andre </w:t>
      </w:r>
      <w:proofErr w:type="spellStart"/>
      <w:r w:rsidRPr="00B419CE">
        <w:t>aktørar</w:t>
      </w:r>
      <w:proofErr w:type="spellEnd"/>
      <w:r w:rsidRPr="00B419CE">
        <w:t xml:space="preserve">, mot mellomværet med statskassa i </w:t>
      </w:r>
      <w:proofErr w:type="spellStart"/>
      <w:r w:rsidRPr="00B419CE">
        <w:t>dei</w:t>
      </w:r>
      <w:proofErr w:type="spellEnd"/>
      <w:r w:rsidRPr="00B419CE">
        <w:t xml:space="preserve"> tilfelle der Skatteetaten sender </w:t>
      </w:r>
      <w:proofErr w:type="spellStart"/>
      <w:r w:rsidRPr="00B419CE">
        <w:t>midlane</w:t>
      </w:r>
      <w:proofErr w:type="spellEnd"/>
      <w:r w:rsidRPr="00B419CE">
        <w:t xml:space="preserve"> </w:t>
      </w:r>
      <w:proofErr w:type="spellStart"/>
      <w:r w:rsidRPr="00B419CE">
        <w:t>vidare</w:t>
      </w:r>
      <w:proofErr w:type="spellEnd"/>
      <w:r w:rsidRPr="00B419CE">
        <w:t xml:space="preserve">. Mellomværet skal </w:t>
      </w:r>
      <w:proofErr w:type="spellStart"/>
      <w:r w:rsidRPr="00B419CE">
        <w:t>utliknast</w:t>
      </w:r>
      <w:proofErr w:type="spellEnd"/>
      <w:r w:rsidRPr="00B419CE">
        <w:t xml:space="preserve"> i perioden Skatteetaten sender </w:t>
      </w:r>
      <w:proofErr w:type="spellStart"/>
      <w:r w:rsidRPr="00B419CE">
        <w:t>midlane</w:t>
      </w:r>
      <w:proofErr w:type="spellEnd"/>
      <w:r w:rsidRPr="00B419CE">
        <w:t xml:space="preserve"> </w:t>
      </w:r>
      <w:proofErr w:type="spellStart"/>
      <w:r w:rsidRPr="00B419CE">
        <w:t>vidare</w:t>
      </w:r>
      <w:proofErr w:type="spellEnd"/>
      <w:r w:rsidRPr="00B419CE">
        <w:t xml:space="preserve"> til aktuell aktør.</w:t>
      </w:r>
    </w:p>
    <w:p w14:paraId="41CCA9B6" w14:textId="0BC34789" w:rsidR="00B419CE" w:rsidRPr="00DF1D6A" w:rsidRDefault="00DF1D6A" w:rsidP="00DF1D6A">
      <w:pPr>
        <w:pStyle w:val="Overskrift1"/>
        <w:numPr>
          <w:ilvl w:val="0"/>
          <w:numId w:val="25"/>
        </w:numPr>
        <w:jc w:val="left"/>
        <w:rPr>
          <w:color w:val="FF0000"/>
        </w:rPr>
      </w:pPr>
      <w:r w:rsidRPr="00DF1D6A">
        <w:rPr>
          <w:color w:val="FF0000"/>
        </w:rPr>
        <w:lastRenderedPageBreak/>
        <w:t>[</w:t>
      </w:r>
      <w:proofErr w:type="spellStart"/>
      <w:r w:rsidRPr="00DF1D6A">
        <w:rPr>
          <w:color w:val="FF0000"/>
        </w:rPr>
        <w:t>Vedleggsnr</w:t>
      </w:r>
      <w:proofErr w:type="spellEnd"/>
      <w:r w:rsidRPr="00DF1D6A">
        <w:rPr>
          <w:color w:val="FF0000"/>
        </w:rPr>
        <w:t xml:space="preserve"> reset]</w:t>
      </w:r>
    </w:p>
    <w:p w14:paraId="63977BBD" w14:textId="77777777" w:rsidR="00B419CE" w:rsidRPr="00B419CE" w:rsidRDefault="00B419CE" w:rsidP="00B419CE">
      <w:pPr>
        <w:pStyle w:val="vedlegg-nr"/>
      </w:pPr>
    </w:p>
    <w:p w14:paraId="4572EC95" w14:textId="77777777" w:rsidR="00B419CE" w:rsidRPr="00B419CE" w:rsidRDefault="00B419CE" w:rsidP="00B419CE">
      <w:pPr>
        <w:pStyle w:val="vedlegg-tit"/>
      </w:pPr>
      <w:proofErr w:type="spellStart"/>
      <w:r w:rsidRPr="00B419CE">
        <w:t>Tilsetjingsvilkåra</w:t>
      </w:r>
      <w:proofErr w:type="spellEnd"/>
      <w:r w:rsidRPr="00B419CE">
        <w:t xml:space="preserve"> for </w:t>
      </w:r>
      <w:proofErr w:type="spellStart"/>
      <w:r w:rsidRPr="00B419CE">
        <w:t>leiarane</w:t>
      </w:r>
      <w:proofErr w:type="spellEnd"/>
      <w:r w:rsidRPr="00B419CE">
        <w:t xml:space="preserve"> i </w:t>
      </w:r>
      <w:proofErr w:type="spellStart"/>
      <w:r w:rsidRPr="00B419CE">
        <w:t>heileigde</w:t>
      </w:r>
      <w:proofErr w:type="spellEnd"/>
      <w:r w:rsidRPr="00B419CE">
        <w:t xml:space="preserve"> </w:t>
      </w:r>
      <w:proofErr w:type="spellStart"/>
      <w:r w:rsidRPr="00B419CE">
        <w:t>statlege</w:t>
      </w:r>
      <w:proofErr w:type="spellEnd"/>
      <w:r w:rsidRPr="00B419CE">
        <w:t xml:space="preserve"> </w:t>
      </w:r>
      <w:proofErr w:type="spellStart"/>
      <w:r w:rsidRPr="00B419CE">
        <w:t>føretak</w:t>
      </w:r>
      <w:proofErr w:type="spellEnd"/>
    </w:p>
    <w:p w14:paraId="64EAF1AF" w14:textId="77777777" w:rsidR="00B419CE" w:rsidRPr="00B419CE" w:rsidRDefault="00B419CE" w:rsidP="00B419CE">
      <w:pPr>
        <w:pStyle w:val="Overskrift2"/>
      </w:pPr>
      <w:proofErr w:type="spellStart"/>
      <w:r w:rsidRPr="00B419CE">
        <w:t>Noregs</w:t>
      </w:r>
      <w:proofErr w:type="spellEnd"/>
      <w:r w:rsidRPr="00B419CE">
        <w:t xml:space="preserve"> Bank</w:t>
      </w:r>
    </w:p>
    <w:p w14:paraId="2446B372" w14:textId="77777777" w:rsidR="00B419CE" w:rsidRPr="00B419CE" w:rsidRDefault="00B419CE" w:rsidP="00B419CE">
      <w:r w:rsidRPr="00B419CE">
        <w:t xml:space="preserve">Sentralbanksjef Øystein Olsen er tilsett på åremål </w:t>
      </w:r>
      <w:proofErr w:type="spellStart"/>
      <w:r w:rsidRPr="00B419CE">
        <w:t>frå</w:t>
      </w:r>
      <w:proofErr w:type="spellEnd"/>
      <w:r w:rsidRPr="00B419CE">
        <w:t xml:space="preserve"> 1. januar 2017 og ut 2022. Han melde 28. august 2021 til Finansdepartementet at han </w:t>
      </w:r>
      <w:proofErr w:type="spellStart"/>
      <w:r w:rsidRPr="00B419CE">
        <w:t>ynskjer</w:t>
      </w:r>
      <w:proofErr w:type="spellEnd"/>
      <w:r w:rsidRPr="00B419CE">
        <w:t xml:space="preserve"> å </w:t>
      </w:r>
      <w:proofErr w:type="spellStart"/>
      <w:r w:rsidRPr="00B419CE">
        <w:t>fråtre</w:t>
      </w:r>
      <w:proofErr w:type="spellEnd"/>
      <w:r w:rsidRPr="00B419CE">
        <w:t xml:space="preserve"> stillinga i februar 2022. Sentralbanksjefen leier òg hovedstyret i </w:t>
      </w:r>
      <w:proofErr w:type="spellStart"/>
      <w:r w:rsidRPr="00B419CE">
        <w:t>Noregs</w:t>
      </w:r>
      <w:proofErr w:type="spellEnd"/>
      <w:r w:rsidRPr="00B419CE">
        <w:t xml:space="preserve"> Bank.</w:t>
      </w:r>
    </w:p>
    <w:p w14:paraId="475EF355" w14:textId="77777777" w:rsidR="00B419CE" w:rsidRPr="00B419CE" w:rsidRDefault="00B419CE" w:rsidP="00B419CE">
      <w:r w:rsidRPr="00B419CE">
        <w:t xml:space="preserve">Løna til sentralbanksjefen utgjorde 2 524 121 kroner i 2020. Verdien av andre </w:t>
      </w:r>
      <w:proofErr w:type="spellStart"/>
      <w:r w:rsidRPr="00B419CE">
        <w:t>føremoner</w:t>
      </w:r>
      <w:proofErr w:type="spellEnd"/>
      <w:r w:rsidRPr="00B419CE">
        <w:t xml:space="preserve"> utgjorde same året 163 647 kroner. Sentralbanksjefens pensjon er regulert gjennom ei eiga pensjonsordning. Maksimalt pensjonsgrunnlag er 12 ganger Folketrygdens grunnbeløp (12 G).</w:t>
      </w:r>
    </w:p>
    <w:p w14:paraId="20A9D255" w14:textId="77777777" w:rsidR="00B419CE" w:rsidRPr="00B419CE" w:rsidRDefault="00B419CE" w:rsidP="00B419CE">
      <w:pPr>
        <w:pStyle w:val="Overskrift2"/>
      </w:pPr>
      <w:r w:rsidRPr="00B419CE">
        <w:t>Folketrygdfondet</w:t>
      </w:r>
    </w:p>
    <w:p w14:paraId="2DF6C12D" w14:textId="77777777" w:rsidR="00B419CE" w:rsidRPr="00B419CE" w:rsidRDefault="00B419CE" w:rsidP="00B419CE">
      <w:r w:rsidRPr="00B419CE">
        <w:t xml:space="preserve">Folketrygdfondet er </w:t>
      </w:r>
      <w:proofErr w:type="spellStart"/>
      <w:r w:rsidRPr="00B419CE">
        <w:t>eit</w:t>
      </w:r>
      <w:proofErr w:type="spellEnd"/>
      <w:r w:rsidRPr="00B419CE">
        <w:t xml:space="preserve"> særlovselskap, jf. lov 29. juni 2007 nr. 44 om Folketrygdfondet.</w:t>
      </w:r>
    </w:p>
    <w:p w14:paraId="6E5D9AF6" w14:textId="77777777" w:rsidR="00B419CE" w:rsidRPr="00B419CE" w:rsidRDefault="00B419CE" w:rsidP="00B419CE">
      <w:r w:rsidRPr="00B419CE">
        <w:t xml:space="preserve">Løna til </w:t>
      </w:r>
      <w:proofErr w:type="spellStart"/>
      <w:r w:rsidRPr="00B419CE">
        <w:t>administrerande</w:t>
      </w:r>
      <w:proofErr w:type="spellEnd"/>
      <w:r w:rsidRPr="00B419CE">
        <w:t xml:space="preserve"> direktør utgjorde 3 900 000 kroner i 2020 og anna </w:t>
      </w:r>
      <w:proofErr w:type="spellStart"/>
      <w:r w:rsidRPr="00B419CE">
        <w:t>godtgjersle</w:t>
      </w:r>
      <w:proofErr w:type="spellEnd"/>
      <w:r w:rsidRPr="00B419CE">
        <w:t xml:space="preserve"> 71 000 kroner.</w:t>
      </w:r>
    </w:p>
    <w:p w14:paraId="180EB160" w14:textId="77777777" w:rsidR="00B419CE" w:rsidRPr="00B419CE" w:rsidRDefault="00B419CE" w:rsidP="00B419CE">
      <w:proofErr w:type="spellStart"/>
      <w:r w:rsidRPr="00B419CE">
        <w:t>Administrerande</w:t>
      </w:r>
      <w:proofErr w:type="spellEnd"/>
      <w:r w:rsidRPr="00B419CE">
        <w:t xml:space="preserve"> direktør må </w:t>
      </w:r>
      <w:proofErr w:type="spellStart"/>
      <w:r w:rsidRPr="00B419CE">
        <w:t>fråtre</w:t>
      </w:r>
      <w:proofErr w:type="spellEnd"/>
      <w:r w:rsidRPr="00B419CE">
        <w:t xml:space="preserve"> </w:t>
      </w:r>
      <w:proofErr w:type="spellStart"/>
      <w:r w:rsidRPr="00B419CE">
        <w:t>si</w:t>
      </w:r>
      <w:proofErr w:type="spellEnd"/>
      <w:r w:rsidRPr="00B419CE">
        <w:t xml:space="preserve"> stilling </w:t>
      </w:r>
      <w:proofErr w:type="spellStart"/>
      <w:r w:rsidRPr="00B419CE">
        <w:t>seinast</w:t>
      </w:r>
      <w:proofErr w:type="spellEnd"/>
      <w:r w:rsidRPr="00B419CE">
        <w:t xml:space="preserve"> ved fylte 70 år. </w:t>
      </w:r>
      <w:proofErr w:type="spellStart"/>
      <w:r w:rsidRPr="00B419CE">
        <w:t>Oppseiingstida</w:t>
      </w:r>
      <w:proofErr w:type="spellEnd"/>
      <w:r w:rsidRPr="00B419CE">
        <w:t xml:space="preserve"> er seks </w:t>
      </w:r>
      <w:proofErr w:type="spellStart"/>
      <w:r w:rsidRPr="00B419CE">
        <w:t>månader</w:t>
      </w:r>
      <w:proofErr w:type="spellEnd"/>
      <w:r w:rsidRPr="00B419CE">
        <w:t xml:space="preserve">. </w:t>
      </w:r>
      <w:proofErr w:type="spellStart"/>
      <w:r w:rsidRPr="00B419CE">
        <w:t>Administrerande</w:t>
      </w:r>
      <w:proofErr w:type="spellEnd"/>
      <w:r w:rsidRPr="00B419CE">
        <w:t xml:space="preserve"> direktør har rett til </w:t>
      </w:r>
      <w:proofErr w:type="spellStart"/>
      <w:r w:rsidRPr="00B419CE">
        <w:t>etterløn</w:t>
      </w:r>
      <w:proofErr w:type="spellEnd"/>
      <w:r w:rsidRPr="00B419CE">
        <w:t xml:space="preserve"> </w:t>
      </w:r>
      <w:proofErr w:type="spellStart"/>
      <w:r w:rsidRPr="00B419CE">
        <w:t>tilsvarande</w:t>
      </w:r>
      <w:proofErr w:type="spellEnd"/>
      <w:r w:rsidRPr="00B419CE">
        <w:t xml:space="preserve"> seks </w:t>
      </w:r>
      <w:proofErr w:type="spellStart"/>
      <w:r w:rsidRPr="00B419CE">
        <w:t>månaders</w:t>
      </w:r>
      <w:proofErr w:type="spellEnd"/>
      <w:r w:rsidRPr="00B419CE">
        <w:t xml:space="preserve"> </w:t>
      </w:r>
      <w:proofErr w:type="spellStart"/>
      <w:r w:rsidRPr="00B419CE">
        <w:t>løn</w:t>
      </w:r>
      <w:proofErr w:type="spellEnd"/>
      <w:r w:rsidRPr="00B419CE">
        <w:t xml:space="preserve">, </w:t>
      </w:r>
      <w:proofErr w:type="spellStart"/>
      <w:r w:rsidRPr="00B419CE">
        <w:t>rekna</w:t>
      </w:r>
      <w:proofErr w:type="spellEnd"/>
      <w:r w:rsidRPr="00B419CE">
        <w:t xml:space="preserve"> </w:t>
      </w:r>
      <w:proofErr w:type="spellStart"/>
      <w:r w:rsidRPr="00B419CE">
        <w:t>frå</w:t>
      </w:r>
      <w:proofErr w:type="spellEnd"/>
      <w:r w:rsidRPr="00B419CE">
        <w:t xml:space="preserve"> utgangen av </w:t>
      </w:r>
      <w:proofErr w:type="spellStart"/>
      <w:r w:rsidRPr="00B419CE">
        <w:t>oppseiingstida</w:t>
      </w:r>
      <w:proofErr w:type="spellEnd"/>
      <w:r w:rsidRPr="00B419CE">
        <w:t xml:space="preserve">, dersom han vert oppsagd eller </w:t>
      </w:r>
      <w:proofErr w:type="spellStart"/>
      <w:r w:rsidRPr="00B419CE">
        <w:t>sjølv</w:t>
      </w:r>
      <w:proofErr w:type="spellEnd"/>
      <w:r w:rsidRPr="00B419CE">
        <w:t xml:space="preserve"> seier opp etter avtale med styret. Det er </w:t>
      </w:r>
      <w:proofErr w:type="spellStart"/>
      <w:r w:rsidRPr="00B419CE">
        <w:t>ikkje</w:t>
      </w:r>
      <w:proofErr w:type="spellEnd"/>
      <w:r w:rsidRPr="00B419CE">
        <w:t xml:space="preserve"> knytt rett til </w:t>
      </w:r>
      <w:proofErr w:type="spellStart"/>
      <w:r w:rsidRPr="00B419CE">
        <w:t>feriepengar</w:t>
      </w:r>
      <w:proofErr w:type="spellEnd"/>
      <w:r w:rsidRPr="00B419CE">
        <w:t xml:space="preserve"> eller pensjon til </w:t>
      </w:r>
      <w:proofErr w:type="spellStart"/>
      <w:r w:rsidRPr="00B419CE">
        <w:t>etterløna</w:t>
      </w:r>
      <w:proofErr w:type="spellEnd"/>
      <w:r w:rsidRPr="00B419CE">
        <w:t>.</w:t>
      </w:r>
    </w:p>
    <w:p w14:paraId="1225E0C5" w14:textId="1C92F5AC" w:rsidR="001D6512" w:rsidRPr="00B419CE" w:rsidRDefault="00B419CE" w:rsidP="00B419CE">
      <w:r w:rsidRPr="00B419CE">
        <w:t xml:space="preserve">Folketrygdfondet har </w:t>
      </w:r>
      <w:proofErr w:type="spellStart"/>
      <w:r w:rsidRPr="00B419CE">
        <w:t>ein</w:t>
      </w:r>
      <w:proofErr w:type="spellEnd"/>
      <w:r w:rsidRPr="00B419CE">
        <w:t xml:space="preserve"> avtale om innskottsbasert pensjonsordning for </w:t>
      </w:r>
      <w:proofErr w:type="spellStart"/>
      <w:r w:rsidRPr="00B419CE">
        <w:t>dei</w:t>
      </w:r>
      <w:proofErr w:type="spellEnd"/>
      <w:r w:rsidRPr="00B419CE">
        <w:t xml:space="preserve"> tilsette. Dersom </w:t>
      </w:r>
      <w:proofErr w:type="spellStart"/>
      <w:r w:rsidRPr="00B419CE">
        <w:t>administrerande</w:t>
      </w:r>
      <w:proofErr w:type="spellEnd"/>
      <w:r w:rsidRPr="00B419CE">
        <w:t xml:space="preserve"> direktør i perioden </w:t>
      </w:r>
      <w:proofErr w:type="spellStart"/>
      <w:r w:rsidRPr="00B419CE">
        <w:t>frå</w:t>
      </w:r>
      <w:proofErr w:type="spellEnd"/>
      <w:r w:rsidRPr="00B419CE">
        <w:t xml:space="preserve"> han er 65 til 67 år </w:t>
      </w:r>
      <w:proofErr w:type="spellStart"/>
      <w:r w:rsidRPr="00B419CE">
        <w:t>tek</w:t>
      </w:r>
      <w:proofErr w:type="spellEnd"/>
      <w:r w:rsidRPr="00B419CE">
        <w:t xml:space="preserve"> imot yting knytt til sjukdom eller arbeidsuførleik, </w:t>
      </w:r>
      <w:proofErr w:type="spellStart"/>
      <w:r w:rsidRPr="00B419CE">
        <w:t>frå</w:t>
      </w:r>
      <w:proofErr w:type="spellEnd"/>
      <w:r w:rsidRPr="00B419CE">
        <w:t xml:space="preserve"> Nav og/eller </w:t>
      </w:r>
      <w:proofErr w:type="spellStart"/>
      <w:r w:rsidRPr="00B419CE">
        <w:t>tenestepensjonsordningar</w:t>
      </w:r>
      <w:proofErr w:type="spellEnd"/>
      <w:r w:rsidRPr="00B419CE">
        <w:t xml:space="preserve">, vil </w:t>
      </w:r>
      <w:proofErr w:type="spellStart"/>
      <w:r w:rsidRPr="00B419CE">
        <w:t>desse</w:t>
      </w:r>
      <w:proofErr w:type="spellEnd"/>
      <w:r w:rsidRPr="00B419CE">
        <w:t xml:space="preserve"> </w:t>
      </w:r>
      <w:proofErr w:type="spellStart"/>
      <w:r w:rsidRPr="00B419CE">
        <w:t>ytingane</w:t>
      </w:r>
      <w:proofErr w:type="spellEnd"/>
      <w:r w:rsidRPr="00B419CE">
        <w:t xml:space="preserve"> </w:t>
      </w:r>
      <w:proofErr w:type="spellStart"/>
      <w:r w:rsidRPr="00B419CE">
        <w:t>kome</w:t>
      </w:r>
      <w:proofErr w:type="spellEnd"/>
      <w:r w:rsidRPr="00B419CE">
        <w:t xml:space="preserve"> til </w:t>
      </w:r>
      <w:proofErr w:type="spellStart"/>
      <w:r w:rsidRPr="00B419CE">
        <w:t>frådrag</w:t>
      </w:r>
      <w:proofErr w:type="spellEnd"/>
      <w:r w:rsidRPr="00B419CE">
        <w:t xml:space="preserve"> i pensjonen </w:t>
      </w:r>
      <w:proofErr w:type="spellStart"/>
      <w:r w:rsidRPr="00B419CE">
        <w:t>frå</w:t>
      </w:r>
      <w:proofErr w:type="spellEnd"/>
      <w:r w:rsidRPr="00B419CE">
        <w:t xml:space="preserve"> Folketrygdfondet i denne perioden. Pensjon for </w:t>
      </w:r>
      <w:proofErr w:type="spellStart"/>
      <w:r w:rsidRPr="00B419CE">
        <w:t>administrerande</w:t>
      </w:r>
      <w:proofErr w:type="spellEnd"/>
      <w:r w:rsidRPr="00B419CE">
        <w:t xml:space="preserve"> direktør vil </w:t>
      </w:r>
      <w:proofErr w:type="spellStart"/>
      <w:r w:rsidRPr="00B419CE">
        <w:t>verte</w:t>
      </w:r>
      <w:proofErr w:type="spellEnd"/>
      <w:r w:rsidRPr="00B419CE">
        <w:t xml:space="preserve"> samordna med alderspensjon </w:t>
      </w:r>
      <w:proofErr w:type="spellStart"/>
      <w:r w:rsidRPr="00B419CE">
        <w:t>frå</w:t>
      </w:r>
      <w:proofErr w:type="spellEnd"/>
      <w:r w:rsidRPr="00B419CE">
        <w:t xml:space="preserve"> folketrygda, oppsett rettighet i Statens pensjonskasse og innskottspensjon </w:t>
      </w:r>
      <w:proofErr w:type="spellStart"/>
      <w:r w:rsidRPr="00B419CE">
        <w:t>frå</w:t>
      </w:r>
      <w:proofErr w:type="spellEnd"/>
      <w:r w:rsidRPr="00B419CE">
        <w:t xml:space="preserve"> 67 år.</w:t>
      </w:r>
      <w:bookmarkEnd w:id="0"/>
    </w:p>
    <w:sectPr w:rsidR="001D6512" w:rsidRPr="00B419CE" w:rsidSect="00ED0AC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6556C" w14:textId="77777777" w:rsidR="00B32459" w:rsidRDefault="00B32459" w:rsidP="009B113F">
      <w:pPr>
        <w:spacing w:line="240" w:lineRule="auto"/>
      </w:pPr>
      <w:r>
        <w:separator/>
      </w:r>
    </w:p>
  </w:endnote>
  <w:endnote w:type="continuationSeparator" w:id="0">
    <w:p w14:paraId="18E9176D" w14:textId="77777777" w:rsidR="00B32459" w:rsidRDefault="00B32459"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39F2" w14:textId="77777777" w:rsidR="00B32459" w:rsidRDefault="00B32459">
    <w:pPr>
      <w:widowControl w:val="0"/>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C8DB1" w14:textId="77777777" w:rsidR="00B32459" w:rsidRPr="00B419CE" w:rsidRDefault="00B32459" w:rsidP="00B419C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7C6D4" w14:textId="77777777" w:rsidR="00B32459" w:rsidRDefault="00B324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CAEEC" w14:textId="77777777" w:rsidR="00B32459" w:rsidRDefault="00B32459" w:rsidP="009B113F">
      <w:pPr>
        <w:spacing w:line="240" w:lineRule="auto"/>
      </w:pPr>
      <w:r>
        <w:separator/>
      </w:r>
    </w:p>
  </w:footnote>
  <w:footnote w:type="continuationSeparator" w:id="0">
    <w:p w14:paraId="765B9D95" w14:textId="77777777" w:rsidR="00B32459" w:rsidRDefault="00B32459" w:rsidP="009B1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34F79" w14:textId="77777777" w:rsidR="00B32459" w:rsidRDefault="00B324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D949B" w14:textId="77777777" w:rsidR="00B32459" w:rsidRPr="00B419CE" w:rsidRDefault="00B32459" w:rsidP="00B419C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A0C33" w14:textId="77777777" w:rsidR="00B32459" w:rsidRDefault="00B3245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78776BD"/>
    <w:multiLevelType w:val="multilevel"/>
    <w:tmpl w:val="FACC2E28"/>
    <w:name w:val="FigurTabellRamme5"/>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D80396C"/>
    <w:multiLevelType w:val="multilevel"/>
    <w:tmpl w:val="FACC2E28"/>
    <w:name w:val="FigurTabellRamme"/>
    <w:lvl w:ilvl="0">
      <w:start w:val="1"/>
      <w:numFmt w:val="none"/>
      <w:suff w:val="space"/>
      <w:lvlText w:val=""/>
      <w:lvlJc w:val="left"/>
      <w:pPr>
        <w:ind w:left="0" w:firstLine="0"/>
      </w:pPr>
      <w:rPr>
        <w:rFonts w:hint="default"/>
      </w:rPr>
    </w:lvl>
    <w:lvl w:ilvl="1">
      <w:start w:val="1"/>
      <w:numFmt w:val="none"/>
      <w:suff w:val="space"/>
      <w:lvlText w:val=""/>
      <w:lvlJc w:val="left"/>
      <w:pPr>
        <w:ind w:left="1080" w:hanging="1080"/>
      </w:pPr>
      <w:rPr>
        <w:rFonts w:hint="default"/>
      </w:rPr>
    </w:lvl>
    <w:lvl w:ilvl="2">
      <w:start w:val="1"/>
      <w:numFmt w:val="none"/>
      <w:lvlRestart w:val="1"/>
      <w:suff w:val="space"/>
      <w:lvlText w:val=""/>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3C55747"/>
    <w:multiLevelType w:val="multilevel"/>
    <w:tmpl w:val="82AC8ECA"/>
    <w:name w:val="KapittelNummer2"/>
    <w:numStyleLink w:val="Overskrifter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15"/>
  </w:num>
  <w:num w:numId="2">
    <w:abstractNumId w:val="0"/>
  </w:num>
  <w:num w:numId="3">
    <w:abstractNumId w:val="13"/>
  </w:num>
  <w:num w:numId="4">
    <w:abstractNumId w:val="5"/>
  </w:num>
  <w:num w:numId="5">
    <w:abstractNumId w:val="11"/>
  </w:num>
  <w:num w:numId="6">
    <w:abstractNumId w:val="16"/>
  </w:num>
  <w:num w:numId="7">
    <w:abstractNumId w:val="2"/>
  </w:num>
  <w:num w:numId="8">
    <w:abstractNumId w:val="1"/>
  </w:num>
  <w:num w:numId="9">
    <w:abstractNumId w:val="12"/>
  </w:num>
  <w:num w:numId="10">
    <w:abstractNumId w:val="3"/>
  </w:num>
  <w:num w:numId="11">
    <w:abstractNumId w:val="10"/>
  </w:num>
  <w:num w:numId="12">
    <w:abstractNumId w:val="7"/>
  </w:num>
  <w:num w:numId="13">
    <w:abstractNumId w:val="18"/>
  </w:num>
  <w:num w:numId="14">
    <w:abstractNumId w:val="4"/>
  </w:num>
  <w:num w:numId="15">
    <w:abstractNumId w:val="14"/>
  </w:num>
  <w:num w:numId="16">
    <w:abstractNumId w:val="20"/>
  </w:num>
  <w:num w:numId="17">
    <w:abstractNumId w:val="8"/>
  </w:num>
  <w:num w:numId="18">
    <w:abstractNumId w:val="9"/>
  </w:num>
  <w:num w:numId="19">
    <w:abstractNumId w:val="2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proofState w:spelling="clean" w:grammar="clean"/>
  <w:attachedTemplate r:id="rId1"/>
  <w:linkStyles/>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37EB"/>
    <w:rsid w:val="00007FE6"/>
    <w:rsid w:val="00080BFD"/>
    <w:rsid w:val="000A0509"/>
    <w:rsid w:val="001D6512"/>
    <w:rsid w:val="00222B66"/>
    <w:rsid w:val="00247C16"/>
    <w:rsid w:val="0028070C"/>
    <w:rsid w:val="002D37EB"/>
    <w:rsid w:val="00400393"/>
    <w:rsid w:val="00450867"/>
    <w:rsid w:val="005507D0"/>
    <w:rsid w:val="00604331"/>
    <w:rsid w:val="0068762C"/>
    <w:rsid w:val="007C70D2"/>
    <w:rsid w:val="008974C0"/>
    <w:rsid w:val="008D5C55"/>
    <w:rsid w:val="00906496"/>
    <w:rsid w:val="00920011"/>
    <w:rsid w:val="009B113F"/>
    <w:rsid w:val="00A2297F"/>
    <w:rsid w:val="00A91875"/>
    <w:rsid w:val="00B24048"/>
    <w:rsid w:val="00B32459"/>
    <w:rsid w:val="00B419CE"/>
    <w:rsid w:val="00B44861"/>
    <w:rsid w:val="00B51E67"/>
    <w:rsid w:val="00B60103"/>
    <w:rsid w:val="00B90290"/>
    <w:rsid w:val="00BB3041"/>
    <w:rsid w:val="00D875E8"/>
    <w:rsid w:val="00DF1D6A"/>
    <w:rsid w:val="00E12EDE"/>
    <w:rsid w:val="00ED0ACC"/>
    <w:rsid w:val="00EE12D9"/>
    <w:rsid w:val="00FD08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4D0724"/>
  <w15:chartTrackingRefBased/>
  <w15:docId w15:val="{63CF28ED-2DF8-4F55-A7FB-005D3423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9CE"/>
    <w:pPr>
      <w:spacing w:after="120" w:line="276" w:lineRule="auto"/>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906496"/>
    <w:pPr>
      <w:keepNext/>
      <w:keepLines/>
      <w:numPr>
        <w:numId w:val="19"/>
      </w:numPr>
      <w:spacing w:before="360" w:after="80"/>
      <w:jc w:val="center"/>
      <w:outlineLvl w:val="0"/>
    </w:pPr>
    <w:rPr>
      <w:rFonts w:ascii="Arial" w:hAnsi="Arial"/>
      <w:b/>
      <w:spacing w:val="0"/>
      <w:kern w:val="28"/>
      <w:sz w:val="32"/>
    </w:rPr>
  </w:style>
  <w:style w:type="paragraph" w:styleId="Overskrift2">
    <w:name w:val="heading 2"/>
    <w:basedOn w:val="Normal"/>
    <w:next w:val="Normal"/>
    <w:link w:val="Overskrift2Tegn"/>
    <w:qFormat/>
    <w:rsid w:val="0090649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0649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0649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0649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0649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0649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0649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0649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0649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06496"/>
  </w:style>
  <w:style w:type="paragraph" w:styleId="Ingenmellomrom">
    <w:name w:val="No Spacing"/>
    <w:uiPriority w:val="1"/>
    <w:qFormat/>
    <w:rsid w:val="00906496"/>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906496"/>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906496"/>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906496"/>
    <w:rPr>
      <w:rFonts w:ascii="Arial" w:eastAsia="Times New Roman" w:hAnsi="Arial"/>
      <w:b/>
      <w:sz w:val="24"/>
      <w:lang w:eastAsia="nb-NO"/>
    </w:rPr>
  </w:style>
  <w:style w:type="character" w:customStyle="1" w:styleId="Overskrift4Tegn">
    <w:name w:val="Overskrift 4 Tegn"/>
    <w:basedOn w:val="Standardskriftforavsnitt"/>
    <w:link w:val="Overskrift4"/>
    <w:rsid w:val="00906496"/>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906496"/>
    <w:rPr>
      <w:rFonts w:ascii="Arial" w:eastAsia="Times New Roman" w:hAnsi="Arial"/>
      <w:i/>
      <w:sz w:val="24"/>
      <w:lang w:eastAsia="nb-NO"/>
    </w:rPr>
  </w:style>
  <w:style w:type="character" w:customStyle="1" w:styleId="Overskrift6Tegn">
    <w:name w:val="Overskrift 6 Tegn"/>
    <w:basedOn w:val="Standardskriftforavsnitt"/>
    <w:link w:val="Overskrift6"/>
    <w:rsid w:val="00906496"/>
    <w:rPr>
      <w:rFonts w:ascii="Arial" w:eastAsia="Times New Roman" w:hAnsi="Arial"/>
      <w:i/>
      <w:spacing w:val="4"/>
      <w:lang w:eastAsia="nb-NO"/>
    </w:rPr>
  </w:style>
  <w:style w:type="character" w:styleId="Utheving">
    <w:name w:val="Emphasis"/>
    <w:basedOn w:val="Standardskriftforavsnitt"/>
    <w:uiPriority w:val="20"/>
    <w:qFormat/>
    <w:rsid w:val="00906496"/>
    <w:rPr>
      <w:i/>
      <w:iCs/>
    </w:rPr>
  </w:style>
  <w:style w:type="character" w:styleId="Sterkutheving">
    <w:name w:val="Intense Emphasis"/>
    <w:basedOn w:val="Standardskriftforavsnitt"/>
    <w:uiPriority w:val="21"/>
    <w:qFormat/>
    <w:rsid w:val="00906496"/>
    <w:rPr>
      <w:b/>
      <w:bCs/>
      <w:i/>
      <w:iCs/>
      <w:color w:val="4472C4" w:themeColor="accent1"/>
    </w:rPr>
  </w:style>
  <w:style w:type="character" w:styleId="Sterk">
    <w:name w:val="Strong"/>
    <w:basedOn w:val="Standardskriftforavsnitt"/>
    <w:uiPriority w:val="22"/>
    <w:qFormat/>
    <w:rsid w:val="00906496"/>
    <w:rPr>
      <w:b/>
      <w:bCs/>
    </w:rPr>
  </w:style>
  <w:style w:type="paragraph" w:styleId="Sterktsitat">
    <w:name w:val="Intense Quote"/>
    <w:basedOn w:val="Normal"/>
    <w:next w:val="Normal"/>
    <w:link w:val="SterktsitatTegn"/>
    <w:uiPriority w:val="30"/>
    <w:qFormat/>
    <w:rsid w:val="00906496"/>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906496"/>
    <w:rPr>
      <w:rFonts w:ascii="Times New Roman" w:eastAsia="Times New Roman" w:hAnsi="Times New Roman"/>
      <w:b/>
      <w:bCs/>
      <w:i/>
      <w:iCs/>
      <w:color w:val="4472C4" w:themeColor="accent1"/>
      <w:spacing w:val="4"/>
      <w:sz w:val="24"/>
      <w:lang w:eastAsia="nb-NO"/>
    </w:rPr>
  </w:style>
  <w:style w:type="character" w:styleId="Svakreferanse">
    <w:name w:val="Subtle Reference"/>
    <w:basedOn w:val="Standardskriftforavsnitt"/>
    <w:uiPriority w:val="31"/>
    <w:qFormat/>
    <w:rsid w:val="00906496"/>
    <w:rPr>
      <w:smallCaps/>
      <w:color w:val="ED7D31" w:themeColor="accent2"/>
      <w:u w:val="single"/>
    </w:rPr>
  </w:style>
  <w:style w:type="character" w:styleId="Sterkreferanse">
    <w:name w:val="Intense Reference"/>
    <w:basedOn w:val="Standardskriftforavsnitt"/>
    <w:uiPriority w:val="32"/>
    <w:qFormat/>
    <w:rsid w:val="00906496"/>
    <w:rPr>
      <w:b/>
      <w:bCs/>
      <w:smallCaps/>
      <w:color w:val="ED7D31" w:themeColor="accent2"/>
      <w:spacing w:val="5"/>
      <w:u w:val="single"/>
    </w:rPr>
  </w:style>
  <w:style w:type="paragraph" w:styleId="Topptekst">
    <w:name w:val="header"/>
    <w:basedOn w:val="Normal"/>
    <w:link w:val="TopptekstTegn"/>
    <w:rsid w:val="00906496"/>
    <w:pPr>
      <w:tabs>
        <w:tab w:val="center" w:pos="4536"/>
        <w:tab w:val="right" w:pos="9072"/>
      </w:tabs>
    </w:pPr>
    <w:rPr>
      <w:spacing w:val="0"/>
      <w:sz w:val="20"/>
    </w:rPr>
  </w:style>
  <w:style w:type="character" w:customStyle="1" w:styleId="TopptekstTegn">
    <w:name w:val="Topptekst Tegn"/>
    <w:basedOn w:val="Standardskriftforavsnitt"/>
    <w:link w:val="Topptekst"/>
    <w:rsid w:val="00906496"/>
    <w:rPr>
      <w:rFonts w:ascii="Times New Roman" w:eastAsia="Times New Roman" w:hAnsi="Times New Roman"/>
      <w:sz w:val="20"/>
      <w:lang w:eastAsia="nb-NO"/>
    </w:rPr>
  </w:style>
  <w:style w:type="paragraph" w:styleId="Bunntekst">
    <w:name w:val="footer"/>
    <w:basedOn w:val="Normal"/>
    <w:link w:val="BunntekstTegn"/>
    <w:rsid w:val="00906496"/>
    <w:pPr>
      <w:tabs>
        <w:tab w:val="center" w:pos="4153"/>
        <w:tab w:val="right" w:pos="8306"/>
      </w:tabs>
    </w:pPr>
    <w:rPr>
      <w:sz w:val="20"/>
    </w:rPr>
  </w:style>
  <w:style w:type="character" w:customStyle="1" w:styleId="BunntekstTegn">
    <w:name w:val="Bunntekst Tegn"/>
    <w:basedOn w:val="Standardskriftforavsnitt"/>
    <w:link w:val="Bunntekst"/>
    <w:rsid w:val="00906496"/>
    <w:rPr>
      <w:rFonts w:ascii="Times New Roman" w:eastAsia="Times New Roman" w:hAnsi="Times New Roman"/>
      <w:spacing w:val="4"/>
      <w:sz w:val="20"/>
      <w:lang w:eastAsia="nb-NO"/>
    </w:rPr>
  </w:style>
  <w:style w:type="character" w:customStyle="1" w:styleId="Overskrift7Tegn">
    <w:name w:val="Overskrift 7 Tegn"/>
    <w:basedOn w:val="Standardskriftforavsnitt"/>
    <w:link w:val="Overskrift7"/>
    <w:rsid w:val="00906496"/>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906496"/>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906496"/>
    <w:rPr>
      <w:rFonts w:ascii="Arial" w:eastAsia="Times New Roman" w:hAnsi="Arial"/>
      <w:i/>
      <w:spacing w:val="4"/>
      <w:sz w:val="18"/>
      <w:lang w:eastAsia="nb-NO"/>
    </w:rPr>
  </w:style>
  <w:style w:type="table" w:customStyle="1" w:styleId="Tabell-VM">
    <w:name w:val="Tabell-VM"/>
    <w:basedOn w:val="Tabelltemaer"/>
    <w:uiPriority w:val="99"/>
    <w:qFormat/>
    <w:rsid w:val="0090649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06496"/>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0649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0649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06496"/>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i-hode-tit">
    <w:name w:val="i-hode-tit"/>
    <w:basedOn w:val="Normal"/>
    <w:autoRedefine/>
    <w:qFormat/>
    <w:rsid w:val="00906496"/>
    <w:pPr>
      <w:keepNext/>
      <w:keepLines/>
      <w:jc w:val="center"/>
    </w:pPr>
    <w:rPr>
      <w:rFonts w:eastAsia="Batang"/>
      <w:b/>
      <w:sz w:val="28"/>
    </w:rPr>
  </w:style>
  <w:style w:type="paragraph" w:customStyle="1" w:styleId="a-konge-tekst">
    <w:name w:val="a-konge-tekst"/>
    <w:basedOn w:val="Normal"/>
    <w:next w:val="Normal"/>
    <w:rsid w:val="00906496"/>
    <w:pPr>
      <w:keepNext/>
      <w:keepLines/>
      <w:spacing w:before="240" w:after="240"/>
    </w:pPr>
  </w:style>
  <w:style w:type="paragraph" w:customStyle="1" w:styleId="a-konge-tit">
    <w:name w:val="a-konge-tit"/>
    <w:basedOn w:val="Normal"/>
    <w:next w:val="Normal"/>
    <w:rsid w:val="00906496"/>
    <w:pPr>
      <w:keepNext/>
      <w:keepLines/>
      <w:spacing w:before="240"/>
      <w:jc w:val="center"/>
    </w:pPr>
    <w:rPr>
      <w:spacing w:val="30"/>
    </w:rPr>
  </w:style>
  <w:style w:type="paragraph" w:styleId="Liste">
    <w:name w:val="List"/>
    <w:basedOn w:val="Normal"/>
    <w:rsid w:val="00906496"/>
    <w:pPr>
      <w:numPr>
        <w:numId w:val="6"/>
      </w:numPr>
      <w:spacing w:line="240" w:lineRule="auto"/>
      <w:contextualSpacing/>
    </w:pPr>
  </w:style>
  <w:style w:type="paragraph" w:customStyle="1" w:styleId="alfaliste">
    <w:name w:val="alfaliste"/>
    <w:basedOn w:val="Normal"/>
    <w:rsid w:val="00906496"/>
    <w:pPr>
      <w:numPr>
        <w:numId w:val="3"/>
      </w:numPr>
      <w:spacing w:after="0"/>
    </w:pPr>
  </w:style>
  <w:style w:type="paragraph" w:styleId="Liste2">
    <w:name w:val="List 2"/>
    <w:basedOn w:val="Normal"/>
    <w:rsid w:val="00906496"/>
    <w:pPr>
      <w:numPr>
        <w:ilvl w:val="1"/>
        <w:numId w:val="6"/>
      </w:numPr>
      <w:spacing w:after="0"/>
    </w:pPr>
  </w:style>
  <w:style w:type="paragraph" w:customStyle="1" w:styleId="alfaliste2">
    <w:name w:val="alfaliste 2"/>
    <w:basedOn w:val="Liste2"/>
    <w:rsid w:val="00906496"/>
    <w:pPr>
      <w:numPr>
        <w:numId w:val="3"/>
      </w:numPr>
    </w:pPr>
  </w:style>
  <w:style w:type="paragraph" w:customStyle="1" w:styleId="alfaliste3">
    <w:name w:val="alfaliste 3"/>
    <w:basedOn w:val="Normal"/>
    <w:rsid w:val="00906496"/>
    <w:pPr>
      <w:numPr>
        <w:ilvl w:val="2"/>
        <w:numId w:val="3"/>
      </w:numPr>
      <w:spacing w:after="0"/>
    </w:pPr>
    <w:rPr>
      <w:spacing w:val="0"/>
    </w:rPr>
  </w:style>
  <w:style w:type="paragraph" w:customStyle="1" w:styleId="alfaliste4">
    <w:name w:val="alfaliste 4"/>
    <w:basedOn w:val="Normal"/>
    <w:rsid w:val="00906496"/>
    <w:pPr>
      <w:numPr>
        <w:ilvl w:val="3"/>
        <w:numId w:val="3"/>
      </w:numPr>
      <w:spacing w:after="0"/>
    </w:pPr>
    <w:rPr>
      <w:spacing w:val="0"/>
    </w:rPr>
  </w:style>
  <w:style w:type="paragraph" w:customStyle="1" w:styleId="alfaliste5">
    <w:name w:val="alfaliste 5"/>
    <w:basedOn w:val="Normal"/>
    <w:rsid w:val="00906496"/>
    <w:pPr>
      <w:numPr>
        <w:ilvl w:val="4"/>
        <w:numId w:val="3"/>
      </w:numPr>
      <w:spacing w:after="0"/>
    </w:pPr>
    <w:rPr>
      <w:rFonts w:cs="Times New Roman"/>
      <w:spacing w:val="0"/>
    </w:rPr>
  </w:style>
  <w:style w:type="paragraph" w:customStyle="1" w:styleId="a-tilraar-dep">
    <w:name w:val="a-tilraar-dep"/>
    <w:basedOn w:val="Normal"/>
    <w:next w:val="Normal"/>
    <w:rsid w:val="00906496"/>
    <w:pPr>
      <w:keepNext/>
      <w:keepLines/>
      <w:spacing w:before="240" w:after="240"/>
    </w:pPr>
  </w:style>
  <w:style w:type="paragraph" w:customStyle="1" w:styleId="a-tilraar-tit">
    <w:name w:val="a-tilraar-tit"/>
    <w:basedOn w:val="Normal"/>
    <w:next w:val="Normal"/>
    <w:rsid w:val="00906496"/>
    <w:pPr>
      <w:keepNext/>
      <w:keepLines/>
      <w:spacing w:before="240"/>
      <w:jc w:val="center"/>
    </w:pPr>
    <w:rPr>
      <w:spacing w:val="30"/>
    </w:rPr>
  </w:style>
  <w:style w:type="paragraph" w:customStyle="1" w:styleId="a-vedtak-del">
    <w:name w:val="a-vedtak-del"/>
    <w:basedOn w:val="Normal"/>
    <w:next w:val="Normal"/>
    <w:rsid w:val="00906496"/>
    <w:pPr>
      <w:spacing w:before="240"/>
      <w:jc w:val="center"/>
    </w:pPr>
  </w:style>
  <w:style w:type="paragraph" w:customStyle="1" w:styleId="a-vedtak-tekst">
    <w:name w:val="a-vedtak-tekst"/>
    <w:basedOn w:val="Normal"/>
    <w:next w:val="Normal"/>
    <w:rsid w:val="00906496"/>
    <w:pPr>
      <w:keepNext/>
      <w:jc w:val="center"/>
    </w:pPr>
  </w:style>
  <w:style w:type="paragraph" w:customStyle="1" w:styleId="a-vedtak-tit">
    <w:name w:val="a-vedtak-tit"/>
    <w:basedOn w:val="Normal"/>
    <w:next w:val="Normal"/>
    <w:rsid w:val="00906496"/>
    <w:pPr>
      <w:keepNext/>
      <w:jc w:val="center"/>
    </w:pPr>
    <w:rPr>
      <w:b/>
      <w:sz w:val="28"/>
    </w:rPr>
  </w:style>
  <w:style w:type="paragraph" w:customStyle="1" w:styleId="avsnitt-tittel">
    <w:name w:val="avsnitt-tittel"/>
    <w:basedOn w:val="Normal"/>
    <w:next w:val="Normal"/>
    <w:rsid w:val="00906496"/>
    <w:pPr>
      <w:keepNext/>
      <w:keepLines/>
      <w:spacing w:before="360" w:after="60"/>
    </w:pPr>
    <w:rPr>
      <w:rFonts w:ascii="Arial" w:hAnsi="Arial"/>
      <w:sz w:val="26"/>
    </w:rPr>
  </w:style>
  <w:style w:type="paragraph" w:customStyle="1" w:styleId="b-budkaptit">
    <w:name w:val="b-budkaptit"/>
    <w:basedOn w:val="Normal"/>
    <w:next w:val="Normal"/>
    <w:rsid w:val="00906496"/>
    <w:pPr>
      <w:keepNext/>
      <w:keepLines/>
      <w:spacing w:before="240" w:after="60"/>
      <w:ind w:left="1021" w:hanging="1021"/>
    </w:pPr>
    <w:rPr>
      <w:rFonts w:ascii="Arial" w:hAnsi="Arial"/>
      <w:b/>
      <w:spacing w:val="0"/>
      <w:sz w:val="28"/>
    </w:rPr>
  </w:style>
  <w:style w:type="paragraph" w:customStyle="1" w:styleId="b-post">
    <w:name w:val="b-post"/>
    <w:basedOn w:val="Normal"/>
    <w:next w:val="Normal"/>
    <w:rsid w:val="00906496"/>
    <w:pPr>
      <w:keepNext/>
      <w:keepLines/>
      <w:spacing w:before="360"/>
      <w:ind w:left="1021" w:hanging="1021"/>
    </w:pPr>
    <w:rPr>
      <w:rFonts w:ascii="Arial" w:hAnsi="Arial"/>
      <w:b/>
      <w:spacing w:val="0"/>
    </w:rPr>
  </w:style>
  <w:style w:type="paragraph" w:customStyle="1" w:styleId="b-progkat">
    <w:name w:val="b-progkat"/>
    <w:basedOn w:val="Normal"/>
    <w:next w:val="Normal"/>
    <w:rsid w:val="00906496"/>
    <w:pPr>
      <w:keepNext/>
      <w:keepLines/>
      <w:spacing w:before="360" w:after="80"/>
      <w:jc w:val="center"/>
    </w:pPr>
    <w:rPr>
      <w:rFonts w:ascii="Arial" w:hAnsi="Arial"/>
      <w:b/>
      <w:spacing w:val="0"/>
      <w:sz w:val="30"/>
    </w:rPr>
  </w:style>
  <w:style w:type="paragraph" w:customStyle="1" w:styleId="b-progomr">
    <w:name w:val="b-progomr"/>
    <w:basedOn w:val="Normal"/>
    <w:next w:val="Normal"/>
    <w:rsid w:val="00906496"/>
    <w:pPr>
      <w:keepNext/>
      <w:keepLines/>
      <w:spacing w:before="360" w:after="80"/>
      <w:jc w:val="center"/>
    </w:pPr>
    <w:rPr>
      <w:rFonts w:ascii="Arial" w:hAnsi="Arial"/>
      <w:b/>
      <w:spacing w:val="0"/>
      <w:sz w:val="32"/>
    </w:rPr>
  </w:style>
  <w:style w:type="paragraph" w:customStyle="1" w:styleId="dato">
    <w:name w:val="dato"/>
    <w:basedOn w:val="Normal"/>
    <w:next w:val="Normal"/>
    <w:rsid w:val="00906496"/>
  </w:style>
  <w:style w:type="paragraph" w:customStyle="1" w:styleId="del-nr">
    <w:name w:val="del-nr"/>
    <w:basedOn w:val="Normal"/>
    <w:qFormat/>
    <w:rsid w:val="00906496"/>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906496"/>
  </w:style>
  <w:style w:type="paragraph" w:customStyle="1" w:styleId="figur-tittel">
    <w:name w:val="figur-tittel"/>
    <w:basedOn w:val="Normal"/>
    <w:next w:val="Normal"/>
    <w:rsid w:val="00906496"/>
    <w:pPr>
      <w:numPr>
        <w:ilvl w:val="5"/>
        <w:numId w:val="19"/>
      </w:numPr>
    </w:pPr>
    <w:rPr>
      <w:rFonts w:ascii="Arial" w:hAnsi="Arial"/>
    </w:rPr>
  </w:style>
  <w:style w:type="paragraph" w:customStyle="1" w:styleId="forfatter">
    <w:name w:val="forfatter"/>
    <w:basedOn w:val="Normal"/>
    <w:next w:val="Normal"/>
    <w:rsid w:val="00906496"/>
    <w:pPr>
      <w:spacing w:before="240"/>
      <w:jc w:val="center"/>
    </w:pPr>
  </w:style>
  <w:style w:type="character" w:styleId="Fotnotereferanse">
    <w:name w:val="footnote reference"/>
    <w:basedOn w:val="Standardskriftforavsnitt"/>
    <w:rsid w:val="00906496"/>
    <w:rPr>
      <w:vertAlign w:val="superscript"/>
    </w:rPr>
  </w:style>
  <w:style w:type="paragraph" w:styleId="Fotnotetekst">
    <w:name w:val="footnote text"/>
    <w:basedOn w:val="Normal"/>
    <w:link w:val="FotnotetekstTegn"/>
    <w:rsid w:val="00906496"/>
    <w:rPr>
      <w:sz w:val="20"/>
    </w:rPr>
  </w:style>
  <w:style w:type="character" w:customStyle="1" w:styleId="FotnotetekstTegn">
    <w:name w:val="Fotnotetekst Tegn"/>
    <w:basedOn w:val="Standardskriftforavsnitt"/>
    <w:link w:val="Fotnotetekst"/>
    <w:rsid w:val="00906496"/>
    <w:rPr>
      <w:rFonts w:ascii="Times New Roman" w:eastAsia="Times New Roman" w:hAnsi="Times New Roman"/>
      <w:spacing w:val="4"/>
      <w:sz w:val="20"/>
      <w:lang w:eastAsia="nb-NO"/>
    </w:rPr>
  </w:style>
  <w:style w:type="character" w:customStyle="1" w:styleId="halvfet">
    <w:name w:val="halvfet"/>
    <w:basedOn w:val="Standardskriftforavsnitt"/>
    <w:rsid w:val="00906496"/>
    <w:rPr>
      <w:b/>
    </w:rPr>
  </w:style>
  <w:style w:type="paragraph" w:customStyle="1" w:styleId="hengende-innrykk">
    <w:name w:val="hengende-innrykk"/>
    <w:basedOn w:val="Normal"/>
    <w:next w:val="Normal"/>
    <w:rsid w:val="00906496"/>
    <w:pPr>
      <w:ind w:left="1418" w:hanging="1418"/>
    </w:pPr>
  </w:style>
  <w:style w:type="paragraph" w:customStyle="1" w:styleId="i-budkap-over">
    <w:name w:val="i-budkap-over"/>
    <w:basedOn w:val="Normal"/>
    <w:next w:val="Normal"/>
    <w:rsid w:val="00906496"/>
    <w:pPr>
      <w:jc w:val="right"/>
    </w:pPr>
    <w:rPr>
      <w:rFonts w:ascii="Times" w:hAnsi="Times"/>
      <w:b/>
      <w:noProof/>
    </w:rPr>
  </w:style>
  <w:style w:type="paragraph" w:customStyle="1" w:styleId="i-dep">
    <w:name w:val="i-dep"/>
    <w:basedOn w:val="Normal"/>
    <w:next w:val="Normal"/>
    <w:rsid w:val="00906496"/>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906496"/>
    <w:pPr>
      <w:keepNext/>
      <w:keepLines/>
      <w:spacing w:before="360"/>
      <w:jc w:val="center"/>
    </w:pPr>
    <w:rPr>
      <w:rFonts w:ascii="Times" w:hAnsi="Times"/>
      <w:b/>
      <w:noProof/>
    </w:rPr>
  </w:style>
  <w:style w:type="paragraph" w:styleId="INNH1">
    <w:name w:val="toc 1"/>
    <w:basedOn w:val="Normal"/>
    <w:next w:val="Normal"/>
    <w:rsid w:val="00906496"/>
    <w:pPr>
      <w:tabs>
        <w:tab w:val="right" w:leader="dot" w:pos="8306"/>
      </w:tabs>
    </w:pPr>
    <w:rPr>
      <w:spacing w:val="0"/>
    </w:rPr>
  </w:style>
  <w:style w:type="paragraph" w:styleId="INNH2">
    <w:name w:val="toc 2"/>
    <w:basedOn w:val="Normal"/>
    <w:next w:val="Normal"/>
    <w:rsid w:val="00906496"/>
    <w:pPr>
      <w:tabs>
        <w:tab w:val="right" w:leader="dot" w:pos="8306"/>
      </w:tabs>
      <w:ind w:left="200"/>
    </w:pPr>
    <w:rPr>
      <w:spacing w:val="0"/>
    </w:rPr>
  </w:style>
  <w:style w:type="paragraph" w:styleId="INNH3">
    <w:name w:val="toc 3"/>
    <w:basedOn w:val="Normal"/>
    <w:next w:val="Normal"/>
    <w:rsid w:val="00906496"/>
    <w:pPr>
      <w:tabs>
        <w:tab w:val="right" w:leader="dot" w:pos="8306"/>
      </w:tabs>
      <w:ind w:left="400"/>
    </w:pPr>
    <w:rPr>
      <w:spacing w:val="0"/>
    </w:rPr>
  </w:style>
  <w:style w:type="paragraph" w:styleId="INNH4">
    <w:name w:val="toc 4"/>
    <w:basedOn w:val="Normal"/>
    <w:next w:val="Normal"/>
    <w:rsid w:val="00906496"/>
    <w:pPr>
      <w:tabs>
        <w:tab w:val="right" w:leader="dot" w:pos="8306"/>
      </w:tabs>
      <w:ind w:left="600"/>
    </w:pPr>
    <w:rPr>
      <w:spacing w:val="0"/>
    </w:rPr>
  </w:style>
  <w:style w:type="paragraph" w:styleId="INNH5">
    <w:name w:val="toc 5"/>
    <w:basedOn w:val="Normal"/>
    <w:next w:val="Normal"/>
    <w:rsid w:val="00906496"/>
    <w:pPr>
      <w:tabs>
        <w:tab w:val="right" w:leader="dot" w:pos="8306"/>
      </w:tabs>
      <w:ind w:left="800"/>
    </w:pPr>
    <w:rPr>
      <w:spacing w:val="0"/>
    </w:rPr>
  </w:style>
  <w:style w:type="paragraph" w:customStyle="1" w:styleId="i-hode">
    <w:name w:val="i-hode"/>
    <w:basedOn w:val="Normal"/>
    <w:next w:val="Normal"/>
    <w:rsid w:val="00906496"/>
    <w:pPr>
      <w:keepNext/>
      <w:keepLines/>
      <w:spacing w:before="720"/>
      <w:jc w:val="center"/>
    </w:pPr>
    <w:rPr>
      <w:rFonts w:ascii="Times" w:hAnsi="Times"/>
      <w:b/>
      <w:noProof/>
      <w:sz w:val="56"/>
    </w:rPr>
  </w:style>
  <w:style w:type="paragraph" w:customStyle="1" w:styleId="i-saerskilt-vedl">
    <w:name w:val="i-saerskilt-vedl"/>
    <w:basedOn w:val="Normal"/>
    <w:next w:val="Normal"/>
    <w:rsid w:val="00906496"/>
    <w:pPr>
      <w:ind w:left="1985" w:hanging="1985"/>
    </w:pPr>
    <w:rPr>
      <w:spacing w:val="0"/>
    </w:rPr>
  </w:style>
  <w:style w:type="paragraph" w:customStyle="1" w:styleId="is-dep">
    <w:name w:val="is-dep"/>
    <w:basedOn w:val="i-dep"/>
    <w:qFormat/>
    <w:rsid w:val="00906496"/>
  </w:style>
  <w:style w:type="paragraph" w:customStyle="1" w:styleId="i-sesjon">
    <w:name w:val="i-sesjon"/>
    <w:basedOn w:val="Normal"/>
    <w:next w:val="Normal"/>
    <w:rsid w:val="00906496"/>
    <w:pPr>
      <w:jc w:val="center"/>
    </w:pPr>
    <w:rPr>
      <w:rFonts w:ascii="Times" w:hAnsi="Times"/>
      <w:b/>
      <w:noProof/>
      <w:sz w:val="28"/>
    </w:rPr>
  </w:style>
  <w:style w:type="paragraph" w:customStyle="1" w:styleId="i-statsrdato">
    <w:name w:val="i-statsr.dato"/>
    <w:basedOn w:val="Normal"/>
    <w:next w:val="Normal"/>
    <w:rsid w:val="00906496"/>
    <w:pPr>
      <w:spacing w:after="0"/>
      <w:jc w:val="center"/>
    </w:pPr>
    <w:rPr>
      <w:rFonts w:ascii="Times" w:hAnsi="Times"/>
      <w:i/>
      <w:noProof/>
    </w:rPr>
  </w:style>
  <w:style w:type="paragraph" w:customStyle="1" w:styleId="i-termin">
    <w:name w:val="i-termin"/>
    <w:basedOn w:val="Normal"/>
    <w:next w:val="Normal"/>
    <w:rsid w:val="00906496"/>
    <w:pPr>
      <w:spacing w:before="360"/>
      <w:jc w:val="center"/>
    </w:pPr>
    <w:rPr>
      <w:b/>
      <w:noProof/>
      <w:sz w:val="28"/>
    </w:rPr>
  </w:style>
  <w:style w:type="paragraph" w:customStyle="1" w:styleId="i-tit">
    <w:name w:val="i-tit"/>
    <w:basedOn w:val="Normal"/>
    <w:next w:val="i-statsrdato"/>
    <w:rsid w:val="00906496"/>
    <w:pPr>
      <w:keepNext/>
      <w:keepLines/>
      <w:spacing w:before="360" w:after="240"/>
      <w:jc w:val="center"/>
    </w:pPr>
    <w:rPr>
      <w:rFonts w:ascii="Times" w:hAnsi="Times"/>
      <w:noProof/>
      <w:sz w:val="40"/>
    </w:rPr>
  </w:style>
  <w:style w:type="paragraph" w:customStyle="1" w:styleId="i-undertit">
    <w:name w:val="i-undertit"/>
    <w:basedOn w:val="Normal"/>
    <w:next w:val="Normal"/>
    <w:rsid w:val="00906496"/>
    <w:pPr>
      <w:keepNext/>
      <w:keepLines/>
      <w:spacing w:before="360"/>
      <w:jc w:val="center"/>
    </w:pPr>
    <w:rPr>
      <w:rFonts w:ascii="Times" w:hAnsi="Times"/>
      <w:b/>
      <w:noProof/>
      <w:sz w:val="28"/>
    </w:rPr>
  </w:style>
  <w:style w:type="paragraph" w:customStyle="1" w:styleId="Kilde">
    <w:name w:val="Kilde"/>
    <w:basedOn w:val="Normal"/>
    <w:next w:val="Normal"/>
    <w:rsid w:val="00906496"/>
    <w:pPr>
      <w:spacing w:after="240"/>
    </w:pPr>
    <w:rPr>
      <w:sz w:val="20"/>
    </w:rPr>
  </w:style>
  <w:style w:type="character" w:customStyle="1" w:styleId="kursiv">
    <w:name w:val="kursiv"/>
    <w:basedOn w:val="Standardskriftforavsnitt"/>
    <w:rsid w:val="00906496"/>
    <w:rPr>
      <w:i/>
    </w:rPr>
  </w:style>
  <w:style w:type="character" w:customStyle="1" w:styleId="l-endring">
    <w:name w:val="l-endring"/>
    <w:basedOn w:val="Standardskriftforavsnitt"/>
    <w:rsid w:val="00906496"/>
    <w:rPr>
      <w:i/>
    </w:rPr>
  </w:style>
  <w:style w:type="paragraph" w:styleId="Liste3">
    <w:name w:val="List 3"/>
    <w:basedOn w:val="Normal"/>
    <w:rsid w:val="00906496"/>
    <w:pPr>
      <w:numPr>
        <w:ilvl w:val="2"/>
        <w:numId w:val="6"/>
      </w:numPr>
      <w:spacing w:after="0"/>
    </w:pPr>
    <w:rPr>
      <w:spacing w:val="0"/>
    </w:rPr>
  </w:style>
  <w:style w:type="paragraph" w:styleId="Liste4">
    <w:name w:val="List 4"/>
    <w:basedOn w:val="Normal"/>
    <w:rsid w:val="00906496"/>
    <w:pPr>
      <w:numPr>
        <w:ilvl w:val="3"/>
        <w:numId w:val="6"/>
      </w:numPr>
      <w:spacing w:after="0"/>
    </w:pPr>
    <w:rPr>
      <w:spacing w:val="0"/>
    </w:rPr>
  </w:style>
  <w:style w:type="paragraph" w:styleId="Liste5">
    <w:name w:val="List 5"/>
    <w:basedOn w:val="Normal"/>
    <w:rsid w:val="00906496"/>
    <w:pPr>
      <w:numPr>
        <w:ilvl w:val="4"/>
        <w:numId w:val="6"/>
      </w:numPr>
      <w:spacing w:after="0"/>
    </w:pPr>
    <w:rPr>
      <w:spacing w:val="0"/>
    </w:rPr>
  </w:style>
  <w:style w:type="paragraph" w:customStyle="1" w:styleId="l-lovdeltit">
    <w:name w:val="l-lovdeltit"/>
    <w:basedOn w:val="Normal"/>
    <w:next w:val="Normal"/>
    <w:rsid w:val="00906496"/>
    <w:pPr>
      <w:keepNext/>
      <w:spacing w:before="120" w:after="60"/>
    </w:pPr>
    <w:rPr>
      <w:b/>
      <w:spacing w:val="0"/>
    </w:rPr>
  </w:style>
  <w:style w:type="paragraph" w:customStyle="1" w:styleId="l-lovkap">
    <w:name w:val="l-lovkap"/>
    <w:basedOn w:val="Normal"/>
    <w:next w:val="Normal"/>
    <w:rsid w:val="00906496"/>
    <w:pPr>
      <w:keepNext/>
      <w:spacing w:before="240" w:after="40"/>
    </w:pPr>
    <w:rPr>
      <w:b/>
    </w:rPr>
  </w:style>
  <w:style w:type="paragraph" w:customStyle="1" w:styleId="l-lovtit">
    <w:name w:val="l-lovtit"/>
    <w:basedOn w:val="Normal"/>
    <w:next w:val="Normal"/>
    <w:rsid w:val="00906496"/>
    <w:pPr>
      <w:keepNext/>
      <w:spacing w:before="120" w:after="60"/>
    </w:pPr>
    <w:rPr>
      <w:b/>
    </w:rPr>
  </w:style>
  <w:style w:type="paragraph" w:customStyle="1" w:styleId="l-paragraf">
    <w:name w:val="l-paragraf"/>
    <w:basedOn w:val="Normal"/>
    <w:next w:val="Normal"/>
    <w:rsid w:val="00906496"/>
    <w:pPr>
      <w:spacing w:before="180" w:after="0"/>
    </w:pPr>
    <w:rPr>
      <w:rFonts w:ascii="Times" w:hAnsi="Times"/>
      <w:i/>
    </w:rPr>
  </w:style>
  <w:style w:type="character" w:styleId="Merknadsreferanse">
    <w:name w:val="annotation reference"/>
    <w:basedOn w:val="Standardskriftforavsnitt"/>
    <w:rsid w:val="00906496"/>
    <w:rPr>
      <w:sz w:val="16"/>
    </w:rPr>
  </w:style>
  <w:style w:type="paragraph" w:styleId="Merknadstekst">
    <w:name w:val="annotation text"/>
    <w:basedOn w:val="Normal"/>
    <w:link w:val="MerknadstekstTegn"/>
    <w:rsid w:val="00906496"/>
    <w:rPr>
      <w:spacing w:val="0"/>
      <w:sz w:val="20"/>
    </w:rPr>
  </w:style>
  <w:style w:type="character" w:customStyle="1" w:styleId="MerknadstekstTegn">
    <w:name w:val="Merknadstekst Tegn"/>
    <w:basedOn w:val="Standardskriftforavsnitt"/>
    <w:link w:val="Merknadstekst"/>
    <w:rsid w:val="00906496"/>
    <w:rPr>
      <w:rFonts w:ascii="Times New Roman" w:eastAsia="Times New Roman" w:hAnsi="Times New Roman"/>
      <w:sz w:val="20"/>
      <w:lang w:eastAsia="nb-NO"/>
    </w:rPr>
  </w:style>
  <w:style w:type="paragraph" w:styleId="Nummerertliste">
    <w:name w:val="List Number"/>
    <w:basedOn w:val="Normal"/>
    <w:rsid w:val="00906496"/>
    <w:pPr>
      <w:numPr>
        <w:numId w:val="4"/>
      </w:numPr>
      <w:spacing w:after="0"/>
    </w:pPr>
    <w:rPr>
      <w:rFonts w:ascii="Times" w:eastAsia="Batang" w:hAnsi="Times"/>
      <w:spacing w:val="0"/>
      <w:szCs w:val="20"/>
    </w:rPr>
  </w:style>
  <w:style w:type="paragraph" w:styleId="Nummerertliste2">
    <w:name w:val="List Number 2"/>
    <w:basedOn w:val="Normal"/>
    <w:rsid w:val="00906496"/>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906496"/>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906496"/>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906496"/>
    <w:pPr>
      <w:numPr>
        <w:ilvl w:val="4"/>
        <w:numId w:val="4"/>
      </w:numPr>
      <w:spacing w:after="0" w:line="240" w:lineRule="auto"/>
    </w:pPr>
    <w:rPr>
      <w:rFonts w:ascii="Times" w:eastAsia="Batang" w:hAnsi="Times"/>
      <w:spacing w:val="0"/>
      <w:szCs w:val="20"/>
    </w:rPr>
  </w:style>
  <w:style w:type="paragraph" w:customStyle="1" w:styleId="opplisting">
    <w:name w:val="opplisting"/>
    <w:basedOn w:val="Normal"/>
    <w:rsid w:val="00906496"/>
    <w:pPr>
      <w:spacing w:after="0"/>
    </w:pPr>
    <w:rPr>
      <w:rFonts w:ascii="Times" w:hAnsi="Times" w:cs="Times New Roman"/>
      <w:spacing w:val="0"/>
    </w:rPr>
  </w:style>
  <w:style w:type="paragraph" w:styleId="Punktliste">
    <w:name w:val="List Bullet"/>
    <w:basedOn w:val="Normal"/>
    <w:rsid w:val="00906496"/>
    <w:pPr>
      <w:spacing w:after="0"/>
      <w:ind w:left="284" w:hanging="284"/>
    </w:pPr>
  </w:style>
  <w:style w:type="paragraph" w:styleId="Punktliste2">
    <w:name w:val="List Bullet 2"/>
    <w:basedOn w:val="Normal"/>
    <w:rsid w:val="00906496"/>
    <w:pPr>
      <w:spacing w:after="0"/>
      <w:ind w:left="568" w:hanging="284"/>
    </w:pPr>
  </w:style>
  <w:style w:type="paragraph" w:styleId="Punktliste3">
    <w:name w:val="List Bullet 3"/>
    <w:basedOn w:val="Normal"/>
    <w:rsid w:val="00906496"/>
    <w:pPr>
      <w:spacing w:after="0"/>
      <w:ind w:left="851" w:hanging="284"/>
    </w:pPr>
  </w:style>
  <w:style w:type="paragraph" w:styleId="Punktliste4">
    <w:name w:val="List Bullet 4"/>
    <w:basedOn w:val="Normal"/>
    <w:rsid w:val="00906496"/>
    <w:pPr>
      <w:spacing w:after="0"/>
      <w:ind w:left="1135" w:hanging="284"/>
    </w:pPr>
    <w:rPr>
      <w:spacing w:val="0"/>
    </w:rPr>
  </w:style>
  <w:style w:type="paragraph" w:styleId="Punktliste5">
    <w:name w:val="List Bullet 5"/>
    <w:basedOn w:val="Normal"/>
    <w:rsid w:val="00906496"/>
    <w:pPr>
      <w:spacing w:after="0"/>
      <w:ind w:left="1418" w:hanging="284"/>
    </w:pPr>
    <w:rPr>
      <w:spacing w:val="0"/>
    </w:rPr>
  </w:style>
  <w:style w:type="paragraph" w:customStyle="1" w:styleId="romertallliste">
    <w:name w:val="romertall liste"/>
    <w:basedOn w:val="Normal"/>
    <w:rsid w:val="00906496"/>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906496"/>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906496"/>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906496"/>
    <w:pPr>
      <w:numPr>
        <w:ilvl w:val="3"/>
        <w:numId w:val="13"/>
      </w:numPr>
      <w:spacing w:after="0" w:line="240" w:lineRule="auto"/>
    </w:pPr>
    <w:rPr>
      <w:rFonts w:ascii="Times" w:eastAsia="Batang" w:hAnsi="Times"/>
      <w:spacing w:val="0"/>
      <w:szCs w:val="20"/>
    </w:rPr>
  </w:style>
  <w:style w:type="character" w:styleId="Sidetall">
    <w:name w:val="page number"/>
    <w:basedOn w:val="Standardskriftforavsnitt"/>
    <w:rsid w:val="00906496"/>
  </w:style>
  <w:style w:type="paragraph" w:customStyle="1" w:styleId="signatur">
    <w:name w:val="signatur"/>
    <w:basedOn w:val="Normal"/>
    <w:next w:val="Normal"/>
    <w:rsid w:val="00906496"/>
  </w:style>
  <w:style w:type="character" w:customStyle="1" w:styleId="skrift-hevet">
    <w:name w:val="skrift-hevet"/>
    <w:basedOn w:val="Standardskriftforavsnitt"/>
    <w:rsid w:val="00906496"/>
    <w:rPr>
      <w:vertAlign w:val="superscript"/>
    </w:rPr>
  </w:style>
  <w:style w:type="character" w:customStyle="1" w:styleId="skrift-senket">
    <w:name w:val="skrift-senket"/>
    <w:basedOn w:val="Standardskriftforavsnitt"/>
    <w:rsid w:val="00906496"/>
    <w:rPr>
      <w:vertAlign w:val="subscript"/>
    </w:rPr>
  </w:style>
  <w:style w:type="character" w:customStyle="1" w:styleId="sperret">
    <w:name w:val="sperret"/>
    <w:basedOn w:val="Standardskriftforavsnitt"/>
    <w:rsid w:val="00906496"/>
    <w:rPr>
      <w:spacing w:val="30"/>
    </w:rPr>
  </w:style>
  <w:style w:type="paragraph" w:customStyle="1" w:styleId="tabell-noter">
    <w:name w:val="tabell-noter"/>
    <w:basedOn w:val="Normal"/>
    <w:next w:val="Normal"/>
    <w:rsid w:val="0090649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06496"/>
    <w:pPr>
      <w:keepNext/>
      <w:keepLines/>
      <w:numPr>
        <w:ilvl w:val="6"/>
        <w:numId w:val="19"/>
      </w:numPr>
      <w:spacing w:before="240"/>
    </w:pPr>
    <w:rPr>
      <w:rFonts w:ascii="Arial" w:hAnsi="Arial"/>
    </w:rPr>
  </w:style>
  <w:style w:type="paragraph" w:customStyle="1" w:styleId="tittel-litteraturliste">
    <w:name w:val="tittel-litteraturliste"/>
    <w:basedOn w:val="Normal"/>
    <w:next w:val="Normal"/>
    <w:rsid w:val="00906496"/>
    <w:pPr>
      <w:keepNext/>
      <w:keepLines/>
      <w:spacing w:before="360" w:after="240"/>
      <w:jc w:val="center"/>
    </w:pPr>
    <w:rPr>
      <w:rFonts w:ascii="Arial" w:hAnsi="Arial"/>
      <w:b/>
      <w:sz w:val="28"/>
    </w:rPr>
  </w:style>
  <w:style w:type="paragraph" w:customStyle="1" w:styleId="tittel-ordforkl">
    <w:name w:val="tittel-ordforkl"/>
    <w:basedOn w:val="Normal"/>
    <w:next w:val="Normal"/>
    <w:rsid w:val="00906496"/>
    <w:pPr>
      <w:keepNext/>
      <w:keepLines/>
      <w:spacing w:before="360" w:after="240"/>
      <w:jc w:val="center"/>
    </w:pPr>
    <w:rPr>
      <w:rFonts w:ascii="Arial" w:hAnsi="Arial"/>
      <w:b/>
      <w:sz w:val="28"/>
    </w:rPr>
  </w:style>
  <w:style w:type="paragraph" w:customStyle="1" w:styleId="tittel-ramme">
    <w:name w:val="tittel-ramme"/>
    <w:basedOn w:val="Normal"/>
    <w:next w:val="Normal"/>
    <w:rsid w:val="00906496"/>
    <w:pPr>
      <w:keepNext/>
      <w:keepLines/>
      <w:numPr>
        <w:ilvl w:val="7"/>
        <w:numId w:val="19"/>
      </w:numPr>
      <w:spacing w:before="360" w:after="80"/>
      <w:jc w:val="center"/>
    </w:pPr>
    <w:rPr>
      <w:rFonts w:ascii="Arial" w:hAnsi="Arial"/>
      <w:b/>
    </w:rPr>
  </w:style>
  <w:style w:type="paragraph" w:styleId="Undertittel">
    <w:name w:val="Subtitle"/>
    <w:basedOn w:val="Normal"/>
    <w:next w:val="Normal"/>
    <w:link w:val="UndertittelTegn"/>
    <w:qFormat/>
    <w:rsid w:val="00906496"/>
    <w:pPr>
      <w:keepNext/>
      <w:keepLines/>
      <w:spacing w:before="360"/>
    </w:pPr>
    <w:rPr>
      <w:rFonts w:ascii="Arial" w:hAnsi="Arial"/>
      <w:b/>
      <w:sz w:val="28"/>
    </w:rPr>
  </w:style>
  <w:style w:type="character" w:customStyle="1" w:styleId="UndertittelTegn">
    <w:name w:val="Undertittel Tegn"/>
    <w:basedOn w:val="Standardskriftforavsnitt"/>
    <w:link w:val="Undertittel"/>
    <w:rsid w:val="00906496"/>
    <w:rPr>
      <w:rFonts w:ascii="Arial" w:eastAsia="Times New Roman" w:hAnsi="Arial"/>
      <w:b/>
      <w:spacing w:val="4"/>
      <w:sz w:val="28"/>
      <w:lang w:eastAsia="nb-NO"/>
    </w:rPr>
  </w:style>
  <w:style w:type="paragraph" w:customStyle="1" w:styleId="vedlegg-nr">
    <w:name w:val="vedlegg-nr"/>
    <w:basedOn w:val="Normal"/>
    <w:next w:val="Normal"/>
    <w:rsid w:val="00906496"/>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906496"/>
    <w:pPr>
      <w:numPr>
        <w:numId w:val="0"/>
      </w:numPr>
    </w:pPr>
    <w:rPr>
      <w:b w:val="0"/>
      <w:i/>
    </w:rPr>
  </w:style>
  <w:style w:type="paragraph" w:customStyle="1" w:styleId="Undervedl-tittel">
    <w:name w:val="Undervedl-tittel"/>
    <w:basedOn w:val="Normal"/>
    <w:next w:val="Normal"/>
    <w:rsid w:val="00906496"/>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906496"/>
    <w:pPr>
      <w:keepNext/>
      <w:keepLines/>
      <w:spacing w:before="360" w:after="80"/>
      <w:jc w:val="center"/>
    </w:pPr>
    <w:rPr>
      <w:rFonts w:ascii="Arial" w:hAnsi="Arial"/>
      <w:b/>
      <w:sz w:val="28"/>
    </w:rPr>
  </w:style>
  <w:style w:type="paragraph" w:customStyle="1" w:styleId="v-Overskrift1">
    <w:name w:val="v-Overskrift 1"/>
    <w:basedOn w:val="Overskrift1"/>
    <w:next w:val="Normal"/>
    <w:rsid w:val="00906496"/>
    <w:pPr>
      <w:numPr>
        <w:numId w:val="0"/>
      </w:numPr>
      <w:outlineLvl w:val="9"/>
    </w:pPr>
  </w:style>
  <w:style w:type="paragraph" w:customStyle="1" w:styleId="v-Overskrift2">
    <w:name w:val="v-Overskrift 2"/>
    <w:basedOn w:val="Overskrift2"/>
    <w:next w:val="Normal"/>
    <w:rsid w:val="00906496"/>
    <w:pPr>
      <w:numPr>
        <w:ilvl w:val="0"/>
        <w:numId w:val="0"/>
      </w:numPr>
      <w:outlineLvl w:val="9"/>
    </w:pPr>
  </w:style>
  <w:style w:type="paragraph" w:customStyle="1" w:styleId="v-Overskrift3">
    <w:name w:val="v-Overskrift 3"/>
    <w:basedOn w:val="Overskrift3"/>
    <w:next w:val="Normal"/>
    <w:rsid w:val="00906496"/>
    <w:pPr>
      <w:numPr>
        <w:ilvl w:val="0"/>
        <w:numId w:val="0"/>
      </w:numPr>
      <w:outlineLvl w:val="9"/>
    </w:pPr>
  </w:style>
  <w:style w:type="paragraph" w:customStyle="1" w:styleId="del-tittel">
    <w:name w:val="del-tittel"/>
    <w:uiPriority w:val="99"/>
    <w:rsid w:val="00906496"/>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906496"/>
    <w:pPr>
      <w:spacing w:line="240" w:lineRule="auto"/>
      <w:ind w:left="0" w:firstLine="0"/>
    </w:pPr>
    <w:rPr>
      <w:rFonts w:ascii="Times" w:eastAsia="Batang" w:hAnsi="Times"/>
      <w:spacing w:val="0"/>
      <w:szCs w:val="20"/>
    </w:rPr>
  </w:style>
  <w:style w:type="paragraph" w:customStyle="1" w:styleId="Term">
    <w:name w:val="Term"/>
    <w:basedOn w:val="hengende-innrykk"/>
    <w:rsid w:val="00906496"/>
    <w:pPr>
      <w:spacing w:line="240" w:lineRule="auto"/>
      <w:ind w:left="0" w:firstLine="0"/>
    </w:pPr>
    <w:rPr>
      <w:rFonts w:ascii="Times" w:eastAsia="Batang" w:hAnsi="Times"/>
      <w:spacing w:val="0"/>
      <w:szCs w:val="20"/>
    </w:rPr>
  </w:style>
  <w:style w:type="paragraph" w:customStyle="1" w:styleId="Tabellnavn">
    <w:name w:val="Tabellnavn"/>
    <w:basedOn w:val="Normal"/>
    <w:rsid w:val="00906496"/>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906496"/>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906496"/>
    <w:rPr>
      <w:color w:val="0000FF"/>
    </w:rPr>
  </w:style>
  <w:style w:type="paragraph" w:customStyle="1" w:styleId="ramme-noter">
    <w:name w:val="ramme-noter"/>
    <w:basedOn w:val="Normal"/>
    <w:next w:val="Normal"/>
    <w:rsid w:val="00906496"/>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906496"/>
    <w:pPr>
      <w:keepNext/>
      <w:keepLines/>
      <w:jc w:val="center"/>
    </w:pPr>
    <w:rPr>
      <w:rFonts w:ascii="Arial" w:hAnsi="Arial"/>
      <w:b/>
      <w:spacing w:val="0"/>
      <w:sz w:val="28"/>
    </w:rPr>
  </w:style>
  <w:style w:type="paragraph" w:customStyle="1" w:styleId="Ramme-slutt">
    <w:name w:val="Ramme-slutt"/>
    <w:basedOn w:val="Normal"/>
    <w:autoRedefine/>
    <w:rsid w:val="00906496"/>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906496"/>
    <w:pPr>
      <w:spacing w:after="200" w:line="276"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06496"/>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0649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06496"/>
    <w:pPr>
      <w:spacing w:after="0" w:line="240" w:lineRule="auto"/>
      <w:ind w:left="240" w:hanging="240"/>
    </w:pPr>
  </w:style>
  <w:style w:type="paragraph" w:styleId="Indeks2">
    <w:name w:val="index 2"/>
    <w:basedOn w:val="Normal"/>
    <w:next w:val="Normal"/>
    <w:autoRedefine/>
    <w:uiPriority w:val="99"/>
    <w:semiHidden/>
    <w:unhideWhenUsed/>
    <w:rsid w:val="00906496"/>
    <w:pPr>
      <w:spacing w:after="0" w:line="240" w:lineRule="auto"/>
      <w:ind w:left="480" w:hanging="240"/>
    </w:pPr>
  </w:style>
  <w:style w:type="paragraph" w:styleId="Indeks3">
    <w:name w:val="index 3"/>
    <w:basedOn w:val="Normal"/>
    <w:next w:val="Normal"/>
    <w:autoRedefine/>
    <w:uiPriority w:val="99"/>
    <w:semiHidden/>
    <w:unhideWhenUsed/>
    <w:rsid w:val="00906496"/>
    <w:pPr>
      <w:spacing w:after="0" w:line="240" w:lineRule="auto"/>
      <w:ind w:left="720" w:hanging="240"/>
    </w:pPr>
  </w:style>
  <w:style w:type="paragraph" w:styleId="Indeks4">
    <w:name w:val="index 4"/>
    <w:basedOn w:val="Normal"/>
    <w:next w:val="Normal"/>
    <w:autoRedefine/>
    <w:uiPriority w:val="99"/>
    <w:semiHidden/>
    <w:unhideWhenUsed/>
    <w:rsid w:val="00906496"/>
    <w:pPr>
      <w:spacing w:after="0" w:line="240" w:lineRule="auto"/>
      <w:ind w:left="960" w:hanging="240"/>
    </w:pPr>
  </w:style>
  <w:style w:type="paragraph" w:styleId="Indeks5">
    <w:name w:val="index 5"/>
    <w:basedOn w:val="Normal"/>
    <w:next w:val="Normal"/>
    <w:autoRedefine/>
    <w:uiPriority w:val="99"/>
    <w:semiHidden/>
    <w:unhideWhenUsed/>
    <w:rsid w:val="00906496"/>
    <w:pPr>
      <w:spacing w:after="0" w:line="240" w:lineRule="auto"/>
      <w:ind w:left="1200" w:hanging="240"/>
    </w:pPr>
  </w:style>
  <w:style w:type="paragraph" w:styleId="Indeks6">
    <w:name w:val="index 6"/>
    <w:basedOn w:val="Normal"/>
    <w:next w:val="Normal"/>
    <w:autoRedefine/>
    <w:uiPriority w:val="99"/>
    <w:semiHidden/>
    <w:unhideWhenUsed/>
    <w:rsid w:val="00906496"/>
    <w:pPr>
      <w:spacing w:after="0" w:line="240" w:lineRule="auto"/>
      <w:ind w:left="1440" w:hanging="240"/>
    </w:pPr>
  </w:style>
  <w:style w:type="paragraph" w:styleId="Indeks7">
    <w:name w:val="index 7"/>
    <w:basedOn w:val="Normal"/>
    <w:next w:val="Normal"/>
    <w:autoRedefine/>
    <w:uiPriority w:val="99"/>
    <w:semiHidden/>
    <w:unhideWhenUsed/>
    <w:rsid w:val="00906496"/>
    <w:pPr>
      <w:spacing w:after="0" w:line="240" w:lineRule="auto"/>
      <w:ind w:left="1680" w:hanging="240"/>
    </w:pPr>
  </w:style>
  <w:style w:type="paragraph" w:styleId="Indeks8">
    <w:name w:val="index 8"/>
    <w:basedOn w:val="Normal"/>
    <w:next w:val="Normal"/>
    <w:autoRedefine/>
    <w:uiPriority w:val="99"/>
    <w:semiHidden/>
    <w:unhideWhenUsed/>
    <w:rsid w:val="00906496"/>
    <w:pPr>
      <w:spacing w:after="0" w:line="240" w:lineRule="auto"/>
      <w:ind w:left="1920" w:hanging="240"/>
    </w:pPr>
  </w:style>
  <w:style w:type="paragraph" w:styleId="Indeks9">
    <w:name w:val="index 9"/>
    <w:basedOn w:val="Normal"/>
    <w:next w:val="Normal"/>
    <w:autoRedefine/>
    <w:uiPriority w:val="99"/>
    <w:semiHidden/>
    <w:unhideWhenUsed/>
    <w:rsid w:val="00906496"/>
    <w:pPr>
      <w:spacing w:after="0" w:line="240" w:lineRule="auto"/>
      <w:ind w:left="2160" w:hanging="240"/>
    </w:pPr>
  </w:style>
  <w:style w:type="paragraph" w:styleId="INNH6">
    <w:name w:val="toc 6"/>
    <w:basedOn w:val="Normal"/>
    <w:next w:val="Normal"/>
    <w:autoRedefine/>
    <w:uiPriority w:val="39"/>
    <w:semiHidden/>
    <w:unhideWhenUsed/>
    <w:rsid w:val="00906496"/>
    <w:pPr>
      <w:spacing w:after="100"/>
      <w:ind w:left="1200"/>
    </w:pPr>
  </w:style>
  <w:style w:type="paragraph" w:styleId="INNH7">
    <w:name w:val="toc 7"/>
    <w:basedOn w:val="Normal"/>
    <w:next w:val="Normal"/>
    <w:autoRedefine/>
    <w:uiPriority w:val="39"/>
    <w:semiHidden/>
    <w:unhideWhenUsed/>
    <w:rsid w:val="00906496"/>
    <w:pPr>
      <w:spacing w:after="100"/>
      <w:ind w:left="1440"/>
    </w:pPr>
  </w:style>
  <w:style w:type="paragraph" w:styleId="INNH8">
    <w:name w:val="toc 8"/>
    <w:basedOn w:val="Normal"/>
    <w:next w:val="Normal"/>
    <w:autoRedefine/>
    <w:uiPriority w:val="39"/>
    <w:semiHidden/>
    <w:unhideWhenUsed/>
    <w:rsid w:val="00906496"/>
    <w:pPr>
      <w:spacing w:after="100"/>
      <w:ind w:left="1680"/>
    </w:pPr>
  </w:style>
  <w:style w:type="paragraph" w:styleId="INNH9">
    <w:name w:val="toc 9"/>
    <w:basedOn w:val="Normal"/>
    <w:next w:val="Normal"/>
    <w:autoRedefine/>
    <w:uiPriority w:val="39"/>
    <w:semiHidden/>
    <w:unhideWhenUsed/>
    <w:rsid w:val="00906496"/>
    <w:pPr>
      <w:spacing w:after="100"/>
      <w:ind w:left="1920"/>
    </w:pPr>
  </w:style>
  <w:style w:type="paragraph" w:styleId="Vanliginnrykk">
    <w:name w:val="Normal Indent"/>
    <w:basedOn w:val="Normal"/>
    <w:uiPriority w:val="99"/>
    <w:semiHidden/>
    <w:unhideWhenUsed/>
    <w:rsid w:val="00906496"/>
    <w:pPr>
      <w:ind w:left="708"/>
    </w:pPr>
  </w:style>
  <w:style w:type="paragraph" w:styleId="Stikkordregisteroverskrift">
    <w:name w:val="index heading"/>
    <w:basedOn w:val="Normal"/>
    <w:next w:val="Indeks1"/>
    <w:uiPriority w:val="99"/>
    <w:semiHidden/>
    <w:unhideWhenUsed/>
    <w:rsid w:val="0090649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0649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06496"/>
    <w:pPr>
      <w:spacing w:after="0"/>
    </w:pPr>
  </w:style>
  <w:style w:type="paragraph" w:styleId="Konvoluttadresse">
    <w:name w:val="envelope address"/>
    <w:basedOn w:val="Normal"/>
    <w:uiPriority w:val="99"/>
    <w:semiHidden/>
    <w:unhideWhenUsed/>
    <w:rsid w:val="0090649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06496"/>
  </w:style>
  <w:style w:type="character" w:styleId="Sluttnotereferanse">
    <w:name w:val="endnote reference"/>
    <w:basedOn w:val="Standardskriftforavsnitt"/>
    <w:uiPriority w:val="99"/>
    <w:semiHidden/>
    <w:unhideWhenUsed/>
    <w:rsid w:val="00906496"/>
    <w:rPr>
      <w:vertAlign w:val="superscript"/>
    </w:rPr>
  </w:style>
  <w:style w:type="paragraph" w:styleId="Sluttnotetekst">
    <w:name w:val="endnote text"/>
    <w:basedOn w:val="Normal"/>
    <w:link w:val="SluttnotetekstTegn"/>
    <w:uiPriority w:val="99"/>
    <w:semiHidden/>
    <w:unhideWhenUsed/>
    <w:rsid w:val="00906496"/>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906496"/>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906496"/>
    <w:pPr>
      <w:spacing w:after="0"/>
      <w:ind w:left="240" w:hanging="240"/>
    </w:pPr>
  </w:style>
  <w:style w:type="paragraph" w:styleId="Makrotekst">
    <w:name w:val="macro"/>
    <w:link w:val="MakrotekstTegn"/>
    <w:uiPriority w:val="99"/>
    <w:semiHidden/>
    <w:unhideWhenUsed/>
    <w:rsid w:val="0090649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semiHidden/>
    <w:rsid w:val="00906496"/>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90649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0649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06496"/>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906496"/>
    <w:pPr>
      <w:spacing w:after="0" w:line="240" w:lineRule="auto"/>
      <w:ind w:left="4252"/>
    </w:pPr>
  </w:style>
  <w:style w:type="character" w:customStyle="1" w:styleId="HilsenTegn">
    <w:name w:val="Hilsen Tegn"/>
    <w:basedOn w:val="Standardskriftforavsnitt"/>
    <w:link w:val="Hilsen"/>
    <w:uiPriority w:val="99"/>
    <w:semiHidden/>
    <w:rsid w:val="00906496"/>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906496"/>
    <w:pPr>
      <w:spacing w:after="0" w:line="240" w:lineRule="auto"/>
      <w:ind w:left="4252"/>
    </w:pPr>
  </w:style>
  <w:style w:type="character" w:customStyle="1" w:styleId="UnderskriftTegn">
    <w:name w:val="Underskrift Tegn"/>
    <w:basedOn w:val="Standardskriftforavsnitt"/>
    <w:link w:val="Underskrift"/>
    <w:uiPriority w:val="99"/>
    <w:rsid w:val="00906496"/>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906496"/>
    <w:pPr>
      <w:ind w:left="283"/>
      <w:contextualSpacing/>
    </w:pPr>
  </w:style>
  <w:style w:type="paragraph" w:styleId="Liste-forts2">
    <w:name w:val="List Continue 2"/>
    <w:basedOn w:val="Normal"/>
    <w:uiPriority w:val="99"/>
    <w:semiHidden/>
    <w:unhideWhenUsed/>
    <w:rsid w:val="00906496"/>
    <w:pPr>
      <w:ind w:left="566"/>
      <w:contextualSpacing/>
    </w:pPr>
  </w:style>
  <w:style w:type="paragraph" w:styleId="Liste-forts3">
    <w:name w:val="List Continue 3"/>
    <w:basedOn w:val="Normal"/>
    <w:uiPriority w:val="99"/>
    <w:semiHidden/>
    <w:unhideWhenUsed/>
    <w:rsid w:val="00906496"/>
    <w:pPr>
      <w:ind w:left="849"/>
      <w:contextualSpacing/>
    </w:pPr>
  </w:style>
  <w:style w:type="paragraph" w:styleId="Liste-forts4">
    <w:name w:val="List Continue 4"/>
    <w:basedOn w:val="Normal"/>
    <w:uiPriority w:val="99"/>
    <w:semiHidden/>
    <w:unhideWhenUsed/>
    <w:rsid w:val="00906496"/>
    <w:pPr>
      <w:ind w:left="1132"/>
      <w:contextualSpacing/>
    </w:pPr>
  </w:style>
  <w:style w:type="paragraph" w:styleId="Liste-forts5">
    <w:name w:val="List Continue 5"/>
    <w:basedOn w:val="Normal"/>
    <w:uiPriority w:val="99"/>
    <w:semiHidden/>
    <w:unhideWhenUsed/>
    <w:rsid w:val="00906496"/>
    <w:pPr>
      <w:ind w:left="1415"/>
      <w:contextualSpacing/>
    </w:pPr>
  </w:style>
  <w:style w:type="paragraph" w:styleId="Meldingshode">
    <w:name w:val="Message Header"/>
    <w:basedOn w:val="Normal"/>
    <w:link w:val="MeldingshodeTegn"/>
    <w:uiPriority w:val="99"/>
    <w:semiHidden/>
    <w:unhideWhenUsed/>
    <w:rsid w:val="009064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06496"/>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906496"/>
  </w:style>
  <w:style w:type="character" w:customStyle="1" w:styleId="InnledendehilsenTegn">
    <w:name w:val="Innledende hilsen Tegn"/>
    <w:basedOn w:val="Standardskriftforavsnitt"/>
    <w:link w:val="Innledendehilsen"/>
    <w:uiPriority w:val="99"/>
    <w:semiHidden/>
    <w:rsid w:val="00906496"/>
    <w:rPr>
      <w:rFonts w:ascii="Times New Roman" w:eastAsia="Times New Roman" w:hAnsi="Times New Roman"/>
      <w:spacing w:val="4"/>
      <w:sz w:val="24"/>
      <w:lang w:eastAsia="nb-NO"/>
    </w:rPr>
  </w:style>
  <w:style w:type="paragraph" w:styleId="Dato0">
    <w:name w:val="Date"/>
    <w:basedOn w:val="Normal"/>
    <w:next w:val="Normal"/>
    <w:link w:val="DatoTegn"/>
    <w:rsid w:val="00906496"/>
  </w:style>
  <w:style w:type="character" w:customStyle="1" w:styleId="DatoTegn">
    <w:name w:val="Dato Tegn"/>
    <w:basedOn w:val="Standardskriftforavsnitt"/>
    <w:link w:val="Dato0"/>
    <w:rsid w:val="00906496"/>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906496"/>
    <w:pPr>
      <w:spacing w:after="0" w:line="240" w:lineRule="auto"/>
    </w:pPr>
  </w:style>
  <w:style w:type="character" w:customStyle="1" w:styleId="NotatoverskriftTegn">
    <w:name w:val="Notatoverskrift Tegn"/>
    <w:basedOn w:val="Standardskriftforavsnitt"/>
    <w:link w:val="Notatoverskrift"/>
    <w:uiPriority w:val="99"/>
    <w:semiHidden/>
    <w:rsid w:val="00906496"/>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90649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906496"/>
    <w:rPr>
      <w:color w:val="0563C1" w:themeColor="hyperlink"/>
      <w:u w:val="single"/>
    </w:rPr>
  </w:style>
  <w:style w:type="character" w:styleId="Fulgthyperkobling">
    <w:name w:val="FollowedHyperlink"/>
    <w:basedOn w:val="Standardskriftforavsnitt"/>
    <w:uiPriority w:val="99"/>
    <w:semiHidden/>
    <w:unhideWhenUsed/>
    <w:rsid w:val="00906496"/>
    <w:rPr>
      <w:color w:val="954F72" w:themeColor="followedHyperlink"/>
      <w:u w:val="single"/>
    </w:rPr>
  </w:style>
  <w:style w:type="paragraph" w:styleId="Dokumentkart">
    <w:name w:val="Document Map"/>
    <w:basedOn w:val="Normal"/>
    <w:link w:val="DokumentkartTegn"/>
    <w:uiPriority w:val="99"/>
    <w:rsid w:val="0090649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906496"/>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906496"/>
    <w:rPr>
      <w:rFonts w:ascii="Courier New" w:hAnsi="Courier New" w:cs="Courier New"/>
      <w:sz w:val="20"/>
    </w:rPr>
  </w:style>
  <w:style w:type="character" w:customStyle="1" w:styleId="RentekstTegn">
    <w:name w:val="Ren tekst Tegn"/>
    <w:basedOn w:val="Standardskriftforavsnitt"/>
    <w:link w:val="Rentekst"/>
    <w:uiPriority w:val="99"/>
    <w:semiHidden/>
    <w:rsid w:val="00906496"/>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906496"/>
    <w:pPr>
      <w:spacing w:after="0" w:line="240" w:lineRule="auto"/>
    </w:pPr>
  </w:style>
  <w:style w:type="character" w:customStyle="1" w:styleId="E-postsignaturTegn">
    <w:name w:val="E-postsignatur Tegn"/>
    <w:basedOn w:val="Standardskriftforavsnitt"/>
    <w:link w:val="E-postsignatur"/>
    <w:uiPriority w:val="99"/>
    <w:semiHidden/>
    <w:rsid w:val="00906496"/>
    <w:rPr>
      <w:rFonts w:ascii="Times New Roman" w:eastAsia="Times New Roman" w:hAnsi="Times New Roman"/>
      <w:spacing w:val="4"/>
      <w:sz w:val="24"/>
      <w:lang w:eastAsia="nb-NO"/>
    </w:rPr>
  </w:style>
  <w:style w:type="paragraph" w:styleId="NormalWeb">
    <w:name w:val="Normal (Web)"/>
    <w:basedOn w:val="Normal"/>
    <w:uiPriority w:val="99"/>
    <w:semiHidden/>
    <w:unhideWhenUsed/>
    <w:rsid w:val="00906496"/>
    <w:rPr>
      <w:szCs w:val="24"/>
    </w:rPr>
  </w:style>
  <w:style w:type="character" w:styleId="HTML-akronym">
    <w:name w:val="HTML Acronym"/>
    <w:basedOn w:val="Standardskriftforavsnitt"/>
    <w:uiPriority w:val="99"/>
    <w:semiHidden/>
    <w:unhideWhenUsed/>
    <w:rsid w:val="00906496"/>
  </w:style>
  <w:style w:type="paragraph" w:styleId="HTML-adresse">
    <w:name w:val="HTML Address"/>
    <w:basedOn w:val="Normal"/>
    <w:link w:val="HTML-adresseTegn"/>
    <w:uiPriority w:val="99"/>
    <w:semiHidden/>
    <w:unhideWhenUsed/>
    <w:rsid w:val="00906496"/>
    <w:pPr>
      <w:spacing w:after="0" w:line="240" w:lineRule="auto"/>
    </w:pPr>
    <w:rPr>
      <w:i/>
      <w:iCs/>
    </w:rPr>
  </w:style>
  <w:style w:type="character" w:customStyle="1" w:styleId="HTML-adresseTegn">
    <w:name w:val="HTML-adresse Tegn"/>
    <w:basedOn w:val="Standardskriftforavsnitt"/>
    <w:link w:val="HTML-adresse"/>
    <w:uiPriority w:val="99"/>
    <w:semiHidden/>
    <w:rsid w:val="00906496"/>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906496"/>
    <w:rPr>
      <w:i/>
      <w:iCs/>
    </w:rPr>
  </w:style>
  <w:style w:type="character" w:styleId="HTML-kode">
    <w:name w:val="HTML Code"/>
    <w:basedOn w:val="Standardskriftforavsnitt"/>
    <w:uiPriority w:val="99"/>
    <w:semiHidden/>
    <w:unhideWhenUsed/>
    <w:rsid w:val="00906496"/>
    <w:rPr>
      <w:rFonts w:ascii="Consolas" w:hAnsi="Consolas"/>
      <w:sz w:val="20"/>
      <w:szCs w:val="20"/>
    </w:rPr>
  </w:style>
  <w:style w:type="character" w:styleId="HTML-definisjon">
    <w:name w:val="HTML Definition"/>
    <w:basedOn w:val="Standardskriftforavsnitt"/>
    <w:uiPriority w:val="99"/>
    <w:semiHidden/>
    <w:unhideWhenUsed/>
    <w:rsid w:val="00906496"/>
    <w:rPr>
      <w:i/>
      <w:iCs/>
    </w:rPr>
  </w:style>
  <w:style w:type="character" w:styleId="HTML-tastatur">
    <w:name w:val="HTML Keyboard"/>
    <w:basedOn w:val="Standardskriftforavsnitt"/>
    <w:uiPriority w:val="99"/>
    <w:semiHidden/>
    <w:unhideWhenUsed/>
    <w:rsid w:val="00906496"/>
    <w:rPr>
      <w:rFonts w:ascii="Consolas" w:hAnsi="Consolas"/>
      <w:sz w:val="20"/>
      <w:szCs w:val="20"/>
    </w:rPr>
  </w:style>
  <w:style w:type="paragraph" w:styleId="HTML-forhndsformatert">
    <w:name w:val="HTML Preformatted"/>
    <w:basedOn w:val="Normal"/>
    <w:link w:val="HTML-forhndsformatertTegn"/>
    <w:uiPriority w:val="99"/>
    <w:semiHidden/>
    <w:unhideWhenUsed/>
    <w:rsid w:val="0090649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06496"/>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906496"/>
    <w:rPr>
      <w:rFonts w:ascii="Consolas" w:hAnsi="Consolas"/>
      <w:sz w:val="24"/>
      <w:szCs w:val="24"/>
    </w:rPr>
  </w:style>
  <w:style w:type="character" w:styleId="HTML-skrivemaskin">
    <w:name w:val="HTML Typewriter"/>
    <w:basedOn w:val="Standardskriftforavsnitt"/>
    <w:uiPriority w:val="99"/>
    <w:semiHidden/>
    <w:unhideWhenUsed/>
    <w:rsid w:val="00906496"/>
    <w:rPr>
      <w:rFonts w:ascii="Consolas" w:hAnsi="Consolas"/>
      <w:sz w:val="20"/>
      <w:szCs w:val="20"/>
    </w:rPr>
  </w:style>
  <w:style w:type="character" w:styleId="HTML-variabel">
    <w:name w:val="HTML Variable"/>
    <w:basedOn w:val="Standardskriftforavsnitt"/>
    <w:uiPriority w:val="99"/>
    <w:semiHidden/>
    <w:unhideWhenUsed/>
    <w:rsid w:val="00906496"/>
    <w:rPr>
      <w:i/>
      <w:iCs/>
    </w:rPr>
  </w:style>
  <w:style w:type="paragraph" w:styleId="Kommentaremne">
    <w:name w:val="annotation subject"/>
    <w:basedOn w:val="Merknadstekst"/>
    <w:next w:val="Merknadstekst"/>
    <w:link w:val="KommentaremneTegn"/>
    <w:uiPriority w:val="99"/>
    <w:semiHidden/>
    <w:unhideWhenUsed/>
    <w:rsid w:val="0090649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06496"/>
    <w:rPr>
      <w:rFonts w:ascii="Times New Roman" w:eastAsia="Times New Roman" w:hAnsi="Times New Roman"/>
      <w:b/>
      <w:bCs/>
      <w:spacing w:val="4"/>
      <w:sz w:val="20"/>
      <w:szCs w:val="20"/>
      <w:lang w:eastAsia="nb-NO"/>
    </w:rPr>
  </w:style>
  <w:style w:type="paragraph" w:styleId="Bobletekst">
    <w:name w:val="Balloon Text"/>
    <w:basedOn w:val="Normal"/>
    <w:link w:val="BobletekstTegn"/>
    <w:uiPriority w:val="99"/>
    <w:unhideWhenUsed/>
    <w:rsid w:val="0090649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06496"/>
    <w:rPr>
      <w:rFonts w:ascii="Tahoma" w:eastAsia="Times New Roman" w:hAnsi="Tahoma" w:cs="Tahoma"/>
      <w:spacing w:val="4"/>
      <w:sz w:val="16"/>
      <w:szCs w:val="16"/>
      <w:lang w:eastAsia="nb-NO"/>
    </w:rPr>
  </w:style>
  <w:style w:type="table" w:styleId="Tabellrutenett">
    <w:name w:val="Table Grid"/>
    <w:basedOn w:val="Vanligtabell"/>
    <w:uiPriority w:val="59"/>
    <w:rsid w:val="00906496"/>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rsid w:val="00906496"/>
    <w:rPr>
      <w:color w:val="808080"/>
    </w:rPr>
  </w:style>
  <w:style w:type="paragraph" w:styleId="Listeavsnitt">
    <w:name w:val="List Paragraph"/>
    <w:basedOn w:val="Normal"/>
    <w:uiPriority w:val="34"/>
    <w:qFormat/>
    <w:rsid w:val="00906496"/>
    <w:pPr>
      <w:spacing w:before="60" w:after="0"/>
      <w:ind w:left="397"/>
    </w:pPr>
    <w:rPr>
      <w:spacing w:val="0"/>
    </w:rPr>
  </w:style>
  <w:style w:type="character" w:styleId="Svakutheving">
    <w:name w:val="Subtle Emphasis"/>
    <w:basedOn w:val="Standardskriftforavsnitt"/>
    <w:uiPriority w:val="19"/>
    <w:qFormat/>
    <w:rsid w:val="00906496"/>
    <w:rPr>
      <w:i/>
      <w:iCs/>
      <w:color w:val="808080" w:themeColor="text1" w:themeTint="7F"/>
    </w:rPr>
  </w:style>
  <w:style w:type="character" w:styleId="Boktittel">
    <w:name w:val="Book Title"/>
    <w:basedOn w:val="Standardskriftforavsnitt"/>
    <w:uiPriority w:val="33"/>
    <w:qFormat/>
    <w:rsid w:val="00906496"/>
    <w:rPr>
      <w:b/>
      <w:bCs/>
      <w:smallCaps/>
      <w:spacing w:val="5"/>
    </w:rPr>
  </w:style>
  <w:style w:type="paragraph" w:styleId="Bibliografi">
    <w:name w:val="Bibliography"/>
    <w:basedOn w:val="Normal"/>
    <w:next w:val="Normal"/>
    <w:uiPriority w:val="37"/>
    <w:semiHidden/>
    <w:unhideWhenUsed/>
    <w:rsid w:val="00906496"/>
  </w:style>
  <w:style w:type="paragraph" w:styleId="Overskriftforinnholdsfortegnelse">
    <w:name w:val="TOC Heading"/>
    <w:basedOn w:val="Overskrift1"/>
    <w:next w:val="Normal"/>
    <w:uiPriority w:val="39"/>
    <w:semiHidden/>
    <w:unhideWhenUsed/>
    <w:qFormat/>
    <w:rsid w:val="0090649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customStyle="1" w:styleId="l-ledd">
    <w:name w:val="l-ledd"/>
    <w:basedOn w:val="Normal"/>
    <w:qFormat/>
    <w:rsid w:val="00906496"/>
    <w:pPr>
      <w:spacing w:after="0"/>
      <w:ind w:firstLine="397"/>
    </w:pPr>
    <w:rPr>
      <w:rFonts w:ascii="Times" w:hAnsi="Times"/>
    </w:rPr>
  </w:style>
  <w:style w:type="paragraph" w:customStyle="1" w:styleId="l-punktum">
    <w:name w:val="l-punktum"/>
    <w:basedOn w:val="Normal"/>
    <w:qFormat/>
    <w:rsid w:val="00906496"/>
    <w:pPr>
      <w:spacing w:after="0"/>
    </w:pPr>
  </w:style>
  <w:style w:type="paragraph" w:customStyle="1" w:styleId="l-alfaliste">
    <w:name w:val="l-alfaliste"/>
    <w:basedOn w:val="alfaliste"/>
    <w:qFormat/>
    <w:rsid w:val="00906496"/>
    <w:pPr>
      <w:numPr>
        <w:numId w:val="12"/>
      </w:numPr>
    </w:pPr>
    <w:rPr>
      <w:rFonts w:eastAsiaTheme="minorEastAsia"/>
    </w:rPr>
  </w:style>
  <w:style w:type="paragraph" w:customStyle="1" w:styleId="l-tit-endr-lov">
    <w:name w:val="l-tit-endr-lov"/>
    <w:basedOn w:val="Normal"/>
    <w:qFormat/>
    <w:rsid w:val="00906496"/>
    <w:pPr>
      <w:keepNext/>
      <w:spacing w:before="240" w:after="0" w:line="240" w:lineRule="auto"/>
    </w:pPr>
    <w:rPr>
      <w:rFonts w:ascii="Times" w:hAnsi="Times"/>
      <w:noProof/>
      <w:lang w:val="nn-NO"/>
    </w:rPr>
  </w:style>
  <w:style w:type="paragraph" w:customStyle="1" w:styleId="l-tit-endr-lovdel">
    <w:name w:val="l-tit-endr-lovdel"/>
    <w:basedOn w:val="Normal"/>
    <w:qFormat/>
    <w:rsid w:val="00906496"/>
    <w:pPr>
      <w:keepNext/>
      <w:spacing w:before="240" w:after="0" w:line="240" w:lineRule="auto"/>
    </w:pPr>
    <w:rPr>
      <w:rFonts w:ascii="Times" w:hAnsi="Times"/>
      <w:noProof/>
      <w:lang w:val="nn-NO"/>
    </w:rPr>
  </w:style>
  <w:style w:type="paragraph" w:customStyle="1" w:styleId="l-tit-endr-lovkap">
    <w:name w:val="l-tit-endr-lovkap"/>
    <w:basedOn w:val="Normal"/>
    <w:qFormat/>
    <w:rsid w:val="00906496"/>
    <w:pPr>
      <w:keepNext/>
      <w:spacing w:before="240" w:after="0" w:line="240" w:lineRule="auto"/>
    </w:pPr>
    <w:rPr>
      <w:rFonts w:ascii="Times" w:hAnsi="Times"/>
      <w:noProof/>
      <w:lang w:val="nn-NO"/>
    </w:rPr>
  </w:style>
  <w:style w:type="paragraph" w:customStyle="1" w:styleId="l-tit-endr-paragraf">
    <w:name w:val="l-tit-endr-paragraf"/>
    <w:basedOn w:val="Normal"/>
    <w:qFormat/>
    <w:rsid w:val="00906496"/>
    <w:pPr>
      <w:keepNext/>
      <w:spacing w:before="240" w:after="0" w:line="240" w:lineRule="auto"/>
    </w:pPr>
    <w:rPr>
      <w:rFonts w:ascii="Times" w:hAnsi="Times"/>
      <w:noProof/>
      <w:lang w:val="nn-NO"/>
    </w:rPr>
  </w:style>
  <w:style w:type="paragraph" w:customStyle="1" w:styleId="l-tit-endr-ledd">
    <w:name w:val="l-tit-endr-ledd"/>
    <w:basedOn w:val="Normal"/>
    <w:qFormat/>
    <w:rsid w:val="00906496"/>
    <w:pPr>
      <w:keepNext/>
      <w:spacing w:before="240" w:after="0" w:line="240" w:lineRule="auto"/>
    </w:pPr>
    <w:rPr>
      <w:rFonts w:ascii="Times" w:hAnsi="Times"/>
      <w:noProof/>
      <w:lang w:val="nn-NO"/>
    </w:rPr>
  </w:style>
  <w:style w:type="paragraph" w:customStyle="1" w:styleId="l-tit-endr-punktum">
    <w:name w:val="l-tit-endr-punktum"/>
    <w:basedOn w:val="l-tit-endr-ledd"/>
    <w:qFormat/>
    <w:rsid w:val="00906496"/>
  </w:style>
  <w:style w:type="paragraph" w:customStyle="1" w:styleId="l-avsnitt">
    <w:name w:val="l-avsnitt"/>
    <w:basedOn w:val="l-lovkap"/>
    <w:qFormat/>
    <w:rsid w:val="00906496"/>
    <w:rPr>
      <w:lang w:val="nn-NO"/>
    </w:rPr>
  </w:style>
  <w:style w:type="paragraph" w:customStyle="1" w:styleId="l-tit-endr-avsnitt">
    <w:name w:val="l-tit-endr-avsnitt"/>
    <w:basedOn w:val="l-tit-endr-lovkap"/>
    <w:qFormat/>
    <w:rsid w:val="00906496"/>
  </w:style>
  <w:style w:type="numbering" w:customStyle="1" w:styleId="AlfaListeStil">
    <w:name w:val="AlfaListeStil"/>
    <w:uiPriority w:val="99"/>
    <w:rsid w:val="00906496"/>
    <w:pPr>
      <w:numPr>
        <w:numId w:val="3"/>
      </w:numPr>
    </w:pPr>
  </w:style>
  <w:style w:type="numbering" w:customStyle="1" w:styleId="NrListeStil">
    <w:name w:val="NrListeStil"/>
    <w:uiPriority w:val="99"/>
    <w:rsid w:val="00906496"/>
    <w:pPr>
      <w:numPr>
        <w:numId w:val="4"/>
      </w:numPr>
    </w:pPr>
  </w:style>
  <w:style w:type="numbering" w:customStyle="1" w:styleId="RomListeStil">
    <w:name w:val="RomListeStil"/>
    <w:uiPriority w:val="99"/>
    <w:rsid w:val="00906496"/>
    <w:pPr>
      <w:numPr>
        <w:numId w:val="5"/>
      </w:numPr>
    </w:pPr>
  </w:style>
  <w:style w:type="numbering" w:customStyle="1" w:styleId="StrekListeStil">
    <w:name w:val="StrekListeStil"/>
    <w:uiPriority w:val="99"/>
    <w:rsid w:val="00906496"/>
    <w:pPr>
      <w:numPr>
        <w:numId w:val="6"/>
      </w:numPr>
    </w:pPr>
  </w:style>
  <w:style w:type="numbering" w:customStyle="1" w:styleId="OpplistingListeStil">
    <w:name w:val="OpplistingListeStil"/>
    <w:uiPriority w:val="99"/>
    <w:rsid w:val="00906496"/>
    <w:pPr>
      <w:numPr>
        <w:numId w:val="7"/>
      </w:numPr>
    </w:pPr>
  </w:style>
  <w:style w:type="numbering" w:customStyle="1" w:styleId="l-NummerertListeStil">
    <w:name w:val="l-NummerertListeStil"/>
    <w:uiPriority w:val="99"/>
    <w:rsid w:val="00906496"/>
    <w:pPr>
      <w:numPr>
        <w:numId w:val="8"/>
      </w:numPr>
    </w:pPr>
  </w:style>
  <w:style w:type="numbering" w:customStyle="1" w:styleId="l-AlfaListeStil">
    <w:name w:val="l-AlfaListeStil"/>
    <w:uiPriority w:val="99"/>
    <w:rsid w:val="00906496"/>
    <w:pPr>
      <w:numPr>
        <w:numId w:val="9"/>
      </w:numPr>
    </w:pPr>
  </w:style>
  <w:style w:type="numbering" w:customStyle="1" w:styleId="OverskrifterListeStil">
    <w:name w:val="OverskrifterListeStil"/>
    <w:uiPriority w:val="99"/>
    <w:rsid w:val="00906496"/>
    <w:pPr>
      <w:numPr>
        <w:numId w:val="10"/>
      </w:numPr>
    </w:pPr>
  </w:style>
  <w:style w:type="numbering" w:customStyle="1" w:styleId="l-ListeStilMal">
    <w:name w:val="l-ListeStilMal"/>
    <w:uiPriority w:val="99"/>
    <w:rsid w:val="00906496"/>
    <w:pPr>
      <w:numPr>
        <w:numId w:val="11"/>
      </w:numPr>
    </w:pPr>
  </w:style>
  <w:style w:type="paragraph" w:customStyle="1" w:styleId="l-alfaliste2">
    <w:name w:val="l-alfaliste 2"/>
    <w:basedOn w:val="alfaliste2"/>
    <w:qFormat/>
    <w:rsid w:val="00906496"/>
    <w:pPr>
      <w:numPr>
        <w:numId w:val="12"/>
      </w:numPr>
    </w:pPr>
  </w:style>
  <w:style w:type="paragraph" w:customStyle="1" w:styleId="l-alfaliste3">
    <w:name w:val="l-alfaliste 3"/>
    <w:basedOn w:val="alfaliste3"/>
    <w:qFormat/>
    <w:rsid w:val="00906496"/>
    <w:pPr>
      <w:numPr>
        <w:numId w:val="12"/>
      </w:numPr>
    </w:pPr>
  </w:style>
  <w:style w:type="paragraph" w:customStyle="1" w:styleId="l-alfaliste4">
    <w:name w:val="l-alfaliste 4"/>
    <w:basedOn w:val="alfaliste4"/>
    <w:qFormat/>
    <w:rsid w:val="00906496"/>
    <w:pPr>
      <w:numPr>
        <w:numId w:val="12"/>
      </w:numPr>
    </w:pPr>
  </w:style>
  <w:style w:type="paragraph" w:customStyle="1" w:styleId="l-alfaliste5">
    <w:name w:val="l-alfaliste 5"/>
    <w:basedOn w:val="alfaliste5"/>
    <w:qFormat/>
    <w:rsid w:val="00906496"/>
    <w:pPr>
      <w:numPr>
        <w:numId w:val="12"/>
      </w:numPr>
    </w:pPr>
  </w:style>
  <w:style w:type="paragraph" w:customStyle="1" w:styleId="romertallliste5">
    <w:name w:val="romertall liste 5"/>
    <w:basedOn w:val="Normal"/>
    <w:qFormat/>
    <w:rsid w:val="00906496"/>
    <w:pPr>
      <w:numPr>
        <w:ilvl w:val="4"/>
        <w:numId w:val="13"/>
      </w:numPr>
      <w:spacing w:after="0"/>
    </w:pPr>
  </w:style>
  <w:style w:type="paragraph" w:styleId="Avsenderadresse">
    <w:name w:val="envelope return"/>
    <w:basedOn w:val="Normal"/>
    <w:uiPriority w:val="99"/>
    <w:semiHidden/>
    <w:unhideWhenUsed/>
    <w:rsid w:val="0090649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906496"/>
  </w:style>
  <w:style w:type="character" w:customStyle="1" w:styleId="BrdtekstTegn">
    <w:name w:val="Brødtekst Tegn"/>
    <w:basedOn w:val="Standardskriftforavsnitt"/>
    <w:link w:val="Brdtekst"/>
    <w:rsid w:val="00906496"/>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906496"/>
    <w:pPr>
      <w:ind w:firstLine="360"/>
    </w:pPr>
  </w:style>
  <w:style w:type="character" w:customStyle="1" w:styleId="Brdtekst-frsteinnrykkTegn">
    <w:name w:val="Brødtekst - første innrykk Tegn"/>
    <w:basedOn w:val="BrdtekstTegn"/>
    <w:link w:val="Brdtekst-frsteinnrykk"/>
    <w:uiPriority w:val="99"/>
    <w:semiHidden/>
    <w:rsid w:val="00906496"/>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semiHidden/>
    <w:unhideWhenUsed/>
    <w:rsid w:val="00906496"/>
    <w:pPr>
      <w:ind w:left="283"/>
    </w:pPr>
  </w:style>
  <w:style w:type="character" w:customStyle="1" w:styleId="BrdtekstinnrykkTegn">
    <w:name w:val="Brødtekstinnrykk Tegn"/>
    <w:basedOn w:val="Standardskriftforavsnitt"/>
    <w:link w:val="Brdtekstinnrykk"/>
    <w:uiPriority w:val="99"/>
    <w:semiHidden/>
    <w:rsid w:val="00906496"/>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906496"/>
    <w:pPr>
      <w:ind w:left="360" w:firstLine="360"/>
    </w:pPr>
  </w:style>
  <w:style w:type="character" w:customStyle="1" w:styleId="Brdtekst-frsteinnrykk2Tegn">
    <w:name w:val="Brødtekst - første innrykk 2 Tegn"/>
    <w:basedOn w:val="BrdtekstinnrykkTegn"/>
    <w:link w:val="Brdtekst-frsteinnrykk2"/>
    <w:uiPriority w:val="99"/>
    <w:semiHidden/>
    <w:rsid w:val="00906496"/>
    <w:rPr>
      <w:rFonts w:ascii="Times New Roman" w:eastAsia="Times New Roman" w:hAnsi="Times New Roman"/>
      <w:spacing w:val="4"/>
      <w:sz w:val="24"/>
      <w:lang w:eastAsia="nb-NO"/>
    </w:rPr>
  </w:style>
  <w:style w:type="paragraph" w:styleId="Brdtekst2">
    <w:name w:val="Body Text 2"/>
    <w:basedOn w:val="Normal"/>
    <w:link w:val="Brdtekst2Tegn"/>
    <w:uiPriority w:val="99"/>
    <w:semiHidden/>
    <w:unhideWhenUsed/>
    <w:rsid w:val="00906496"/>
    <w:pPr>
      <w:spacing w:line="480" w:lineRule="auto"/>
    </w:pPr>
  </w:style>
  <w:style w:type="character" w:customStyle="1" w:styleId="Brdtekst2Tegn">
    <w:name w:val="Brødtekst 2 Tegn"/>
    <w:basedOn w:val="Standardskriftforavsnitt"/>
    <w:link w:val="Brdtekst2"/>
    <w:uiPriority w:val="99"/>
    <w:semiHidden/>
    <w:rsid w:val="00906496"/>
    <w:rPr>
      <w:rFonts w:ascii="Times New Roman" w:eastAsia="Times New Roman" w:hAnsi="Times New Roman"/>
      <w:spacing w:val="4"/>
      <w:sz w:val="24"/>
      <w:lang w:eastAsia="nb-NO"/>
    </w:rPr>
  </w:style>
  <w:style w:type="paragraph" w:styleId="Brdtekst3">
    <w:name w:val="Body Text 3"/>
    <w:basedOn w:val="Normal"/>
    <w:link w:val="Brdtekst3Tegn"/>
    <w:uiPriority w:val="99"/>
    <w:semiHidden/>
    <w:unhideWhenUsed/>
    <w:rsid w:val="00906496"/>
    <w:rPr>
      <w:sz w:val="16"/>
      <w:szCs w:val="16"/>
    </w:rPr>
  </w:style>
  <w:style w:type="character" w:customStyle="1" w:styleId="Brdtekst3Tegn">
    <w:name w:val="Brødtekst 3 Tegn"/>
    <w:basedOn w:val="Standardskriftforavsnitt"/>
    <w:link w:val="Brdtekst3"/>
    <w:uiPriority w:val="99"/>
    <w:semiHidden/>
    <w:rsid w:val="00906496"/>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semiHidden/>
    <w:unhideWhenUsed/>
    <w:rsid w:val="00906496"/>
    <w:pPr>
      <w:spacing w:line="480" w:lineRule="auto"/>
      <w:ind w:left="283"/>
    </w:pPr>
  </w:style>
  <w:style w:type="character" w:customStyle="1" w:styleId="Brdtekstinnrykk2Tegn">
    <w:name w:val="Brødtekstinnrykk 2 Tegn"/>
    <w:basedOn w:val="Standardskriftforavsnitt"/>
    <w:link w:val="Brdtekstinnrykk2"/>
    <w:uiPriority w:val="99"/>
    <w:semiHidden/>
    <w:rsid w:val="00906496"/>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semiHidden/>
    <w:unhideWhenUsed/>
    <w:rsid w:val="00906496"/>
    <w:pPr>
      <w:ind w:left="283"/>
    </w:pPr>
    <w:rPr>
      <w:sz w:val="16"/>
      <w:szCs w:val="16"/>
    </w:rPr>
  </w:style>
  <w:style w:type="character" w:customStyle="1" w:styleId="Brdtekstinnrykk3Tegn">
    <w:name w:val="Brødtekstinnrykk 3 Tegn"/>
    <w:basedOn w:val="Standardskriftforavsnitt"/>
    <w:link w:val="Brdtekstinnrykk3"/>
    <w:uiPriority w:val="99"/>
    <w:semiHidden/>
    <w:rsid w:val="00906496"/>
    <w:rPr>
      <w:rFonts w:ascii="Times New Roman" w:eastAsia="Times New Roman" w:hAnsi="Times New Roman"/>
      <w:spacing w:val="4"/>
      <w:sz w:val="16"/>
      <w:szCs w:val="16"/>
      <w:lang w:eastAsia="nb-NO"/>
    </w:rPr>
  </w:style>
  <w:style w:type="paragraph" w:customStyle="1" w:styleId="blokksit">
    <w:name w:val="blokksit"/>
    <w:basedOn w:val="Normal"/>
    <w:qFormat/>
    <w:rsid w:val="00906496"/>
    <w:pPr>
      <w:spacing w:line="240" w:lineRule="auto"/>
      <w:ind w:left="397"/>
    </w:pPr>
    <w:rPr>
      <w:rFonts w:ascii="Times" w:hAnsi="Times"/>
      <w:spacing w:val="-2"/>
    </w:rPr>
  </w:style>
  <w:style w:type="paragraph" w:customStyle="1" w:styleId="friliste">
    <w:name w:val="friliste"/>
    <w:basedOn w:val="Normal"/>
    <w:qFormat/>
    <w:rsid w:val="00906496"/>
    <w:pPr>
      <w:tabs>
        <w:tab w:val="left" w:pos="397"/>
      </w:tabs>
      <w:spacing w:after="0"/>
      <w:ind w:left="397" w:hanging="397"/>
    </w:pPr>
    <w:rPr>
      <w:spacing w:val="0"/>
    </w:rPr>
  </w:style>
  <w:style w:type="paragraph" w:customStyle="1" w:styleId="friliste2">
    <w:name w:val="friliste 2"/>
    <w:basedOn w:val="Normal"/>
    <w:qFormat/>
    <w:rsid w:val="00906496"/>
    <w:pPr>
      <w:tabs>
        <w:tab w:val="left" w:pos="794"/>
      </w:tabs>
      <w:spacing w:after="0"/>
      <w:ind w:left="794" w:hanging="397"/>
    </w:pPr>
    <w:rPr>
      <w:spacing w:val="0"/>
    </w:rPr>
  </w:style>
  <w:style w:type="paragraph" w:customStyle="1" w:styleId="friliste3">
    <w:name w:val="friliste 3"/>
    <w:basedOn w:val="Normal"/>
    <w:qFormat/>
    <w:rsid w:val="00906496"/>
    <w:pPr>
      <w:tabs>
        <w:tab w:val="left" w:pos="1191"/>
      </w:tabs>
      <w:spacing w:after="0"/>
      <w:ind w:left="1191" w:hanging="397"/>
    </w:pPr>
    <w:rPr>
      <w:spacing w:val="0"/>
    </w:rPr>
  </w:style>
  <w:style w:type="paragraph" w:customStyle="1" w:styleId="friliste4">
    <w:name w:val="friliste 4"/>
    <w:basedOn w:val="Normal"/>
    <w:qFormat/>
    <w:rsid w:val="00906496"/>
    <w:pPr>
      <w:tabs>
        <w:tab w:val="left" w:pos="1588"/>
      </w:tabs>
      <w:spacing w:after="0"/>
      <w:ind w:left="1588" w:hanging="397"/>
    </w:pPr>
    <w:rPr>
      <w:spacing w:val="0"/>
    </w:rPr>
  </w:style>
  <w:style w:type="paragraph" w:customStyle="1" w:styleId="friliste5">
    <w:name w:val="friliste 5"/>
    <w:basedOn w:val="Normal"/>
    <w:qFormat/>
    <w:rsid w:val="00906496"/>
    <w:pPr>
      <w:tabs>
        <w:tab w:val="left" w:pos="1985"/>
      </w:tabs>
      <w:spacing w:after="0"/>
      <w:ind w:left="1985" w:hanging="397"/>
    </w:pPr>
    <w:rPr>
      <w:spacing w:val="0"/>
    </w:rPr>
  </w:style>
  <w:style w:type="paragraph" w:customStyle="1" w:styleId="opplisting2">
    <w:name w:val="opplisting 2"/>
    <w:basedOn w:val="Normal"/>
    <w:qFormat/>
    <w:rsid w:val="00906496"/>
    <w:pPr>
      <w:spacing w:after="0"/>
      <w:ind w:left="397"/>
    </w:pPr>
    <w:rPr>
      <w:spacing w:val="0"/>
      <w:lang w:val="en-US"/>
    </w:rPr>
  </w:style>
  <w:style w:type="paragraph" w:customStyle="1" w:styleId="opplisting3">
    <w:name w:val="opplisting 3"/>
    <w:basedOn w:val="Normal"/>
    <w:qFormat/>
    <w:rsid w:val="00906496"/>
    <w:pPr>
      <w:spacing w:after="0"/>
      <w:ind w:left="794"/>
    </w:pPr>
    <w:rPr>
      <w:spacing w:val="0"/>
    </w:rPr>
  </w:style>
  <w:style w:type="paragraph" w:customStyle="1" w:styleId="opplisting4">
    <w:name w:val="opplisting 4"/>
    <w:basedOn w:val="Normal"/>
    <w:qFormat/>
    <w:rsid w:val="00906496"/>
    <w:pPr>
      <w:spacing w:after="0"/>
      <w:ind w:left="1191"/>
    </w:pPr>
    <w:rPr>
      <w:spacing w:val="0"/>
    </w:rPr>
  </w:style>
  <w:style w:type="paragraph" w:customStyle="1" w:styleId="opplisting5">
    <w:name w:val="opplisting 5"/>
    <w:basedOn w:val="Normal"/>
    <w:qFormat/>
    <w:rsid w:val="00906496"/>
    <w:pPr>
      <w:spacing w:after="0"/>
      <w:ind w:left="1588"/>
    </w:pPr>
    <w:rPr>
      <w:spacing w:val="0"/>
    </w:rPr>
  </w:style>
  <w:style w:type="character" w:customStyle="1" w:styleId="regular">
    <w:name w:val="regular"/>
    <w:basedOn w:val="Standardskriftforavsnitt"/>
    <w:uiPriority w:val="1"/>
    <w:qFormat/>
    <w:rsid w:val="00906496"/>
    <w:rPr>
      <w:i/>
    </w:rPr>
  </w:style>
  <w:style w:type="paragraph" w:customStyle="1" w:styleId="Listebombe">
    <w:name w:val="Liste bombe"/>
    <w:basedOn w:val="Liste"/>
    <w:qFormat/>
    <w:rsid w:val="00906496"/>
    <w:pPr>
      <w:numPr>
        <w:numId w:val="14"/>
      </w:numPr>
      <w:tabs>
        <w:tab w:val="left" w:pos="397"/>
      </w:tabs>
      <w:ind w:left="397" w:hanging="397"/>
    </w:pPr>
  </w:style>
  <w:style w:type="paragraph" w:customStyle="1" w:styleId="Listebombe2">
    <w:name w:val="Liste bombe 2"/>
    <w:basedOn w:val="Liste2"/>
    <w:qFormat/>
    <w:rsid w:val="00906496"/>
    <w:pPr>
      <w:numPr>
        <w:ilvl w:val="0"/>
        <w:numId w:val="15"/>
      </w:numPr>
      <w:ind w:left="794" w:hanging="397"/>
    </w:pPr>
  </w:style>
  <w:style w:type="paragraph" w:customStyle="1" w:styleId="Listebombe3">
    <w:name w:val="Liste bombe 3"/>
    <w:basedOn w:val="Liste3"/>
    <w:qFormat/>
    <w:rsid w:val="00906496"/>
    <w:pPr>
      <w:numPr>
        <w:ilvl w:val="0"/>
        <w:numId w:val="16"/>
      </w:numPr>
      <w:ind w:left="1191" w:hanging="397"/>
    </w:pPr>
  </w:style>
  <w:style w:type="paragraph" w:customStyle="1" w:styleId="Listebombe4">
    <w:name w:val="Liste bombe 4"/>
    <w:basedOn w:val="Liste4"/>
    <w:qFormat/>
    <w:rsid w:val="00906496"/>
    <w:pPr>
      <w:numPr>
        <w:ilvl w:val="0"/>
        <w:numId w:val="17"/>
      </w:numPr>
      <w:ind w:left="1588" w:hanging="397"/>
    </w:pPr>
  </w:style>
  <w:style w:type="paragraph" w:customStyle="1" w:styleId="Listebombe5">
    <w:name w:val="Liste bombe 5"/>
    <w:basedOn w:val="Liste5"/>
    <w:qFormat/>
    <w:rsid w:val="00906496"/>
    <w:pPr>
      <w:numPr>
        <w:ilvl w:val="0"/>
        <w:numId w:val="18"/>
      </w:numPr>
      <w:ind w:left="1985" w:hanging="397"/>
    </w:pPr>
  </w:style>
  <w:style w:type="paragraph" w:customStyle="1" w:styleId="avsnitt-undertittel">
    <w:name w:val="avsnitt-undertittel"/>
    <w:basedOn w:val="Normal"/>
    <w:next w:val="Normal"/>
    <w:rsid w:val="00906496"/>
    <w:pPr>
      <w:keepNext/>
      <w:keepLines/>
      <w:spacing w:before="360" w:after="60" w:line="240" w:lineRule="auto"/>
    </w:pPr>
    <w:rPr>
      <w:rFonts w:ascii="Arial" w:eastAsia="Batang" w:hAnsi="Arial"/>
      <w:i/>
      <w:spacing w:val="0"/>
      <w:szCs w:val="20"/>
    </w:rPr>
  </w:style>
  <w:style w:type="paragraph" w:customStyle="1" w:styleId="avsnitt-under-undertittel">
    <w:name w:val="avsnitt-under-undertittel"/>
    <w:basedOn w:val="Normal"/>
    <w:next w:val="Normal"/>
    <w:rsid w:val="00906496"/>
    <w:pPr>
      <w:keepNext/>
      <w:keepLines/>
      <w:spacing w:before="360" w:line="240" w:lineRule="auto"/>
    </w:pPr>
    <w:rPr>
      <w:rFonts w:eastAsia="Batang"/>
      <w:i/>
      <w:spacing w:val="0"/>
      <w:szCs w:val="20"/>
    </w:rPr>
  </w:style>
  <w:style w:type="paragraph" w:customStyle="1" w:styleId="Listeavsnitt2">
    <w:name w:val="Listeavsnitt 2"/>
    <w:basedOn w:val="Normal"/>
    <w:qFormat/>
    <w:rsid w:val="00906496"/>
    <w:pPr>
      <w:spacing w:before="60" w:after="0"/>
      <w:ind w:left="794"/>
    </w:pPr>
    <w:rPr>
      <w:spacing w:val="0"/>
    </w:rPr>
  </w:style>
  <w:style w:type="paragraph" w:customStyle="1" w:styleId="Listeavsnitt3">
    <w:name w:val="Listeavsnitt 3"/>
    <w:basedOn w:val="Normal"/>
    <w:qFormat/>
    <w:rsid w:val="00906496"/>
    <w:pPr>
      <w:spacing w:before="60" w:after="0"/>
      <w:ind w:left="1191"/>
    </w:pPr>
    <w:rPr>
      <w:spacing w:val="0"/>
    </w:rPr>
  </w:style>
  <w:style w:type="paragraph" w:customStyle="1" w:styleId="Listeavsnitt4">
    <w:name w:val="Listeavsnitt 4"/>
    <w:basedOn w:val="Normal"/>
    <w:qFormat/>
    <w:rsid w:val="00906496"/>
    <w:pPr>
      <w:spacing w:before="60" w:after="0"/>
      <w:ind w:left="1588"/>
    </w:pPr>
    <w:rPr>
      <w:spacing w:val="0"/>
    </w:rPr>
  </w:style>
  <w:style w:type="paragraph" w:customStyle="1" w:styleId="Listeavsnitt5">
    <w:name w:val="Listeavsnitt 5"/>
    <w:basedOn w:val="Normal"/>
    <w:qFormat/>
    <w:rsid w:val="00906496"/>
    <w:pPr>
      <w:spacing w:before="60" w:after="0"/>
      <w:ind w:left="1985"/>
    </w:pPr>
    <w:rPr>
      <w:spacing w:val="0"/>
    </w:rPr>
  </w:style>
  <w:style w:type="paragraph" w:customStyle="1" w:styleId="Petit">
    <w:name w:val="Petit"/>
    <w:basedOn w:val="Normal"/>
    <w:next w:val="Normal"/>
    <w:qFormat/>
    <w:rsid w:val="00906496"/>
    <w:rPr>
      <w:spacing w:val="6"/>
      <w:sz w:val="19"/>
    </w:rPr>
  </w:style>
  <w:style w:type="character" w:customStyle="1" w:styleId="gjennomstreket">
    <w:name w:val="gjennomstreket"/>
    <w:uiPriority w:val="1"/>
    <w:rsid w:val="00906496"/>
    <w:rPr>
      <w:strike/>
      <w:dstrike w:val="0"/>
    </w:rPr>
  </w:style>
  <w:style w:type="paragraph" w:customStyle="1" w:styleId="Normalref">
    <w:name w:val="Normalref"/>
    <w:basedOn w:val="Normal"/>
    <w:qFormat/>
    <w:rsid w:val="00906496"/>
    <w:pPr>
      <w:spacing w:after="0"/>
      <w:ind w:left="397" w:hanging="397"/>
    </w:pPr>
    <w:rPr>
      <w:spacing w:val="0"/>
    </w:rPr>
  </w:style>
  <w:style w:type="paragraph" w:customStyle="1" w:styleId="Sammendrag">
    <w:name w:val="Sammendrag"/>
    <w:basedOn w:val="Overskrift1"/>
    <w:qFormat/>
    <w:rsid w:val="00906496"/>
    <w:pPr>
      <w:numPr>
        <w:numId w:val="0"/>
      </w:numPr>
    </w:pPr>
  </w:style>
  <w:style w:type="paragraph" w:customStyle="1" w:styleId="TrykkeriMerknad">
    <w:name w:val="TrykkeriMerknad"/>
    <w:basedOn w:val="Normal"/>
    <w:qFormat/>
    <w:rsid w:val="0090649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06496"/>
    <w:pPr>
      <w:shd w:val="clear" w:color="auto" w:fill="FFFF99"/>
      <w:spacing w:line="240" w:lineRule="auto"/>
    </w:pPr>
    <w:rPr>
      <w:color w:val="833C0B" w:themeColor="accent2" w:themeShade="80"/>
    </w:rPr>
  </w:style>
  <w:style w:type="paragraph" w:customStyle="1" w:styleId="tblRad">
    <w:name w:val="tblRad"/>
    <w:rsid w:val="0090649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906496"/>
  </w:style>
  <w:style w:type="paragraph" w:customStyle="1" w:styleId="tbl2LinjeSumBold">
    <w:name w:val="tbl2LinjeSumBold"/>
    <w:basedOn w:val="tblRad"/>
    <w:rsid w:val="00906496"/>
    <w:rPr>
      <w:b/>
    </w:rPr>
  </w:style>
  <w:style w:type="paragraph" w:customStyle="1" w:styleId="tblDelsum1">
    <w:name w:val="tblDelsum1"/>
    <w:basedOn w:val="tblRad"/>
    <w:rsid w:val="00906496"/>
    <w:rPr>
      <w:i/>
    </w:rPr>
  </w:style>
  <w:style w:type="paragraph" w:customStyle="1" w:styleId="tblDelsum1-Kapittel">
    <w:name w:val="tblDelsum1 - Kapittel"/>
    <w:basedOn w:val="tblDelsum1"/>
    <w:rsid w:val="00906496"/>
    <w:pPr>
      <w:keepNext w:val="0"/>
    </w:pPr>
  </w:style>
  <w:style w:type="paragraph" w:customStyle="1" w:styleId="tblDelsum2">
    <w:name w:val="tblDelsum2"/>
    <w:basedOn w:val="tblRad"/>
    <w:rsid w:val="00906496"/>
    <w:rPr>
      <w:b/>
      <w:i/>
    </w:rPr>
  </w:style>
  <w:style w:type="paragraph" w:customStyle="1" w:styleId="tblDelsum2-Kapittel">
    <w:name w:val="tblDelsum2 - Kapittel"/>
    <w:basedOn w:val="tblDelsum2"/>
    <w:rsid w:val="00906496"/>
    <w:pPr>
      <w:keepNext w:val="0"/>
    </w:pPr>
  </w:style>
  <w:style w:type="paragraph" w:customStyle="1" w:styleId="tblTabelloverskrift">
    <w:name w:val="tblTabelloverskrift"/>
    <w:rsid w:val="0090649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906496"/>
    <w:pPr>
      <w:spacing w:after="0"/>
      <w:jc w:val="right"/>
    </w:pPr>
    <w:rPr>
      <w:b w:val="0"/>
      <w:caps w:val="0"/>
      <w:sz w:val="16"/>
    </w:rPr>
  </w:style>
  <w:style w:type="paragraph" w:customStyle="1" w:styleId="tblKategoriOverskrift">
    <w:name w:val="tblKategoriOverskrift"/>
    <w:basedOn w:val="tblRad"/>
    <w:rsid w:val="00906496"/>
    <w:pPr>
      <w:spacing w:before="120"/>
    </w:pPr>
    <w:rPr>
      <w:b/>
    </w:rPr>
  </w:style>
  <w:style w:type="paragraph" w:customStyle="1" w:styleId="tblKolonneoverskrift">
    <w:name w:val="tblKolonneoverskrift"/>
    <w:basedOn w:val="Normal"/>
    <w:rsid w:val="0090649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06496"/>
    <w:pPr>
      <w:spacing w:after="360"/>
      <w:jc w:val="center"/>
    </w:pPr>
    <w:rPr>
      <w:b w:val="0"/>
      <w:caps w:val="0"/>
    </w:rPr>
  </w:style>
  <w:style w:type="paragraph" w:customStyle="1" w:styleId="tblKolonneoverskrift-Vedtak">
    <w:name w:val="tblKolonneoverskrift - Vedtak"/>
    <w:basedOn w:val="tblTabelloverskrift-Vedtak"/>
    <w:rsid w:val="00906496"/>
    <w:pPr>
      <w:spacing w:after="0"/>
    </w:pPr>
  </w:style>
  <w:style w:type="paragraph" w:customStyle="1" w:styleId="tblOverskrift-Vedtak">
    <w:name w:val="tblOverskrift - Vedtak"/>
    <w:basedOn w:val="tblRad"/>
    <w:rsid w:val="00906496"/>
    <w:pPr>
      <w:spacing w:before="360"/>
      <w:jc w:val="center"/>
    </w:pPr>
  </w:style>
  <w:style w:type="paragraph" w:customStyle="1" w:styleId="tblRadBold">
    <w:name w:val="tblRadBold"/>
    <w:basedOn w:val="tblRad"/>
    <w:rsid w:val="00906496"/>
    <w:rPr>
      <w:b/>
    </w:rPr>
  </w:style>
  <w:style w:type="paragraph" w:customStyle="1" w:styleId="tblRadItalic">
    <w:name w:val="tblRadItalic"/>
    <w:basedOn w:val="tblRad"/>
    <w:rsid w:val="00906496"/>
    <w:rPr>
      <w:i/>
    </w:rPr>
  </w:style>
  <w:style w:type="paragraph" w:customStyle="1" w:styleId="tblRadItalicSiste">
    <w:name w:val="tblRadItalicSiste"/>
    <w:basedOn w:val="tblRadItalic"/>
    <w:rsid w:val="00906496"/>
  </w:style>
  <w:style w:type="paragraph" w:customStyle="1" w:styleId="tblRadMedLuft">
    <w:name w:val="tblRadMedLuft"/>
    <w:basedOn w:val="tblRad"/>
    <w:rsid w:val="00906496"/>
    <w:pPr>
      <w:spacing w:before="120"/>
    </w:pPr>
  </w:style>
  <w:style w:type="paragraph" w:customStyle="1" w:styleId="tblRadMedLuftSiste">
    <w:name w:val="tblRadMedLuftSiste"/>
    <w:basedOn w:val="tblRadMedLuft"/>
    <w:rsid w:val="00906496"/>
    <w:pPr>
      <w:spacing w:after="120"/>
    </w:pPr>
  </w:style>
  <w:style w:type="paragraph" w:customStyle="1" w:styleId="tblRadMedLuftSiste-Vedtak">
    <w:name w:val="tblRadMedLuftSiste - Vedtak"/>
    <w:basedOn w:val="tblRadMedLuftSiste"/>
    <w:rsid w:val="00906496"/>
    <w:pPr>
      <w:keepNext w:val="0"/>
    </w:pPr>
  </w:style>
  <w:style w:type="paragraph" w:customStyle="1" w:styleId="tblRadSiste">
    <w:name w:val="tblRadSiste"/>
    <w:basedOn w:val="tblRad"/>
    <w:rsid w:val="00906496"/>
  </w:style>
  <w:style w:type="paragraph" w:customStyle="1" w:styleId="tblSluttsum">
    <w:name w:val="tblSluttsum"/>
    <w:basedOn w:val="tblRad"/>
    <w:rsid w:val="00906496"/>
    <w:pPr>
      <w:spacing w:before="120"/>
    </w:pPr>
    <w:rPr>
      <w:b/>
      <w:i/>
    </w:rPr>
  </w:style>
  <w:style w:type="paragraph" w:customStyle="1" w:styleId="b-underpost">
    <w:name w:val="b-underpost"/>
    <w:basedOn w:val="Normal"/>
    <w:next w:val="Normal"/>
    <w:rsid w:val="00906496"/>
    <w:pPr>
      <w:keepNext/>
      <w:spacing w:before="240" w:after="60"/>
    </w:pPr>
    <w:rPr>
      <w:b/>
    </w:rPr>
  </w:style>
  <w:style w:type="paragraph" w:customStyle="1" w:styleId="b-under-underpost">
    <w:name w:val="b-under-underpost"/>
    <w:basedOn w:val="Normal"/>
    <w:next w:val="Normal"/>
    <w:rsid w:val="00906496"/>
    <w:pPr>
      <w:keepNext/>
      <w:spacing w:before="240" w:after="60"/>
    </w:pPr>
    <w:rPr>
      <w:b/>
    </w:rPr>
  </w:style>
  <w:style w:type="paragraph" w:customStyle="1" w:styleId="a-vedtak-departement">
    <w:name w:val="a-vedtak-departement"/>
    <w:basedOn w:val="Normal"/>
    <w:next w:val="Normal"/>
    <w:rsid w:val="00906496"/>
    <w:pPr>
      <w:keepNext/>
      <w:spacing w:before="360" w:after="60"/>
      <w:jc w:val="center"/>
    </w:pPr>
    <w:rPr>
      <w:b/>
    </w:rPr>
  </w:style>
  <w:style w:type="paragraph" w:customStyle="1" w:styleId="tittel-litteraturlist">
    <w:name w:val="tittel-litteraturlist"/>
    <w:basedOn w:val="Normal"/>
    <w:next w:val="Normal"/>
    <w:rsid w:val="005507D0"/>
    <w:pPr>
      <w:spacing w:before="360" w:after="240"/>
      <w:jc w:val="center"/>
    </w:pPr>
    <w:rPr>
      <w:b/>
      <w:sz w:val="28"/>
    </w:rPr>
  </w:style>
  <w:style w:type="paragraph" w:customStyle="1" w:styleId="Formaltit">
    <w:name w:val="Formaltit"/>
    <w:basedOn w:val="Normal"/>
    <w:next w:val="Normal"/>
    <w:uiPriority w:val="99"/>
    <w:rsid w:val="005507D0"/>
    <w:pPr>
      <w:keepNext/>
      <w:spacing w:before="360" w:after="60"/>
      <w:jc w:val="center"/>
    </w:pPr>
    <w:rPr>
      <w:b/>
    </w:rPr>
  </w:style>
  <w:style w:type="paragraph" w:customStyle="1" w:styleId="Fullmakttit">
    <w:name w:val="Fullmakttit"/>
    <w:basedOn w:val="Normal"/>
    <w:next w:val="Normal"/>
    <w:uiPriority w:val="99"/>
    <w:rsid w:val="005507D0"/>
    <w:pPr>
      <w:keepNext/>
      <w:spacing w:before="60" w:after="60"/>
      <w:jc w:val="center"/>
    </w:pPr>
    <w:rPr>
      <w:i/>
    </w:rPr>
  </w:style>
  <w:style w:type="paragraph" w:customStyle="1" w:styleId="konge">
    <w:name w:val="konge"/>
    <w:basedOn w:val="Normal"/>
    <w:uiPriority w:val="99"/>
    <w:rsid w:val="005507D0"/>
  </w:style>
  <w:style w:type="paragraph" w:customStyle="1" w:styleId="sitat">
    <w:name w:val="sitat"/>
    <w:basedOn w:val="Normal"/>
    <w:next w:val="Normal"/>
    <w:uiPriority w:val="99"/>
    <w:rsid w:val="005507D0"/>
    <w:rPr>
      <w:spacing w:val="-12"/>
    </w:rPr>
  </w:style>
  <w:style w:type="paragraph" w:styleId="Sitat0">
    <w:name w:val="Quote"/>
    <w:basedOn w:val="Normal"/>
    <w:next w:val="Normal"/>
    <w:link w:val="SitatTegn"/>
    <w:uiPriority w:val="29"/>
    <w:qFormat/>
    <w:rsid w:val="005507D0"/>
    <w:rPr>
      <w:i/>
      <w:iCs/>
      <w:color w:val="000000" w:themeColor="text1"/>
    </w:rPr>
  </w:style>
  <w:style w:type="character" w:customStyle="1" w:styleId="SitatTegn">
    <w:name w:val="Sitat Tegn"/>
    <w:basedOn w:val="Standardskriftforavsnitt"/>
    <w:link w:val="Sitat0"/>
    <w:uiPriority w:val="99"/>
    <w:rsid w:val="005507D0"/>
    <w:rPr>
      <w:rFonts w:ascii="Times New Roman" w:eastAsia="Times New Roman" w:hAnsi="Times New Roman"/>
      <w:i/>
      <w:iCs/>
      <w:color w:val="000000" w:themeColor="text1"/>
      <w:spacing w:val="4"/>
      <w:sz w:val="24"/>
      <w:lang w:eastAsia="nb-NO"/>
    </w:rPr>
  </w:style>
  <w:style w:type="paragraph" w:customStyle="1" w:styleId="l-lovliste">
    <w:name w:val="l-lovliste"/>
    <w:basedOn w:val="hengende-innrykk"/>
    <w:uiPriority w:val="99"/>
    <w:qFormat/>
    <w:rsid w:val="005507D0"/>
    <w:pPr>
      <w:ind w:left="357" w:hanging="357"/>
    </w:pPr>
  </w:style>
  <w:style w:type="paragraph" w:customStyle="1" w:styleId="Tabellnavn-kode">
    <w:name w:val="Tabellnavn-kode"/>
    <w:basedOn w:val="Tabellnavn"/>
    <w:uiPriority w:val="99"/>
    <w:qFormat/>
    <w:rsid w:val="005507D0"/>
    <w:rPr>
      <w:vanish w:val="0"/>
      <w:color w:val="FF0000"/>
    </w:rPr>
  </w:style>
  <w:style w:type="paragraph" w:customStyle="1" w:styleId="HeadingRunIn">
    <w:name w:val="HeadingRunIn"/>
    <w:next w:val="Normal"/>
    <w:rsid w:val="005507D0"/>
    <w:pPr>
      <w:keepNext/>
      <w:autoSpaceDE w:val="0"/>
      <w:autoSpaceDN w:val="0"/>
      <w:adjustRightInd w:val="0"/>
      <w:spacing w:before="120" w:after="0" w:line="280" w:lineRule="atLeast"/>
    </w:pPr>
    <w:rPr>
      <w:rFonts w:ascii="Times New Roman" w:eastAsia="Times New Roman" w:hAnsi="Times New Roman" w:cs="Times New Roman"/>
      <w:b/>
      <w:bCs/>
      <w:color w:val="000000"/>
      <w:w w:val="0"/>
      <w:sz w:val="24"/>
      <w:szCs w:val="24"/>
      <w:lang w:val="en-US" w:eastAsia="nb-NO"/>
    </w:rPr>
  </w:style>
  <w:style w:type="paragraph" w:customStyle="1" w:styleId="a-vedtakdep-tit">
    <w:name w:val="a-vedtakdep-tit"/>
    <w:basedOn w:val="a-vedtak-tit"/>
    <w:uiPriority w:val="99"/>
    <w:qFormat/>
    <w:rsid w:val="005507D0"/>
    <w:pPr>
      <w:spacing w:before="120"/>
    </w:pPr>
    <w:rPr>
      <w:b w:val="0"/>
      <w:sz w:val="24"/>
    </w:rPr>
  </w:style>
  <w:style w:type="paragraph" w:customStyle="1" w:styleId="a-vedtakkap-tit">
    <w:name w:val="a-vedtakkap-tit"/>
    <w:basedOn w:val="a-vedtak-tit"/>
    <w:uiPriority w:val="99"/>
    <w:qFormat/>
    <w:rsid w:val="005507D0"/>
    <w:pPr>
      <w:spacing w:before="120"/>
    </w:pPr>
    <w:rPr>
      <w:sz w:val="24"/>
    </w:rPr>
  </w:style>
  <w:style w:type="paragraph" w:customStyle="1" w:styleId="0NOUTittelside-1">
    <w:name w:val="0_NOU_Tittelside-1"/>
    <w:rsid w:val="005507D0"/>
    <w:pPr>
      <w:autoSpaceDE w:val="0"/>
      <w:autoSpaceDN w:val="0"/>
      <w:adjustRightInd w:val="0"/>
      <w:spacing w:after="0" w:line="980" w:lineRule="atLeast"/>
      <w:jc w:val="both"/>
    </w:pPr>
    <w:rPr>
      <w:rFonts w:ascii="UniCentury Old Style" w:eastAsiaTheme="minorEastAsia" w:hAnsi="UniCentury Old Style" w:cs="UniCentury Old Style"/>
      <w:b/>
      <w:bCs/>
      <w:color w:val="FF0000"/>
      <w:w w:val="0"/>
      <w:sz w:val="82"/>
      <w:szCs w:val="82"/>
      <w:lang w:eastAsia="nb-NO"/>
    </w:rPr>
  </w:style>
  <w:style w:type="paragraph" w:customStyle="1" w:styleId="a-tilraar-dep-2">
    <w:name w:val="a-tilraar-dep-2"/>
    <w:uiPriority w:val="99"/>
    <w:rsid w:val="005507D0"/>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eastAsiaTheme="minorEastAsia" w:hAnsi="UniCentury Old Style" w:cs="UniCentury Old Style"/>
      <w:color w:val="000000"/>
      <w:w w:val="0"/>
      <w:sz w:val="20"/>
      <w:szCs w:val="20"/>
      <w:lang w:eastAsia="nb-NO"/>
    </w:rPr>
  </w:style>
  <w:style w:type="paragraph" w:customStyle="1" w:styleId="a-tilraar-tit-2">
    <w:name w:val="a-tilraar-tit-2"/>
    <w:uiPriority w:val="99"/>
    <w:rsid w:val="005507D0"/>
    <w:pPr>
      <w:keepNext/>
      <w:autoSpaceDE w:val="0"/>
      <w:autoSpaceDN w:val="0"/>
      <w:adjustRightInd w:val="0"/>
      <w:spacing w:before="16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l-2">
    <w:name w:val="a-vedtak-del-2"/>
    <w:uiPriority w:val="99"/>
    <w:rsid w:val="005507D0"/>
    <w:pPr>
      <w:keepNext/>
      <w:pBdr>
        <w:top w:val="single" w:sz="8" w:space="0" w:color="auto"/>
      </w:pBdr>
      <w:autoSpaceDE w:val="0"/>
      <w:autoSpaceDN w:val="0"/>
      <w:adjustRightInd w:val="0"/>
      <w:spacing w:before="220" w:after="10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tekst-luft-over">
    <w:name w:val="a-vedtak-tekst-luft-over"/>
    <w:uiPriority w:val="99"/>
    <w:rsid w:val="005507D0"/>
    <w:pPr>
      <w:keepNext/>
      <w:autoSpaceDE w:val="0"/>
      <w:autoSpaceDN w:val="0"/>
      <w:adjustRightInd w:val="0"/>
      <w:spacing w:before="240" w:after="0" w:line="240" w:lineRule="atLeast"/>
      <w:ind w:left="280" w:right="280"/>
      <w:jc w:val="center"/>
    </w:pPr>
    <w:rPr>
      <w:rFonts w:ascii="UniCentury Old Style" w:eastAsiaTheme="minorEastAsia" w:hAnsi="UniCentury Old Style" w:cs="UniCentury Old Style"/>
      <w:color w:val="000000"/>
      <w:w w:val="0"/>
      <w:sz w:val="20"/>
      <w:szCs w:val="20"/>
      <w:lang w:eastAsia="nb-NO"/>
    </w:rPr>
  </w:style>
  <w:style w:type="paragraph" w:customStyle="1" w:styleId="a-vedtak-tit-forslag-246-linjer">
    <w:name w:val="a-vedtak-tit-forslag-246-linjer"/>
    <w:uiPriority w:val="99"/>
    <w:rsid w:val="005507D0"/>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Normal-u-innrykk">
    <w:name w:val="Normal-u-innrykk"/>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a-vedtak-tit-forslag-357-linjer">
    <w:name w:val="a-vedtak-tit-forslag-357-linjer"/>
    <w:uiPriority w:val="99"/>
    <w:rsid w:val="005507D0"/>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ramme-noter-frste">
    <w:name w:val="ramme-noter-første"/>
    <w:uiPriority w:val="99"/>
    <w:rsid w:val="005507D0"/>
    <w:pPr>
      <w:tabs>
        <w:tab w:val="left" w:pos="220"/>
      </w:tabs>
      <w:autoSpaceDE w:val="0"/>
      <w:autoSpaceDN w:val="0"/>
      <w:adjustRightInd w:val="0"/>
      <w:spacing w:before="180"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avgivelse">
    <w:name w:val="avgivelse"/>
    <w:uiPriority w:val="99"/>
    <w:rsid w:val="005507D0"/>
    <w:pPr>
      <w:suppressAutoHyphens/>
      <w:autoSpaceDE w:val="0"/>
      <w:autoSpaceDN w:val="0"/>
      <w:adjustRightInd w:val="0"/>
      <w:spacing w:before="4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Avslutning">
    <w:name w:val="Avslutning"/>
    <w:uiPriority w:val="99"/>
    <w:rsid w:val="005507D0"/>
    <w:pPr>
      <w:pBdr>
        <w:bottom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tabell-tittel2">
    <w:name w:val="tabell-tittel2"/>
    <w:uiPriority w:val="99"/>
    <w:rsid w:val="005507D0"/>
    <w:pPr>
      <w:keepNext/>
      <w:suppressAutoHyphens/>
      <w:autoSpaceDE w:val="0"/>
      <w:autoSpaceDN w:val="0"/>
      <w:adjustRightInd w:val="0"/>
      <w:spacing w:after="0" w:line="240" w:lineRule="atLeast"/>
    </w:pPr>
    <w:rPr>
      <w:rFonts w:ascii="UniMyriad Regular" w:eastAsiaTheme="minorEastAsia" w:hAnsi="UniMyriad Regular" w:cs="UniMyriad Regular"/>
      <w:color w:val="000000"/>
      <w:w w:val="0"/>
      <w:sz w:val="20"/>
      <w:szCs w:val="20"/>
      <w:lang w:eastAsia="nb-NO"/>
    </w:rPr>
  </w:style>
  <w:style w:type="paragraph" w:customStyle="1" w:styleId="a-vedtak-titTOC">
    <w:name w:val="a-vedtak-tit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vedlegg-nrTOC">
    <w:name w:val="vedlegg-nrTOC"/>
    <w:uiPriority w:val="99"/>
    <w:rsid w:val="005507D0"/>
    <w:pPr>
      <w:keepNext/>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a-vedtak-tit-forslag-246-linjerTOC">
    <w:name w:val="a-vedtak-tit-forslag-246-linj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fagTOC">
    <w:name w:val="b-progkat-fag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budkaptitetter">
    <w:name w:val="b-budkaptit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2">
    <w:name w:val="b-budkaptit f 2"/>
    <w:uiPriority w:val="99"/>
    <w:rsid w:val="005507D0"/>
    <w:pPr>
      <w:keepNext/>
      <w:pBdr>
        <w:top w:val="single" w:sz="8" w:space="0" w:color="auto"/>
      </w:pBdr>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3">
    <w:name w:val="b-budkaptit f 3"/>
    <w:uiPriority w:val="99"/>
    <w:rsid w:val="005507D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rb-post">
    <w:name w:val="b-budkaptit før b-post"/>
    <w:uiPriority w:val="99"/>
    <w:rsid w:val="005507D0"/>
    <w:pPr>
      <w:keepNext/>
      <w:pBdr>
        <w:top w:val="single" w:sz="8" w:space="0" w:color="auto"/>
      </w:pBdr>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ag">
    <w:name w:val="b-budkaptit-fag"/>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
    <w:name w:val="b-budkaptit-fag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TOC">
    <w:name w:val="b-budkaptit-fag etterTOC"/>
    <w:uiPriority w:val="99"/>
    <w:rsid w:val="005507D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budkaptit-fagf2">
    <w:name w:val="b-budkaptit-fag f 2"/>
    <w:uiPriority w:val="99"/>
    <w:rsid w:val="005507D0"/>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f2TOC">
    <w:name w:val="b-budkaptit-fag f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fagTOC">
    <w:name w:val="b-budkaptit-fag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TOC">
    <w:name w:val="b-budkaptit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postetter">
    <w:name w:val="b-post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etterb-budkaptit">
    <w:name w:val="b-post etter b-budkaptit"/>
    <w:uiPriority w:val="99"/>
    <w:rsid w:val="005507D0"/>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f2">
    <w:name w:val="b-post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post-fag">
    <w:name w:val="b-post-fag"/>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etter">
    <w:name w:val="b-post-fag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b-post-fagf2">
    <w:name w:val="b-post-fag f 2"/>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f3">
    <w:name w:val="b-post-fag f 3"/>
    <w:uiPriority w:val="99"/>
    <w:rsid w:val="005507D0"/>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b-progkatetter">
    <w:name w:val="b-progkat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2">
    <w:name w:val="b-progkat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3">
    <w:name w:val="b-progkat f 3"/>
    <w:uiPriority w:val="99"/>
    <w:rsid w:val="005507D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ag">
    <w:name w:val="b-progkat-fag"/>
    <w:uiPriority w:val="99"/>
    <w:rsid w:val="005507D0"/>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fag-etter">
    <w:name w:val="b-progkat-fag-etter"/>
    <w:uiPriority w:val="99"/>
    <w:rsid w:val="005507D0"/>
    <w:pPr>
      <w:keepNext/>
      <w:suppressAutoHyphens/>
      <w:autoSpaceDE w:val="0"/>
      <w:autoSpaceDN w:val="0"/>
      <w:adjustRightInd w:val="0"/>
      <w:spacing w:before="80" w:after="340" w:line="360" w:lineRule="atLeast"/>
      <w:jc w:val="center"/>
    </w:pPr>
    <w:rPr>
      <w:rFonts w:ascii="UniMyriad Bold" w:eastAsiaTheme="minorEastAsia" w:hAnsi="UniMyriad Bold" w:cs="UniMyriad Bold"/>
      <w:color w:val="000000"/>
      <w:w w:val="0"/>
      <w:sz w:val="28"/>
      <w:szCs w:val="28"/>
      <w:lang w:eastAsia="nb-NO"/>
    </w:rPr>
  </w:style>
  <w:style w:type="paragraph" w:customStyle="1" w:styleId="a-vedtak-tit-forslag-357-linjerTOC">
    <w:name w:val="a-vedtak-tit-forslag-357-linj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TOC">
    <w:name w:val="b-progkatTOC"/>
    <w:uiPriority w:val="99"/>
    <w:rsid w:val="005507D0"/>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rogomretter">
    <w:name w:val="b-progomr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2">
    <w:name w:val="b-progomr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3">
    <w:name w:val="b-progomr f 3"/>
    <w:uiPriority w:val="99"/>
    <w:rsid w:val="005507D0"/>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ag">
    <w:name w:val="b-progomr-fag"/>
    <w:uiPriority w:val="99"/>
    <w:rsid w:val="005507D0"/>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fag-etter">
    <w:name w:val="b-progomr-fag-etter"/>
    <w:uiPriority w:val="99"/>
    <w:rsid w:val="005507D0"/>
    <w:pPr>
      <w:keepNext/>
      <w:pBdr>
        <w:top w:val="single" w:sz="8" w:space="0" w:color="auto"/>
      </w:pBdr>
      <w:autoSpaceDE w:val="0"/>
      <w:autoSpaceDN w:val="0"/>
      <w:adjustRightInd w:val="0"/>
      <w:spacing w:before="80" w:after="8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TOC">
    <w:name w:val="b-progomrTOC"/>
    <w:uiPriority w:val="99"/>
    <w:rsid w:val="005507D0"/>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under-underpostetter">
    <w:name w:val="b-under-underpost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underpostprop">
    <w:name w:val="b-under-underpost prop"/>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underpostpropetter">
    <w:name w:val="b-under-underpost prop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etter">
    <w:name w:val="b-underpost etter"/>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f2">
    <w:name w:val="b-underpost f 2"/>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prop">
    <w:name w:val="b-underpost prop"/>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postpropetter">
    <w:name w:val="b-underpost prop etter"/>
    <w:uiPriority w:val="99"/>
    <w:rsid w:val="005507D0"/>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propf2">
    <w:name w:val="b-underpost prop f 2"/>
    <w:uiPriority w:val="99"/>
    <w:rsid w:val="005507D0"/>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lokksit-eneste">
    <w:name w:val="blokksit-eneste"/>
    <w:uiPriority w:val="99"/>
    <w:rsid w:val="005507D0"/>
    <w:pPr>
      <w:autoSpaceDE w:val="0"/>
      <w:autoSpaceDN w:val="0"/>
      <w:adjustRightInd w:val="0"/>
      <w:spacing w:before="240" w:after="24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eneste-petit">
    <w:name w:val="blokksit-eneste-petit"/>
    <w:uiPriority w:val="99"/>
    <w:rsid w:val="005507D0"/>
    <w:pPr>
      <w:autoSpaceDE w:val="0"/>
      <w:autoSpaceDN w:val="0"/>
      <w:adjustRightInd w:val="0"/>
      <w:spacing w:before="240" w:after="24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frste-petit">
    <w:name w:val="blokksit-første-petit"/>
    <w:uiPriority w:val="99"/>
    <w:rsid w:val="005507D0"/>
    <w:pPr>
      <w:autoSpaceDE w:val="0"/>
      <w:autoSpaceDN w:val="0"/>
      <w:adjustRightInd w:val="0"/>
      <w:spacing w:before="240" w:after="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petit">
    <w:name w:val="blokksit-petit"/>
    <w:uiPriority w:val="99"/>
    <w:rsid w:val="005507D0"/>
    <w:pPr>
      <w:autoSpaceDE w:val="0"/>
      <w:autoSpaceDN w:val="0"/>
      <w:adjustRightInd w:val="0"/>
      <w:spacing w:after="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blokksit-siste-petit">
    <w:name w:val="blokksit-siste-petit"/>
    <w:uiPriority w:val="99"/>
    <w:rsid w:val="005507D0"/>
    <w:pPr>
      <w:autoSpaceDE w:val="0"/>
      <w:autoSpaceDN w:val="0"/>
      <w:adjustRightInd w:val="0"/>
      <w:spacing w:after="24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del-nrTOC">
    <w:name w:val="del-nrTOC"/>
    <w:uiPriority w:val="99"/>
    <w:rsid w:val="005507D0"/>
    <w:pPr>
      <w:keepNext/>
      <w:tabs>
        <w:tab w:val="left" w:pos="960"/>
      </w:tabs>
      <w:suppressAutoHyphens/>
      <w:autoSpaceDE w:val="0"/>
      <w:autoSpaceDN w:val="0"/>
      <w:adjustRightInd w:val="0"/>
      <w:spacing w:before="22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del-tittelTOC">
    <w:name w:val="del-tittelTOC"/>
    <w:uiPriority w:val="99"/>
    <w:rsid w:val="005507D0"/>
    <w:pPr>
      <w:keepNext/>
      <w:tabs>
        <w:tab w:val="left" w:pos="960"/>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figur-noter-2">
    <w:name w:val="figur-noter-2"/>
    <w:uiPriority w:val="99"/>
    <w:rsid w:val="005507D0"/>
    <w:pPr>
      <w:tabs>
        <w:tab w:val="left" w:pos="220"/>
      </w:tabs>
      <w:autoSpaceDE w:val="0"/>
      <w:autoSpaceDN w:val="0"/>
      <w:adjustRightInd w:val="0"/>
      <w:spacing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figur-tittel-2">
    <w:name w:val="figur-tittel-2"/>
    <w:uiPriority w:val="99"/>
    <w:rsid w:val="005507D0"/>
    <w:pPr>
      <w:keepNext/>
      <w:tabs>
        <w:tab w:val="left" w:pos="900"/>
      </w:tabs>
      <w:suppressAutoHyphens/>
      <w:autoSpaceDE w:val="0"/>
      <w:autoSpaceDN w:val="0"/>
      <w:adjustRightInd w:val="0"/>
      <w:spacing w:before="120" w:after="80" w:line="240" w:lineRule="atLeast"/>
    </w:pPr>
    <w:rPr>
      <w:rFonts w:ascii="UniMyriad Regular" w:eastAsiaTheme="minorEastAsia" w:hAnsi="UniMyriad Regular" w:cs="UniMyriad Regular"/>
      <w:color w:val="000000"/>
      <w:w w:val="0"/>
      <w:sz w:val="20"/>
      <w:szCs w:val="20"/>
      <w:lang w:eastAsia="nb-NO"/>
    </w:rPr>
  </w:style>
  <w:style w:type="paragraph" w:customStyle="1" w:styleId="figur-tittel-2LOF">
    <w:name w:val="figur-tittel-2LOF"/>
    <w:uiPriority w:val="99"/>
    <w:rsid w:val="005507D0"/>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igur-tittelLOF">
    <w:name w:val="figur-tittelLOF"/>
    <w:uiPriority w:val="99"/>
    <w:rsid w:val="005507D0"/>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orfatter-1">
    <w:name w:val="forfatter-1"/>
    <w:uiPriority w:val="99"/>
    <w:rsid w:val="005507D0"/>
    <w:pPr>
      <w:keepNext/>
      <w:autoSpaceDE w:val="0"/>
      <w:autoSpaceDN w:val="0"/>
      <w:adjustRightInd w:val="0"/>
      <w:spacing w:before="160" w:after="80" w:line="240" w:lineRule="atLeast"/>
      <w:jc w:val="center"/>
    </w:pPr>
    <w:rPr>
      <w:rFonts w:ascii="UniMyriad Regular" w:eastAsiaTheme="minorEastAsia" w:hAnsi="UniMyriad Regular" w:cs="UniMyriad Regular"/>
      <w:i/>
      <w:iCs/>
      <w:color w:val="000000"/>
      <w:w w:val="0"/>
      <w:lang w:eastAsia="nb-NO"/>
    </w:rPr>
  </w:style>
  <w:style w:type="paragraph" w:customStyle="1" w:styleId="b-progomr-fagTOC">
    <w:name w:val="b-progomr-fag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omr-fag-etterTOC">
    <w:name w:val="b-progomr-fag-ett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GroupTitlesIX">
    <w:name w:val="GroupTitlesIX"/>
    <w:uiPriority w:val="99"/>
    <w:rsid w:val="005507D0"/>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Halvfet0">
    <w:name w:val="Halvfet"/>
    <w:uiPriority w:val="99"/>
    <w:rsid w:val="005507D0"/>
    <w:pPr>
      <w:autoSpaceDE w:val="0"/>
      <w:autoSpaceDN w:val="0"/>
      <w:adjustRightInd w:val="0"/>
      <w:spacing w:after="0" w:line="220" w:lineRule="atLeast"/>
      <w:jc w:val="center"/>
    </w:pPr>
    <w:rPr>
      <w:rFonts w:ascii="UniCentury Old Style" w:eastAsiaTheme="minorEastAsia" w:hAnsi="UniCentury Old Style" w:cs="UniCentury Old Style"/>
      <w:b/>
      <w:bCs/>
      <w:color w:val="000000"/>
      <w:w w:val="0"/>
      <w:sz w:val="18"/>
      <w:szCs w:val="18"/>
      <w:lang w:eastAsia="nb-NO"/>
    </w:rPr>
  </w:style>
  <w:style w:type="paragraph" w:customStyle="1" w:styleId="i-depTOC">
    <w:name w:val="i-depTOC"/>
    <w:uiPriority w:val="99"/>
    <w:rsid w:val="005507D0"/>
    <w:pPr>
      <w:keepNext/>
      <w:autoSpaceDE w:val="0"/>
      <w:autoSpaceDN w:val="0"/>
      <w:adjustRightInd w:val="0"/>
      <w:spacing w:before="540" w:after="260" w:line="260" w:lineRule="atLeast"/>
    </w:pPr>
    <w:rPr>
      <w:rFonts w:ascii="UniMyriad Bold" w:eastAsiaTheme="minorEastAsia" w:hAnsi="UniMyriad Bold" w:cs="UniMyriad Bold"/>
      <w:color w:val="000000"/>
      <w:w w:val="0"/>
      <w:sz w:val="24"/>
      <w:szCs w:val="24"/>
      <w:lang w:eastAsia="nb-NO"/>
    </w:rPr>
  </w:style>
  <w:style w:type="paragraph" w:customStyle="1" w:styleId="b-progkat-fag-etterTOC">
    <w:name w:val="b-progkat-fag-etterTOC"/>
    <w:uiPriority w:val="99"/>
    <w:rsid w:val="005507D0"/>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i-nouhode">
    <w:name w:val="i-nouhode"/>
    <w:uiPriority w:val="99"/>
    <w:rsid w:val="005507D0"/>
    <w:pPr>
      <w:autoSpaceDE w:val="0"/>
      <w:autoSpaceDN w:val="0"/>
      <w:adjustRightInd w:val="0"/>
      <w:spacing w:before="160" w:after="0" w:line="200" w:lineRule="atLeast"/>
      <w:jc w:val="center"/>
    </w:pPr>
    <w:rPr>
      <w:rFonts w:ascii="UniMyriad Regular" w:eastAsiaTheme="minorEastAsia" w:hAnsi="UniMyriad Regular" w:cs="UniMyriad Regular"/>
      <w:strike/>
      <w:color w:val="000000"/>
      <w:w w:val="0"/>
      <w:sz w:val="20"/>
      <w:szCs w:val="20"/>
      <w:u w:val="single"/>
      <w:lang w:eastAsia="nb-NO"/>
    </w:rPr>
  </w:style>
  <w:style w:type="paragraph" w:customStyle="1" w:styleId="i-noutit">
    <w:name w:val="i-noutit"/>
    <w:uiPriority w:val="99"/>
    <w:rsid w:val="005507D0"/>
    <w:pPr>
      <w:keepNext/>
      <w:suppressAutoHyphens/>
      <w:autoSpaceDE w:val="0"/>
      <w:autoSpaceDN w:val="0"/>
      <w:adjustRightInd w:val="0"/>
      <w:spacing w:after="0" w:line="760" w:lineRule="atLeast"/>
    </w:pPr>
    <w:rPr>
      <w:rFonts w:ascii="UniCentury Old Style" w:eastAsiaTheme="minorEastAsia" w:hAnsi="UniCentury Old Style" w:cs="UniCentury Old Style"/>
      <w:color w:val="000000"/>
      <w:w w:val="0"/>
      <w:sz w:val="64"/>
      <w:szCs w:val="64"/>
      <w:lang w:eastAsia="nb-NO"/>
    </w:rPr>
  </w:style>
  <w:style w:type="paragraph" w:customStyle="1" w:styleId="i-nouundertit">
    <w:name w:val="i-nouundertit"/>
    <w:uiPriority w:val="99"/>
    <w:rsid w:val="005507D0"/>
    <w:pPr>
      <w:keepNext/>
      <w:suppressAutoHyphens/>
      <w:autoSpaceDE w:val="0"/>
      <w:autoSpaceDN w:val="0"/>
      <w:adjustRightInd w:val="0"/>
      <w:spacing w:before="100" w:after="0" w:line="380" w:lineRule="atLeast"/>
    </w:pPr>
    <w:rPr>
      <w:rFonts w:ascii="UniCentury Old Style" w:eastAsiaTheme="minorEastAsia" w:hAnsi="UniCentury Old Style" w:cs="UniCentury Old Style"/>
      <w:color w:val="000000"/>
      <w:w w:val="0"/>
      <w:sz w:val="32"/>
      <w:szCs w:val="32"/>
      <w:lang w:eastAsia="nb-NO"/>
    </w:rPr>
  </w:style>
  <w:style w:type="paragraph" w:customStyle="1" w:styleId="i-prpnr">
    <w:name w:val="i-prp.nr"/>
    <w:uiPriority w:val="99"/>
    <w:rsid w:val="005507D0"/>
    <w:pPr>
      <w:autoSpaceDE w:val="0"/>
      <w:autoSpaceDN w:val="0"/>
      <w:adjustRightInd w:val="0"/>
      <w:spacing w:before="520" w:after="0" w:line="700" w:lineRule="atLeast"/>
      <w:jc w:val="center"/>
    </w:pPr>
    <w:rPr>
      <w:rFonts w:ascii="UniMyriad Bold" w:eastAsiaTheme="minorEastAsia" w:hAnsi="UniMyriad Bold" w:cs="UniMyriad Bold"/>
      <w:color w:val="000000"/>
      <w:w w:val="0"/>
      <w:sz w:val="68"/>
      <w:szCs w:val="68"/>
      <w:lang w:eastAsia="nb-NO"/>
    </w:rPr>
  </w:style>
  <w:style w:type="paragraph" w:customStyle="1" w:styleId="i-prpnr-INNL-SIDE">
    <w:name w:val="i-prp.nr-INNL-SIDE"/>
    <w:uiPriority w:val="99"/>
    <w:rsid w:val="005507D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eastAsiaTheme="minorEastAsia" w:hAnsi="UniMyriad Bold" w:cs="UniMyriad Bold"/>
      <w:color w:val="000000"/>
      <w:w w:val="0"/>
      <w:sz w:val="80"/>
      <w:szCs w:val="80"/>
      <w:lang w:eastAsia="nb-NO"/>
    </w:rPr>
  </w:style>
  <w:style w:type="paragraph" w:customStyle="1" w:styleId="i-pubnr">
    <w:name w:val="i-pub.nr"/>
    <w:uiPriority w:val="99"/>
    <w:rsid w:val="005507D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eastAsiaTheme="minorEastAsia" w:hAnsi="UniMyriad Bold" w:cs="UniMyriad Bold"/>
      <w:color w:val="000000"/>
      <w:w w:val="0"/>
      <w:sz w:val="64"/>
      <w:szCs w:val="64"/>
      <w:lang w:eastAsia="nb-NO"/>
    </w:rPr>
  </w:style>
  <w:style w:type="paragraph" w:customStyle="1" w:styleId="i-tit-innlside">
    <w:name w:val="i-tit-innlside"/>
    <w:uiPriority w:val="99"/>
    <w:rsid w:val="005507D0"/>
    <w:pPr>
      <w:keepNext/>
      <w:suppressAutoHyphens/>
      <w:autoSpaceDE w:val="0"/>
      <w:autoSpaceDN w:val="0"/>
      <w:adjustRightInd w:val="0"/>
      <w:spacing w:before="200" w:after="0" w:line="600" w:lineRule="atLeast"/>
      <w:jc w:val="center"/>
    </w:pPr>
    <w:rPr>
      <w:rFonts w:ascii="UniCentury Old Style" w:eastAsiaTheme="minorEastAsia" w:hAnsi="UniCentury Old Style" w:cs="UniCentury Old Style"/>
      <w:color w:val="000000"/>
      <w:w w:val="0"/>
      <w:sz w:val="48"/>
      <w:szCs w:val="48"/>
      <w:lang w:eastAsia="nb-NO"/>
    </w:rPr>
  </w:style>
  <w:style w:type="paragraph" w:customStyle="1" w:styleId="i-tit-report">
    <w:name w:val="i-tit-report"/>
    <w:uiPriority w:val="99"/>
    <w:rsid w:val="005507D0"/>
    <w:pPr>
      <w:keepNext/>
      <w:pBdr>
        <w:top w:val="single" w:sz="8" w:space="0" w:color="auto"/>
      </w:pBdr>
      <w:suppressAutoHyphens/>
      <w:autoSpaceDE w:val="0"/>
      <w:autoSpaceDN w:val="0"/>
      <w:adjustRightInd w:val="0"/>
      <w:spacing w:before="180" w:after="0" w:line="580" w:lineRule="atLeast"/>
      <w:jc w:val="center"/>
    </w:pPr>
    <w:rPr>
      <w:rFonts w:ascii="UniCentury Old Style" w:eastAsiaTheme="minorEastAsia" w:hAnsi="UniCentury Old Style" w:cs="UniCentury Old Style"/>
      <w:color w:val="000000"/>
      <w:w w:val="0"/>
      <w:sz w:val="50"/>
      <w:szCs w:val="50"/>
      <w:lang w:eastAsia="nb-NO"/>
    </w:rPr>
  </w:style>
  <w:style w:type="paragraph" w:customStyle="1" w:styleId="i-undertit-innlside">
    <w:name w:val="i-undertit-innlside"/>
    <w:uiPriority w:val="99"/>
    <w:rsid w:val="005507D0"/>
    <w:pPr>
      <w:keepNext/>
      <w:pBdr>
        <w:top w:val="single" w:sz="8" w:space="0" w:color="auto"/>
      </w:pBdr>
      <w:suppressAutoHyphens/>
      <w:autoSpaceDE w:val="0"/>
      <w:autoSpaceDN w:val="0"/>
      <w:adjustRightInd w:val="0"/>
      <w:spacing w:before="40" w:after="0" w:line="460" w:lineRule="atLeast"/>
      <w:jc w:val="center"/>
    </w:pPr>
    <w:rPr>
      <w:rFonts w:ascii="UniCentury Old Style" w:eastAsiaTheme="minorEastAsia" w:hAnsi="UniCentury Old Style" w:cs="UniCentury Old Style"/>
      <w:color w:val="000000"/>
      <w:w w:val="0"/>
      <w:sz w:val="36"/>
      <w:szCs w:val="36"/>
      <w:lang w:eastAsia="nb-NO"/>
    </w:rPr>
  </w:style>
  <w:style w:type="paragraph" w:customStyle="1" w:styleId="Innhold">
    <w:name w:val="Innhold"/>
    <w:uiPriority w:val="99"/>
    <w:rsid w:val="005507D0"/>
    <w:pPr>
      <w:keepNext/>
      <w:pageBreakBefore/>
      <w:autoSpaceDE w:val="0"/>
      <w:autoSpaceDN w:val="0"/>
      <w:adjustRightInd w:val="0"/>
      <w:spacing w:after="0" w:line="500" w:lineRule="atLeast"/>
      <w:jc w:val="center"/>
    </w:pPr>
    <w:rPr>
      <w:rFonts w:ascii="UniMyriad Bold" w:eastAsiaTheme="minorEastAsia" w:hAnsi="UniMyriad Bold" w:cs="UniMyriad Bold"/>
      <w:color w:val="000000"/>
      <w:w w:val="0"/>
      <w:sz w:val="34"/>
      <w:szCs w:val="34"/>
      <w:lang w:eastAsia="nb-NO"/>
    </w:rPr>
  </w:style>
  <w:style w:type="paragraph" w:customStyle="1" w:styleId="Kilde-2">
    <w:name w:val="Kilde-2"/>
    <w:uiPriority w:val="99"/>
    <w:rsid w:val="005507D0"/>
    <w:pPr>
      <w:autoSpaceDE w:val="0"/>
      <w:autoSpaceDN w:val="0"/>
      <w:adjustRightInd w:val="0"/>
      <w:spacing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Blokksit">
    <w:name w:val="KildeBlokksit"/>
    <w:uiPriority w:val="99"/>
    <w:rsid w:val="005507D0"/>
    <w:pPr>
      <w:autoSpaceDE w:val="0"/>
      <w:autoSpaceDN w:val="0"/>
      <w:adjustRightInd w:val="0"/>
      <w:spacing w:after="280" w:line="200" w:lineRule="atLeast"/>
      <w:jc w:val="right"/>
    </w:pPr>
    <w:rPr>
      <w:rFonts w:ascii="UniCentury Old Style" w:eastAsiaTheme="minorEastAsia" w:hAnsi="UniCentury Old Style" w:cs="UniCentury Old Style"/>
      <w:color w:val="000000"/>
      <w:w w:val="0"/>
      <w:sz w:val="16"/>
      <w:szCs w:val="16"/>
      <w:lang w:eastAsia="nb-NO"/>
    </w:rPr>
  </w:style>
  <w:style w:type="paragraph" w:customStyle="1" w:styleId="KildeRamme">
    <w:name w:val="KildeRamme"/>
    <w:uiPriority w:val="99"/>
    <w:rsid w:val="005507D0"/>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Ramme-2">
    <w:name w:val="KildeRamme-2"/>
    <w:uiPriority w:val="99"/>
    <w:rsid w:val="005507D0"/>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Overskrift1FirstTOC">
    <w:name w:val="Overskrift 1 First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l-lovavsnitt">
    <w:name w:val="l-lovavsnitt"/>
    <w:uiPriority w:val="99"/>
    <w:rsid w:val="005507D0"/>
    <w:pPr>
      <w:pBdr>
        <w:top w:val="single" w:sz="8" w:space="0" w:color="auto"/>
      </w:pBd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avsnitt-m-endr">
    <w:name w:val="l-lovavsnitt-m-endr"/>
    <w:uiPriority w:val="99"/>
    <w:rsid w:val="005507D0"/>
    <w:pP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deltitfrl-lovkap">
    <w:name w:val="l-lovdeltit før l-lovkap"/>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frste">
    <w:name w:val="l-lovdeltit-første"/>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m-endr">
    <w:name w:val="l-lovdeltit-m-endr"/>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l-lovkapetterl-lovdeltit">
    <w:name w:val="l-lovkap etter l-lovdeltit"/>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l-paragraf">
    <w:name w:val="l-lovkap før l-paragraf"/>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ste">
    <w:name w:val="l-lovkap-første"/>
    <w:uiPriority w:val="99"/>
    <w:rsid w:val="005507D0"/>
    <w:pPr>
      <w:keepNext/>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m-endr">
    <w:name w:val="l-lovkap-m-endr"/>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tit-frste">
    <w:name w:val="l-lovtit-første"/>
    <w:uiPriority w:val="99"/>
    <w:rsid w:val="005507D0"/>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tit-m-endr">
    <w:name w:val="l-lovtit-m-endr"/>
    <w:uiPriority w:val="99"/>
    <w:rsid w:val="005507D0"/>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Overskrift5TOC">
    <w:name w:val="Overskrift 5TOC"/>
    <w:uiPriority w:val="99"/>
    <w:rsid w:val="005507D0"/>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l-paragrafetterl-lovkap">
    <w:name w:val="l-paragraf etter l-lovkap"/>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paragraf-etter-tit">
    <w:name w:val="l-paragraf-etter-tit"/>
    <w:uiPriority w:val="99"/>
    <w:rsid w:val="005507D0"/>
    <w:pPr>
      <w:keepNext/>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l-paragraf-frste">
    <w:name w:val="l-paragraf-første"/>
    <w:uiPriority w:val="99"/>
    <w:rsid w:val="005507D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lov-etter-a-vedtak-del">
    <w:name w:val="l-tit-endr-lov-etter-a-vedtak-del"/>
    <w:uiPriority w:val="99"/>
    <w:rsid w:val="005507D0"/>
    <w:pPr>
      <w:keepNext/>
      <w:autoSpaceDE w:val="0"/>
      <w:autoSpaceDN w:val="0"/>
      <w:adjustRightInd w:val="0"/>
      <w:spacing w:before="12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
    <w:name w:val="l-tit-endringer"/>
    <w:uiPriority w:val="99"/>
    <w:rsid w:val="005507D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frste">
    <w:name w:val="l-tit-endringer-første"/>
    <w:uiPriority w:val="99"/>
    <w:rsid w:val="005507D0"/>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angtabelltittel">
    <w:name w:val="Lang tabelltittel"/>
    <w:uiPriority w:val="99"/>
    <w:rsid w:val="005507D0"/>
    <w:pPr>
      <w:keepNext/>
      <w:tabs>
        <w:tab w:val="left" w:pos="960"/>
      </w:tabs>
      <w:suppressAutoHyphens/>
      <w:autoSpaceDE w:val="0"/>
      <w:autoSpaceDN w:val="0"/>
      <w:adjustRightInd w:val="0"/>
      <w:spacing w:before="240" w:after="240" w:line="240" w:lineRule="atLeast"/>
    </w:pPr>
    <w:rPr>
      <w:rFonts w:ascii="UniMyriad Regular" w:eastAsiaTheme="minorEastAsia" w:hAnsi="UniMyriad Regular" w:cs="UniMyriad Regular"/>
      <w:color w:val="000000"/>
      <w:w w:val="0"/>
      <w:lang w:eastAsia="nb-NO"/>
    </w:rPr>
  </w:style>
  <w:style w:type="paragraph" w:customStyle="1" w:styleId="Langtabelltittelmaster">
    <w:name w:val="Lang tabelltittel master"/>
    <w:uiPriority w:val="99"/>
    <w:rsid w:val="005507D0"/>
    <w:pPr>
      <w:tabs>
        <w:tab w:val="left" w:pos="960"/>
      </w:tabs>
      <w:suppressAutoHyphens/>
      <w:autoSpaceDE w:val="0"/>
      <w:autoSpaceDN w:val="0"/>
      <w:adjustRightInd w:val="0"/>
      <w:spacing w:before="260" w:after="260" w:line="240" w:lineRule="atLeast"/>
    </w:pPr>
    <w:rPr>
      <w:rFonts w:ascii="UniMyriad Regular" w:eastAsiaTheme="minorEastAsia" w:hAnsi="UniMyriad Regular" w:cs="UniMyriad Regular"/>
      <w:color w:val="000000"/>
      <w:w w:val="0"/>
      <w:lang w:eastAsia="nb-NO"/>
    </w:rPr>
  </w:style>
  <w:style w:type="paragraph" w:customStyle="1" w:styleId="LangtabelltittelLOT">
    <w:name w:val="Lang tabelltittel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leder">
    <w:name w:val="leder"/>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Level1IX">
    <w:name w:val="Level1IX"/>
    <w:uiPriority w:val="99"/>
    <w:rsid w:val="005507D0"/>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a-vedtakdep-titTOC">
    <w:name w:val="a-vedtakdep-titTOC"/>
    <w:uiPriority w:val="99"/>
    <w:rsid w:val="005507D0"/>
    <w:pPr>
      <w:tabs>
        <w:tab w:val="left" w:pos="960"/>
        <w:tab w:val="right" w:leader="dot" w:pos="4120"/>
        <w:tab w:val="right" w:pos="4560"/>
      </w:tabs>
      <w:autoSpaceDE w:val="0"/>
      <w:autoSpaceDN w:val="0"/>
      <w:adjustRightInd w:val="0"/>
      <w:spacing w:before="500" w:after="0" w:line="240" w:lineRule="atLeast"/>
    </w:pPr>
    <w:rPr>
      <w:rFonts w:ascii="UniCentury Old Style" w:eastAsiaTheme="minorEastAsia" w:hAnsi="UniCentury Old Style" w:cs="UniCentury Old Style"/>
      <w:b/>
      <w:bCs/>
      <w:color w:val="FF0000"/>
      <w:w w:val="0"/>
      <w:lang w:eastAsia="nb-NO"/>
    </w:rPr>
  </w:style>
  <w:style w:type="paragraph" w:customStyle="1" w:styleId="MappingTableCell">
    <w:name w:val="Mapping Table Cell"/>
    <w:uiPriority w:val="99"/>
    <w:rsid w:val="005507D0"/>
    <w:pPr>
      <w:autoSpaceDE w:val="0"/>
      <w:autoSpaceDN w:val="0"/>
      <w:adjustRightInd w:val="0"/>
      <w:spacing w:before="40" w:after="40" w:line="280" w:lineRule="atLeast"/>
    </w:pPr>
    <w:rPr>
      <w:rFonts w:ascii="Times New Roman" w:eastAsiaTheme="minorEastAsia" w:hAnsi="Times New Roman" w:cs="Times New Roman"/>
      <w:color w:val="000000"/>
      <w:w w:val="0"/>
      <w:sz w:val="24"/>
      <w:szCs w:val="24"/>
      <w:lang w:eastAsia="nb-NO"/>
    </w:rPr>
  </w:style>
  <w:style w:type="paragraph" w:customStyle="1" w:styleId="MappingTableTitle">
    <w:name w:val="Mapping Table Title"/>
    <w:uiPriority w:val="99"/>
    <w:rsid w:val="005507D0"/>
    <w:pPr>
      <w:autoSpaceDE w:val="0"/>
      <w:autoSpaceDN w:val="0"/>
      <w:adjustRightInd w:val="0"/>
      <w:spacing w:before="40" w:after="40" w:line="320" w:lineRule="atLeast"/>
    </w:pPr>
    <w:rPr>
      <w:rFonts w:ascii="Times New Roman" w:eastAsiaTheme="minorEastAsia" w:hAnsi="Times New Roman" w:cs="Times New Roman"/>
      <w:color w:val="000000"/>
      <w:w w:val="0"/>
      <w:sz w:val="28"/>
      <w:szCs w:val="28"/>
      <w:lang w:eastAsia="nb-NO"/>
    </w:rPr>
  </w:style>
  <w:style w:type="paragraph" w:customStyle="1" w:styleId="medlem">
    <w:name w:val="medlem"/>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MP-header-hode">
    <w:name w:val="MP-header-hode"/>
    <w:uiPriority w:val="99"/>
    <w:rsid w:val="005507D0"/>
    <w:pPr>
      <w:tabs>
        <w:tab w:val="center" w:pos="4780"/>
        <w:tab w:val="right" w:pos="5500"/>
        <w:tab w:val="right" w:pos="9560"/>
      </w:tabs>
      <w:autoSpaceDE w:val="0"/>
      <w:autoSpaceDN w:val="0"/>
      <w:adjustRightInd w:val="0"/>
      <w:spacing w:after="0" w:line="240" w:lineRule="atLeast"/>
    </w:pPr>
    <w:rPr>
      <w:rFonts w:ascii="UniMyriad Bold" w:eastAsiaTheme="minorEastAsia" w:hAnsi="UniMyriad Bold" w:cs="UniMyriad Bold"/>
      <w:color w:val="000000"/>
      <w:w w:val="0"/>
      <w:sz w:val="20"/>
      <w:szCs w:val="20"/>
      <w:lang w:eastAsia="nb-NO"/>
    </w:rPr>
  </w:style>
  <w:style w:type="paragraph" w:customStyle="1" w:styleId="MP-header-tittel">
    <w:name w:val="MP-header-tittel"/>
    <w:uiPriority w:val="99"/>
    <w:rsid w:val="005507D0"/>
    <w:pPr>
      <w:tabs>
        <w:tab w:val="center" w:pos="4780"/>
        <w:tab w:val="right" w:pos="5500"/>
        <w:tab w:val="right" w:pos="9560"/>
      </w:tabs>
      <w:suppressAutoHyphens/>
      <w:autoSpaceDE w:val="0"/>
      <w:autoSpaceDN w:val="0"/>
      <w:adjustRightInd w:val="0"/>
      <w:spacing w:after="0" w:line="180" w:lineRule="atLeast"/>
    </w:pPr>
    <w:rPr>
      <w:rFonts w:ascii="UniCentury Old Style" w:eastAsiaTheme="minorEastAsia" w:hAnsi="UniCentury Old Style" w:cs="UniCentury Old Style"/>
      <w:color w:val="000000"/>
      <w:w w:val="0"/>
      <w:sz w:val="16"/>
      <w:szCs w:val="16"/>
      <w:lang w:eastAsia="nb-NO"/>
    </w:rPr>
  </w:style>
  <w:style w:type="paragraph" w:customStyle="1" w:styleId="MP-NOU-01">
    <w:name w:val="MP-NOU-01"/>
    <w:uiPriority w:val="99"/>
    <w:rsid w:val="005507D0"/>
    <w:pPr>
      <w:autoSpaceDE w:val="0"/>
      <w:autoSpaceDN w:val="0"/>
      <w:adjustRightInd w:val="0"/>
      <w:spacing w:after="0" w:line="380" w:lineRule="atLeast"/>
      <w:jc w:val="both"/>
    </w:pPr>
    <w:rPr>
      <w:rFonts w:ascii="UniMyriad Regular" w:eastAsiaTheme="minorEastAsia" w:hAnsi="UniMyriad Regular" w:cs="UniMyriad Regular"/>
      <w:color w:val="000000"/>
      <w:w w:val="0"/>
      <w:sz w:val="32"/>
      <w:szCs w:val="32"/>
      <w:lang w:eastAsia="nb-NO"/>
    </w:rPr>
  </w:style>
  <w:style w:type="paragraph" w:customStyle="1" w:styleId="MP-NOU-DSS">
    <w:name w:val="MP-NOU-DSS"/>
    <w:uiPriority w:val="99"/>
    <w:rsid w:val="005507D0"/>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eastAsiaTheme="minorEastAsia" w:hAnsi="UniCentury Old Style" w:cs="UniCentury Old Style"/>
      <w:color w:val="000000"/>
      <w:w w:val="0"/>
      <w:sz w:val="20"/>
      <w:szCs w:val="20"/>
      <w:lang w:eastAsia="nb-NO"/>
    </w:rPr>
  </w:style>
  <w:style w:type="paragraph" w:customStyle="1" w:styleId="MP-Report-No">
    <w:name w:val="MP-Report-No"/>
    <w:uiPriority w:val="99"/>
    <w:rsid w:val="005507D0"/>
    <w:pPr>
      <w:autoSpaceDE w:val="0"/>
      <w:autoSpaceDN w:val="0"/>
      <w:adjustRightInd w:val="0"/>
      <w:spacing w:after="0" w:line="400" w:lineRule="atLeast"/>
      <w:jc w:val="both"/>
    </w:pPr>
    <w:rPr>
      <w:rFonts w:ascii="UniMyriad Regular" w:eastAsiaTheme="minorEastAsia" w:hAnsi="UniMyriad Regular" w:cs="UniMyriad Regular"/>
      <w:color w:val="000000"/>
      <w:w w:val="0"/>
      <w:sz w:val="34"/>
      <w:szCs w:val="34"/>
      <w:lang w:eastAsia="nb-NO"/>
    </w:rPr>
  </w:style>
  <w:style w:type="paragraph" w:customStyle="1" w:styleId="MP-Report-title">
    <w:name w:val="MP-Report-title"/>
    <w:uiPriority w:val="99"/>
    <w:rsid w:val="005507D0"/>
    <w:pPr>
      <w:autoSpaceDE w:val="0"/>
      <w:autoSpaceDN w:val="0"/>
      <w:adjustRightInd w:val="0"/>
      <w:spacing w:after="0" w:line="860" w:lineRule="atLeast"/>
    </w:pPr>
    <w:rPr>
      <w:rFonts w:ascii="UniCentury Old Style" w:eastAsiaTheme="minorEastAsia" w:hAnsi="UniCentury Old Style" w:cs="UniCentury Old Style"/>
      <w:color w:val="000000"/>
      <w:w w:val="0"/>
      <w:sz w:val="72"/>
      <w:szCs w:val="72"/>
      <w:lang w:eastAsia="nb-NO"/>
    </w:rPr>
  </w:style>
  <w:style w:type="paragraph" w:customStyle="1" w:styleId="Norm-tabell-80">
    <w:name w:val="Norm-tabell-8.0"/>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6"/>
      <w:szCs w:val="16"/>
      <w:lang w:eastAsia="nb-NO"/>
    </w:rPr>
  </w:style>
  <w:style w:type="paragraph" w:customStyle="1" w:styleId="Norm-tabell-85">
    <w:name w:val="Norm-tabell-8.5"/>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0">
    <w:name w:val="Norm-tabell-9.0"/>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5">
    <w:name w:val="Norm-tabell-9.5"/>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ormalibudtab">
    <w:name w:val="Normal i budtab"/>
    <w:uiPriority w:val="99"/>
    <w:rsid w:val="005507D0"/>
    <w:pPr>
      <w:tabs>
        <w:tab w:val="right" w:leader="dot" w:pos="4340"/>
      </w:tabs>
      <w:autoSpaceDE w:val="0"/>
      <w:autoSpaceDN w:val="0"/>
      <w:adjustRightInd w:val="0"/>
      <w:spacing w:after="0" w:line="180" w:lineRule="atLeast"/>
    </w:pPr>
    <w:rPr>
      <w:rFonts w:ascii="UniCentury Old Style" w:eastAsiaTheme="minorEastAsia" w:hAnsi="UniCentury Old Style" w:cs="UniCentury Old Style"/>
      <w:color w:val="000000"/>
      <w:w w:val="0"/>
      <w:sz w:val="18"/>
      <w:szCs w:val="18"/>
      <w:lang w:eastAsia="nb-NO"/>
    </w:rPr>
  </w:style>
  <w:style w:type="paragraph" w:customStyle="1" w:styleId="Normalikongeside">
    <w:name w:val="Normal i kongeside"/>
    <w:uiPriority w:val="99"/>
    <w:rsid w:val="005507D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itabellheader">
    <w:name w:val="Normal i tabellheader"/>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alitilrpost">
    <w:name w:val="Normal i tilrpost"/>
    <w:uiPriority w:val="99"/>
    <w:rsid w:val="005507D0"/>
    <w:pPr>
      <w:autoSpaceDE w:val="0"/>
      <w:autoSpaceDN w:val="0"/>
      <w:adjustRightInd w:val="0"/>
      <w:spacing w:after="0" w:line="240" w:lineRule="atLeast"/>
      <w:ind w:left="2480" w:right="24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2">
    <w:name w:val="Normal-2"/>
    <w:uiPriority w:val="99"/>
    <w:rsid w:val="005507D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ukapnr">
    <w:name w:val="noukapnr"/>
    <w:uiPriority w:val="99"/>
    <w:rsid w:val="005507D0"/>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Nullstill">
    <w:name w:val="noukapnr-Nullstill"/>
    <w:uiPriority w:val="99"/>
    <w:rsid w:val="005507D0"/>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TOC">
    <w:name w:val="noukapn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avsnitt-titteletterov345">
    <w:name w:val="avsnitt-tittel etter ov 3 4 5"/>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ov2">
    <w:name w:val="avsnitt-tittel etter ov 2"/>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
    <w:name w:val="avsnitt-tittel etter"/>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undertittelf4">
    <w:name w:val="undertittel f 4"/>
    <w:uiPriority w:val="99"/>
    <w:rsid w:val="005507D0"/>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3">
    <w:name w:val="undertittel f 3"/>
    <w:uiPriority w:val="99"/>
    <w:rsid w:val="005507D0"/>
    <w:pPr>
      <w:keepNext/>
      <w:autoSpaceDE w:val="0"/>
      <w:autoSpaceDN w:val="0"/>
      <w:adjustRightInd w:val="0"/>
      <w:spacing w:before="50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2">
    <w:name w:val="undertittel f 2"/>
    <w:uiPriority w:val="99"/>
    <w:rsid w:val="005507D0"/>
    <w:pPr>
      <w:keepNext/>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ravsnitt-tittel">
    <w:name w:val="undertittel før avsnitt-tittel"/>
    <w:uiPriority w:val="99"/>
    <w:rsid w:val="005507D0"/>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oppnevnelse">
    <w:name w:val="oppnevnelse"/>
    <w:uiPriority w:val="99"/>
    <w:rsid w:val="005507D0"/>
    <w:pPr>
      <w:autoSpaceDE w:val="0"/>
      <w:autoSpaceDN w:val="0"/>
      <w:adjustRightInd w:val="0"/>
      <w:spacing w:before="26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oversend-tit">
    <w:name w:val="oversend-tit"/>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eastAsiaTheme="minorEastAsia" w:hAnsi="UniMyriad Bold" w:cs="UniMyriad Bold"/>
      <w:color w:val="000000"/>
      <w:w w:val="0"/>
      <w:sz w:val="36"/>
      <w:szCs w:val="36"/>
      <w:lang w:eastAsia="nb-NO"/>
    </w:rPr>
  </w:style>
  <w:style w:type="paragraph" w:customStyle="1" w:styleId="Overskrift1liten">
    <w:name w:val="Overskrift 1 liten"/>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
    <w:name w:val="Overskrift 1 liten 2"/>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TOC">
    <w:name w:val="Overskrift 1 liten 2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3">
    <w:name w:val="Overskrift 1 liten 3"/>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3TOC">
    <w:name w:val="Overskrift 1 liten 3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TOC">
    <w:name w:val="Overskrift 1 liten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OU">
    <w:name w:val="Overskrift 1 NOU"/>
    <w:uiPriority w:val="99"/>
    <w:rsid w:val="005507D0"/>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NOUTOC">
    <w:name w:val="Overskrift 1 NOU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ullstill">
    <w:name w:val="Overskrift 1 Nullstill"/>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stor">
    <w:name w:val="Overskrift 1 stor"/>
    <w:uiPriority w:val="99"/>
    <w:rsid w:val="005507D0"/>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storTOC">
    <w:name w:val="Overskrift 1 sto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
    <w:name w:val="Overskrift 1 TopRight"/>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TopRight246linjer">
    <w:name w:val="Overskrift 1 TopRight 246 linjer"/>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TopRight246linjerTOC">
    <w:name w:val="Overskrift 1 TopRight 246 linje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TOC">
    <w:name w:val="Overskrift 1 TopRight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246linjer">
    <w:name w:val="Overskrift 1-246 linjer"/>
    <w:uiPriority w:val="99"/>
    <w:rsid w:val="005507D0"/>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246linjerTOC">
    <w:name w:val="Overskrift 1-246 linje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C">
    <w:name w:val="Overskrift 1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undertitteletterov3">
    <w:name w:val="undertittel etter ov 3"/>
    <w:uiPriority w:val="99"/>
    <w:rsid w:val="005507D0"/>
    <w:pPr>
      <w:keepNext/>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etterov2">
    <w:name w:val="undertittel etter ov 2"/>
    <w:uiPriority w:val="99"/>
    <w:rsid w:val="005507D0"/>
    <w:pPr>
      <w:keepNext/>
      <w:pBdr>
        <w:top w:val="single" w:sz="8" w:space="0" w:color="auto"/>
      </w:pBdr>
      <w:autoSpaceDE w:val="0"/>
      <w:autoSpaceDN w:val="0"/>
      <w:adjustRightInd w:val="0"/>
      <w:spacing w:after="80" w:line="240" w:lineRule="atLeast"/>
    </w:pPr>
    <w:rPr>
      <w:rFonts w:ascii="UniMyriad Bold" w:eastAsiaTheme="minorEastAsia" w:hAnsi="UniMyriad Bold" w:cs="UniMyriad Bold"/>
      <w:color w:val="000000"/>
      <w:w w:val="0"/>
      <w:sz w:val="20"/>
      <w:szCs w:val="20"/>
      <w:lang w:eastAsia="nb-NO"/>
    </w:rPr>
  </w:style>
  <w:style w:type="paragraph" w:customStyle="1" w:styleId="Overskrift2fr3og4og5TOC">
    <w:name w:val="Overskrift 2 før 3 og 4 og 5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og4TOC">
    <w:name w:val="Overskrift 2 før 3 og 4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TOC">
    <w:name w:val="Overskrift 2 før 3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ov3og4TOC">
    <w:name w:val="Overskrift 2 før ov 3 og 4TOC"/>
    <w:uiPriority w:val="99"/>
    <w:rsid w:val="005507D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2liten">
    <w:name w:val="Overskrift 2 liten"/>
    <w:uiPriority w:val="99"/>
    <w:rsid w:val="005507D0"/>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
    <w:name w:val="Overskrift 2 liten 2"/>
    <w:uiPriority w:val="99"/>
    <w:rsid w:val="005507D0"/>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TOC">
    <w:name w:val="Overskrift 2 liten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etter">
    <w:name w:val="Overskrift 2 liten etter"/>
    <w:uiPriority w:val="99"/>
    <w:rsid w:val="005507D0"/>
    <w:pPr>
      <w:keepNext/>
      <w:tabs>
        <w:tab w:val="left" w:pos="720"/>
      </w:tab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etterTOC">
    <w:name w:val="Overskrift 2 liten etter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TOC">
    <w:name w:val="Overskrift 2 liten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TOC">
    <w:name w:val="Overskrift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etterov2TOC">
    <w:name w:val="Overskrift 3 etter ov 2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og5TOC">
    <w:name w:val="Overskrift 3 før 4 og 5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TOC">
    <w:name w:val="Overskrift 3 før 4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
    <w:name w:val="Overskrift 3 liten"/>
    <w:uiPriority w:val="99"/>
    <w:rsid w:val="005507D0"/>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etterov2">
    <w:name w:val="Overskrift 3 liten etter ov 2"/>
    <w:uiPriority w:val="99"/>
    <w:rsid w:val="005507D0"/>
    <w:pPr>
      <w:keepNext/>
      <w:tabs>
        <w:tab w:val="left" w:pos="720"/>
      </w:tabs>
      <w:suppressAutoHyphens/>
      <w:autoSpaceDE w:val="0"/>
      <w:autoSpaceDN w:val="0"/>
      <w:adjustRightInd w:val="0"/>
      <w:spacing w:before="8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
    <w:name w:val="Overskrift 3 liten før 4"/>
    <w:uiPriority w:val="99"/>
    <w:rsid w:val="005507D0"/>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og5">
    <w:name w:val="Overskrift 3 liten før 4 og 5"/>
    <w:uiPriority w:val="99"/>
    <w:rsid w:val="005507D0"/>
    <w:pPr>
      <w:keepNext/>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TOC">
    <w:name w:val="Overskrift 3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avsnitt-tittel-fagetter">
    <w:name w:val="avsnitt-tittel-fag etter"/>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3litenTOC">
    <w:name w:val="Overskrift 3 liten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TOC">
    <w:name w:val="Overskrift 4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etterov2TOC">
    <w:name w:val="Overskrift 3 liten etter ov 2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avsnitt-tittel-fagf2">
    <w:name w:val="avsnitt-tittel-fag f 2"/>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ramme-noter-2">
    <w:name w:val="ramme-noter-2"/>
    <w:uiPriority w:val="99"/>
    <w:rsid w:val="005507D0"/>
    <w:pPr>
      <w:tabs>
        <w:tab w:val="left" w:pos="400"/>
      </w:tabs>
      <w:autoSpaceDE w:val="0"/>
      <w:autoSpaceDN w:val="0"/>
      <w:adjustRightInd w:val="0"/>
      <w:spacing w:after="500" w:line="180" w:lineRule="atLeast"/>
      <w:ind w:left="400" w:hanging="220"/>
    </w:pPr>
    <w:rPr>
      <w:rFonts w:ascii="UniCentury Old Style" w:eastAsiaTheme="minorEastAsia" w:hAnsi="UniCentury Old Style" w:cs="UniCentury Old Style"/>
      <w:color w:val="000000"/>
      <w:w w:val="0"/>
      <w:sz w:val="16"/>
      <w:szCs w:val="16"/>
      <w:lang w:eastAsia="nb-NO"/>
    </w:rPr>
  </w:style>
  <w:style w:type="paragraph" w:customStyle="1" w:styleId="ramme-noter-2-frste">
    <w:name w:val="ramme-noter-2-første"/>
    <w:uiPriority w:val="99"/>
    <w:rsid w:val="005507D0"/>
    <w:pPr>
      <w:tabs>
        <w:tab w:val="left" w:pos="400"/>
      </w:tabs>
      <w:autoSpaceDE w:val="0"/>
      <w:autoSpaceDN w:val="0"/>
      <w:adjustRightInd w:val="0"/>
      <w:spacing w:before="180" w:after="40" w:line="180" w:lineRule="atLeast"/>
      <w:ind w:left="400" w:hanging="220"/>
      <w:jc w:val="both"/>
    </w:pPr>
    <w:rPr>
      <w:rFonts w:ascii="UniCentury Old Style" w:eastAsiaTheme="minorEastAsia" w:hAnsi="UniCentury Old Style" w:cs="UniCentury Old Style"/>
      <w:color w:val="000000"/>
      <w:w w:val="0"/>
      <w:sz w:val="16"/>
      <w:szCs w:val="16"/>
      <w:lang w:eastAsia="nb-NO"/>
    </w:rPr>
  </w:style>
  <w:style w:type="paragraph" w:customStyle="1" w:styleId="Ramme-tit">
    <w:name w:val="Ramme-tit"/>
    <w:uiPriority w:val="99"/>
    <w:rsid w:val="005507D0"/>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tit-2">
    <w:name w:val="Ramme-tit-2"/>
    <w:uiPriority w:val="99"/>
    <w:rsid w:val="005507D0"/>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Fortsetter">
    <w:name w:val="RammeFortsetter"/>
    <w:uiPriority w:val="99"/>
    <w:rsid w:val="005507D0"/>
    <w:pPr>
      <w:autoSpaceDE w:val="0"/>
      <w:autoSpaceDN w:val="0"/>
      <w:adjustRightInd w:val="0"/>
      <w:spacing w:after="24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Rammeslutt">
    <w:name w:val="Rammeslutt"/>
    <w:uiPriority w:val="99"/>
    <w:rsid w:val="005507D0"/>
    <w:pPr>
      <w:autoSpaceDE w:val="0"/>
      <w:autoSpaceDN w:val="0"/>
      <w:adjustRightInd w:val="0"/>
      <w:spacing w:before="120" w:after="120" w:line="240" w:lineRule="atLeast"/>
      <w:jc w:val="both"/>
    </w:pPr>
    <w:rPr>
      <w:rFonts w:ascii="UniCentury Old Style" w:eastAsiaTheme="minorEastAsia" w:hAnsi="UniCentury Old Style" w:cs="UniCentury Old Style"/>
      <w:b/>
      <w:bCs/>
      <w:color w:val="FF0000"/>
      <w:w w:val="0"/>
      <w:sz w:val="20"/>
      <w:szCs w:val="20"/>
      <w:lang w:eastAsia="nb-NO"/>
    </w:rPr>
  </w:style>
  <w:style w:type="paragraph" w:customStyle="1" w:styleId="sekr">
    <w:name w:val="sekr"/>
    <w:uiPriority w:val="99"/>
    <w:rsid w:val="005507D0"/>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deNr">
    <w:name w:val="SideNr"/>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sitat-frste">
    <w:name w:val="sitat-første"/>
    <w:uiPriority w:val="99"/>
    <w:rsid w:val="005507D0"/>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sitat-innrykk">
    <w:name w:val="sitat-innrykk"/>
    <w:uiPriority w:val="99"/>
    <w:rsid w:val="005507D0"/>
    <w:pPr>
      <w:autoSpaceDE w:val="0"/>
      <w:autoSpaceDN w:val="0"/>
      <w:adjustRightInd w:val="0"/>
      <w:spacing w:after="20" w:line="22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ramme">
    <w:name w:val="sitat-ramme"/>
    <w:uiPriority w:val="99"/>
    <w:rsid w:val="005507D0"/>
    <w:pPr>
      <w:autoSpaceDE w:val="0"/>
      <w:autoSpaceDN w:val="0"/>
      <w:adjustRightInd w:val="0"/>
      <w:spacing w:before="120" w:after="20" w:line="220" w:lineRule="atLeast"/>
      <w:ind w:left="500" w:right="180"/>
      <w:jc w:val="both"/>
    </w:pPr>
    <w:rPr>
      <w:rFonts w:ascii="UniCentury Old Style" w:eastAsiaTheme="minorEastAsia" w:hAnsi="UniCentury Old Style" w:cs="UniCentury Old Style"/>
      <w:color w:val="000000"/>
      <w:w w:val="0"/>
      <w:sz w:val="20"/>
      <w:szCs w:val="20"/>
      <w:lang w:eastAsia="nb-NO"/>
    </w:rPr>
  </w:style>
  <w:style w:type="paragraph" w:customStyle="1" w:styleId="sitat-ramme-innrykk">
    <w:name w:val="sitat-ramme-innrykk"/>
    <w:uiPriority w:val="99"/>
    <w:rsid w:val="005507D0"/>
    <w:pPr>
      <w:autoSpaceDE w:val="0"/>
      <w:autoSpaceDN w:val="0"/>
      <w:adjustRightInd w:val="0"/>
      <w:spacing w:after="20" w:line="220" w:lineRule="atLeast"/>
      <w:ind w:left="500" w:right="1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siste">
    <w:name w:val="sitat-siste"/>
    <w:uiPriority w:val="99"/>
    <w:rsid w:val="005507D0"/>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perret0">
    <w:name w:val="Sperret"/>
    <w:uiPriority w:val="99"/>
    <w:rsid w:val="005507D0"/>
    <w:pPr>
      <w:autoSpaceDE w:val="0"/>
      <w:autoSpaceDN w:val="0"/>
      <w:adjustRightInd w:val="0"/>
      <w:spacing w:after="0" w:line="220" w:lineRule="atLeast"/>
      <w:jc w:val="center"/>
    </w:pPr>
    <w:rPr>
      <w:rFonts w:ascii="UniCentury Old Style" w:eastAsiaTheme="minorEastAsia" w:hAnsi="UniCentury Old Style" w:cs="UniCentury Old Style"/>
      <w:color w:val="000000"/>
      <w:w w:val="0"/>
      <w:sz w:val="18"/>
      <w:szCs w:val="18"/>
      <w:lang w:eastAsia="nb-NO"/>
    </w:rPr>
  </w:style>
  <w:style w:type="paragraph" w:customStyle="1" w:styleId="Stadfester">
    <w:name w:val="Stadfester"/>
    <w:next w:val="Normal"/>
    <w:uiPriority w:val="99"/>
    <w:rsid w:val="005507D0"/>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ted">
    <w:name w:val="sted"/>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AB">
    <w:name w:val="TAB"/>
    <w:uiPriority w:val="99"/>
    <w:rsid w:val="005507D0"/>
    <w:pPr>
      <w:autoSpaceDE w:val="0"/>
      <w:autoSpaceDN w:val="0"/>
      <w:adjustRightInd w:val="0"/>
      <w:spacing w:after="0" w:line="40" w:lineRule="atLeast"/>
    </w:pPr>
    <w:rPr>
      <w:rFonts w:ascii="UniCentury Old Style" w:eastAsiaTheme="minorEastAsia" w:hAnsi="UniCentury Old Style" w:cs="UniCentury Old Style"/>
      <w:color w:val="000000"/>
      <w:w w:val="0"/>
      <w:sz w:val="4"/>
      <w:szCs w:val="4"/>
      <w:lang w:eastAsia="nb-NO"/>
    </w:rPr>
  </w:style>
  <w:style w:type="paragraph" w:customStyle="1" w:styleId="tabell-noter-2">
    <w:name w:val="tabell-noter-2"/>
    <w:uiPriority w:val="99"/>
    <w:rsid w:val="005507D0"/>
    <w:pPr>
      <w:tabs>
        <w:tab w:val="left" w:pos="220"/>
      </w:tabs>
      <w:autoSpaceDE w:val="0"/>
      <w:autoSpaceDN w:val="0"/>
      <w:adjustRightInd w:val="0"/>
      <w:spacing w:after="40" w:line="180" w:lineRule="atLeast"/>
      <w:ind w:left="220" w:hanging="220"/>
    </w:pPr>
    <w:rPr>
      <w:rFonts w:ascii="UniCentury Old Style" w:eastAsiaTheme="minorEastAsia" w:hAnsi="UniCentury Old Style" w:cs="UniCentury Old Style"/>
      <w:color w:val="000000"/>
      <w:w w:val="0"/>
      <w:sz w:val="16"/>
      <w:szCs w:val="16"/>
      <w:lang w:eastAsia="nb-NO"/>
    </w:rPr>
  </w:style>
  <w:style w:type="paragraph" w:customStyle="1" w:styleId="tabell-tittel2LOT">
    <w:name w:val="tabell-tittel2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
    <w:name w:val="Tabell-tittel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0">
    <w:name w:val="tabell-tittelLOT"/>
    <w:uiPriority w:val="99"/>
    <w:rsid w:val="005507D0"/>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ilraar">
    <w:name w:val="Tilraar"/>
    <w:uiPriority w:val="99"/>
    <w:rsid w:val="005507D0"/>
    <w:pPr>
      <w:autoSpaceDE w:val="0"/>
      <w:autoSpaceDN w:val="0"/>
      <w:adjustRightInd w:val="0"/>
      <w:spacing w:after="24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ilraar-dep">
    <w:name w:val="Tilraar-dep"/>
    <w:uiPriority w:val="99"/>
    <w:rsid w:val="005507D0"/>
    <w:pPr>
      <w:keepNext/>
      <w:autoSpaceDE w:val="0"/>
      <w:autoSpaceDN w:val="0"/>
      <w:adjustRightInd w:val="0"/>
      <w:spacing w:before="500" w:after="240" w:line="240" w:lineRule="atLeast"/>
      <w:ind w:firstLine="320"/>
    </w:pPr>
    <w:rPr>
      <w:rFonts w:ascii="UniCentury Old Style" w:eastAsiaTheme="minorEastAsia" w:hAnsi="UniCentury Old Style" w:cs="UniCentury Old Style"/>
      <w:color w:val="000000"/>
      <w:w w:val="0"/>
      <w:sz w:val="20"/>
      <w:szCs w:val="20"/>
      <w:lang w:eastAsia="nb-NO"/>
    </w:rPr>
  </w:style>
  <w:style w:type="paragraph" w:customStyle="1" w:styleId="Tittel-defliste">
    <w:name w:val="Tittel-defliste"/>
    <w:uiPriority w:val="99"/>
    <w:rsid w:val="005507D0"/>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tittel-forord-246-linjer">
    <w:name w:val="tittel-forord-246-linjer"/>
    <w:uiPriority w:val="99"/>
    <w:rsid w:val="005507D0"/>
    <w:pPr>
      <w:keepNext/>
      <w:pageBreakBefore/>
      <w:pBdr>
        <w:top w:val="single" w:sz="8" w:space="0" w:color="auto"/>
      </w:pBdr>
      <w:suppressAutoHyphens/>
      <w:autoSpaceDE w:val="0"/>
      <w:autoSpaceDN w:val="0"/>
      <w:adjustRightInd w:val="0"/>
      <w:spacing w:after="180" w:line="380" w:lineRule="atLeast"/>
      <w:jc w:val="center"/>
    </w:pPr>
    <w:rPr>
      <w:rFonts w:ascii="UniMyriad Bold" w:eastAsiaTheme="minorEastAsia" w:hAnsi="UniMyriad Bold" w:cs="UniMyriad Bold"/>
      <w:color w:val="000000"/>
      <w:w w:val="0"/>
      <w:sz w:val="34"/>
      <w:szCs w:val="34"/>
      <w:lang w:eastAsia="nb-NO"/>
    </w:rPr>
  </w:style>
  <w:style w:type="paragraph" w:customStyle="1" w:styleId="tittel-forordTOC">
    <w:name w:val="tittel-forord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gulbok1">
    <w:name w:val="tittel-gulbok1"/>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b/>
      <w:bCs/>
      <w:color w:val="000000"/>
      <w:w w:val="0"/>
      <w:sz w:val="20"/>
      <w:szCs w:val="20"/>
      <w:lang w:val="en-US" w:eastAsia="nb-NO"/>
    </w:rPr>
  </w:style>
  <w:style w:type="paragraph" w:customStyle="1" w:styleId="tittel-gulbok2">
    <w:name w:val="tittel-gulbok2"/>
    <w:uiPriority w:val="99"/>
    <w:rsid w:val="005507D0"/>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val="en-US" w:eastAsia="nb-NO"/>
    </w:rPr>
  </w:style>
  <w:style w:type="paragraph" w:customStyle="1" w:styleId="tittel-litteraturlisteTOC">
    <w:name w:val="tittel-litteraturliste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ordforklTOC">
    <w:name w:val="tittel-ordforkl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ramme-2LOP">
    <w:name w:val="tittel-ramme-2LOP"/>
    <w:uiPriority w:val="99"/>
    <w:rsid w:val="005507D0"/>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tittel-rammeLOP">
    <w:name w:val="tittel-rammeLOP"/>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tittel-rammeTOC">
    <w:name w:val="tittel-rammeTOC"/>
    <w:uiPriority w:val="99"/>
    <w:rsid w:val="005507D0"/>
    <w:pPr>
      <w:autoSpaceDE w:val="0"/>
      <w:autoSpaceDN w:val="0"/>
      <w:adjustRightInd w:val="0"/>
      <w:spacing w:after="0" w:line="30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tittel-sammendr">
    <w:name w:val="tittel-sammendr"/>
    <w:uiPriority w:val="99"/>
    <w:rsid w:val="005507D0"/>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6"/>
      <w:szCs w:val="36"/>
      <w:lang w:eastAsia="nb-NO"/>
    </w:rPr>
  </w:style>
  <w:style w:type="paragraph" w:customStyle="1" w:styleId="tittel-sammendrTOC">
    <w:name w:val="tittel-sammend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tilmatr">
    <w:name w:val="tittel-tilmatr"/>
    <w:uiPriority w:val="99"/>
    <w:rsid w:val="005507D0"/>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4"/>
      <w:szCs w:val="34"/>
      <w:lang w:eastAsia="nb-NO"/>
    </w:rPr>
  </w:style>
  <w:style w:type="paragraph" w:customStyle="1" w:styleId="tittel-tilmatrTOC">
    <w:name w:val="tittel-tilmatrTOC"/>
    <w:uiPriority w:val="99"/>
    <w:rsid w:val="005507D0"/>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v-Overskrift2fr3">
    <w:name w:val="v-Overskrift 2 før 3"/>
    <w:uiPriority w:val="99"/>
    <w:rsid w:val="005507D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
    <w:name w:val="v-Overskrift 2 før 3 og 4"/>
    <w:uiPriority w:val="99"/>
    <w:rsid w:val="005507D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og5">
    <w:name w:val="v-Overskrift 2 før 3 og 4 og 5"/>
    <w:uiPriority w:val="99"/>
    <w:rsid w:val="005507D0"/>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3etterov2">
    <w:name w:val="v-Overskrift 3 etter ov 2"/>
    <w:uiPriority w:val="99"/>
    <w:rsid w:val="005507D0"/>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v-Overskrift3fr4">
    <w:name w:val="v-Overskrift 3 før 4"/>
    <w:uiPriority w:val="99"/>
    <w:rsid w:val="005507D0"/>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3fr4og5">
    <w:name w:val="v-Overskrift 3 før 4 og 5"/>
    <w:uiPriority w:val="99"/>
    <w:rsid w:val="005507D0"/>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4">
    <w:name w:val="v-Overskrift 4"/>
    <w:uiPriority w:val="99"/>
    <w:rsid w:val="005507D0"/>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etterov3">
    <w:name w:val="v-Overskrift 4 etter ov 3"/>
    <w:uiPriority w:val="99"/>
    <w:rsid w:val="005507D0"/>
    <w:pPr>
      <w:keepNext/>
      <w:suppressAutoHyphens/>
      <w:autoSpaceDE w:val="0"/>
      <w:autoSpaceDN w:val="0"/>
      <w:adjustRightInd w:val="0"/>
      <w:spacing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fr5">
    <w:name w:val="v-Overskrift 4 før 5"/>
    <w:uiPriority w:val="99"/>
    <w:rsid w:val="005507D0"/>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5">
    <w:name w:val="v-Overskrift 5"/>
    <w:uiPriority w:val="99"/>
    <w:rsid w:val="005507D0"/>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i/>
      <w:iCs/>
      <w:color w:val="000000"/>
      <w:w w:val="0"/>
      <w:lang w:eastAsia="nb-NO"/>
    </w:rPr>
  </w:style>
  <w:style w:type="paragraph" w:customStyle="1" w:styleId="v-Overskrift5etterov4">
    <w:name w:val="v-Overskrift 5 etter ov 4"/>
    <w:uiPriority w:val="99"/>
    <w:rsid w:val="005507D0"/>
    <w:pPr>
      <w:keepNext/>
      <w:suppressAutoHyphens/>
      <w:autoSpaceDE w:val="0"/>
      <w:autoSpaceDN w:val="0"/>
      <w:adjustRightInd w:val="0"/>
      <w:spacing w:after="80" w:line="240" w:lineRule="atLeast"/>
    </w:pPr>
    <w:rPr>
      <w:rFonts w:ascii="UniMyriad Regular" w:eastAsiaTheme="minorEastAsia" w:hAnsi="UniMyriad Regular" w:cs="UniMyriad Regular"/>
      <w:i/>
      <w:iCs/>
      <w:color w:val="000000"/>
      <w:w w:val="0"/>
      <w:lang w:eastAsia="nb-NO"/>
    </w:rPr>
  </w:style>
  <w:style w:type="paragraph" w:customStyle="1" w:styleId="v-Overskrift5fr6">
    <w:name w:val="v-Overskrift 5 før 6"/>
    <w:uiPriority w:val="99"/>
    <w:rsid w:val="005507D0"/>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i/>
      <w:iCs/>
      <w:color w:val="000000"/>
      <w:w w:val="0"/>
      <w:lang w:eastAsia="nb-NO"/>
    </w:rPr>
  </w:style>
  <w:style w:type="paragraph" w:customStyle="1" w:styleId="vedlegg-nrLOT">
    <w:name w:val="vedlegg-nrLOT"/>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titfrforfatter">
    <w:name w:val="vedlegg-tit før forfatter"/>
    <w:uiPriority w:val="99"/>
    <w:rsid w:val="005507D0"/>
    <w:pPr>
      <w:keepNext/>
      <w:autoSpaceDE w:val="0"/>
      <w:autoSpaceDN w:val="0"/>
      <w:adjustRightInd w:val="0"/>
      <w:spacing w:before="920" w:after="1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
    <w:name w:val="vedlegg-tit-246-linjer"/>
    <w:uiPriority w:val="99"/>
    <w:rsid w:val="005507D0"/>
    <w:pPr>
      <w:keepNext/>
      <w:pBdr>
        <w:bottom w:val="single" w:sz="8" w:space="0" w:color="auto"/>
      </w:pBdr>
      <w:autoSpaceDE w:val="0"/>
      <w:autoSpaceDN w:val="0"/>
      <w:adjustRightInd w:val="0"/>
      <w:spacing w:before="800" w:after="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TOC">
    <w:name w:val="vedlegg-tit-246-linjerTOC"/>
    <w:uiPriority w:val="99"/>
    <w:rsid w:val="005507D0"/>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vedlegg-titTOC">
    <w:name w:val="vedlegg-titTOC"/>
    <w:uiPriority w:val="99"/>
    <w:rsid w:val="005507D0"/>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vedleggs-nrLOF">
    <w:name w:val="vedleggs-nrLOF"/>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P">
    <w:name w:val="vedleggs-nrLOP"/>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T">
    <w:name w:val="vedleggs-nrLOT"/>
    <w:uiPriority w:val="99"/>
    <w:rsid w:val="005507D0"/>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is-mtit-innlside">
    <w:name w:val="is-mtit-innlside"/>
    <w:uiPriority w:val="99"/>
    <w:rsid w:val="005507D0"/>
    <w:pPr>
      <w:suppressAutoHyphens/>
      <w:autoSpaceDE w:val="0"/>
      <w:autoSpaceDN w:val="0"/>
      <w:adjustRightInd w:val="0"/>
      <w:spacing w:before="120" w:after="0" w:line="280" w:lineRule="atLeast"/>
      <w:jc w:val="center"/>
    </w:pPr>
    <w:rPr>
      <w:rFonts w:ascii="UniCentury Old Style" w:eastAsiaTheme="minorEastAsia" w:hAnsi="UniCentury Old Style" w:cs="UniCentury Old Style"/>
      <w:color w:val="000000"/>
      <w:w w:val="0"/>
      <w:sz w:val="24"/>
      <w:szCs w:val="24"/>
      <w:lang w:eastAsia="nb-NO"/>
    </w:rPr>
  </w:style>
  <w:style w:type="paragraph" w:customStyle="1" w:styleId="i-sesjon-INNL-SIDE">
    <w:name w:val="i-sesjon-INNL-SIDE"/>
    <w:uiPriority w:val="99"/>
    <w:rsid w:val="005507D0"/>
    <w:pPr>
      <w:suppressAutoHyphens/>
      <w:autoSpaceDE w:val="0"/>
      <w:autoSpaceDN w:val="0"/>
      <w:adjustRightInd w:val="0"/>
      <w:spacing w:after="0" w:line="320" w:lineRule="atLeast"/>
      <w:jc w:val="center"/>
    </w:pPr>
    <w:rPr>
      <w:rFonts w:ascii="UniCentury Old Style" w:eastAsiaTheme="minorEastAsia" w:hAnsi="UniCentury Old Style" w:cs="UniCentury Old Style"/>
      <w:color w:val="000000"/>
      <w:w w:val="0"/>
      <w:sz w:val="32"/>
      <w:szCs w:val="32"/>
      <w:lang w:eastAsia="nb-NO"/>
    </w:rPr>
  </w:style>
  <w:style w:type="paragraph" w:customStyle="1" w:styleId="i-hode-INNL-SIDE">
    <w:name w:val="i-hode-INNL-SIDE"/>
    <w:uiPriority w:val="99"/>
    <w:rsid w:val="005507D0"/>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eastAsiaTheme="minorEastAsia" w:hAnsi="UniMyriad Bold" w:cs="UniMyriad Bold"/>
      <w:color w:val="000000"/>
      <w:w w:val="0"/>
      <w:sz w:val="76"/>
      <w:szCs w:val="76"/>
      <w:lang w:eastAsia="nb-NO"/>
    </w:rPr>
  </w:style>
  <w:style w:type="paragraph" w:customStyle="1" w:styleId="tittel-ramme-2">
    <w:name w:val="tittel-ramme-2"/>
    <w:next w:val="Normal"/>
    <w:uiPriority w:val="99"/>
    <w:rsid w:val="005507D0"/>
    <w:pPr>
      <w:keepNext/>
      <w:pBdr>
        <w:top w:val="single" w:sz="8" w:space="0" w:color="auto"/>
      </w:pBdr>
      <w:suppressAutoHyphens/>
      <w:autoSpaceDE w:val="0"/>
      <w:autoSpaceDN w:val="0"/>
      <w:adjustRightInd w:val="0"/>
      <w:spacing w:after="80" w:line="240" w:lineRule="atLeast"/>
      <w:jc w:val="center"/>
    </w:pPr>
    <w:rPr>
      <w:rFonts w:ascii="UniMyriad Bold" w:eastAsiaTheme="minorEastAsia" w:hAnsi="UniMyriad Bold" w:cs="UniMyriad Bold"/>
      <w:color w:val="000000"/>
      <w:w w:val="0"/>
      <w:lang w:eastAsia="nb-NO"/>
    </w:rPr>
  </w:style>
  <w:style w:type="paragraph" w:customStyle="1" w:styleId="Overskrift3litenfr4TOC">
    <w:name w:val="Overskrift 3 liten før 4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3litenfr4og5TOC">
    <w:name w:val="Overskrift 3 liten før 4 og 5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etterov3TOC">
    <w:name w:val="Overskrift 4 etter ov 3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fr5TOC">
    <w:name w:val="Overskrift 4 før 5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5etterov4TOC">
    <w:name w:val="Overskrift 5 etter ov 4TOC"/>
    <w:uiPriority w:val="99"/>
    <w:rsid w:val="005507D0"/>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ummerertlistefrste">
    <w:name w:val="Nummerert liste første"/>
    <w:uiPriority w:val="99"/>
    <w:rsid w:val="005507D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2frste">
    <w:name w:val="Nummerert 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3frste">
    <w:name w:val="Nummerert 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4frste">
    <w:name w:val="Nummerert 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5frste">
    <w:name w:val="Nummerert 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frste">
    <w:name w:val="alfaliste første"/>
    <w:uiPriority w:val="99"/>
    <w:rsid w:val="005507D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2frste">
    <w:name w:val="alfa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3frste">
    <w:name w:val="alfa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4frste">
    <w:name w:val="alfa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5frste">
    <w:name w:val="alfa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frste">
    <w:name w:val="romertall liste første"/>
    <w:uiPriority w:val="99"/>
    <w:rsid w:val="005507D0"/>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2frste">
    <w:name w:val="romertall 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3frste">
    <w:name w:val="romertall 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4frste">
    <w:name w:val="romertall 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5frste">
    <w:name w:val="romertall 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frste">
    <w:name w:val="l-alfaliste første"/>
    <w:uiPriority w:val="99"/>
    <w:rsid w:val="005507D0"/>
    <w:pPr>
      <w:tabs>
        <w:tab w:val="left" w:pos="32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2frste">
    <w:name w:val="l-alfaliste 2 første"/>
    <w:uiPriority w:val="99"/>
    <w:rsid w:val="005507D0"/>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3frste">
    <w:name w:val="l-alfaliste 3 første"/>
    <w:uiPriority w:val="99"/>
    <w:rsid w:val="005507D0"/>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4frste">
    <w:name w:val="l-alfaliste 4 første"/>
    <w:uiPriority w:val="99"/>
    <w:rsid w:val="005507D0"/>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5frste">
    <w:name w:val="l-alfaliste 5 første"/>
    <w:uiPriority w:val="99"/>
    <w:rsid w:val="005507D0"/>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blokksit-frste">
    <w:name w:val="blokksit-første"/>
    <w:uiPriority w:val="99"/>
    <w:rsid w:val="005507D0"/>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siste">
    <w:name w:val="blokksit-siste"/>
    <w:uiPriority w:val="99"/>
    <w:rsid w:val="005507D0"/>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l-paragraf-m-endr">
    <w:name w:val="l-paragraf-m-endr"/>
    <w:uiPriority w:val="99"/>
    <w:rsid w:val="005507D0"/>
    <w:pPr>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avsnitt-tittel-blokksit">
    <w:name w:val="avsnitt-tittel-blokksit"/>
    <w:uiPriority w:val="99"/>
    <w:rsid w:val="005507D0"/>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color w:val="000000"/>
      <w:w w:val="0"/>
      <w:sz w:val="20"/>
      <w:szCs w:val="20"/>
      <w:lang w:eastAsia="nb-NO"/>
    </w:rPr>
  </w:style>
  <w:style w:type="paragraph" w:customStyle="1" w:styleId="avsnitt-tittel-fag">
    <w:name w:val="avsnitt-tittel-fag"/>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f3">
    <w:name w:val="avsnitt-tittel-fag f 3"/>
    <w:uiPriority w:val="99"/>
    <w:rsid w:val="005507D0"/>
    <w:pPr>
      <w:keepNext/>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2fr3">
    <w:name w:val="Overskrift 2 før 3"/>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
    <w:name w:val="Overskrift 2 før 3 og 4"/>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og5">
    <w:name w:val="Overskrift 2 før 3 og 4 og 5"/>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ov3og4">
    <w:name w:val="Overskrift 2 før ov 3 og 4"/>
    <w:uiPriority w:val="99"/>
    <w:rsid w:val="005507D0"/>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3etterov2">
    <w:name w:val="Overskrift 3 etter ov 2"/>
    <w:uiPriority w:val="99"/>
    <w:rsid w:val="005507D0"/>
    <w:pPr>
      <w:keepNext/>
      <w:tabs>
        <w:tab w:val="left" w:pos="720"/>
      </w:tabs>
      <w:suppressAutoHyphen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
    <w:name w:val="Overskrift 3 før 4"/>
    <w:uiPriority w:val="99"/>
    <w:rsid w:val="005507D0"/>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og5">
    <w:name w:val="Overskrift 3 før 4 og 5"/>
    <w:uiPriority w:val="99"/>
    <w:rsid w:val="005507D0"/>
    <w:pPr>
      <w:keepNext/>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4etterov3">
    <w:name w:val="Overskrift 4 etter ov 3"/>
    <w:uiPriority w:val="99"/>
    <w:rsid w:val="005507D0"/>
    <w:pPr>
      <w:keepNext/>
      <w:tabs>
        <w:tab w:val="left" w:pos="880"/>
      </w:tabs>
      <w:suppressAutoHyphens/>
      <w:autoSpaceDE w:val="0"/>
      <w:autoSpaceDN w:val="0"/>
      <w:adjustRightInd w:val="0"/>
      <w:spacing w:before="8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4fr5">
    <w:name w:val="Overskrift 4 før 5"/>
    <w:uiPriority w:val="99"/>
    <w:rsid w:val="005507D0"/>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5etterov4">
    <w:name w:val="Overskrift 5 etter ov 4"/>
    <w:uiPriority w:val="99"/>
    <w:rsid w:val="005507D0"/>
    <w:pPr>
      <w:keepNext/>
      <w:tabs>
        <w:tab w:val="left" w:pos="1060"/>
      </w:tabs>
      <w:suppressAutoHyphens/>
      <w:autoSpaceDE w:val="0"/>
      <w:autoSpaceDN w:val="0"/>
      <w:adjustRightInd w:val="0"/>
      <w:spacing w:after="80" w:line="240" w:lineRule="atLeast"/>
      <w:ind w:left="1060" w:hanging="1060"/>
    </w:pPr>
    <w:rPr>
      <w:rFonts w:ascii="UniMyriad Regular" w:eastAsiaTheme="minorEastAsia" w:hAnsi="UniMyriad Regular" w:cs="UniMyriad Regular"/>
      <w:i/>
      <w:iCs/>
      <w:color w:val="000000"/>
      <w:w w:val="0"/>
      <w:lang w:eastAsia="nb-NO"/>
    </w:rPr>
  </w:style>
  <w:style w:type="paragraph" w:customStyle="1" w:styleId="table-title2">
    <w:name w:val="table-title2"/>
    <w:uiPriority w:val="99"/>
    <w:rsid w:val="005507D0"/>
    <w:pPr>
      <w:keepNext/>
      <w:tabs>
        <w:tab w:val="left" w:pos="900"/>
      </w:tabs>
      <w:suppressAutoHyphens/>
      <w:autoSpaceDE w:val="0"/>
      <w:autoSpaceDN w:val="0"/>
      <w:adjustRightInd w:val="0"/>
      <w:spacing w:after="0" w:line="240" w:lineRule="atLeast"/>
    </w:pPr>
    <w:rPr>
      <w:rFonts w:ascii="UniMyriad Regular" w:eastAsiaTheme="minorEastAsia" w:hAnsi="UniMyriad Regular" w:cs="UniMyriad Regular"/>
      <w:color w:val="000000"/>
      <w:w w:val="0"/>
      <w:lang w:eastAsia="nb-NO"/>
    </w:rPr>
  </w:style>
  <w:style w:type="paragraph" w:customStyle="1" w:styleId="avsnitt-tittel-ramme">
    <w:name w:val="avsnitt-tittel-ramme"/>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undertitteletter">
    <w:name w:val="avsnitt-undertittel etter"/>
    <w:uiPriority w:val="99"/>
    <w:rsid w:val="005507D0"/>
    <w:pPr>
      <w:keepNext/>
      <w:autoSpaceDE w:val="0"/>
      <w:autoSpaceDN w:val="0"/>
      <w:adjustRightInd w:val="0"/>
      <w:spacing w:before="8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f2">
    <w:name w:val="avsnitt-undertittel f 2"/>
    <w:uiPriority w:val="99"/>
    <w:rsid w:val="005507D0"/>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blokksit">
    <w:name w:val="avsnitt-undertittel-blokksit"/>
    <w:uiPriority w:val="99"/>
    <w:rsid w:val="005507D0"/>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i/>
      <w:iCs/>
      <w:color w:val="000000"/>
      <w:w w:val="0"/>
      <w:sz w:val="20"/>
      <w:szCs w:val="20"/>
      <w:lang w:eastAsia="nb-NO"/>
    </w:rPr>
  </w:style>
  <w:style w:type="paragraph" w:customStyle="1" w:styleId="avsnitt-under-undertitteletter">
    <w:name w:val="avsnitt-under-undertittel etter"/>
    <w:uiPriority w:val="99"/>
    <w:rsid w:val="005507D0"/>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avsnitt-under-undertittel-blokksit">
    <w:name w:val="avsnitt-under-undertittel-blokksit"/>
    <w:uiPriority w:val="99"/>
    <w:rsid w:val="005507D0"/>
    <w:pPr>
      <w:keepNext/>
      <w:pBdr>
        <w:top w:val="single" w:sz="8" w:space="0" w:color="auto"/>
      </w:pBdr>
      <w:autoSpaceDE w:val="0"/>
      <w:autoSpaceDN w:val="0"/>
      <w:adjustRightInd w:val="0"/>
      <w:spacing w:before="240" w:after="80" w:line="240" w:lineRule="atLeast"/>
      <w:ind w:left="320"/>
    </w:pPr>
    <w:rPr>
      <w:rFonts w:ascii="UniCentury Old Style" w:eastAsiaTheme="minorEastAsia" w:hAnsi="UniCentury Old Style" w:cs="UniCentury Old Style"/>
      <w:i/>
      <w:iCs/>
      <w:color w:val="000000"/>
      <w:w w:val="0"/>
      <w:sz w:val="20"/>
      <w:szCs w:val="20"/>
      <w:lang w:eastAsia="nb-NO"/>
    </w:rPr>
  </w:style>
  <w:style w:type="paragraph" w:customStyle="1" w:styleId="Overskrift1First">
    <w:name w:val="Overskrift 1 First"/>
    <w:uiPriority w:val="99"/>
    <w:rsid w:val="005507D0"/>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character" w:customStyle="1" w:styleId="Bombe">
    <w:name w:val="Bombe"/>
    <w:uiPriority w:val="99"/>
    <w:rsid w:val="005507D0"/>
    <w:rPr>
      <w:rFonts w:ascii="UniMyriad Bold" w:hAnsi="UniMyriad Bold"/>
      <w:w w:val="100"/>
      <w:u w:val="none"/>
      <w:vertAlign w:val="baseline"/>
    </w:rPr>
  </w:style>
  <w:style w:type="character" w:customStyle="1" w:styleId="MP-header-dato">
    <w:name w:val="MP-header-dato"/>
    <w:uiPriority w:val="99"/>
    <w:rsid w:val="005507D0"/>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sid w:val="005507D0"/>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sid w:val="005507D0"/>
    <w:rPr>
      <w:rFonts w:ascii="UniMyriad Bold" w:hAnsi="UniMyriad Bold"/>
      <w:color w:val="000000"/>
      <w:spacing w:val="0"/>
      <w:w w:val="100"/>
      <w:sz w:val="21"/>
      <w:u w:val="none"/>
      <w:vertAlign w:val="baseline"/>
      <w:lang w:val="nb-NO" w:eastAsia="x-none"/>
    </w:rPr>
  </w:style>
  <w:style w:type="character" w:customStyle="1" w:styleId="rettebrev">
    <w:name w:val="rettebrev"/>
    <w:uiPriority w:val="99"/>
    <w:rsid w:val="005507D0"/>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sid w:val="005507D0"/>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rsid w:val="005507D0"/>
  </w:style>
  <w:style w:type="character" w:customStyle="1" w:styleId="stikkord0">
    <w:name w:val="stikkord"/>
    <w:uiPriority w:val="99"/>
    <w:rsid w:val="005507D0"/>
  </w:style>
  <w:style w:type="character" w:customStyle="1" w:styleId="TopptekstTegn1">
    <w:name w:val="Topptekst Tegn1"/>
    <w:basedOn w:val="Standardskriftforavsnitt"/>
    <w:uiPriority w:val="99"/>
    <w:locked/>
    <w:rsid w:val="005507D0"/>
    <w:rPr>
      <w:rFonts w:ascii="UniCentury Old Style" w:hAnsi="UniCentury Old Style" w:cs="UniCentury Old Style"/>
      <w:color w:val="000000"/>
      <w:w w:val="0"/>
      <w:sz w:val="20"/>
      <w:szCs w:val="20"/>
    </w:rPr>
  </w:style>
  <w:style w:type="character" w:customStyle="1" w:styleId="BunntekstTegn1">
    <w:name w:val="Bunntekst Tegn1"/>
    <w:basedOn w:val="Standardskriftforavsnitt"/>
    <w:uiPriority w:val="99"/>
    <w:locked/>
    <w:rsid w:val="005507D0"/>
    <w:rPr>
      <w:rFonts w:ascii="UniCentury Old Style" w:hAnsi="UniCentury Old Style" w:cs="UniCentury Old Style"/>
      <w:color w:val="000000"/>
      <w:w w:val="0"/>
      <w:sz w:val="20"/>
      <w:szCs w:val="20"/>
    </w:rPr>
  </w:style>
  <w:style w:type="character" w:styleId="Emneknagg">
    <w:name w:val="Hashtag"/>
    <w:basedOn w:val="Standardskriftforavsnitt"/>
    <w:uiPriority w:val="99"/>
    <w:semiHidden/>
    <w:unhideWhenUsed/>
    <w:rsid w:val="00B90290"/>
    <w:rPr>
      <w:color w:val="2B579A"/>
      <w:shd w:val="clear" w:color="auto" w:fill="E1DFDD"/>
    </w:rPr>
  </w:style>
  <w:style w:type="character" w:styleId="Omtale">
    <w:name w:val="Mention"/>
    <w:basedOn w:val="Standardskriftforavsnitt"/>
    <w:uiPriority w:val="99"/>
    <w:semiHidden/>
    <w:unhideWhenUsed/>
    <w:rsid w:val="00B90290"/>
    <w:rPr>
      <w:color w:val="2B579A"/>
      <w:shd w:val="clear" w:color="auto" w:fill="E1DFDD"/>
    </w:rPr>
  </w:style>
  <w:style w:type="character" w:styleId="Smarthyperkobling">
    <w:name w:val="Smart Hyperlink"/>
    <w:basedOn w:val="Standardskriftforavsnitt"/>
    <w:uiPriority w:val="99"/>
    <w:semiHidden/>
    <w:unhideWhenUsed/>
    <w:rsid w:val="00B90290"/>
    <w:rPr>
      <w:u w:val="dotted"/>
    </w:rPr>
  </w:style>
  <w:style w:type="character" w:styleId="Smartkobling">
    <w:name w:val="Smart Link"/>
    <w:basedOn w:val="Standardskriftforavsnitt"/>
    <w:uiPriority w:val="99"/>
    <w:semiHidden/>
    <w:unhideWhenUsed/>
    <w:rsid w:val="00B90290"/>
    <w:rPr>
      <w:color w:val="0000FF"/>
      <w:u w:val="single"/>
      <w:shd w:val="clear" w:color="auto" w:fill="F3F2F1"/>
    </w:rPr>
  </w:style>
  <w:style w:type="character" w:styleId="Ulstomtale">
    <w:name w:val="Unresolved Mention"/>
    <w:basedOn w:val="Standardskriftforavsnitt"/>
    <w:uiPriority w:val="99"/>
    <w:semiHidden/>
    <w:unhideWhenUsed/>
    <w:rsid w:val="00B90290"/>
    <w:rPr>
      <w:color w:val="605E5C"/>
      <w:shd w:val="clear" w:color="auto" w:fill="E1DFDD"/>
    </w:rPr>
  </w:style>
  <w:style w:type="character" w:customStyle="1" w:styleId="SluttnotetekstTegn1">
    <w:name w:val="Sluttnotetekst Tegn1"/>
    <w:basedOn w:val="Standardskriftforavsnitt"/>
    <w:uiPriority w:val="99"/>
    <w:semiHidden/>
    <w:rsid w:val="00B419CE"/>
    <w:rPr>
      <w:rFonts w:ascii="Times New Roman" w:eastAsia="Times New Roman" w:hAnsi="Times New Roman"/>
      <w:spacing w:val="4"/>
      <w:sz w:val="20"/>
      <w:szCs w:val="20"/>
    </w:rPr>
  </w:style>
  <w:style w:type="character" w:customStyle="1" w:styleId="UnderskriftTegn1">
    <w:name w:val="Underskrift Tegn1"/>
    <w:basedOn w:val="Standardskriftforavsnitt"/>
    <w:uiPriority w:val="99"/>
    <w:semiHidden/>
    <w:rsid w:val="00B419CE"/>
    <w:rPr>
      <w:rFonts w:ascii="Times New Roman" w:eastAsia="Times New Roman" w:hAnsi="Times New Roman"/>
      <w:spacing w:val="4"/>
      <w:sz w:val="24"/>
    </w:rPr>
  </w:style>
  <w:style w:type="character" w:customStyle="1" w:styleId="DatoTegn1">
    <w:name w:val="Dato Tegn1"/>
    <w:basedOn w:val="Standardskriftforavsnitt"/>
    <w:uiPriority w:val="99"/>
    <w:semiHidden/>
    <w:rsid w:val="00B419CE"/>
    <w:rPr>
      <w:rFonts w:ascii="Times New Roman" w:eastAsia="Times New Roman" w:hAnsi="Times New Roman"/>
      <w:spacing w:val="4"/>
      <w:sz w:val="24"/>
    </w:rPr>
  </w:style>
  <w:style w:type="character" w:customStyle="1" w:styleId="SterktsitatTegn1">
    <w:name w:val="Sterkt sitat Tegn1"/>
    <w:basedOn w:val="Standardskriftforavsnitt"/>
    <w:uiPriority w:val="30"/>
    <w:rsid w:val="00B419CE"/>
    <w:rPr>
      <w:rFonts w:ascii="Times New Roman" w:eastAsia="Times New Roman" w:hAnsi="Times New Roman"/>
      <w:i/>
      <w:iCs/>
      <w:color w:val="4472C4" w:themeColor="accent1"/>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30</TotalTime>
  <Pages>183</Pages>
  <Words>70088</Words>
  <Characters>371472</Characters>
  <Application>Microsoft Office Word</Application>
  <DocSecurity>0</DocSecurity>
  <Lines>3095</Lines>
  <Paragraphs>881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5</cp:revision>
  <dcterms:created xsi:type="dcterms:W3CDTF">2021-09-30T16:23:00Z</dcterms:created>
  <dcterms:modified xsi:type="dcterms:W3CDTF">2021-09-30T16:52:00Z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2021-09-30T08:44:42Z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9586e446-6ebd-41af-97e8-3194e182ff5c</vt:lpwstr>
  </property>
  <property fmtid="{D5CDD505-2E9C-101B-9397-08002B2CF9AE}" pid="8" name="MSIP_Label_b22f7043-6caf-4431-9109-8eff758a1d8b_ContentBits">
    <vt:lpwstr>0</vt:lpwstr>
  </property>
</Properties>
</file>