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876DA" w:rsidP="00E876DA">
      <w:pPr>
        <w:pStyle w:val="is-dep"/>
      </w:pPr>
      <w:r>
        <w:t>Justis- og beredskapsdepartementet</w:t>
      </w:r>
    </w:p>
    <w:p w:rsidR="00000000" w:rsidRDefault="00B8461F" w:rsidP="00E876DA">
      <w:pPr>
        <w:pStyle w:val="i-hode"/>
      </w:pPr>
      <w:proofErr w:type="spellStart"/>
      <w:r>
        <w:t>Prop</w:t>
      </w:r>
      <w:proofErr w:type="spellEnd"/>
      <w:r>
        <w:t>. 18 L</w:t>
      </w:r>
    </w:p>
    <w:p w:rsidR="00000000" w:rsidRDefault="00B8461F" w:rsidP="00E876DA">
      <w:pPr>
        <w:pStyle w:val="i-sesjon"/>
      </w:pPr>
      <w:r>
        <w:t>(2020–2021)</w:t>
      </w:r>
    </w:p>
    <w:p w:rsidR="00000000" w:rsidRDefault="00B8461F" w:rsidP="00E876DA">
      <w:pPr>
        <w:pStyle w:val="i-hode-tit"/>
      </w:pPr>
      <w:r>
        <w:t>Proposisjon til Stortinget (forslag til lovvedtak)</w:t>
      </w:r>
    </w:p>
    <w:p w:rsidR="00000000" w:rsidRPr="00E876DA" w:rsidRDefault="00B8461F" w:rsidP="00E876DA">
      <w:pPr>
        <w:pStyle w:val="i-tit"/>
      </w:pPr>
      <w:r w:rsidRPr="00E876DA">
        <w:t>Endringer i tvisteloven (halvering av skrive</w:t>
      </w:r>
      <w:bookmarkStart w:id="0" w:name="_GoBack"/>
      <w:bookmarkEnd w:id="0"/>
      <w:r w:rsidRPr="00E876DA">
        <w:t>salæret for forliksklager i inkassosaker)</w:t>
      </w:r>
    </w:p>
    <w:p w:rsidR="00000000" w:rsidRDefault="00E876DA" w:rsidP="00E876DA">
      <w:pPr>
        <w:pStyle w:val="i-dep"/>
        <w:rPr>
          <w:strike/>
        </w:rPr>
      </w:pPr>
      <w:r w:rsidRPr="00E876DA">
        <w:t>Justis- og beredskapsdepartementet</w:t>
      </w:r>
    </w:p>
    <w:p w:rsidR="00000000" w:rsidRDefault="00B8461F" w:rsidP="00E876DA">
      <w:pPr>
        <w:pStyle w:val="i-hode"/>
      </w:pPr>
      <w:r>
        <w:t>Prop. 18 L</w:t>
      </w:r>
    </w:p>
    <w:p w:rsidR="00000000" w:rsidRDefault="00B8461F" w:rsidP="00E876DA">
      <w:pPr>
        <w:pStyle w:val="i-sesjon"/>
      </w:pPr>
      <w:r>
        <w:t>(2020–</w:t>
      </w:r>
      <w:r>
        <w:t>2021)</w:t>
      </w:r>
    </w:p>
    <w:p w:rsidR="00000000" w:rsidRDefault="00B8461F" w:rsidP="00E876DA">
      <w:pPr>
        <w:pStyle w:val="i-hode-tit"/>
      </w:pPr>
      <w:r>
        <w:t>Proposisjon til Stortinget (forslag til lovvedtak)</w:t>
      </w:r>
    </w:p>
    <w:p w:rsidR="00000000" w:rsidRDefault="00B8461F" w:rsidP="00E876DA">
      <w:pPr>
        <w:pStyle w:val="i-tit"/>
      </w:pPr>
      <w:r>
        <w:t>Endringer i tvisteloven (halvering av skrivesalæret for forliksklager i inkassosaker)</w:t>
      </w:r>
    </w:p>
    <w:p w:rsidR="00000000" w:rsidRDefault="00B8461F" w:rsidP="00E876DA">
      <w:pPr>
        <w:pStyle w:val="i-statsrdato"/>
      </w:pPr>
      <w:r>
        <w:t xml:space="preserve">Tilråding fra Justis- og beredskapsdepartementet 23. oktober 2020, </w:t>
      </w:r>
      <w:r>
        <w:br/>
        <w:t>godkjent i statsråd samme dag.</w:t>
      </w:r>
      <w:r>
        <w:br/>
        <w:t>(Regjeringen S</w:t>
      </w:r>
      <w:r>
        <w:t>olberg)</w:t>
      </w:r>
    </w:p>
    <w:p w:rsidR="00000000" w:rsidRDefault="00B8461F" w:rsidP="00E876DA">
      <w:pPr>
        <w:pStyle w:val="Overskrift1"/>
      </w:pPr>
      <w:r>
        <w:t>Innledning</w:t>
      </w:r>
    </w:p>
    <w:p w:rsidR="00000000" w:rsidRDefault="00B8461F" w:rsidP="00E876DA">
      <w:r>
        <w:t xml:space="preserve">Departementet foreslår i proposisjonen her en halvering av skrivesalæret for forliksklager der det også kreves erstatning for utenrettslige inndrivingskostnader (inkassogebyrer og -salærer etter inkassoforskriften). Skrivesalæret er </w:t>
      </w:r>
      <w:r>
        <w:t>nå ett rettsgebyr (p.t. 1172 kroner) og foreslås redusert til et halvt rettsgebyr (p.t. 586 kroner).</w:t>
      </w:r>
    </w:p>
    <w:p w:rsidR="00000000" w:rsidRDefault="00B8461F" w:rsidP="00E876DA">
      <w:r>
        <w:t>Forslaget inngår i departementets arbeid med å redusere skyldnernes kostnader ved inndriving av forfalte pengekrav. Skrivesalær ved forliksklage har nær sa</w:t>
      </w:r>
      <w:r>
        <w:t>mmenheng med skrivesalær ved tvangsfullbyrdelse, som er regulert i forskrift.</w:t>
      </w:r>
    </w:p>
    <w:p w:rsidR="00000000" w:rsidRDefault="00B8461F" w:rsidP="00E876DA">
      <w:pPr>
        <w:pStyle w:val="Overskrift1"/>
      </w:pPr>
      <w:r>
        <w:t>Bakgrunnen for saken</w:t>
      </w:r>
    </w:p>
    <w:p w:rsidR="00000000" w:rsidRDefault="00B8461F" w:rsidP="00E876DA">
      <w:r>
        <w:t xml:space="preserve">Justis- og beredskapsdepartementet nedsatte i oktober 2018 en arbeidsgruppe som skulle se på nærmere angitte problemstillinger om inkassoloven. Etter en utvidelse av arbeidsgruppens mandat i januar 2019 ble </w:t>
      </w:r>
      <w:r>
        <w:lastRenderedPageBreak/>
        <w:t>arbeidsgruppen dessuten bedt om å se på inkassose</w:t>
      </w:r>
      <w:r>
        <w:t xml:space="preserve">lskapenes adgang til å kreve </w:t>
      </w:r>
      <w:proofErr w:type="spellStart"/>
      <w:r>
        <w:t>gebyrmessig</w:t>
      </w:r>
      <w:proofErr w:type="spellEnd"/>
      <w:r>
        <w:t xml:space="preserve"> kostnadsdekning ved rettslig inndriving, jf. tvisteloven § 6-13 og forskrift om saksøktes sakskostnadsansvar ved tvangsfullbyrdelse. Arbeidsgruppen </w:t>
      </w:r>
      <w:proofErr w:type="gramStart"/>
      <w:r>
        <w:t>avga</w:t>
      </w:r>
      <w:proofErr w:type="gramEnd"/>
      <w:r>
        <w:t xml:space="preserve"> sin rapport «Gjennomgåelse av nærmere angitte problemstillinge</w:t>
      </w:r>
      <w:r>
        <w:t xml:space="preserve">r </w:t>
      </w:r>
      <w:r>
        <w:rPr>
          <w:spacing w:val="-2"/>
        </w:rPr>
        <w:t>om inkassoloven» 27. januar 2020. Arbeidsgruppen</w:t>
      </w:r>
      <w:r>
        <w:t xml:space="preserve"> foreslo en ny inkassolov og en ny inkassoforskrift, og i den forbindelse et nytt gebyrsystem for utenrettslig inndriving. Når det gjelder </w:t>
      </w:r>
      <w:proofErr w:type="spellStart"/>
      <w:r>
        <w:t>gebyrmessig</w:t>
      </w:r>
      <w:proofErr w:type="spellEnd"/>
      <w:r>
        <w:t xml:space="preserve"> kostnadsdekning ved rettslig inndriving, foreslo arbeid</w:t>
      </w:r>
      <w:r>
        <w:t>sgruppen å halvere skrivesalæret ved begjæringer om utlegg, tvangssalg av løsøre og tilbakelevering av løsøre til salgspanthaver, fra ett til et halvt rettsgebyr. Arbeidsgruppen foreslo ikke å endre skrivesalæret ved forliksklage etter tviste</w:t>
      </w:r>
      <w:r>
        <w:rPr>
          <w:spacing w:val="-1"/>
        </w:rPr>
        <w:t xml:space="preserve">loven § 6-13. </w:t>
      </w:r>
      <w:r>
        <w:rPr>
          <w:spacing w:val="-1"/>
        </w:rPr>
        <w:t>Arbeidsgrupperapporten ble sendt på høring 9. mars 2020, med høringsfrist 9. juni 2020.</w:t>
      </w:r>
    </w:p>
    <w:p w:rsidR="00000000" w:rsidRDefault="00B8461F" w:rsidP="00E876DA">
      <w:r>
        <w:t>Departementet sendte 6. april 2020 et høringsnotat om nedsettelse av inndrivingskostnader (inkassogebyrer og -salærer mv.) på høring, med høringsfrist 17. april 2020.</w:t>
      </w:r>
    </w:p>
    <w:p w:rsidR="00000000" w:rsidRDefault="00B8461F" w:rsidP="00E876DA">
      <w:r>
        <w:t>H</w:t>
      </w:r>
      <w:r>
        <w:t>øringsnotatet gjaldt:</w:t>
      </w:r>
    </w:p>
    <w:p w:rsidR="00000000" w:rsidRDefault="00B8461F" w:rsidP="00E876DA">
      <w:pPr>
        <w:pStyle w:val="Liste"/>
      </w:pPr>
      <w:r>
        <w:t>reduksjon av inkassogebyrer og -salærer etter inkassoforskriften</w:t>
      </w:r>
    </w:p>
    <w:p w:rsidR="00000000" w:rsidRDefault="00B8461F" w:rsidP="00E876DA">
      <w:pPr>
        <w:pStyle w:val="Liste"/>
      </w:pPr>
      <w:r>
        <w:t>innføring av standard skrivesalær for begjæring om tvangssalg av bolig mv.</w:t>
      </w:r>
    </w:p>
    <w:p w:rsidR="00000000" w:rsidRDefault="00B8461F" w:rsidP="00E876DA">
      <w:pPr>
        <w:pStyle w:val="Liste"/>
      </w:pPr>
      <w:r>
        <w:t>halvering av skrivesalæret for begjæringer om utlegg, tvangssalg av løsøre og tilb</w:t>
      </w:r>
      <w:r>
        <w:t>akelevering av løsøre til salgspanthaver</w:t>
      </w:r>
    </w:p>
    <w:p w:rsidR="00000000" w:rsidRDefault="00B8461F" w:rsidP="00E876DA">
      <w:pPr>
        <w:pStyle w:val="Liste"/>
      </w:pPr>
      <w:r>
        <w:t>halvering av skrivesalæret for forliksklager i inkassosaker</w:t>
      </w:r>
    </w:p>
    <w:p w:rsidR="00000000" w:rsidRDefault="00B8461F" w:rsidP="00E876DA">
      <w:r>
        <w:t>Høringen ble sendt til følgende høringsinstanser:</w:t>
      </w:r>
    </w:p>
    <w:p w:rsidR="00000000" w:rsidRDefault="00B8461F" w:rsidP="00E876DA">
      <w:pPr>
        <w:pStyle w:val="opplisting"/>
      </w:pPr>
      <w:r>
        <w:t>Alle departementene</w:t>
      </w:r>
    </w:p>
    <w:p w:rsidR="00000000" w:rsidRDefault="00B8461F" w:rsidP="00E876DA"/>
    <w:p w:rsidR="00000000" w:rsidRDefault="00B8461F" w:rsidP="00E876DA">
      <w:pPr>
        <w:pStyle w:val="opplisting"/>
      </w:pPr>
      <w:r>
        <w:t>Arbeids- og velferdsdirektoratet</w:t>
      </w:r>
    </w:p>
    <w:p w:rsidR="00000000" w:rsidRDefault="00B8461F" w:rsidP="00E876DA">
      <w:pPr>
        <w:pStyle w:val="opplisting"/>
      </w:pPr>
      <w:r>
        <w:t>Barne-, ungdoms- og familiedirektoratet</w:t>
      </w:r>
    </w:p>
    <w:p w:rsidR="00000000" w:rsidRDefault="00B8461F" w:rsidP="00E876DA">
      <w:pPr>
        <w:pStyle w:val="opplisting"/>
      </w:pPr>
      <w:r>
        <w:t>Barneom</w:t>
      </w:r>
      <w:r>
        <w:t>budet</w:t>
      </w:r>
    </w:p>
    <w:p w:rsidR="00000000" w:rsidRDefault="00B8461F" w:rsidP="00E876DA">
      <w:pPr>
        <w:pStyle w:val="opplisting"/>
      </w:pPr>
      <w:r>
        <w:t>Brønnøysundregistrene</w:t>
      </w:r>
    </w:p>
    <w:p w:rsidR="00000000" w:rsidRDefault="00B8461F" w:rsidP="00E876DA">
      <w:pPr>
        <w:pStyle w:val="opplisting"/>
      </w:pPr>
      <w:r>
        <w:t>Datatilsynet</w:t>
      </w:r>
    </w:p>
    <w:p w:rsidR="00000000" w:rsidRDefault="00B8461F" w:rsidP="00E876DA">
      <w:pPr>
        <w:pStyle w:val="opplisting"/>
      </w:pPr>
      <w:r>
        <w:t>Digitaliseringsdirektoratet</w:t>
      </w:r>
    </w:p>
    <w:p w:rsidR="00000000" w:rsidRDefault="00B8461F" w:rsidP="00E876DA">
      <w:pPr>
        <w:pStyle w:val="opplisting"/>
      </w:pPr>
      <w:r>
        <w:t>Direktoratet for e-helse</w:t>
      </w:r>
    </w:p>
    <w:p w:rsidR="00000000" w:rsidRDefault="00B8461F" w:rsidP="00E876DA">
      <w:pPr>
        <w:pStyle w:val="opplisting"/>
      </w:pPr>
      <w:r>
        <w:t>Direktoratet for forvaltning og økonomistyring</w:t>
      </w:r>
    </w:p>
    <w:p w:rsidR="00000000" w:rsidRDefault="00B8461F" w:rsidP="00E876DA">
      <w:pPr>
        <w:pStyle w:val="opplisting"/>
      </w:pPr>
      <w:r>
        <w:t>Domstoladministrasjonen</w:t>
      </w:r>
    </w:p>
    <w:p w:rsidR="00000000" w:rsidRDefault="00B8461F" w:rsidP="00E876DA">
      <w:pPr>
        <w:pStyle w:val="opplisting"/>
      </w:pPr>
      <w:r>
        <w:t>Finanstilsynet</w:t>
      </w:r>
    </w:p>
    <w:p w:rsidR="00000000" w:rsidRDefault="00B8461F" w:rsidP="00E876DA">
      <w:pPr>
        <w:pStyle w:val="opplisting"/>
      </w:pPr>
      <w:r>
        <w:t>Forbrukerrådet</w:t>
      </w:r>
    </w:p>
    <w:p w:rsidR="00000000" w:rsidRDefault="00B8461F" w:rsidP="00E876DA">
      <w:pPr>
        <w:pStyle w:val="opplisting"/>
      </w:pPr>
      <w:r>
        <w:t>Forbrukertilsynet</w:t>
      </w:r>
    </w:p>
    <w:p w:rsidR="00000000" w:rsidRDefault="00B8461F" w:rsidP="00E876DA">
      <w:pPr>
        <w:pStyle w:val="opplisting"/>
      </w:pPr>
      <w:r>
        <w:t>Fylkesmennene</w:t>
      </w:r>
    </w:p>
    <w:p w:rsidR="00000000" w:rsidRDefault="00B8461F" w:rsidP="00E876DA">
      <w:pPr>
        <w:pStyle w:val="opplisting"/>
      </w:pPr>
      <w:proofErr w:type="spellStart"/>
      <w:r>
        <w:t>Helfo</w:t>
      </w:r>
      <w:proofErr w:type="spellEnd"/>
    </w:p>
    <w:p w:rsidR="00000000" w:rsidRDefault="00B8461F" w:rsidP="00E876DA">
      <w:pPr>
        <w:pStyle w:val="opplisting"/>
      </w:pPr>
      <w:r>
        <w:t>Helse Midt-Norge RHF</w:t>
      </w:r>
    </w:p>
    <w:p w:rsidR="00000000" w:rsidRDefault="00B8461F" w:rsidP="00E876DA">
      <w:pPr>
        <w:pStyle w:val="opplisting"/>
      </w:pPr>
      <w:r>
        <w:t>Helse Nord RHF</w:t>
      </w:r>
    </w:p>
    <w:p w:rsidR="00000000" w:rsidRDefault="00B8461F" w:rsidP="00E876DA">
      <w:pPr>
        <w:pStyle w:val="opplisting"/>
      </w:pPr>
      <w:r>
        <w:t>Helse Sør-Øst RHF</w:t>
      </w:r>
    </w:p>
    <w:p w:rsidR="00000000" w:rsidRDefault="00B8461F" w:rsidP="00E876DA">
      <w:pPr>
        <w:pStyle w:val="opplisting"/>
      </w:pPr>
      <w:r>
        <w:t>Helse Vest RHF</w:t>
      </w:r>
    </w:p>
    <w:p w:rsidR="00000000" w:rsidRDefault="00B8461F" w:rsidP="00E876DA">
      <w:pPr>
        <w:pStyle w:val="opplisting"/>
      </w:pPr>
      <w:r>
        <w:t>Husbanken</w:t>
      </w:r>
    </w:p>
    <w:p w:rsidR="00000000" w:rsidRDefault="00B8461F" w:rsidP="00E876DA">
      <w:pPr>
        <w:pStyle w:val="opplisting"/>
      </w:pPr>
      <w:r>
        <w:t>Innovasjon Norge</w:t>
      </w:r>
    </w:p>
    <w:p w:rsidR="00000000" w:rsidRDefault="00B8461F" w:rsidP="00E876DA">
      <w:pPr>
        <w:pStyle w:val="opplisting"/>
      </w:pPr>
      <w:r>
        <w:t xml:space="preserve">Integrerings- og </w:t>
      </w:r>
      <w:proofErr w:type="spellStart"/>
      <w:r>
        <w:t>mangfoldsdirektoratet</w:t>
      </w:r>
      <w:proofErr w:type="spellEnd"/>
    </w:p>
    <w:p w:rsidR="00000000" w:rsidRDefault="00B8461F" w:rsidP="00E876DA">
      <w:pPr>
        <w:pStyle w:val="opplisting"/>
      </w:pPr>
      <w:r>
        <w:t>Kartverket</w:t>
      </w:r>
    </w:p>
    <w:p w:rsidR="00000000" w:rsidRDefault="00B8461F" w:rsidP="00E876DA">
      <w:pPr>
        <w:pStyle w:val="opplisting"/>
      </w:pPr>
      <w:r>
        <w:t>Konkurransetilsynet</w:t>
      </w:r>
    </w:p>
    <w:p w:rsidR="00000000" w:rsidRDefault="00B8461F" w:rsidP="00E876DA">
      <w:pPr>
        <w:pStyle w:val="opplisting"/>
      </w:pPr>
      <w:r>
        <w:t>Konkursrådet</w:t>
      </w:r>
    </w:p>
    <w:p w:rsidR="00000000" w:rsidRDefault="00B8461F" w:rsidP="00E876DA">
      <w:pPr>
        <w:pStyle w:val="opplisting"/>
      </w:pPr>
      <w:r>
        <w:t>Kontoret for Voldsoffererstatning</w:t>
      </w:r>
    </w:p>
    <w:p w:rsidR="00000000" w:rsidRDefault="00B8461F" w:rsidP="00E876DA">
      <w:pPr>
        <w:pStyle w:val="opplisting"/>
      </w:pPr>
      <w:r>
        <w:t>Kriminalomsorgsdirektoratet</w:t>
      </w:r>
    </w:p>
    <w:p w:rsidR="00000000" w:rsidRDefault="00B8461F" w:rsidP="00E876DA">
      <w:pPr>
        <w:pStyle w:val="opplisting"/>
      </w:pPr>
      <w:r>
        <w:t xml:space="preserve">Likestillings- </w:t>
      </w:r>
      <w:r>
        <w:t>og diskrimineringsombudet</w:t>
      </w:r>
    </w:p>
    <w:p w:rsidR="00000000" w:rsidRDefault="00B8461F" w:rsidP="00E876DA">
      <w:pPr>
        <w:pStyle w:val="opplisting"/>
      </w:pPr>
      <w:r>
        <w:t>Namsfogden i Oslo, Asker og Bærum</w:t>
      </w:r>
    </w:p>
    <w:p w:rsidR="00000000" w:rsidRDefault="00B8461F" w:rsidP="00E876DA">
      <w:pPr>
        <w:pStyle w:val="opplisting"/>
      </w:pPr>
      <w:r>
        <w:lastRenderedPageBreak/>
        <w:t>Nasjonal kompetansetjeneste for aldring og helse</w:t>
      </w:r>
    </w:p>
    <w:p w:rsidR="00000000" w:rsidRDefault="00B8461F" w:rsidP="00E876DA">
      <w:pPr>
        <w:pStyle w:val="opplisting"/>
      </w:pPr>
      <w:r>
        <w:t>NAV Innkreving</w:t>
      </w:r>
    </w:p>
    <w:p w:rsidR="00000000" w:rsidRDefault="00B8461F" w:rsidP="00E876DA">
      <w:pPr>
        <w:pStyle w:val="opplisting"/>
      </w:pPr>
      <w:r>
        <w:t>Norges Bank</w:t>
      </w:r>
    </w:p>
    <w:p w:rsidR="00000000" w:rsidRDefault="00B8461F" w:rsidP="00E876DA">
      <w:pPr>
        <w:pStyle w:val="opplisting"/>
      </w:pPr>
      <w:r>
        <w:t>Norges institusjon for menneskerettigheter</w:t>
      </w:r>
    </w:p>
    <w:p w:rsidR="00000000" w:rsidRDefault="00B8461F" w:rsidP="00E876DA">
      <w:pPr>
        <w:pStyle w:val="opplisting"/>
      </w:pPr>
      <w:r>
        <w:t>Oslo byfogdembete</w:t>
      </w:r>
    </w:p>
    <w:p w:rsidR="00000000" w:rsidRDefault="00B8461F" w:rsidP="00E876DA">
      <w:pPr>
        <w:pStyle w:val="opplisting"/>
      </w:pPr>
      <w:r>
        <w:t>Personvernnemnda</w:t>
      </w:r>
    </w:p>
    <w:p w:rsidR="00000000" w:rsidRDefault="00B8461F" w:rsidP="00E876DA">
      <w:pPr>
        <w:pStyle w:val="opplisting"/>
      </w:pPr>
      <w:r>
        <w:t>Politidirektoratet</w:t>
      </w:r>
    </w:p>
    <w:p w:rsidR="00000000" w:rsidRDefault="00B8461F" w:rsidP="00E876DA">
      <w:pPr>
        <w:pStyle w:val="opplisting"/>
      </w:pPr>
      <w:r>
        <w:t>Regelrådet</w:t>
      </w:r>
    </w:p>
    <w:p w:rsidR="00000000" w:rsidRDefault="00B8461F" w:rsidP="00E876DA">
      <w:pPr>
        <w:pStyle w:val="opplisting"/>
      </w:pPr>
      <w:r>
        <w:t>Regjeringsadvokaten</w:t>
      </w:r>
    </w:p>
    <w:p w:rsidR="00000000" w:rsidRDefault="00B8461F" w:rsidP="00E876DA">
      <w:pPr>
        <w:pStyle w:val="opplisting"/>
      </w:pPr>
      <w:r>
        <w:t>Riksadvokaten</w:t>
      </w:r>
    </w:p>
    <w:p w:rsidR="00000000" w:rsidRDefault="00B8461F" w:rsidP="00E876DA">
      <w:pPr>
        <w:pStyle w:val="opplisting"/>
      </w:pPr>
      <w:r>
        <w:t>Riksrevisjonen</w:t>
      </w:r>
    </w:p>
    <w:p w:rsidR="00000000" w:rsidRDefault="00B8461F" w:rsidP="00E876DA">
      <w:pPr>
        <w:pStyle w:val="opplisting"/>
      </w:pPr>
      <w:r>
        <w:t>Skattedirektoratet</w:t>
      </w:r>
    </w:p>
    <w:p w:rsidR="00000000" w:rsidRDefault="00B8461F" w:rsidP="00E876DA">
      <w:pPr>
        <w:pStyle w:val="opplisting"/>
      </w:pPr>
      <w:r>
        <w:t>Språkrådet</w:t>
      </w:r>
    </w:p>
    <w:p w:rsidR="00000000" w:rsidRDefault="00B8461F" w:rsidP="00E876DA">
      <w:pPr>
        <w:pStyle w:val="opplisting"/>
      </w:pPr>
      <w:r>
        <w:t>Statens innkrevingssentral</w:t>
      </w:r>
    </w:p>
    <w:p w:rsidR="00000000" w:rsidRDefault="00B8461F" w:rsidP="00E876DA">
      <w:pPr>
        <w:pStyle w:val="opplisting"/>
      </w:pPr>
      <w:r>
        <w:t>Statens institutt for forbruksforskning</w:t>
      </w:r>
    </w:p>
    <w:p w:rsidR="00000000" w:rsidRDefault="00B8461F" w:rsidP="00E876DA">
      <w:pPr>
        <w:pStyle w:val="opplisting"/>
      </w:pPr>
      <w:r>
        <w:t>Statens lånekasse for utdanning</w:t>
      </w:r>
    </w:p>
    <w:p w:rsidR="00000000" w:rsidRDefault="00B8461F" w:rsidP="00E876DA">
      <w:pPr>
        <w:pStyle w:val="opplisting"/>
      </w:pPr>
      <w:r>
        <w:t>Statens pensjonskasse</w:t>
      </w:r>
    </w:p>
    <w:p w:rsidR="00000000" w:rsidRDefault="00B8461F" w:rsidP="00E876DA">
      <w:pPr>
        <w:pStyle w:val="opplisting"/>
      </w:pPr>
      <w:r>
        <w:t>Statens sivilrettsforvaltning</w:t>
      </w:r>
    </w:p>
    <w:p w:rsidR="00000000" w:rsidRDefault="00B8461F" w:rsidP="00E876DA">
      <w:pPr>
        <w:pStyle w:val="opplisting"/>
      </w:pPr>
      <w:r>
        <w:t>Statistisk sentralbyrå</w:t>
      </w:r>
    </w:p>
    <w:p w:rsidR="00000000" w:rsidRDefault="00B8461F" w:rsidP="00E876DA">
      <w:pPr>
        <w:pStyle w:val="opplisting"/>
      </w:pPr>
      <w:r>
        <w:t>Sto</w:t>
      </w:r>
      <w:r>
        <w:t>rtingets ombudsmann for forvaltningen</w:t>
      </w:r>
    </w:p>
    <w:p w:rsidR="00000000" w:rsidRDefault="00B8461F" w:rsidP="00E876DA">
      <w:pPr>
        <w:pStyle w:val="opplisting"/>
      </w:pPr>
      <w:r>
        <w:t>Tolletaten</w:t>
      </w:r>
    </w:p>
    <w:p w:rsidR="00000000" w:rsidRDefault="00B8461F" w:rsidP="00E876DA">
      <w:pPr>
        <w:pStyle w:val="opplisting"/>
      </w:pPr>
      <w:r>
        <w:t>Økokrim</w:t>
      </w:r>
    </w:p>
    <w:p w:rsidR="00000000" w:rsidRDefault="00B8461F" w:rsidP="00E876DA"/>
    <w:p w:rsidR="00000000" w:rsidRDefault="00B8461F" w:rsidP="00E876DA">
      <w:pPr>
        <w:pStyle w:val="opplisting"/>
      </w:pPr>
      <w:r>
        <w:t>Forliksrådene i Bergen, Kristiansand, Oslo, Stavanger, Tromsø og Trondheim</w:t>
      </w:r>
    </w:p>
    <w:p w:rsidR="00000000" w:rsidRDefault="00B8461F" w:rsidP="00E876DA"/>
    <w:p w:rsidR="00000000" w:rsidRDefault="00B8461F" w:rsidP="00E876DA">
      <w:pPr>
        <w:pStyle w:val="opplisting"/>
      </w:pPr>
      <w:r>
        <w:t>Fylkeskommunene</w:t>
      </w:r>
    </w:p>
    <w:p w:rsidR="00000000" w:rsidRDefault="00B8461F" w:rsidP="00E876DA">
      <w:pPr>
        <w:pStyle w:val="opplisting"/>
      </w:pPr>
      <w:r>
        <w:t>Kommunene</w:t>
      </w:r>
    </w:p>
    <w:p w:rsidR="00000000" w:rsidRDefault="00B8461F" w:rsidP="00E876DA">
      <w:pPr>
        <w:pStyle w:val="opplisting"/>
      </w:pPr>
      <w:r>
        <w:t>Fredrikstad kemnerkontor</w:t>
      </w:r>
    </w:p>
    <w:p w:rsidR="00000000" w:rsidRDefault="00B8461F" w:rsidP="00E876DA">
      <w:pPr>
        <w:pStyle w:val="opplisting"/>
      </w:pPr>
      <w:r>
        <w:t>Kemneren i Bergen</w:t>
      </w:r>
    </w:p>
    <w:p w:rsidR="00000000" w:rsidRDefault="00B8461F" w:rsidP="00E876DA">
      <w:pPr>
        <w:pStyle w:val="opplisting"/>
      </w:pPr>
      <w:r>
        <w:t>Oslo kemnerkontor</w:t>
      </w:r>
    </w:p>
    <w:p w:rsidR="00000000" w:rsidRDefault="00B8461F" w:rsidP="00E876DA"/>
    <w:p w:rsidR="00000000" w:rsidRDefault="00B8461F" w:rsidP="00E876DA">
      <w:pPr>
        <w:pStyle w:val="opplisting"/>
      </w:pPr>
      <w:r>
        <w:t>ADHD Norge</w:t>
      </w:r>
    </w:p>
    <w:p w:rsidR="00000000" w:rsidRDefault="00B8461F" w:rsidP="00E876DA">
      <w:pPr>
        <w:pStyle w:val="opplisting"/>
      </w:pPr>
      <w:r>
        <w:t>Advokatforeningen</w:t>
      </w:r>
    </w:p>
    <w:p w:rsidR="00000000" w:rsidRDefault="00B8461F" w:rsidP="00E876DA">
      <w:pPr>
        <w:pStyle w:val="opplisting"/>
      </w:pPr>
      <w:r>
        <w:t>Akade</w:t>
      </w:r>
      <w:r>
        <w:t>mikerne</w:t>
      </w:r>
    </w:p>
    <w:p w:rsidR="00000000" w:rsidRDefault="00B8461F" w:rsidP="00E876DA">
      <w:pPr>
        <w:pStyle w:val="opplisting"/>
      </w:pPr>
      <w:proofErr w:type="spellStart"/>
      <w:r>
        <w:t>AksjeNorge</w:t>
      </w:r>
      <w:proofErr w:type="spellEnd"/>
    </w:p>
    <w:p w:rsidR="00000000" w:rsidRDefault="00B8461F" w:rsidP="00E876DA">
      <w:pPr>
        <w:pStyle w:val="opplisting"/>
      </w:pPr>
      <w:r>
        <w:t>Aksjonærforeningen</w:t>
      </w:r>
    </w:p>
    <w:p w:rsidR="00000000" w:rsidRDefault="00B8461F" w:rsidP="00E876DA">
      <w:pPr>
        <w:pStyle w:val="opplisting"/>
      </w:pPr>
      <w:proofErr w:type="spellStart"/>
      <w:r>
        <w:t>Ambita</w:t>
      </w:r>
      <w:proofErr w:type="spellEnd"/>
    </w:p>
    <w:p w:rsidR="00000000" w:rsidRDefault="00B8461F" w:rsidP="00E876DA">
      <w:pPr>
        <w:pStyle w:val="opplisting"/>
      </w:pPr>
      <w:r>
        <w:t>Angstringen Norge</w:t>
      </w:r>
    </w:p>
    <w:p w:rsidR="00000000" w:rsidRDefault="00B8461F" w:rsidP="00E876DA">
      <w:pPr>
        <w:pStyle w:val="opplisting"/>
      </w:pPr>
      <w:r>
        <w:t>Arbeidsgiverforeningen Spekter</w:t>
      </w:r>
    </w:p>
    <w:p w:rsidR="00000000" w:rsidRDefault="00B8461F" w:rsidP="00E876DA">
      <w:pPr>
        <w:pStyle w:val="opplisting"/>
      </w:pPr>
      <w:r>
        <w:t>Barnas jurist</w:t>
      </w:r>
    </w:p>
    <w:p w:rsidR="00000000" w:rsidRDefault="00B8461F" w:rsidP="00E876DA">
      <w:pPr>
        <w:pStyle w:val="opplisting"/>
      </w:pPr>
      <w:r>
        <w:t>Bipolarforeningen</w:t>
      </w:r>
    </w:p>
    <w:p w:rsidR="00000000" w:rsidRDefault="00B8461F" w:rsidP="00E876DA">
      <w:pPr>
        <w:pStyle w:val="opplisting"/>
      </w:pPr>
      <w:r>
        <w:t>Blå Kors</w:t>
      </w:r>
    </w:p>
    <w:p w:rsidR="00000000" w:rsidRDefault="00B8461F" w:rsidP="00E876DA">
      <w:pPr>
        <w:pStyle w:val="opplisting"/>
      </w:pPr>
      <w:r>
        <w:t>Bompengeselskap Nord AS</w:t>
      </w:r>
    </w:p>
    <w:p w:rsidR="00000000" w:rsidRDefault="00B8461F" w:rsidP="00E876DA">
      <w:pPr>
        <w:pStyle w:val="opplisting"/>
      </w:pPr>
      <w:r>
        <w:t>Den norske Aktuarforening</w:t>
      </w:r>
    </w:p>
    <w:p w:rsidR="00000000" w:rsidRDefault="00B8461F" w:rsidP="00E876DA">
      <w:pPr>
        <w:pStyle w:val="opplisting"/>
      </w:pPr>
      <w:r>
        <w:t>Den norske dataforening</w:t>
      </w:r>
    </w:p>
    <w:p w:rsidR="00000000" w:rsidRDefault="00B8461F" w:rsidP="00E876DA">
      <w:pPr>
        <w:pStyle w:val="opplisting"/>
      </w:pPr>
      <w:r>
        <w:t>Den norske Dommerforening</w:t>
      </w:r>
    </w:p>
    <w:p w:rsidR="00000000" w:rsidRDefault="00B8461F" w:rsidP="00E876DA">
      <w:pPr>
        <w:pStyle w:val="opplisting"/>
      </w:pPr>
      <w:r>
        <w:t>Den norske legeforening</w:t>
      </w:r>
    </w:p>
    <w:p w:rsidR="00000000" w:rsidRDefault="00B8461F" w:rsidP="00E876DA">
      <w:pPr>
        <w:pStyle w:val="opplisting"/>
      </w:pPr>
      <w:r>
        <w:t>Den norske Revisorforening</w:t>
      </w:r>
    </w:p>
    <w:p w:rsidR="00000000" w:rsidRDefault="00B8461F" w:rsidP="00E876DA">
      <w:pPr>
        <w:pStyle w:val="opplisting"/>
      </w:pPr>
      <w:r>
        <w:t>Den norske tannlegeforening</w:t>
      </w:r>
    </w:p>
    <w:p w:rsidR="00000000" w:rsidRDefault="00B8461F" w:rsidP="00E876DA">
      <w:pPr>
        <w:pStyle w:val="opplisting"/>
      </w:pPr>
      <w:r>
        <w:t>DNB</w:t>
      </w:r>
    </w:p>
    <w:p w:rsidR="00000000" w:rsidRDefault="00B8461F" w:rsidP="00E876DA">
      <w:pPr>
        <w:pStyle w:val="opplisting"/>
      </w:pPr>
      <w:proofErr w:type="spellStart"/>
      <w:r>
        <w:lastRenderedPageBreak/>
        <w:t>Econa</w:t>
      </w:r>
      <w:proofErr w:type="spellEnd"/>
    </w:p>
    <w:p w:rsidR="00000000" w:rsidRDefault="00B8461F" w:rsidP="00E876DA">
      <w:pPr>
        <w:pStyle w:val="opplisting"/>
      </w:pPr>
      <w:r>
        <w:t>Eiendom Norge</w:t>
      </w:r>
    </w:p>
    <w:p w:rsidR="00000000" w:rsidRDefault="00B8461F" w:rsidP="00E876DA">
      <w:pPr>
        <w:pStyle w:val="opplisting"/>
      </w:pPr>
      <w:r>
        <w:t>Eksportfinans ASA</w:t>
      </w:r>
    </w:p>
    <w:p w:rsidR="00000000" w:rsidRDefault="00B8461F" w:rsidP="00E876DA">
      <w:pPr>
        <w:pStyle w:val="opplisting"/>
      </w:pPr>
      <w:r>
        <w:t>Eksportkreditt Norge</w:t>
      </w:r>
    </w:p>
    <w:p w:rsidR="00000000" w:rsidRDefault="00B8461F" w:rsidP="00E876DA">
      <w:pPr>
        <w:pStyle w:val="opplisting"/>
      </w:pPr>
      <w:r>
        <w:t>Fattignettverket Norge</w:t>
      </w:r>
    </w:p>
    <w:p w:rsidR="00000000" w:rsidRDefault="00B8461F" w:rsidP="00E876DA">
      <w:pPr>
        <w:pStyle w:val="opplisting"/>
      </w:pPr>
      <w:r>
        <w:t>Ferde AS</w:t>
      </w:r>
    </w:p>
    <w:p w:rsidR="00000000" w:rsidRDefault="00B8461F" w:rsidP="00E876DA">
      <w:pPr>
        <w:pStyle w:val="opplisting"/>
      </w:pPr>
      <w:r>
        <w:t>Finans Norge</w:t>
      </w:r>
    </w:p>
    <w:p w:rsidR="00000000" w:rsidRDefault="00B8461F" w:rsidP="00E876DA">
      <w:pPr>
        <w:pStyle w:val="opplisting"/>
      </w:pPr>
      <w:r>
        <w:t>Finansforbundet</w:t>
      </w:r>
    </w:p>
    <w:p w:rsidR="00000000" w:rsidRDefault="00B8461F" w:rsidP="00E876DA">
      <w:pPr>
        <w:pStyle w:val="opplisting"/>
      </w:pPr>
      <w:r>
        <w:t>Finansieringsselskapenes Fo</w:t>
      </w:r>
      <w:r>
        <w:t>rening</w:t>
      </w:r>
    </w:p>
    <w:p w:rsidR="00000000" w:rsidRDefault="00B8461F" w:rsidP="00E876DA">
      <w:pPr>
        <w:pStyle w:val="opplisting"/>
      </w:pPr>
      <w:r>
        <w:t>Finansklagenemnda</w:t>
      </w:r>
    </w:p>
    <w:p w:rsidR="00000000" w:rsidRDefault="00B8461F" w:rsidP="00E876DA">
      <w:pPr>
        <w:pStyle w:val="opplisting"/>
      </w:pPr>
      <w:r>
        <w:t>Fjellinjen</w:t>
      </w:r>
    </w:p>
    <w:p w:rsidR="00000000" w:rsidRDefault="00B8461F" w:rsidP="00E876DA">
      <w:pPr>
        <w:pStyle w:val="opplisting"/>
      </w:pPr>
      <w:r>
        <w:t>For Fangers Pårørende</w:t>
      </w:r>
    </w:p>
    <w:p w:rsidR="00000000" w:rsidRDefault="00B8461F" w:rsidP="00E876DA">
      <w:pPr>
        <w:pStyle w:val="opplisting"/>
      </w:pPr>
      <w:proofErr w:type="spellStart"/>
      <w:r>
        <w:t>Fransiskushjelpen</w:t>
      </w:r>
      <w:proofErr w:type="spellEnd"/>
    </w:p>
    <w:p w:rsidR="00000000" w:rsidRDefault="00B8461F" w:rsidP="00E876DA">
      <w:pPr>
        <w:pStyle w:val="opplisting"/>
      </w:pPr>
      <w:r>
        <w:t>Frelsesarmeen</w:t>
      </w:r>
    </w:p>
    <w:p w:rsidR="00000000" w:rsidRDefault="00B8461F" w:rsidP="00E876DA">
      <w:pPr>
        <w:pStyle w:val="opplisting"/>
      </w:pPr>
      <w:r>
        <w:t>Frivillighet Norge</w:t>
      </w:r>
    </w:p>
    <w:p w:rsidR="00000000" w:rsidRDefault="00B8461F" w:rsidP="00E876DA">
      <w:pPr>
        <w:pStyle w:val="opplisting"/>
      </w:pPr>
      <w:r>
        <w:t>Funksjonshemmedes fellesorganisasjon</w:t>
      </w:r>
    </w:p>
    <w:p w:rsidR="00000000" w:rsidRDefault="00B8461F" w:rsidP="00E876DA">
      <w:pPr>
        <w:pStyle w:val="opplisting"/>
      </w:pPr>
      <w:r>
        <w:t>Gatas økonom</w:t>
      </w:r>
    </w:p>
    <w:p w:rsidR="00000000" w:rsidRDefault="00B8461F" w:rsidP="00E876DA">
      <w:pPr>
        <w:pStyle w:val="opplisting"/>
      </w:pPr>
      <w:r>
        <w:t>Gatejuristen</w:t>
      </w:r>
    </w:p>
    <w:p w:rsidR="00000000" w:rsidRDefault="00B8461F" w:rsidP="00E876DA">
      <w:pPr>
        <w:pStyle w:val="opplisting"/>
      </w:pPr>
      <w:r>
        <w:t>Gjeldsoffer-Alliansen</w:t>
      </w:r>
    </w:p>
    <w:p w:rsidR="00000000" w:rsidRDefault="00B8461F" w:rsidP="00E876DA">
      <w:pPr>
        <w:pStyle w:val="opplisting"/>
      </w:pPr>
      <w:r>
        <w:t>Gode betalere</w:t>
      </w:r>
    </w:p>
    <w:p w:rsidR="00000000" w:rsidRDefault="00B8461F" w:rsidP="00E876DA">
      <w:pPr>
        <w:pStyle w:val="opplisting"/>
      </w:pPr>
      <w:r>
        <w:t>Hovedorganisasjonen Virke</w:t>
      </w:r>
    </w:p>
    <w:p w:rsidR="00000000" w:rsidRDefault="00B8461F" w:rsidP="00E876DA">
      <w:pPr>
        <w:pStyle w:val="opplisting"/>
      </w:pPr>
      <w:r>
        <w:t>Huseiernes Landsforbund</w:t>
      </w:r>
    </w:p>
    <w:p w:rsidR="00000000" w:rsidRDefault="00B8461F" w:rsidP="00E876DA">
      <w:pPr>
        <w:pStyle w:val="opplisting"/>
      </w:pPr>
      <w:r>
        <w:t>IKT-Norge</w:t>
      </w:r>
    </w:p>
    <w:p w:rsidR="00000000" w:rsidRDefault="00B8461F" w:rsidP="00E876DA">
      <w:pPr>
        <w:pStyle w:val="opplisting"/>
      </w:pPr>
      <w:r>
        <w:t>Inka Management AS</w:t>
      </w:r>
    </w:p>
    <w:p w:rsidR="00000000" w:rsidRDefault="00B8461F" w:rsidP="00E876DA">
      <w:pPr>
        <w:pStyle w:val="opplisting"/>
      </w:pPr>
      <w:r>
        <w:t>Juridisk rådgivning for kvinner</w:t>
      </w:r>
    </w:p>
    <w:p w:rsidR="00000000" w:rsidRDefault="00B8461F" w:rsidP="00E876DA">
      <w:pPr>
        <w:pStyle w:val="opplisting"/>
      </w:pPr>
      <w:r>
        <w:t>Juristforbundet</w:t>
      </w:r>
    </w:p>
    <w:p w:rsidR="00000000" w:rsidRDefault="00B8461F" w:rsidP="00E876DA">
      <w:pPr>
        <w:pStyle w:val="opplisting"/>
      </w:pPr>
      <w:proofErr w:type="spellStart"/>
      <w:r>
        <w:t>Jussbuss</w:t>
      </w:r>
      <w:proofErr w:type="spellEnd"/>
    </w:p>
    <w:p w:rsidR="00000000" w:rsidRDefault="00B8461F" w:rsidP="00E876DA">
      <w:pPr>
        <w:pStyle w:val="opplisting"/>
      </w:pPr>
      <w:proofErr w:type="spellStart"/>
      <w:r>
        <w:t>Jussformidlingen</w:t>
      </w:r>
      <w:proofErr w:type="spellEnd"/>
      <w:r>
        <w:t xml:space="preserve"> i Bergen</w:t>
      </w:r>
    </w:p>
    <w:p w:rsidR="00000000" w:rsidRDefault="00B8461F" w:rsidP="00E876DA">
      <w:pPr>
        <w:pStyle w:val="opplisting"/>
      </w:pPr>
      <w:proofErr w:type="spellStart"/>
      <w:r>
        <w:t>Jusshjelpa</w:t>
      </w:r>
      <w:proofErr w:type="spellEnd"/>
      <w:r>
        <w:t xml:space="preserve"> i Nord-Norge</w:t>
      </w:r>
    </w:p>
    <w:p w:rsidR="00000000" w:rsidRDefault="00B8461F" w:rsidP="00E876DA">
      <w:pPr>
        <w:pStyle w:val="opplisting"/>
      </w:pPr>
      <w:proofErr w:type="spellStart"/>
      <w:r>
        <w:t>KapitalKontroll</w:t>
      </w:r>
      <w:proofErr w:type="spellEnd"/>
    </w:p>
    <w:p w:rsidR="00000000" w:rsidRDefault="00B8461F" w:rsidP="00E876DA">
      <w:pPr>
        <w:pStyle w:val="opplisting"/>
      </w:pPr>
      <w:r>
        <w:t>Kirkens Bymisjon</w:t>
      </w:r>
    </w:p>
    <w:p w:rsidR="00000000" w:rsidRDefault="00B8461F" w:rsidP="00E876DA">
      <w:pPr>
        <w:pStyle w:val="opplisting"/>
      </w:pPr>
      <w:r>
        <w:t>Kommunalbanken AS</w:t>
      </w:r>
    </w:p>
    <w:p w:rsidR="00000000" w:rsidRDefault="00B8461F" w:rsidP="00E876DA">
      <w:pPr>
        <w:pStyle w:val="opplisting"/>
      </w:pPr>
      <w:r>
        <w:t>Kreftforeningen</w:t>
      </w:r>
    </w:p>
    <w:p w:rsidR="00000000" w:rsidRDefault="00B8461F" w:rsidP="00E876DA">
      <w:pPr>
        <w:pStyle w:val="opplisting"/>
      </w:pPr>
      <w:r>
        <w:t>KS</w:t>
      </w:r>
    </w:p>
    <w:p w:rsidR="00000000" w:rsidRDefault="00B8461F" w:rsidP="00E876DA">
      <w:pPr>
        <w:pStyle w:val="opplisting"/>
      </w:pPr>
      <w:r>
        <w:t>Landsforeningen for barnevernsbarn</w:t>
      </w:r>
    </w:p>
    <w:p w:rsidR="00000000" w:rsidRDefault="00B8461F" w:rsidP="00E876DA">
      <w:pPr>
        <w:pStyle w:val="opplisting"/>
      </w:pPr>
      <w:r>
        <w:t>Landsforeningen for pårørende innen psykisk helse</w:t>
      </w:r>
    </w:p>
    <w:p w:rsidR="00000000" w:rsidRDefault="00B8461F" w:rsidP="00E876DA">
      <w:pPr>
        <w:pStyle w:val="opplisting"/>
      </w:pPr>
      <w:r>
        <w:t>Landsorganisasjonen i Norge</w:t>
      </w:r>
    </w:p>
    <w:p w:rsidR="00000000" w:rsidRDefault="00B8461F" w:rsidP="00E876DA">
      <w:pPr>
        <w:pStyle w:val="opplisting"/>
      </w:pPr>
      <w:r>
        <w:t>Luksusfellen, Rubicon TV AS</w:t>
      </w:r>
    </w:p>
    <w:p w:rsidR="00000000" w:rsidRDefault="00B8461F" w:rsidP="00E876DA">
      <w:pPr>
        <w:pStyle w:val="opplisting"/>
      </w:pPr>
      <w:r>
        <w:t>Maskinentreprenørenes Forbund</w:t>
      </w:r>
    </w:p>
    <w:p w:rsidR="00000000" w:rsidRDefault="00B8461F" w:rsidP="00E876DA">
      <w:pPr>
        <w:pStyle w:val="opplisting"/>
      </w:pPr>
      <w:r>
        <w:t>Mental Helse</w:t>
      </w:r>
    </w:p>
    <w:p w:rsidR="00000000" w:rsidRDefault="00B8461F" w:rsidP="00E876DA">
      <w:pPr>
        <w:pStyle w:val="opplisting"/>
      </w:pPr>
      <w:r>
        <w:t>Norges Bondelag</w:t>
      </w:r>
    </w:p>
    <w:p w:rsidR="00000000" w:rsidRDefault="00B8461F" w:rsidP="00E876DA">
      <w:pPr>
        <w:pStyle w:val="opplisting"/>
      </w:pPr>
      <w:r>
        <w:t>Norges Eiendomsmeglerforbund</w:t>
      </w:r>
    </w:p>
    <w:p w:rsidR="00000000" w:rsidRDefault="00B8461F" w:rsidP="00E876DA">
      <w:pPr>
        <w:pStyle w:val="opplisting"/>
      </w:pPr>
      <w:r>
        <w:t>Norges Fiskarlag</w:t>
      </w:r>
    </w:p>
    <w:p w:rsidR="00000000" w:rsidRDefault="00B8461F" w:rsidP="00E876DA">
      <w:pPr>
        <w:pStyle w:val="opplisting"/>
      </w:pPr>
      <w:r>
        <w:t>Norges Huseierforbund</w:t>
      </w:r>
    </w:p>
    <w:p w:rsidR="00000000" w:rsidRDefault="00B8461F" w:rsidP="00E876DA">
      <w:pPr>
        <w:pStyle w:val="opplisting"/>
      </w:pPr>
      <w:r>
        <w:t>Norges Hytteforbund</w:t>
      </w:r>
    </w:p>
    <w:p w:rsidR="00000000" w:rsidRDefault="00B8461F" w:rsidP="00E876DA">
      <w:pPr>
        <w:pStyle w:val="opplisting"/>
      </w:pPr>
      <w:r>
        <w:t xml:space="preserve">Norges kemner- og </w:t>
      </w:r>
      <w:proofErr w:type="spellStart"/>
      <w:r>
        <w:t>kommuneøkonomers</w:t>
      </w:r>
      <w:proofErr w:type="spellEnd"/>
      <w:r>
        <w:t xml:space="preserve"> forbund</w:t>
      </w:r>
    </w:p>
    <w:p w:rsidR="00000000" w:rsidRDefault="00B8461F" w:rsidP="00E876DA">
      <w:pPr>
        <w:pStyle w:val="opplisting"/>
      </w:pPr>
      <w:r>
        <w:t>Norges Kreditorforbund</w:t>
      </w:r>
    </w:p>
    <w:p w:rsidR="00000000" w:rsidRDefault="00B8461F" w:rsidP="00E876DA">
      <w:pPr>
        <w:pStyle w:val="opplisting"/>
      </w:pPr>
      <w:r>
        <w:t>Norges Lastebileier-Forbund</w:t>
      </w:r>
    </w:p>
    <w:p w:rsidR="00000000" w:rsidRDefault="00B8461F" w:rsidP="00E876DA">
      <w:pPr>
        <w:pStyle w:val="opplisting"/>
      </w:pPr>
      <w:r>
        <w:t>Norges Parkeringsforening</w:t>
      </w:r>
    </w:p>
    <w:p w:rsidR="00000000" w:rsidRDefault="00B8461F" w:rsidP="00E876DA">
      <w:pPr>
        <w:pStyle w:val="opplisting"/>
      </w:pPr>
      <w:r>
        <w:t>Norges Politilederlag</w:t>
      </w:r>
    </w:p>
    <w:p w:rsidR="00000000" w:rsidRDefault="00B8461F" w:rsidP="00E876DA">
      <w:pPr>
        <w:pStyle w:val="opplisting"/>
      </w:pPr>
      <w:r>
        <w:lastRenderedPageBreak/>
        <w:t>Norges Rederiforbund</w:t>
      </w:r>
    </w:p>
    <w:p w:rsidR="00000000" w:rsidRDefault="00B8461F" w:rsidP="00E876DA">
      <w:pPr>
        <w:pStyle w:val="opplisting"/>
      </w:pPr>
      <w:r>
        <w:t>Norsk Bergindustri</w:t>
      </w:r>
    </w:p>
    <w:p w:rsidR="00000000" w:rsidRDefault="00B8461F" w:rsidP="00E876DA">
      <w:pPr>
        <w:pStyle w:val="opplisting"/>
      </w:pPr>
      <w:r>
        <w:t>Norsk Bonde- og</w:t>
      </w:r>
      <w:r>
        <w:t xml:space="preserve"> Småbrukarlag</w:t>
      </w:r>
    </w:p>
    <w:p w:rsidR="00000000" w:rsidRDefault="00B8461F" w:rsidP="00E876DA">
      <w:pPr>
        <w:pStyle w:val="opplisting"/>
      </w:pPr>
      <w:r>
        <w:t>Norsk Forbund for Utviklingshemmede</w:t>
      </w:r>
    </w:p>
    <w:p w:rsidR="00000000" w:rsidRDefault="00B8461F" w:rsidP="00E876DA">
      <w:pPr>
        <w:pStyle w:val="opplisting"/>
      </w:pPr>
      <w:r>
        <w:t>Norsk Industri</w:t>
      </w:r>
    </w:p>
    <w:p w:rsidR="00000000" w:rsidRDefault="00B8461F" w:rsidP="00E876DA">
      <w:pPr>
        <w:pStyle w:val="opplisting"/>
      </w:pPr>
      <w:r>
        <w:t>Norsk olje og gass</w:t>
      </w:r>
    </w:p>
    <w:p w:rsidR="00000000" w:rsidRDefault="00B8461F" w:rsidP="00E876DA">
      <w:pPr>
        <w:pStyle w:val="opplisting"/>
      </w:pPr>
      <w:r>
        <w:t>Norsk psykologforening</w:t>
      </w:r>
    </w:p>
    <w:p w:rsidR="00000000" w:rsidRDefault="00B8461F" w:rsidP="00E876DA">
      <w:pPr>
        <w:pStyle w:val="opplisting"/>
      </w:pPr>
      <w:r>
        <w:t>Norsk senter for informasjonssikring</w:t>
      </w:r>
    </w:p>
    <w:p w:rsidR="00000000" w:rsidRDefault="00B8461F" w:rsidP="00E876DA">
      <w:pPr>
        <w:pStyle w:val="opplisting"/>
      </w:pPr>
      <w:r>
        <w:t>Norske Boligbyggelags Landsforbund</w:t>
      </w:r>
    </w:p>
    <w:p w:rsidR="00000000" w:rsidRDefault="00B8461F" w:rsidP="00E876DA">
      <w:pPr>
        <w:pStyle w:val="opplisting"/>
      </w:pPr>
      <w:r>
        <w:t>Norske Finansanalytikeres Forening</w:t>
      </w:r>
    </w:p>
    <w:p w:rsidR="00000000" w:rsidRDefault="00B8461F" w:rsidP="00E876DA">
      <w:pPr>
        <w:pStyle w:val="opplisting"/>
      </w:pPr>
      <w:r>
        <w:t>Norske Kredittopplysningsbyråers forening</w:t>
      </w:r>
    </w:p>
    <w:p w:rsidR="00000000" w:rsidRDefault="00B8461F" w:rsidP="00E876DA">
      <w:pPr>
        <w:pStyle w:val="opplisting"/>
      </w:pPr>
      <w:r>
        <w:t>NTL Skatt</w:t>
      </w:r>
    </w:p>
    <w:p w:rsidR="00000000" w:rsidRDefault="00B8461F" w:rsidP="00E876DA">
      <w:pPr>
        <w:pStyle w:val="opplisting"/>
      </w:pPr>
      <w:r>
        <w:t>Næringslivets Hovedorganisasjon</w:t>
      </w:r>
    </w:p>
    <w:p w:rsidR="00000000" w:rsidRDefault="00B8461F" w:rsidP="00E876DA">
      <w:pPr>
        <w:pStyle w:val="opplisting"/>
      </w:pPr>
      <w:r>
        <w:t>Parat Nav</w:t>
      </w:r>
    </w:p>
    <w:p w:rsidR="00000000" w:rsidRDefault="00B8461F" w:rsidP="00E876DA">
      <w:pPr>
        <w:pStyle w:val="opplisting"/>
      </w:pPr>
      <w:r>
        <w:t>Parat Politiet</w:t>
      </w:r>
    </w:p>
    <w:p w:rsidR="00000000" w:rsidRDefault="00B8461F" w:rsidP="00E876DA">
      <w:pPr>
        <w:pStyle w:val="opplisting"/>
      </w:pPr>
      <w:r>
        <w:t>Parkeringsklagenemnda</w:t>
      </w:r>
    </w:p>
    <w:p w:rsidR="00000000" w:rsidRDefault="00B8461F" w:rsidP="00E876DA">
      <w:pPr>
        <w:pStyle w:val="opplisting"/>
      </w:pPr>
      <w:r>
        <w:t>Pensjonistforbundet</w:t>
      </w:r>
    </w:p>
    <w:p w:rsidR="00000000" w:rsidRDefault="00B8461F" w:rsidP="00E876DA">
      <w:pPr>
        <w:pStyle w:val="opplisting"/>
      </w:pPr>
      <w:r>
        <w:t>Pensjonskasseforeningen</w:t>
      </w:r>
    </w:p>
    <w:p w:rsidR="00000000" w:rsidRDefault="00B8461F" w:rsidP="00E876DA">
      <w:pPr>
        <w:pStyle w:val="opplisting"/>
      </w:pPr>
      <w:r>
        <w:t>Private Barnehagers Landsforbund</w:t>
      </w:r>
    </w:p>
    <w:p w:rsidR="00000000" w:rsidRDefault="00B8461F" w:rsidP="00E876DA">
      <w:pPr>
        <w:pStyle w:val="opplisting"/>
      </w:pPr>
      <w:r>
        <w:t>Profesjonelle Vergers Interesseorganisasjon</w:t>
      </w:r>
    </w:p>
    <w:p w:rsidR="00000000" w:rsidRDefault="00B8461F" w:rsidP="00E876DA">
      <w:pPr>
        <w:pStyle w:val="opplisting"/>
      </w:pPr>
      <w:r>
        <w:t>Pårørendesenteret</w:t>
      </w:r>
    </w:p>
    <w:p w:rsidR="00000000" w:rsidRDefault="00B8461F" w:rsidP="00E876DA">
      <w:pPr>
        <w:pStyle w:val="opplisting"/>
      </w:pPr>
      <w:r>
        <w:t>Redd Barna</w:t>
      </w:r>
    </w:p>
    <w:p w:rsidR="00000000" w:rsidRDefault="00B8461F" w:rsidP="00E876DA">
      <w:pPr>
        <w:pStyle w:val="opplisting"/>
      </w:pPr>
      <w:r>
        <w:t>Regnskap Norge</w:t>
      </w:r>
    </w:p>
    <w:p w:rsidR="00000000" w:rsidRDefault="00B8461F" w:rsidP="00E876DA">
      <w:pPr>
        <w:pStyle w:val="opplisting"/>
      </w:pPr>
      <w:r>
        <w:t>Rettspolitisk forening</w:t>
      </w:r>
    </w:p>
    <w:p w:rsidR="00000000" w:rsidRDefault="00B8461F" w:rsidP="00E876DA">
      <w:pPr>
        <w:pStyle w:val="opplisting"/>
      </w:pPr>
      <w:r>
        <w:t>Rusmisbrukernes Interesseorganisasjon</w:t>
      </w:r>
    </w:p>
    <w:p w:rsidR="00000000" w:rsidRDefault="00B8461F" w:rsidP="00E876DA">
      <w:pPr>
        <w:pStyle w:val="opplisting"/>
      </w:pPr>
      <w:r>
        <w:t>Røde Kors</w:t>
      </w:r>
    </w:p>
    <w:p w:rsidR="00000000" w:rsidRDefault="00B8461F" w:rsidP="00E876DA">
      <w:pPr>
        <w:pStyle w:val="opplisting"/>
      </w:pPr>
      <w:r>
        <w:t>Rådet for psykisk helse</w:t>
      </w:r>
    </w:p>
    <w:p w:rsidR="00000000" w:rsidRDefault="00B8461F" w:rsidP="00E876DA">
      <w:pPr>
        <w:pStyle w:val="opplisting"/>
      </w:pPr>
      <w:r>
        <w:t>Samarbeidsforumet av funksjonshemmedes organisasjoner</w:t>
      </w:r>
    </w:p>
    <w:p w:rsidR="00000000" w:rsidRDefault="00B8461F" w:rsidP="00E876DA">
      <w:pPr>
        <w:pStyle w:val="opplisting"/>
      </w:pPr>
      <w:r>
        <w:t>Samarbeidsutvalget for forliksråd og namsmenn</w:t>
      </w:r>
    </w:p>
    <w:p w:rsidR="00000000" w:rsidRDefault="00B8461F" w:rsidP="00E876DA">
      <w:pPr>
        <w:pStyle w:val="opplisting"/>
      </w:pPr>
      <w:r>
        <w:t>Samfunnsviterne</w:t>
      </w:r>
    </w:p>
    <w:p w:rsidR="00000000" w:rsidRDefault="00B8461F" w:rsidP="00E876DA">
      <w:pPr>
        <w:pStyle w:val="opplisting"/>
      </w:pPr>
      <w:r>
        <w:t>Samfunnsøkonomene</w:t>
      </w:r>
    </w:p>
    <w:p w:rsidR="00000000" w:rsidRDefault="00B8461F" w:rsidP="00E876DA">
      <w:pPr>
        <w:pStyle w:val="opplisting"/>
      </w:pPr>
      <w:r>
        <w:t>Senior Norge</w:t>
      </w:r>
    </w:p>
    <w:p w:rsidR="00000000" w:rsidRDefault="00B8461F" w:rsidP="00E876DA">
      <w:pPr>
        <w:pStyle w:val="opplisting"/>
      </w:pPr>
      <w:r>
        <w:t>Skatterevisorenes forening</w:t>
      </w:r>
    </w:p>
    <w:p w:rsidR="00000000" w:rsidRDefault="00B8461F" w:rsidP="00E876DA">
      <w:pPr>
        <w:pStyle w:val="opplisting"/>
      </w:pPr>
      <w:r>
        <w:t>SMB Norge</w:t>
      </w:r>
    </w:p>
    <w:p w:rsidR="00000000" w:rsidRDefault="00B8461F" w:rsidP="00E876DA">
      <w:pPr>
        <w:pStyle w:val="opplisting"/>
      </w:pPr>
      <w:r>
        <w:t>Sparebankforeningen</w:t>
      </w:r>
    </w:p>
    <w:p w:rsidR="00000000" w:rsidRDefault="00B8461F" w:rsidP="00E876DA">
      <w:pPr>
        <w:pStyle w:val="opplisting"/>
      </w:pPr>
      <w:r>
        <w:t>Spillavhengighet Norge</w:t>
      </w:r>
    </w:p>
    <w:p w:rsidR="00000000" w:rsidRDefault="00B8461F" w:rsidP="00E876DA">
      <w:pPr>
        <w:pStyle w:val="opplisting"/>
      </w:pPr>
      <w:r>
        <w:t>Standard Norge</w:t>
      </w:r>
    </w:p>
    <w:p w:rsidR="00000000" w:rsidRDefault="00B8461F" w:rsidP="00E876DA">
      <w:pPr>
        <w:pStyle w:val="opplisting"/>
      </w:pPr>
      <w:r>
        <w:t>Stiftelsen Barnas rettigheter</w:t>
      </w:r>
    </w:p>
    <w:p w:rsidR="00000000" w:rsidRDefault="00B8461F" w:rsidP="00E876DA">
      <w:pPr>
        <w:pStyle w:val="opplisting"/>
      </w:pPr>
      <w:r>
        <w:t>Stiftelsen SOR</w:t>
      </w:r>
    </w:p>
    <w:p w:rsidR="00000000" w:rsidRDefault="00B8461F" w:rsidP="00E876DA">
      <w:pPr>
        <w:pStyle w:val="opplisting"/>
      </w:pPr>
      <w:r>
        <w:t>Stiftelsen Stopp diskrimineringen</w:t>
      </w:r>
    </w:p>
    <w:p w:rsidR="00000000" w:rsidRDefault="00B8461F" w:rsidP="00E876DA">
      <w:pPr>
        <w:pStyle w:val="opplisting"/>
      </w:pPr>
      <w:r>
        <w:t>Straffedes Organisasjon i Norge</w:t>
      </w:r>
    </w:p>
    <w:p w:rsidR="00000000" w:rsidRDefault="00B8461F" w:rsidP="00E876DA">
      <w:pPr>
        <w:pStyle w:val="opplisting"/>
      </w:pPr>
      <w:proofErr w:type="spellStart"/>
      <w:r>
        <w:t>Tekna</w:t>
      </w:r>
      <w:proofErr w:type="spellEnd"/>
      <w:r>
        <w:t xml:space="preserve"> Samfunnsutviklerne</w:t>
      </w:r>
    </w:p>
    <w:p w:rsidR="00000000" w:rsidRDefault="00B8461F" w:rsidP="00E876DA">
      <w:pPr>
        <w:pStyle w:val="opplisting"/>
      </w:pPr>
      <w:proofErr w:type="spellStart"/>
      <w:r>
        <w:t>TietoEvry</w:t>
      </w:r>
      <w:proofErr w:type="spellEnd"/>
    </w:p>
    <w:p w:rsidR="00000000" w:rsidRDefault="00B8461F" w:rsidP="00E876DA">
      <w:pPr>
        <w:pStyle w:val="opplisting"/>
      </w:pPr>
      <w:proofErr w:type="spellStart"/>
      <w:r>
        <w:t>Unio</w:t>
      </w:r>
      <w:proofErr w:type="spellEnd"/>
    </w:p>
    <w:p w:rsidR="00000000" w:rsidRDefault="00B8461F" w:rsidP="00E876DA">
      <w:pPr>
        <w:pStyle w:val="opplisting"/>
      </w:pPr>
      <w:proofErr w:type="spellStart"/>
      <w:r>
        <w:t>Vegamot</w:t>
      </w:r>
      <w:proofErr w:type="spellEnd"/>
    </w:p>
    <w:p w:rsidR="00000000" w:rsidRDefault="00B8461F" w:rsidP="00E876DA">
      <w:pPr>
        <w:pStyle w:val="opplisting"/>
      </w:pPr>
      <w:proofErr w:type="spellStart"/>
      <w:r>
        <w:t>V</w:t>
      </w:r>
      <w:r>
        <w:t>egfinans</w:t>
      </w:r>
      <w:proofErr w:type="spellEnd"/>
      <w:r>
        <w:t xml:space="preserve"> AS</w:t>
      </w:r>
    </w:p>
    <w:p w:rsidR="00000000" w:rsidRDefault="00B8461F" w:rsidP="00E876DA">
      <w:pPr>
        <w:pStyle w:val="opplisting"/>
      </w:pPr>
      <w:r>
        <w:t>Verdipapirfondenes forening</w:t>
      </w:r>
    </w:p>
    <w:p w:rsidR="00000000" w:rsidRDefault="00B8461F" w:rsidP="00E876DA">
      <w:pPr>
        <w:pStyle w:val="opplisting"/>
      </w:pPr>
      <w:r>
        <w:t>Verdipapirforetakenes Forbund</w:t>
      </w:r>
    </w:p>
    <w:p w:rsidR="00000000" w:rsidRDefault="00B8461F" w:rsidP="00E876DA">
      <w:pPr>
        <w:pStyle w:val="opplisting"/>
      </w:pPr>
      <w:r>
        <w:t>Verdipapirsentralen ASA</w:t>
      </w:r>
    </w:p>
    <w:p w:rsidR="00000000" w:rsidRDefault="00B8461F" w:rsidP="00E876DA">
      <w:pPr>
        <w:pStyle w:val="opplisting"/>
      </w:pPr>
      <w:r>
        <w:t>Virke Inkasso</w:t>
      </w:r>
    </w:p>
    <w:p w:rsidR="00000000" w:rsidRDefault="00B8461F" w:rsidP="00E876DA">
      <w:pPr>
        <w:pStyle w:val="opplisting"/>
      </w:pPr>
      <w:r>
        <w:lastRenderedPageBreak/>
        <w:t>Voksne for barn</w:t>
      </w:r>
    </w:p>
    <w:p w:rsidR="00000000" w:rsidRDefault="00B8461F" w:rsidP="00E876DA">
      <w:pPr>
        <w:pStyle w:val="opplisting"/>
      </w:pPr>
      <w:r>
        <w:t>Yrkesorganisasjonenes Sentralforbund</w:t>
      </w:r>
    </w:p>
    <w:p w:rsidR="00000000" w:rsidRDefault="00B8461F" w:rsidP="00E876DA">
      <w:pPr>
        <w:pStyle w:val="opplisting"/>
      </w:pPr>
      <w:proofErr w:type="spellStart"/>
      <w:r>
        <w:t>Wayback</w:t>
      </w:r>
      <w:proofErr w:type="spellEnd"/>
    </w:p>
    <w:p w:rsidR="00000000" w:rsidRDefault="00B8461F" w:rsidP="00E876DA"/>
    <w:p w:rsidR="00000000" w:rsidRDefault="00B8461F" w:rsidP="00E876DA">
      <w:pPr>
        <w:pStyle w:val="opplisting"/>
      </w:pPr>
      <w:r>
        <w:t>Handelshøyskolen BI</w:t>
      </w:r>
    </w:p>
    <w:p w:rsidR="00000000" w:rsidRDefault="00B8461F" w:rsidP="00E876DA">
      <w:pPr>
        <w:pStyle w:val="opplisting"/>
      </w:pPr>
      <w:r>
        <w:t>Norges Handelshøyskole</w:t>
      </w:r>
    </w:p>
    <w:p w:rsidR="00000000" w:rsidRDefault="00B8461F" w:rsidP="00E876DA">
      <w:pPr>
        <w:pStyle w:val="opplisting"/>
      </w:pPr>
      <w:r>
        <w:t>Universitetet i Bergen, Det juridiske fakultet</w:t>
      </w:r>
    </w:p>
    <w:p w:rsidR="00000000" w:rsidRDefault="00B8461F" w:rsidP="00E876DA">
      <w:pPr>
        <w:pStyle w:val="opplisting"/>
      </w:pPr>
      <w:r>
        <w:t>Universitetet i Oslo, Det juridiske fakultet</w:t>
      </w:r>
    </w:p>
    <w:p w:rsidR="00000000" w:rsidRDefault="00B8461F" w:rsidP="00E876DA">
      <w:pPr>
        <w:pStyle w:val="opplisting"/>
      </w:pPr>
      <w:r>
        <w:t>Universitetet i Tromsø, Det juridiske fakultet</w:t>
      </w:r>
    </w:p>
    <w:p w:rsidR="00000000" w:rsidRDefault="00B8461F" w:rsidP="00E876DA">
      <w:r>
        <w:t>Følgende høringsinstanser har gitt realitetsmerknader til høringen:</w:t>
      </w:r>
    </w:p>
    <w:p w:rsidR="00000000" w:rsidRDefault="00B8461F" w:rsidP="00E876DA">
      <w:pPr>
        <w:pStyle w:val="opplisting"/>
      </w:pPr>
      <w:r>
        <w:t>Kommunal- og moderniseringsdepartementet</w:t>
      </w:r>
    </w:p>
    <w:p w:rsidR="00000000" w:rsidRDefault="00B8461F" w:rsidP="00E876DA"/>
    <w:p w:rsidR="00000000" w:rsidRDefault="00B8461F" w:rsidP="00E876DA">
      <w:pPr>
        <w:pStyle w:val="opplisting"/>
      </w:pPr>
      <w:r>
        <w:t>Brønnøy</w:t>
      </w:r>
      <w:r>
        <w:t>sundregistrene</w:t>
      </w:r>
    </w:p>
    <w:p w:rsidR="00000000" w:rsidRDefault="00B8461F" w:rsidP="00E876DA">
      <w:pPr>
        <w:pStyle w:val="opplisting"/>
      </w:pPr>
      <w:r>
        <w:t>Domstoladministrasjonen</w:t>
      </w:r>
    </w:p>
    <w:p w:rsidR="00000000" w:rsidRDefault="00B8461F" w:rsidP="00E876DA">
      <w:pPr>
        <w:pStyle w:val="opplisting"/>
      </w:pPr>
      <w:r>
        <w:t>Finanstilsynet</w:t>
      </w:r>
    </w:p>
    <w:p w:rsidR="00000000" w:rsidRDefault="00B8461F" w:rsidP="00E876DA">
      <w:pPr>
        <w:pStyle w:val="opplisting"/>
      </w:pPr>
      <w:r>
        <w:t>Forbrukerrådet</w:t>
      </w:r>
    </w:p>
    <w:p w:rsidR="00000000" w:rsidRDefault="00B8461F" w:rsidP="00E876DA">
      <w:pPr>
        <w:pStyle w:val="opplisting"/>
      </w:pPr>
      <w:r>
        <w:t>Forbrukertilsynet</w:t>
      </w:r>
    </w:p>
    <w:p w:rsidR="00000000" w:rsidRDefault="00B8461F" w:rsidP="00E876DA">
      <w:pPr>
        <w:pStyle w:val="opplisting"/>
      </w:pPr>
      <w:r>
        <w:t>Fylkesmannen i Oslo og Viken</w:t>
      </w:r>
    </w:p>
    <w:p w:rsidR="00000000" w:rsidRDefault="00B8461F" w:rsidP="00E876DA">
      <w:pPr>
        <w:pStyle w:val="opplisting"/>
      </w:pPr>
      <w:r>
        <w:t>Konkursrådet</w:t>
      </w:r>
    </w:p>
    <w:p w:rsidR="00000000" w:rsidRDefault="00B8461F" w:rsidP="00E876DA">
      <w:pPr>
        <w:pStyle w:val="opplisting"/>
      </w:pPr>
      <w:r>
        <w:t>Namsfogden i Oslo, Asker og Bærum</w:t>
      </w:r>
    </w:p>
    <w:p w:rsidR="00000000" w:rsidRDefault="00B8461F" w:rsidP="00E876DA">
      <w:pPr>
        <w:pStyle w:val="opplisting"/>
      </w:pPr>
      <w:r>
        <w:t>Oslo byfogdembete</w:t>
      </w:r>
    </w:p>
    <w:p w:rsidR="00000000" w:rsidRDefault="00B8461F" w:rsidP="00E876DA">
      <w:pPr>
        <w:pStyle w:val="opplisting"/>
      </w:pPr>
      <w:r>
        <w:t>Oslo politidistrikt</w:t>
      </w:r>
    </w:p>
    <w:p w:rsidR="00000000" w:rsidRDefault="00B8461F" w:rsidP="00E876DA">
      <w:pPr>
        <w:pStyle w:val="opplisting"/>
      </w:pPr>
      <w:r>
        <w:t>Politidirektoratet</w:t>
      </w:r>
    </w:p>
    <w:p w:rsidR="00000000" w:rsidRDefault="00B8461F" w:rsidP="00E876DA">
      <w:pPr>
        <w:pStyle w:val="opplisting"/>
      </w:pPr>
      <w:r>
        <w:t>Vest politidistrikt</w:t>
      </w:r>
    </w:p>
    <w:p w:rsidR="00000000" w:rsidRDefault="00B8461F" w:rsidP="00E876DA">
      <w:pPr>
        <w:pStyle w:val="opplisting"/>
      </w:pPr>
      <w:proofErr w:type="gramStart"/>
      <w:r>
        <w:t>Øst politidistri</w:t>
      </w:r>
      <w:r>
        <w:t>kt</w:t>
      </w:r>
      <w:proofErr w:type="gramEnd"/>
    </w:p>
    <w:p w:rsidR="00000000" w:rsidRDefault="00B8461F" w:rsidP="00E876DA"/>
    <w:p w:rsidR="00000000" w:rsidRDefault="00B8461F" w:rsidP="00E876DA">
      <w:pPr>
        <w:pStyle w:val="opplisting"/>
      </w:pPr>
      <w:r>
        <w:t>Kemneren i Drammen</w:t>
      </w:r>
    </w:p>
    <w:p w:rsidR="00000000" w:rsidRDefault="00B8461F" w:rsidP="00E876DA">
      <w:pPr>
        <w:pStyle w:val="opplisting"/>
      </w:pPr>
      <w:r>
        <w:t>Narvik kommune</w:t>
      </w:r>
    </w:p>
    <w:p w:rsidR="00000000" w:rsidRDefault="00B8461F" w:rsidP="00E876DA">
      <w:pPr>
        <w:pStyle w:val="opplisting"/>
      </w:pPr>
      <w:r>
        <w:t>Nærøysund kommune</w:t>
      </w:r>
    </w:p>
    <w:p w:rsidR="00000000" w:rsidRDefault="00B8461F" w:rsidP="00E876DA">
      <w:pPr>
        <w:pStyle w:val="opplisting"/>
      </w:pPr>
      <w:r>
        <w:t>Oslo kemnerkontor</w:t>
      </w:r>
    </w:p>
    <w:p w:rsidR="00000000" w:rsidRDefault="00B8461F" w:rsidP="00E876DA">
      <w:pPr>
        <w:pStyle w:val="opplisting"/>
      </w:pPr>
      <w:r>
        <w:t>Ringebu kommune</w:t>
      </w:r>
    </w:p>
    <w:p w:rsidR="00000000" w:rsidRDefault="00B8461F" w:rsidP="00E876DA">
      <w:pPr>
        <w:pStyle w:val="opplisting"/>
      </w:pPr>
      <w:r>
        <w:t>Stavanger kommune</w:t>
      </w:r>
    </w:p>
    <w:p w:rsidR="00000000" w:rsidRDefault="00B8461F" w:rsidP="00E876DA">
      <w:pPr>
        <w:pStyle w:val="opplisting"/>
      </w:pPr>
      <w:r>
        <w:t>Sør-Fron kommune</w:t>
      </w:r>
    </w:p>
    <w:p w:rsidR="00000000" w:rsidRDefault="00B8461F" w:rsidP="00E876DA">
      <w:pPr>
        <w:pStyle w:val="opplisting"/>
      </w:pPr>
      <w:r>
        <w:t>Trysil kommune</w:t>
      </w:r>
    </w:p>
    <w:p w:rsidR="00000000" w:rsidRDefault="00B8461F" w:rsidP="00E876DA"/>
    <w:p w:rsidR="00000000" w:rsidRPr="00E876DA" w:rsidRDefault="00B8461F" w:rsidP="00E876DA">
      <w:pPr>
        <w:pStyle w:val="opplisting"/>
        <w:rPr>
          <w:lang w:val="en-GB"/>
        </w:rPr>
      </w:pPr>
      <w:r w:rsidRPr="00E876DA">
        <w:rPr>
          <w:lang w:val="en-GB"/>
        </w:rPr>
        <w:t>Abelia</w:t>
      </w:r>
    </w:p>
    <w:p w:rsidR="00000000" w:rsidRPr="00E876DA" w:rsidRDefault="00B8461F" w:rsidP="00E876DA">
      <w:pPr>
        <w:pStyle w:val="opplisting"/>
        <w:rPr>
          <w:lang w:val="en-GB"/>
        </w:rPr>
      </w:pPr>
      <w:proofErr w:type="spellStart"/>
      <w:proofErr w:type="gramStart"/>
      <w:r w:rsidRPr="00E876DA">
        <w:rPr>
          <w:lang w:val="en-GB"/>
        </w:rPr>
        <w:t>Action:reaction</w:t>
      </w:r>
      <w:proofErr w:type="spellEnd"/>
      <w:proofErr w:type="gramEnd"/>
    </w:p>
    <w:p w:rsidR="00000000" w:rsidRPr="00E876DA" w:rsidRDefault="00B8461F" w:rsidP="00E876DA">
      <w:pPr>
        <w:pStyle w:val="opplisting"/>
        <w:rPr>
          <w:lang w:val="en-GB"/>
        </w:rPr>
      </w:pPr>
      <w:proofErr w:type="spellStart"/>
      <w:r w:rsidRPr="00E876DA">
        <w:rPr>
          <w:lang w:val="en-GB"/>
        </w:rPr>
        <w:t>Advokatforeningen</w:t>
      </w:r>
      <w:proofErr w:type="spellEnd"/>
    </w:p>
    <w:p w:rsidR="00000000" w:rsidRPr="00E876DA" w:rsidRDefault="00B8461F" w:rsidP="00E876DA">
      <w:pPr>
        <w:pStyle w:val="opplisting"/>
        <w:rPr>
          <w:lang w:val="en-GB"/>
        </w:rPr>
      </w:pPr>
      <w:r w:rsidRPr="00E876DA">
        <w:rPr>
          <w:lang w:val="en-GB"/>
        </w:rPr>
        <w:t xml:space="preserve">Astrid </w:t>
      </w:r>
      <w:proofErr w:type="spellStart"/>
      <w:r w:rsidRPr="00E876DA">
        <w:rPr>
          <w:lang w:val="en-GB"/>
        </w:rPr>
        <w:t>Grendstad</w:t>
      </w:r>
      <w:proofErr w:type="spellEnd"/>
    </w:p>
    <w:p w:rsidR="00000000" w:rsidRPr="00E876DA" w:rsidRDefault="00B8461F" w:rsidP="00E876DA">
      <w:pPr>
        <w:pStyle w:val="opplisting"/>
        <w:rPr>
          <w:lang w:val="en-GB"/>
        </w:rPr>
      </w:pPr>
      <w:r w:rsidRPr="00E876DA">
        <w:rPr>
          <w:lang w:val="en-GB"/>
        </w:rPr>
        <w:t xml:space="preserve">Bjørn </w:t>
      </w:r>
      <w:proofErr w:type="spellStart"/>
      <w:r w:rsidRPr="00E876DA">
        <w:rPr>
          <w:lang w:val="en-GB"/>
        </w:rPr>
        <w:t>Ødegaard</w:t>
      </w:r>
      <w:proofErr w:type="spellEnd"/>
    </w:p>
    <w:p w:rsidR="00000000" w:rsidRPr="00E876DA" w:rsidRDefault="00B8461F" w:rsidP="00E876DA">
      <w:pPr>
        <w:pStyle w:val="opplisting"/>
        <w:rPr>
          <w:lang w:val="en-GB"/>
        </w:rPr>
      </w:pPr>
      <w:r w:rsidRPr="00E876DA">
        <w:rPr>
          <w:lang w:val="en-GB"/>
        </w:rPr>
        <w:t>CONCENT AS</w:t>
      </w:r>
    </w:p>
    <w:p w:rsidR="00000000" w:rsidRPr="00E876DA" w:rsidRDefault="00B8461F" w:rsidP="00E876DA">
      <w:pPr>
        <w:pStyle w:val="opplisting"/>
        <w:rPr>
          <w:lang w:val="en-GB"/>
        </w:rPr>
      </w:pPr>
      <w:proofErr w:type="spellStart"/>
      <w:r w:rsidRPr="00E876DA">
        <w:rPr>
          <w:lang w:val="en-GB"/>
        </w:rPr>
        <w:t>Contando</w:t>
      </w:r>
      <w:proofErr w:type="spellEnd"/>
      <w:r w:rsidRPr="00E876DA">
        <w:rPr>
          <w:lang w:val="en-GB"/>
        </w:rPr>
        <w:t xml:space="preserve"> AS</w:t>
      </w:r>
    </w:p>
    <w:p w:rsidR="00000000" w:rsidRPr="00E876DA" w:rsidRDefault="00B8461F" w:rsidP="00E876DA">
      <w:pPr>
        <w:pStyle w:val="opplisting"/>
        <w:rPr>
          <w:lang w:val="en-GB"/>
        </w:rPr>
      </w:pPr>
      <w:r w:rsidRPr="00E876DA">
        <w:rPr>
          <w:lang w:val="en-GB"/>
        </w:rPr>
        <w:t>DHL Express (Norway) AS</w:t>
      </w:r>
    </w:p>
    <w:p w:rsidR="00000000" w:rsidRDefault="00B8461F" w:rsidP="00E876DA">
      <w:pPr>
        <w:pStyle w:val="opplisting"/>
      </w:pPr>
      <w:r>
        <w:t>Debitor AS</w:t>
      </w:r>
    </w:p>
    <w:p w:rsidR="00000000" w:rsidRDefault="00B8461F" w:rsidP="00E876DA">
      <w:pPr>
        <w:pStyle w:val="opplisting"/>
      </w:pPr>
      <w:r>
        <w:t>Den norske Revisorforening</w:t>
      </w:r>
    </w:p>
    <w:p w:rsidR="00000000" w:rsidRDefault="00B8461F" w:rsidP="00E876DA">
      <w:pPr>
        <w:pStyle w:val="opplisting"/>
      </w:pPr>
      <w:proofErr w:type="spellStart"/>
      <w:r>
        <w:t>Elvia</w:t>
      </w:r>
      <w:proofErr w:type="spellEnd"/>
      <w:r>
        <w:t xml:space="preserve"> AS</w:t>
      </w:r>
    </w:p>
    <w:p w:rsidR="00000000" w:rsidRDefault="00B8461F" w:rsidP="00E876DA">
      <w:pPr>
        <w:pStyle w:val="opplisting"/>
      </w:pPr>
      <w:r>
        <w:t>Energi Norge</w:t>
      </w:r>
    </w:p>
    <w:p w:rsidR="00000000" w:rsidRDefault="00B8461F" w:rsidP="00E876DA">
      <w:pPr>
        <w:pStyle w:val="opplisting"/>
      </w:pPr>
      <w:r>
        <w:t>Fair Group AS</w:t>
      </w:r>
    </w:p>
    <w:p w:rsidR="00000000" w:rsidRDefault="00B8461F" w:rsidP="00E876DA">
      <w:pPr>
        <w:pStyle w:val="opplisting"/>
      </w:pPr>
      <w:r>
        <w:t>Fattignettverket Norge</w:t>
      </w:r>
    </w:p>
    <w:p w:rsidR="00000000" w:rsidRDefault="00B8461F" w:rsidP="00E876DA">
      <w:pPr>
        <w:pStyle w:val="opplisting"/>
      </w:pPr>
      <w:r>
        <w:lastRenderedPageBreak/>
        <w:t>Finans Norge</w:t>
      </w:r>
    </w:p>
    <w:p w:rsidR="00000000" w:rsidRDefault="00B8461F" w:rsidP="00E876DA">
      <w:pPr>
        <w:pStyle w:val="opplisting"/>
      </w:pPr>
      <w:r>
        <w:t>Finansforbundet</w:t>
      </w:r>
    </w:p>
    <w:p w:rsidR="00000000" w:rsidRDefault="00B8461F" w:rsidP="00E876DA">
      <w:pPr>
        <w:pStyle w:val="opplisting"/>
      </w:pPr>
      <w:r>
        <w:t>Finansieringsselskapenes Forening</w:t>
      </w:r>
    </w:p>
    <w:p w:rsidR="00000000" w:rsidRDefault="00B8461F" w:rsidP="00E876DA">
      <w:pPr>
        <w:pStyle w:val="opplisting"/>
      </w:pPr>
      <w:r>
        <w:t>Fjellinjen AS</w:t>
      </w:r>
    </w:p>
    <w:p w:rsidR="00000000" w:rsidRPr="00E876DA" w:rsidRDefault="00B8461F" w:rsidP="00E876DA">
      <w:pPr>
        <w:pStyle w:val="opplisting"/>
        <w:rPr>
          <w:lang w:val="en-GB"/>
        </w:rPr>
      </w:pPr>
      <w:proofErr w:type="spellStart"/>
      <w:r w:rsidRPr="00E876DA">
        <w:rPr>
          <w:lang w:val="en-GB"/>
        </w:rPr>
        <w:t>Garmann</w:t>
      </w:r>
      <w:proofErr w:type="spellEnd"/>
      <w:r w:rsidRPr="00E876DA">
        <w:rPr>
          <w:lang w:val="en-GB"/>
        </w:rPr>
        <w:t xml:space="preserve">, Mitchell &amp; Co </w:t>
      </w:r>
      <w:proofErr w:type="spellStart"/>
      <w:r w:rsidRPr="00E876DA">
        <w:rPr>
          <w:lang w:val="en-GB"/>
        </w:rPr>
        <w:t>Advokatfirma</w:t>
      </w:r>
      <w:proofErr w:type="spellEnd"/>
    </w:p>
    <w:p w:rsidR="00000000" w:rsidRPr="00E876DA" w:rsidRDefault="00B8461F" w:rsidP="00E876DA">
      <w:pPr>
        <w:pStyle w:val="opplisting"/>
        <w:rPr>
          <w:lang w:val="en-GB"/>
        </w:rPr>
      </w:pPr>
      <w:proofErr w:type="spellStart"/>
      <w:r w:rsidRPr="00E876DA">
        <w:rPr>
          <w:lang w:val="en-GB"/>
        </w:rPr>
        <w:t>Geir</w:t>
      </w:r>
      <w:proofErr w:type="spellEnd"/>
      <w:r w:rsidRPr="00E876DA">
        <w:rPr>
          <w:lang w:val="en-GB"/>
        </w:rPr>
        <w:t xml:space="preserve"> </w:t>
      </w:r>
      <w:proofErr w:type="spellStart"/>
      <w:r w:rsidRPr="00E876DA">
        <w:rPr>
          <w:lang w:val="en-GB"/>
        </w:rPr>
        <w:t>Jøsendal</w:t>
      </w:r>
      <w:proofErr w:type="spellEnd"/>
    </w:p>
    <w:p w:rsidR="00000000" w:rsidRDefault="00B8461F" w:rsidP="00E876DA">
      <w:pPr>
        <w:pStyle w:val="opplisting"/>
      </w:pPr>
      <w:r>
        <w:t>Gjeldsof</w:t>
      </w:r>
      <w:r>
        <w:t>fer-Alliansen</w:t>
      </w:r>
    </w:p>
    <w:p w:rsidR="00000000" w:rsidRDefault="00B8461F" w:rsidP="00E876DA">
      <w:pPr>
        <w:pStyle w:val="opplisting"/>
      </w:pPr>
      <w:r>
        <w:t>Gode Betalere</w:t>
      </w:r>
    </w:p>
    <w:p w:rsidR="00000000" w:rsidRDefault="00B8461F" w:rsidP="00E876DA">
      <w:pPr>
        <w:pStyle w:val="opplisting"/>
      </w:pPr>
      <w:r>
        <w:t>Hovedorganisasjonen Virke</w:t>
      </w:r>
    </w:p>
    <w:p w:rsidR="00000000" w:rsidRDefault="00B8461F" w:rsidP="00E876DA">
      <w:pPr>
        <w:pStyle w:val="opplisting"/>
      </w:pPr>
      <w:proofErr w:type="spellStart"/>
      <w:r>
        <w:t>Jussbuss</w:t>
      </w:r>
      <w:proofErr w:type="spellEnd"/>
    </w:p>
    <w:p w:rsidR="00000000" w:rsidRDefault="00B8461F" w:rsidP="00E876DA">
      <w:pPr>
        <w:pStyle w:val="opplisting"/>
      </w:pPr>
      <w:r>
        <w:t>Kapitalkontroll AS</w:t>
      </w:r>
    </w:p>
    <w:p w:rsidR="00000000" w:rsidRDefault="00B8461F" w:rsidP="00E876DA">
      <w:pPr>
        <w:pStyle w:val="opplisting"/>
      </w:pPr>
      <w:proofErr w:type="spellStart"/>
      <w:r>
        <w:t>Kredin</w:t>
      </w:r>
      <w:proofErr w:type="spellEnd"/>
      <w:r>
        <w:t xml:space="preserve"> AS</w:t>
      </w:r>
    </w:p>
    <w:p w:rsidR="00000000" w:rsidRDefault="00B8461F" w:rsidP="00E876DA">
      <w:pPr>
        <w:pStyle w:val="opplisting"/>
      </w:pPr>
      <w:r>
        <w:t xml:space="preserve">Kristin </w:t>
      </w:r>
      <w:proofErr w:type="spellStart"/>
      <w:r>
        <w:t>Brendnes</w:t>
      </w:r>
      <w:proofErr w:type="spellEnd"/>
    </w:p>
    <w:p w:rsidR="00000000" w:rsidRDefault="00B8461F" w:rsidP="00E876DA">
      <w:pPr>
        <w:pStyle w:val="opplisting"/>
      </w:pPr>
      <w:r>
        <w:t>KS</w:t>
      </w:r>
    </w:p>
    <w:p w:rsidR="00000000" w:rsidRDefault="00B8461F" w:rsidP="00E876DA">
      <w:pPr>
        <w:pStyle w:val="opplisting"/>
      </w:pPr>
      <w:r>
        <w:t>Landsorganisasjonen i Norge</w:t>
      </w:r>
    </w:p>
    <w:p w:rsidR="00000000" w:rsidRDefault="00B8461F" w:rsidP="00E876DA">
      <w:pPr>
        <w:pStyle w:val="opplisting"/>
      </w:pPr>
      <w:proofErr w:type="spellStart"/>
      <w:r>
        <w:t>Melin</w:t>
      </w:r>
      <w:proofErr w:type="spellEnd"/>
      <w:r>
        <w:t xml:space="preserve"> Group AS</w:t>
      </w:r>
    </w:p>
    <w:p w:rsidR="00000000" w:rsidRDefault="00B8461F" w:rsidP="00E876DA">
      <w:pPr>
        <w:pStyle w:val="opplisting"/>
      </w:pPr>
      <w:r>
        <w:t>Namdalskysten Næringsforening</w:t>
      </w:r>
    </w:p>
    <w:p w:rsidR="00000000" w:rsidRDefault="00B8461F" w:rsidP="00E876DA">
      <w:pPr>
        <w:pStyle w:val="opplisting"/>
      </w:pPr>
      <w:r>
        <w:t>Norges Eiendomsmeglerforbund</w:t>
      </w:r>
    </w:p>
    <w:p w:rsidR="00000000" w:rsidRDefault="00B8461F" w:rsidP="00E876DA">
      <w:pPr>
        <w:pStyle w:val="opplisting"/>
      </w:pPr>
      <w:r>
        <w:t xml:space="preserve">Norges kemner- og </w:t>
      </w:r>
      <w:proofErr w:type="spellStart"/>
      <w:r>
        <w:t>kommuneøkonomers</w:t>
      </w:r>
      <w:proofErr w:type="spellEnd"/>
      <w:r>
        <w:t xml:space="preserve"> forbund</w:t>
      </w:r>
    </w:p>
    <w:p w:rsidR="00000000" w:rsidRDefault="00B8461F" w:rsidP="00E876DA">
      <w:pPr>
        <w:pStyle w:val="opplisting"/>
      </w:pPr>
      <w:r>
        <w:t>Norges Parkeringsforening (</w:t>
      </w:r>
      <w:proofErr w:type="spellStart"/>
      <w:r>
        <w:t>Norpark</w:t>
      </w:r>
      <w:proofErr w:type="spellEnd"/>
      <w:r>
        <w:t>)</w:t>
      </w:r>
    </w:p>
    <w:p w:rsidR="00000000" w:rsidRDefault="00B8461F" w:rsidP="00E876DA">
      <w:pPr>
        <w:pStyle w:val="opplisting"/>
      </w:pPr>
      <w:r>
        <w:t>Norges politilederlag i Parat</w:t>
      </w:r>
    </w:p>
    <w:p w:rsidR="00000000" w:rsidRDefault="00B8461F" w:rsidP="00E876DA">
      <w:pPr>
        <w:pStyle w:val="opplisting"/>
      </w:pPr>
      <w:r>
        <w:t>Norsk Egeninkassoforening</w:t>
      </w:r>
    </w:p>
    <w:p w:rsidR="00000000" w:rsidRDefault="00B8461F" w:rsidP="00E876DA">
      <w:pPr>
        <w:pStyle w:val="opplisting"/>
      </w:pPr>
      <w:r>
        <w:t>Næringsalliansen for Trøndelag</w:t>
      </w:r>
    </w:p>
    <w:p w:rsidR="00000000" w:rsidRDefault="00B8461F" w:rsidP="00E876DA">
      <w:pPr>
        <w:pStyle w:val="opplisting"/>
      </w:pPr>
      <w:r>
        <w:t>Næringslivets Hovedorganisasjon</w:t>
      </w:r>
    </w:p>
    <w:p w:rsidR="00000000" w:rsidRDefault="00B8461F" w:rsidP="00E876DA">
      <w:pPr>
        <w:pStyle w:val="opplisting"/>
      </w:pPr>
      <w:r>
        <w:t>Pensjonistforbundet og SAKO-organisasjonene (Fagforbundets</w:t>
      </w:r>
      <w:r>
        <w:t xml:space="preserve"> sentrale Pensjonistutvalg, LO Stats Pensjonistutvalg, Jernbanepensjonistenes Forbund, Politiets Pensjonistforbund, Postens Pensjonistforbund, Telepensjonistenes Landsforbund og Statens Vegvesens Pensjonistforbund)</w:t>
      </w:r>
    </w:p>
    <w:p w:rsidR="00000000" w:rsidRDefault="00B8461F" w:rsidP="00E876DA">
      <w:pPr>
        <w:pStyle w:val="opplisting"/>
      </w:pPr>
      <w:r>
        <w:t>Pensjonistpartiet</w:t>
      </w:r>
    </w:p>
    <w:p w:rsidR="00000000" w:rsidRDefault="00B8461F" w:rsidP="00E876DA">
      <w:pPr>
        <w:pStyle w:val="opplisting"/>
      </w:pPr>
      <w:r>
        <w:t>Per Aage Pleym Christen</w:t>
      </w:r>
      <w:r>
        <w:t>sen</w:t>
      </w:r>
    </w:p>
    <w:p w:rsidR="00000000" w:rsidRDefault="00B8461F" w:rsidP="00E876DA">
      <w:pPr>
        <w:pStyle w:val="opplisting"/>
      </w:pPr>
      <w:r>
        <w:t>Posten Norge AS</w:t>
      </w:r>
    </w:p>
    <w:p w:rsidR="00000000" w:rsidRDefault="00B8461F" w:rsidP="00E876DA">
      <w:pPr>
        <w:pStyle w:val="opplisting"/>
      </w:pPr>
      <w:r>
        <w:t>Profesjonelle Vergers Interesseorganisasjon</w:t>
      </w:r>
    </w:p>
    <w:p w:rsidR="00000000" w:rsidRDefault="00B8461F" w:rsidP="00E876DA">
      <w:pPr>
        <w:pStyle w:val="opplisting"/>
      </w:pPr>
      <w:r>
        <w:t xml:space="preserve">Roland </w:t>
      </w:r>
      <w:proofErr w:type="spellStart"/>
      <w:r>
        <w:t>Mortvedt</w:t>
      </w:r>
      <w:proofErr w:type="spellEnd"/>
    </w:p>
    <w:p w:rsidR="00000000" w:rsidRDefault="00B8461F" w:rsidP="00E876DA">
      <w:pPr>
        <w:pStyle w:val="opplisting"/>
      </w:pPr>
      <w:r>
        <w:t>Roy Michelsen</w:t>
      </w:r>
    </w:p>
    <w:p w:rsidR="00000000" w:rsidRDefault="00B8461F" w:rsidP="00E876DA">
      <w:pPr>
        <w:pStyle w:val="opplisting"/>
      </w:pPr>
      <w:r>
        <w:t xml:space="preserve">Seppo </w:t>
      </w:r>
      <w:proofErr w:type="spellStart"/>
      <w:r>
        <w:t>Olavi</w:t>
      </w:r>
      <w:proofErr w:type="spellEnd"/>
      <w:r>
        <w:t xml:space="preserve"> </w:t>
      </w:r>
      <w:proofErr w:type="spellStart"/>
      <w:r>
        <w:t>Jestilä</w:t>
      </w:r>
      <w:proofErr w:type="spellEnd"/>
    </w:p>
    <w:p w:rsidR="00000000" w:rsidRDefault="00B8461F" w:rsidP="00E876DA">
      <w:pPr>
        <w:pStyle w:val="opplisting"/>
      </w:pPr>
      <w:proofErr w:type="spellStart"/>
      <w:r>
        <w:t>Solvencia</w:t>
      </w:r>
      <w:proofErr w:type="spellEnd"/>
      <w:r>
        <w:t xml:space="preserve"> AS</w:t>
      </w:r>
    </w:p>
    <w:p w:rsidR="00000000" w:rsidRDefault="00B8461F" w:rsidP="00E876DA">
      <w:pPr>
        <w:pStyle w:val="opplisting"/>
      </w:pPr>
      <w:r>
        <w:t>Toril Julie Schrøder</w:t>
      </w:r>
    </w:p>
    <w:p w:rsidR="00000000" w:rsidRDefault="00B8461F" w:rsidP="00E876DA">
      <w:pPr>
        <w:pStyle w:val="opplisting"/>
      </w:pPr>
      <w:r>
        <w:t>Yrkesorganisasjonenes Sentralforbund</w:t>
      </w:r>
    </w:p>
    <w:p w:rsidR="00000000" w:rsidRDefault="00B8461F" w:rsidP="00E876DA">
      <w:pPr>
        <w:pStyle w:val="opplisting"/>
      </w:pPr>
      <w:r>
        <w:t>Fem privatpersoner som ikke har oppgitt navn</w:t>
      </w:r>
    </w:p>
    <w:p w:rsidR="00000000" w:rsidRDefault="00B8461F" w:rsidP="00E876DA">
      <w:r>
        <w:t xml:space="preserve">Følgende høringsinstanser </w:t>
      </w:r>
      <w:r>
        <w:t>har uttalt at de ikke har merknader:</w:t>
      </w:r>
    </w:p>
    <w:p w:rsidR="00000000" w:rsidRDefault="00B8461F" w:rsidP="00E876DA">
      <w:pPr>
        <w:pStyle w:val="opplisting"/>
      </w:pPr>
      <w:r>
        <w:t>Finansdepartementet</w:t>
      </w:r>
    </w:p>
    <w:p w:rsidR="00000000" w:rsidRDefault="00B8461F" w:rsidP="00E876DA">
      <w:pPr>
        <w:pStyle w:val="opplisting"/>
      </w:pPr>
      <w:r>
        <w:t>Forsvarsdepartementet</w:t>
      </w:r>
    </w:p>
    <w:p w:rsidR="00000000" w:rsidRDefault="00B8461F" w:rsidP="00E876DA">
      <w:pPr>
        <w:pStyle w:val="opplisting"/>
      </w:pPr>
      <w:r>
        <w:t>Helse- og omsorgsdepartementet</w:t>
      </w:r>
    </w:p>
    <w:p w:rsidR="00000000" w:rsidRDefault="00B8461F" w:rsidP="00E876DA">
      <w:pPr>
        <w:pStyle w:val="opplisting"/>
      </w:pPr>
      <w:r>
        <w:t>Landbruks- og matdepartementet</w:t>
      </w:r>
    </w:p>
    <w:p w:rsidR="00000000" w:rsidRDefault="00B8461F" w:rsidP="00E876DA">
      <w:pPr>
        <w:pStyle w:val="opplisting"/>
      </w:pPr>
      <w:r>
        <w:t>Samferdselsdepartementet</w:t>
      </w:r>
    </w:p>
    <w:p w:rsidR="00000000" w:rsidRDefault="00B8461F" w:rsidP="00E876DA">
      <w:pPr>
        <w:pStyle w:val="opplisting"/>
      </w:pPr>
      <w:r>
        <w:t>Utenriksdepartementet</w:t>
      </w:r>
    </w:p>
    <w:p w:rsidR="00000000" w:rsidRDefault="00B8461F" w:rsidP="00E876DA"/>
    <w:p w:rsidR="00000000" w:rsidRDefault="00B8461F" w:rsidP="00E876DA">
      <w:pPr>
        <w:pStyle w:val="opplisting"/>
      </w:pPr>
      <w:r>
        <w:t>Skattedirektoratet</w:t>
      </w:r>
    </w:p>
    <w:p w:rsidR="00000000" w:rsidRDefault="00B8461F" w:rsidP="00E876DA">
      <w:pPr>
        <w:pStyle w:val="opplisting"/>
      </w:pPr>
      <w:r>
        <w:t>Statens kartverk</w:t>
      </w:r>
    </w:p>
    <w:p w:rsidR="00000000" w:rsidRDefault="00B8461F" w:rsidP="00E876DA">
      <w:pPr>
        <w:pStyle w:val="opplisting"/>
      </w:pPr>
      <w:r>
        <w:t>Statistisk sentralbyrå</w:t>
      </w:r>
    </w:p>
    <w:p w:rsidR="00000000" w:rsidRDefault="00B8461F" w:rsidP="00E876DA">
      <w:pPr>
        <w:pStyle w:val="opplisting"/>
      </w:pPr>
      <w:r>
        <w:lastRenderedPageBreak/>
        <w:t>Stavanger forliksråd</w:t>
      </w:r>
    </w:p>
    <w:p w:rsidR="00000000" w:rsidRDefault="00B8461F" w:rsidP="00E876DA">
      <w:r>
        <w:t>Høringen er ellers fulgt opp ved at gebyrene og salærene i inkassoforskriften er redusert ved forskrift 19. juni 2020 nr. 1248 om endringer i forskrift 14. juli 1989 nr. 562 til inkassoloven m.m. Endringsforskrif</w:t>
      </w:r>
      <w:r>
        <w:t>ten trådte i kraft 1. oktober 2020.</w:t>
      </w:r>
    </w:p>
    <w:p w:rsidR="00000000" w:rsidRDefault="00B8461F" w:rsidP="00E876DA">
      <w:r>
        <w:t xml:space="preserve">Departementet sendte dessuten 4. juni 2020 på høring et høringsnotat med forslag til standard skrivesalær for visse begjæringer om tvangsfullbyrdelse etter tvangsfullbyrdelsesloven kapittel 10 og 13, med høringsfrist 5. </w:t>
      </w:r>
      <w:r>
        <w:t>august 2020. Høringsnotatet fulgte opp innspill i høringen i april fra Namsfogden i Oslo, Asker og Bærum. Ny forskrift om saksøktes ansvar for sakskostnader ved tvangsfullbyrdelse ble fastsatt i statsråd 23. oktober 2020.</w:t>
      </w:r>
    </w:p>
    <w:p w:rsidR="00000000" w:rsidRDefault="00B8461F" w:rsidP="00E876DA">
      <w:pPr>
        <w:pStyle w:val="Overskrift1"/>
      </w:pPr>
      <w:r>
        <w:t>Forslag om halvering av skrive</w:t>
      </w:r>
      <w:r>
        <w:t>salæret for forliksklager i inkassosaker</w:t>
      </w:r>
    </w:p>
    <w:p w:rsidR="00000000" w:rsidRDefault="00B8461F" w:rsidP="00E876DA">
      <w:pPr>
        <w:pStyle w:val="Overskrift2"/>
      </w:pPr>
      <w:r>
        <w:t>Gjeldende rett</w:t>
      </w:r>
    </w:p>
    <w:p w:rsidR="00000000" w:rsidRDefault="00B8461F" w:rsidP="00E876DA">
      <w:r>
        <w:t>Hovedregelen om krav på</w:t>
      </w:r>
      <w:r>
        <w:t xml:space="preserve"> erstatning for sakskostnader etter tvisteloven er at en part som har vunnet saken, har krav på full erstatning for sine sakskostnader fra motparten, jf. tvisteloven § 20-2 første ledd. Etter tvisteloven § 20-5 første ledd første og andre punktum skal full</w:t>
      </w:r>
      <w:r>
        <w:t xml:space="preserve"> erstatning for sakskostnader dekke alle partens nødvendige kostnader ved saken som ikke særlige regler gir grunnlag for å unnta. Ved vurderingen av om kostnadene har vært nødvendige, skal det legges vekt på om det ut fra betydningen av saken har vært rime</w:t>
      </w:r>
      <w:r>
        <w:t>lig å pådra dem. Det følger også av formålsbestemmelsen til tvisteloven at saksbehandlingen og kostnadene skal stå i et rimelig forhold til sakens betydning, se § 1-1 andre ledd.</w:t>
      </w:r>
    </w:p>
    <w:p w:rsidR="00000000" w:rsidRDefault="00B8461F" w:rsidP="00E876DA">
      <w:r>
        <w:t xml:space="preserve">Det følger eksplisitt av § 20-5 andre ledd at erstatning for sakskostnader i </w:t>
      </w:r>
      <w:r>
        <w:t>forliksrådet likevel bare gis innenfor rammen av tvisteloven § 6-13. Med andre ord foreligger det to begrensninger i retten til å kreve sakskostnader i forliksrådssaker: kravet etter tvisteloven § 20-5 første ledd om at kostnadene må ha vært nødvendige, og</w:t>
      </w:r>
      <w:r>
        <w:t xml:space="preserve"> begrensningene som følger av tvisteloven § 6-13. Hensikten med begrensningene i tvisteloven § 6-13 er å begrense kostnadsnivået ved forliksrådsbehandling, se også NOU 2001: 32 A Rett på sak Lov om tvisteløsning (tvisteloven) punkt 10.10.17.1. Det følger a</w:t>
      </w:r>
      <w:r>
        <w:t>v tvisteloven § 6-1 første ledd at behandlingen i forliksrådet skal legge til rette for at partene ved mekling eller dom får løst saken enkelt, hurtig og billig.</w:t>
      </w:r>
    </w:p>
    <w:p w:rsidR="00000000" w:rsidRDefault="00B8461F" w:rsidP="00E876DA">
      <w:r>
        <w:t xml:space="preserve">Etter tvisteloven § 6-13 første ledd gis erstatning for sakskostnader i forliksrådet bare for </w:t>
      </w:r>
      <w:r>
        <w:t>følgende poster:</w:t>
      </w:r>
    </w:p>
    <w:p w:rsidR="00000000" w:rsidRDefault="00B8461F" w:rsidP="00E876DA">
      <w:pPr>
        <w:pStyle w:val="friliste2"/>
      </w:pPr>
      <w:r>
        <w:t>«a) gebyr for behandlingen i forliksrådet, samt gebyret for utleggsbegjæringen når en sak behandles i forliksrådet etter tvangsfullbyrdelsesloven § 7-7,</w:t>
      </w:r>
    </w:p>
    <w:p w:rsidR="00000000" w:rsidRDefault="00B8461F" w:rsidP="00E876DA">
      <w:pPr>
        <w:pStyle w:val="friliste2"/>
      </w:pPr>
      <w:r>
        <w:t>b)</w:t>
      </w:r>
      <w:r>
        <w:tab/>
        <w:t>reiseutgifter for parter med personlig møteplikt,</w:t>
      </w:r>
    </w:p>
    <w:p w:rsidR="00000000" w:rsidRDefault="00B8461F" w:rsidP="00E876DA">
      <w:pPr>
        <w:pStyle w:val="friliste2"/>
      </w:pPr>
      <w:r>
        <w:t>c)</w:t>
      </w:r>
      <w:r>
        <w:tab/>
        <w:t>et beløp inntil halvt rettsgeb</w:t>
      </w:r>
      <w:r>
        <w:t>yr for utgifter til møte for parter uten personlig møteplikt,</w:t>
      </w:r>
    </w:p>
    <w:p w:rsidR="00000000" w:rsidRDefault="00B8461F" w:rsidP="00E876DA">
      <w:pPr>
        <w:pStyle w:val="friliste2"/>
      </w:pPr>
      <w:r>
        <w:t>d)</w:t>
      </w:r>
      <w:r>
        <w:tab/>
        <w:t>et beløp inntil fire ganger rettsgebyret for rettshjelp ved forliksklage eller tilsvar og saksforberedelse ellers, men inntil rettsgebyret dersom klageren i tillegg krever erstatning for kost</w:t>
      </w:r>
      <w:r>
        <w:t>nader ved utenrettslig inndriving etter annet ledd, og</w:t>
      </w:r>
    </w:p>
    <w:p w:rsidR="00000000" w:rsidRDefault="00B8461F" w:rsidP="00E876DA">
      <w:pPr>
        <w:pStyle w:val="friliste2"/>
      </w:pPr>
      <w:r>
        <w:t>e)</w:t>
      </w:r>
      <w:r>
        <w:tab/>
        <w:t>et tillegg til beløpene i bokstav c og d for den generelle satsen for merverdiavgift når ikke sakens rettsforhold hovedsakelig skriver seg fra virksomhet hos parten som er merverdiavgiftspliktig.»</w:t>
      </w:r>
    </w:p>
    <w:p w:rsidR="00000000" w:rsidRDefault="00B8461F" w:rsidP="00E876DA">
      <w:r>
        <w:t>D</w:t>
      </w:r>
      <w:r>
        <w:t>et følger av tvisteloven § 6-13 andre ledd at krav om erstatning for kostnader ved utenrettslig inndriving (inkasso) ikke regnes som sakskostnader etter denne paragrafen.</w:t>
      </w:r>
    </w:p>
    <w:p w:rsidR="00000000" w:rsidRDefault="00B8461F" w:rsidP="00E876DA">
      <w:r>
        <w:t>Adgangen etter § 6-13 første ledd bokstav d andre alternativ til å ta et rettsgebyr f</w:t>
      </w:r>
      <w:r>
        <w:t>or rettshjelp ved forliksklage og saksforberedelse ellers dersom klageren i tillegg krever erstatning for kostnader ved utenrettslig inndriving (inkasso), gjelder i praksis inkassoforetakenes godtgjørelse for å sende saker til forliksrådet. Det kalles derf</w:t>
      </w:r>
      <w:r>
        <w:t xml:space="preserve">or gjerne skrivesalær, selv om det er skyldneren og ikke fordringshaveren (inkassoforetakets kontraktspart) som betaler. Rettsgebyret er fra 1. januar 2020 1172 kroner, jf. forskrift 15. februar 1983 nr. 86 etter </w:t>
      </w:r>
      <w:r>
        <w:lastRenderedPageBreak/>
        <w:t xml:space="preserve">rettsgebyrloven m.m. § 2-1. I </w:t>
      </w:r>
      <w:proofErr w:type="spellStart"/>
      <w:r>
        <w:t>Prop</w:t>
      </w:r>
      <w:proofErr w:type="spellEnd"/>
      <w:r>
        <w:t>. 1 S (20</w:t>
      </w:r>
      <w:r>
        <w:t>20–2021) for Justis- og beredskapsdepartementet er det foreslått å øke rettsgebyret til 1199 kroner med virkning fra 1. januar 2021.</w:t>
      </w:r>
    </w:p>
    <w:p w:rsidR="00000000" w:rsidRDefault="00B8461F" w:rsidP="00E876DA">
      <w:r>
        <w:t>Kravene til innhold i en forliksklage følger av tvisteloven § 6-3 andre ledd. Forliksklagen skal angi:</w:t>
      </w:r>
    </w:p>
    <w:p w:rsidR="00000000" w:rsidRDefault="00B8461F" w:rsidP="00E876DA">
      <w:pPr>
        <w:pStyle w:val="Liste"/>
      </w:pPr>
      <w:r>
        <w:t>forliksrådet</w:t>
      </w:r>
    </w:p>
    <w:p w:rsidR="00000000" w:rsidRDefault="00B8461F" w:rsidP="00E876DA">
      <w:pPr>
        <w:pStyle w:val="Liste"/>
      </w:pPr>
      <w:r>
        <w:t>navn og adresse på parter, eventuelle stedfortredere etter tvisteloven §§ 2-3 til 2-5 og prosessfullmektiger</w:t>
      </w:r>
    </w:p>
    <w:p w:rsidR="00000000" w:rsidRDefault="00B8461F" w:rsidP="00E876DA">
      <w:pPr>
        <w:pStyle w:val="Liste"/>
      </w:pPr>
      <w:r>
        <w:t>kravet som gjøres gjeldende, og en påstand som bestemt angir resultatet klageren i tilfelle krever ved dom</w:t>
      </w:r>
    </w:p>
    <w:p w:rsidR="00000000" w:rsidRDefault="00B8461F" w:rsidP="00E876DA">
      <w:pPr>
        <w:pStyle w:val="Liste"/>
      </w:pPr>
      <w:r>
        <w:t>en begrunnelse som alltid må an</w:t>
      </w:r>
      <w:r>
        <w:t>gi en konsentrert beskrivelse av de faktiske forholdene kravet direkte bygger på</w:t>
      </w:r>
    </w:p>
    <w:p w:rsidR="00000000" w:rsidRDefault="00B8461F" w:rsidP="00E876DA">
      <w:r>
        <w:t>Det følger av tvisteloven § 6-3 tredje ledd at kopi av dokumenter kravet direkte bygger på, bør</w:t>
      </w:r>
      <w:r>
        <w:t xml:space="preserve"> vedlegges. Hvis klageren krever erstatning for kostnader ved utenrettslig inndriving, skal betalingsoppfordringen etter inkassoloven § 10, jf. § 12, vedlegges. Videre følger det av fjerde ledd at utleggsbegjæringen skal regnes som forliksklage når en sak </w:t>
      </w:r>
      <w:r>
        <w:t>behandles i forliksrådet etter tvangsfullbyrdelsesloven § 7-7.</w:t>
      </w:r>
    </w:p>
    <w:p w:rsidR="00000000" w:rsidRDefault="00B8461F" w:rsidP="00E876DA">
      <w:r>
        <w:t>Når det gjelder skrivesalær ved begjæringer om tvangsfullbyrdelse, følger det av tvangsfullbyrdelsesloven § 3-1 første ledd første punktum at saksøkeren har krav på dekning av sine sakskostnade</w:t>
      </w:r>
      <w:r>
        <w:t xml:space="preserve">r i en sak om tvangsfullbyrdelse så langt </w:t>
      </w:r>
      <w:r>
        <w:rPr>
          <w:spacing w:val="-1"/>
        </w:rPr>
        <w:t>saken og kostnadene har vært nødvendige. I første l</w:t>
      </w:r>
      <w:r>
        <w:t>edd sjuende punktum er Kongen gitt hjemmel til å fastsette maksimalsatser for saksøktes kostnadsansvar. Slik forskrift er gitt ved forskrift 4. desember 1992 nr. 8</w:t>
      </w:r>
      <w:r>
        <w:t>98 om saksøktes sakskostnadsansvar ved tvangsfullbyrdelse. Forskriften gjelder for utlegg, tvangssalg av løsøre og tilbakelevering av løsøre til salgspanthaver, jf. § 1. I statsråd 23. oktober 2020 ble det imidlertid fastsatt en ny forskrift om saksøktes a</w:t>
      </w:r>
      <w:r>
        <w:t>nsvar for sakskostnader ved tvangsfullbyrdelse. Forskriften trer i kraft 1. februar 2021.</w:t>
      </w:r>
    </w:p>
    <w:p w:rsidR="00000000" w:rsidRDefault="00B8461F" w:rsidP="00E876DA">
      <w:pPr>
        <w:pStyle w:val="Overskrift2"/>
      </w:pPr>
      <w:r>
        <w:t>Forslaget i høringsnotatet</w:t>
      </w:r>
    </w:p>
    <w:p w:rsidR="00000000" w:rsidRDefault="00B8461F" w:rsidP="00E876DA">
      <w:r>
        <w:t xml:space="preserve">Arbeidsgruppen som vurderte endringer av inkassoloven, foreslo en halvering av skrivesalæret for begjæringer om utlegg, tvangssalg </w:t>
      </w:r>
      <w:r>
        <w:t>av løsøre og tilbakelevering av løsøre til salgspanthaver etter forskrift om saksøktes sakskostnadsansvar ved tvangsfullbyrdelse § 2 første ledd nr. 2. Forslaget gikk etter dette ut på en endring fra ett rettsgebyr til et halvt rettsgebyr (dvs. fra 1172 ti</w:t>
      </w:r>
      <w:r>
        <w:t>l 586 kroner). Arbeidsgruppen foreslo imidlertid ikke noen endringer i skrivesalæret ved forliksklage etter tvisteloven § 6-13 første ledd bokstav d. Arbeidsgruppen begrunnet det siste slik, i rapporten punkt 7.2:</w:t>
      </w:r>
    </w:p>
    <w:p w:rsidR="00000000" w:rsidRDefault="00B8461F" w:rsidP="00E876DA">
      <w:pPr>
        <w:pStyle w:val="blokksit"/>
      </w:pPr>
      <w:r>
        <w:t xml:space="preserve">«Det er formodentlig vesentlig mer arbeid </w:t>
      </w:r>
      <w:r>
        <w:t>ved utarbeidelsen av forliksklager enn ved begjæringer om utlegg, tvangssalg av løsøre og tilbakelevering av løsøre, og det vil kunne forsvare høyere kostnader. Arbeidsgruppen viser i den forbindelse til at det er en tvist om kravet, til kravene til innhol</w:t>
      </w:r>
      <w:r>
        <w:t>d i en forliksklage etter tvisteloven § 6-3, og at det etter tvisteloven § 6</w:t>
      </w:r>
      <w:r>
        <w:noBreakHyphen/>
        <w:t>13 kan kreves fire rettsgebyr hvis man ikke krever inkassokostnader dekket. Den alternative godtgjørelsen på ett rettsgebyr dersom man i tillegg krever inkassokostnader dekket, fr</w:t>
      </w:r>
      <w:r>
        <w:t>amstår som moderat.»</w:t>
      </w:r>
    </w:p>
    <w:p w:rsidR="00000000" w:rsidRDefault="00B8461F" w:rsidP="00E876DA">
      <w:r>
        <w:t>Departementet reiste i høringsnotatet spørsmål om ikke arbeidet med forliksklagene og konsekvenshensyn tilsa at skrivesalæret for forliksklage der det også kreves erstatning for kostnader ved utenrettslig inndriving, jf. tvisteloven § </w:t>
      </w:r>
      <w:r>
        <w:t>6-13 første ledd bokstav d andre alternativ, også bør halveres fra ett til et halvt rettsgebyr (dvs. fra 1172 til 586 kroner).</w:t>
      </w:r>
    </w:p>
    <w:p w:rsidR="00000000" w:rsidRDefault="00B8461F" w:rsidP="00E876DA">
      <w:r>
        <w:t>Når det gjelder arbeidet med forliksklagene, antok departementet at det normalt ikke vil være tvist i de sakene hvor inkassokostn</w:t>
      </w:r>
      <w:r>
        <w:t>ader kreves dekket, i og med at det normalt ikke er adgang til å kreve inkassokostnader dersom det er fremmet innsigelser i saken. Dette følger av inkassoloven § 17 andre ledd, der det heter at kostnadene ikke kan kreves erstattet dersom skyldneren hadde i</w:t>
      </w:r>
      <w:r>
        <w:t>nnsigelser som det var rimelig grunn til å få vurdert før inndrivingen ble satt i verk. Det gjelder selv om kostnadene påløp før innsigelsene ble satt frem, dersom ikke skyldneren burde satt dem frem tidligere. Departementet la til grunn at det kreves lite</w:t>
      </w:r>
      <w:r>
        <w:t xml:space="preserve"> arbeid med forliksklager der det ikke er tvist om kravet og inkassoforetaket har alle opplysninger elektro</w:t>
      </w:r>
      <w:r>
        <w:lastRenderedPageBreak/>
        <w:t>nisk. Det følger dessuten av tvangsfullbyrdelsesloven § 7-5 andre ledd første punktum at en begjæring om utlegg etter § 7-2 første ledd bokstav f ska</w:t>
      </w:r>
      <w:r>
        <w:t>l oppfylle kravene til forliksklager i tvisteloven § 6-3, og det følger dermed av bestemmelsen at det for disse utleggsbegjæringene ikke hadde vært mer arbeid med en forliksklage.</w:t>
      </w:r>
    </w:p>
    <w:p w:rsidR="00000000" w:rsidRDefault="00B8461F" w:rsidP="00E876DA">
      <w:r>
        <w:t>Etter inkassoloven § 17 andre ledd vil det kunne være adgang til å kreve ink</w:t>
      </w:r>
      <w:r>
        <w:t xml:space="preserve">assokostnader erstattet selv om det er tvist om kravet, dersom inkassokostnadene påløp før skyldneren fremsatte innsigelsene, og skyldneren burde ha fremsatt innsigelsene tidligere. Departementet antok at dette særlig vil være aktuelt der skyldneren taper </w:t>
      </w:r>
      <w:r>
        <w:t>saken i forliksrådet, og uttalte:</w:t>
      </w:r>
    </w:p>
    <w:p w:rsidR="00000000" w:rsidRDefault="00B8461F" w:rsidP="00E876DA">
      <w:pPr>
        <w:pStyle w:val="blokksit"/>
      </w:pPr>
      <w:r>
        <w:t>«For disse tilfellene er det mulig at forslaget om halvering av skrivesalæret innebærer at inkassoforetakenes kostnader ved forliksrådsbehandlingen ikke blir dekket fullt ut. Selv om det trolig forekommer fra tid til annen</w:t>
      </w:r>
      <w:r>
        <w:t xml:space="preserve"> at skyldneren etter å ha bestridt et krav og tapt i forliksrådet må betale inkassokostnader fordi skyldneren burde ha fremsatt innsigelsene tidligere, antar departementet at det forekommer i et lite mindretall av sakene, og at det i en større sammenheng e</w:t>
      </w:r>
      <w:r>
        <w:t>r av liten økonomisk betydning for inkassoforetakene. Departementet vil dessuten understreke at en vesentlig del av inkassoforetakenes arbeid med tvisten vil foregå som innsigelsesbehandling under den utenrettslige inndrivingen.»</w:t>
      </w:r>
    </w:p>
    <w:p w:rsidR="00000000" w:rsidRDefault="00B8461F" w:rsidP="00E876DA">
      <w:r>
        <w:t>Der skyldneren vinner sake</w:t>
      </w:r>
      <w:r>
        <w:t>n i forliksrådet, antok departementet at det vil være svært sjeldent at skyldneren må betale inkassokostnader. Departementet viste til at i Moe m.fl.: Inkassoloven Kommentarutgave, kommentar til inkassoloven § 17 er det uttalt at det antagelig må kreves et</w:t>
      </w:r>
      <w:r>
        <w:t xml:space="preserve"> relativt sterkt klanderverdig forhold hos skyldneren for at denne skal kunne bli frifunnet fra å betale hovedkravet, men samtidig dømt til å betale inkassoomkostningene:</w:t>
      </w:r>
    </w:p>
    <w:p w:rsidR="00000000" w:rsidRDefault="00B8461F" w:rsidP="00E876DA">
      <w:pPr>
        <w:pStyle w:val="blokksit"/>
      </w:pPr>
      <w:r>
        <w:t>«Det kan spørres om en skyldner kan bli frifunnet fra å betale hovedkravet, men samti</w:t>
      </w:r>
      <w:r>
        <w:t>dig dømt til å betale inkassoomkostningene. Dersom det kan bebreides skyldneren som uaktsomt at inkasso ble iverksatt, for eksempel at innvendinger ikke ble fremsatt i tide, bør det kunne være mulig å pålegge skyldneren å dekke inkassoomkostningene. Men ma</w:t>
      </w:r>
      <w:r>
        <w:t>n må antakelig kreve et relativt sterkt klanderverdig forhold hos skyldneren før dette skal bli resultatet. Et eksempel kan være en skyldner som hevder at kravet er betalt, men nekter å fremlegge kvittering som viser dette.»</w:t>
      </w:r>
    </w:p>
    <w:p w:rsidR="00000000" w:rsidRDefault="00B8461F" w:rsidP="00E876DA">
      <w:r>
        <w:t xml:space="preserve">Departementet viste videre til </w:t>
      </w:r>
      <w:r>
        <w:t>at ved utarbeidelsen av tvisteloven var det også tatt utgangspunkt i en formodning om at klagemotparten ikke hadde bestridt kravet når det ble krevet erstatning for kostnader ved utenrettslig inndriving. I NOU 2001: 32 A Rett på sak Lov om tvisteløsning (t</w:t>
      </w:r>
      <w:r>
        <w:t>visteloven) punkt 10.10.17.4 ble forslaget om å videreføre et skrivesalær på ett rettsgebyr for inkassosaker (mens flertallet for andre saker foreslo en økning av skrivesalæret til fire rettsgebyr) begrunnet slik:</w:t>
      </w:r>
    </w:p>
    <w:p w:rsidR="00000000" w:rsidRDefault="00B8461F" w:rsidP="00E876DA">
      <w:pPr>
        <w:pStyle w:val="blokksit"/>
      </w:pPr>
      <w:r>
        <w:t>«Utvalget foreslår denne satsen videreført</w:t>
      </w:r>
      <w:r>
        <w:t xml:space="preserve"> i loven for inkassosakene, dvs. de saker der det også kreves erstatning for kostnadene ved utenrettslig inndrivelse. Forliksklagen kan i disse sakene gis en forholdsvis enkel utforming, i det det vil være en formodning for at klagemotparten ikke bestrider</w:t>
      </w:r>
      <w:r>
        <w:t xml:space="preserve"> kravet, og vil i mange saker kunne standardiseres. …</w:t>
      </w:r>
    </w:p>
    <w:p w:rsidR="00000000" w:rsidRDefault="00B8461F" w:rsidP="00E876DA">
      <w:pPr>
        <w:pStyle w:val="blokksit"/>
      </w:pPr>
      <w:r>
        <w:t>I saker som ikke er inkassosaker, vil det kunne være behov for å legge noe mer arbeid i utformingen av forliksklagen og saksforberedelsen. Maksimalsatsen på 1 R foreslås ikke anvendt for klagerens saksf</w:t>
      </w:r>
      <w:r>
        <w:t>orberedelse i disse sakene …»</w:t>
      </w:r>
    </w:p>
    <w:p w:rsidR="00000000" w:rsidRDefault="00B8461F" w:rsidP="00E876DA">
      <w:r>
        <w:t>Departementet understreket for ordens skyld at det neppe kan være adgang til å ta fire rettsgebyr i skrivesalær i stedet for ett rettsgebyr og inkassokostnader der det ikke er fremmet innsigelser mot kravet. Departementet anto</w:t>
      </w:r>
      <w:r>
        <w:t>k at det vil være unødvendige kostnader og i strid med tvisteloven § 20-5 første ledd, foruten å være i strid med systemet i og hensynet bak tvisteloven § 6-13 første ledd bokstav d.</w:t>
      </w:r>
    </w:p>
    <w:p w:rsidR="00000000" w:rsidRDefault="00B8461F" w:rsidP="00E876DA">
      <w:r>
        <w:lastRenderedPageBreak/>
        <w:t>Departementet viste til at også</w:t>
      </w:r>
      <w:r>
        <w:t xml:space="preserve"> konsekvenshensyn taler for å halvere skrivesalæret for forliksklager i inkassosaker fra ett til et halvt rettsgebyr. Departementet viste til at arbeidsgruppen som hadde sett på inkassoloven, i sin rapport foreslo å halvere skrivesalæret for utleggsbegjæri</w:t>
      </w:r>
      <w:r>
        <w:t>nger mv. fra ett rettsgebyr til et halvt rettsgebyr, jf. arbeidsgruppens forslag til endring i forskrift om saksøktes sakskostnadsansvar ved tvangsfullbyrdelse § 2 første ledd nr. 2. Dette forslaget ble gjentatt i departementets høringsnotat. Etter tvangsf</w:t>
      </w:r>
      <w:r>
        <w:t>ullbyrdelsesloven § 7-2 første ledd bokstav f er «[s]</w:t>
      </w:r>
      <w:proofErr w:type="spellStart"/>
      <w:r>
        <w:t>kriftlig</w:t>
      </w:r>
      <w:proofErr w:type="spellEnd"/>
      <w:r>
        <w:t xml:space="preserve"> meddelelse som fordringshaveren selv har sendt skyldneren og som viser kravets grunnlag og omfang», tvangsgrunnlag for utlegg. Departementet uttalte at det ville være svært uhensiktsmessig for f</w:t>
      </w:r>
      <w:r>
        <w:t xml:space="preserve">orliksrådene og skyldnerne dersom sakskostnadsreglene ga incentiver for at uomtvistede krav sendes forliksrådene for å få tvangsgrunnlag, i stedet for at det </w:t>
      </w:r>
      <w:proofErr w:type="gramStart"/>
      <w:r>
        <w:t>begjæres</w:t>
      </w:r>
      <w:proofErr w:type="gramEnd"/>
      <w:r>
        <w:t xml:space="preserve"> utlegg etter tvangsfullbyrdelsesloven § 7-2 første ledd bokstav f.</w:t>
      </w:r>
    </w:p>
    <w:p w:rsidR="00000000" w:rsidRDefault="00B8461F" w:rsidP="00E876DA">
      <w:r>
        <w:t>Departementet la til g</w:t>
      </w:r>
      <w:r>
        <w:t>runn at det vil være relevant å vektlegge konsekvenshensyn ved fastsettelsen av skrivesalær i tvisteloven § 6-13 første ledd bokstav d andre alternativ, og viste til at et vesentlig siktemål med tvistelovens regler om forliksrådsbehandling er å legge til r</w:t>
      </w:r>
      <w:r>
        <w:t>ette for en enkel og billig prosess, jf. også tvisteloven § 6-1 første ledd, og at § 6-13 uansett innebærer en begrensning i retten til å få dekket nødvendige kostnader.</w:t>
      </w:r>
    </w:p>
    <w:p w:rsidR="00000000" w:rsidRDefault="00B8461F" w:rsidP="00E876DA">
      <w:pPr>
        <w:pStyle w:val="Overskrift2"/>
      </w:pPr>
      <w:r>
        <w:t>Høringsinstansenes syn</w:t>
      </w:r>
    </w:p>
    <w:p w:rsidR="00000000" w:rsidRDefault="00B8461F" w:rsidP="00E876DA">
      <w:r>
        <w:t>Følgende høringsinstanser støt</w:t>
      </w:r>
      <w:r>
        <w:t>ter forslaget i høringsnotatet om halvering av skrivesalæret for forliksklager i inkassosaker, enten gjennom generell støtte til forslagene til reduksjon i inndrivingskostnader, eller ved at de spesifikt slutter seg til forslaget om halvering av skrivesalæ</w:t>
      </w:r>
      <w:r>
        <w:t>ret:</w:t>
      </w:r>
    </w:p>
    <w:p w:rsidR="00000000" w:rsidRDefault="00B8461F" w:rsidP="00E876DA">
      <w:pPr>
        <w:rPr>
          <w:rStyle w:val="kursiv"/>
          <w:sz w:val="21"/>
          <w:szCs w:val="21"/>
        </w:rPr>
      </w:pPr>
      <w:r>
        <w:rPr>
          <w:rStyle w:val="kursiv"/>
          <w:sz w:val="21"/>
          <w:szCs w:val="21"/>
        </w:rPr>
        <w:t>Finanstilsynet, Forbrukerrådet, Forbrukertilsynet, Fylkesmannen i Oslo og Viken, Namsfogden i Oslo, Asker og Bærum, Oslo byfogdembete, Politidirektoratet, Vest politidistrikt, Øst politidistrikt, Kemneren i Drammen, Oslo kemnerkontor, Ringebu kommune,</w:t>
      </w:r>
      <w:r>
        <w:rPr>
          <w:rStyle w:val="kursiv"/>
          <w:sz w:val="21"/>
          <w:szCs w:val="21"/>
        </w:rPr>
        <w:t xml:space="preserve"> Stavanger kommune, Sør-Fron kommune, </w:t>
      </w:r>
      <w:proofErr w:type="spellStart"/>
      <w:r>
        <w:rPr>
          <w:rStyle w:val="kursiv"/>
          <w:sz w:val="21"/>
          <w:szCs w:val="21"/>
        </w:rPr>
        <w:t>Action:reaction</w:t>
      </w:r>
      <w:proofErr w:type="spellEnd"/>
      <w:r>
        <w:rPr>
          <w:rStyle w:val="kursiv"/>
          <w:sz w:val="21"/>
          <w:szCs w:val="21"/>
        </w:rPr>
        <w:t>, Advokatforeningen, Den norske Revisorforening, Fair Group AS, Finansieringsselskapenes Forening, Gode betalere, Landsorganisasjonen i Norge, Norges Eiendomsmeglerforbund, Norges politilederlag i Parat,</w:t>
      </w:r>
      <w:r>
        <w:rPr>
          <w:rStyle w:val="kursiv"/>
          <w:sz w:val="21"/>
          <w:szCs w:val="21"/>
        </w:rPr>
        <w:t xml:space="preserve"> Næringslivets Hovedorganisasjon, Pensjonistforbundet og SAKO-organisasjonene (Fagforbundets sentrale Pensjonist-utvalg, LO Stats Pensjonistutvalg, Jernbanepensjonistenes Forbund, Politiets Pensjonistforbund, Postens Pensjonistforbund, Telepensjonistenes L</w:t>
      </w:r>
      <w:r>
        <w:rPr>
          <w:rStyle w:val="kursiv"/>
          <w:sz w:val="21"/>
          <w:szCs w:val="21"/>
        </w:rPr>
        <w:t xml:space="preserve">andsforbund og Statens Vegvesens Pensjonistforbund), Pensjonistpartiet, Profesjonelle Vergers Interesseorganisasjon, Yrkesorganisasjonenes sentralforbund, Roy Michelsen, Seppo </w:t>
      </w:r>
      <w:proofErr w:type="spellStart"/>
      <w:r>
        <w:rPr>
          <w:rStyle w:val="kursiv"/>
          <w:sz w:val="21"/>
          <w:szCs w:val="21"/>
        </w:rPr>
        <w:t>Olavi</w:t>
      </w:r>
      <w:proofErr w:type="spellEnd"/>
      <w:r>
        <w:rPr>
          <w:rStyle w:val="kursiv"/>
          <w:sz w:val="21"/>
          <w:szCs w:val="21"/>
        </w:rPr>
        <w:t xml:space="preserve"> </w:t>
      </w:r>
      <w:proofErr w:type="spellStart"/>
      <w:r>
        <w:rPr>
          <w:rStyle w:val="kursiv"/>
          <w:sz w:val="21"/>
          <w:szCs w:val="21"/>
        </w:rPr>
        <w:t>Jestilä</w:t>
      </w:r>
      <w:proofErr w:type="spellEnd"/>
      <w:r>
        <w:rPr>
          <w:rStyle w:val="kursiv"/>
          <w:sz w:val="21"/>
          <w:szCs w:val="21"/>
        </w:rPr>
        <w:t>, Toril Julie Schrøder</w:t>
      </w:r>
      <w:r>
        <w:t xml:space="preserve"> og </w:t>
      </w:r>
      <w:r>
        <w:rPr>
          <w:rStyle w:val="kursiv"/>
          <w:sz w:val="21"/>
          <w:szCs w:val="21"/>
        </w:rPr>
        <w:t>en privatperson som ikke har oppgitt navn</w:t>
      </w:r>
      <w:r>
        <w:rPr>
          <w:rStyle w:val="kursiv"/>
          <w:sz w:val="21"/>
          <w:szCs w:val="21"/>
        </w:rPr>
        <w:t>.</w:t>
      </w:r>
    </w:p>
    <w:p w:rsidR="00000000" w:rsidRDefault="00B8461F" w:rsidP="00E876DA">
      <w:pPr>
        <w:rPr>
          <w:rStyle w:val="kursiv"/>
          <w:sz w:val="21"/>
          <w:szCs w:val="21"/>
        </w:rPr>
      </w:pPr>
      <w:r>
        <w:rPr>
          <w:rStyle w:val="kursiv"/>
          <w:sz w:val="21"/>
          <w:szCs w:val="21"/>
        </w:rPr>
        <w:t>Namsfogden i Oslo, Asker og Bærum</w:t>
      </w:r>
      <w:r>
        <w:t xml:space="preserve"> uttaler bl.a. at de aller fleste </w:t>
      </w:r>
      <w:proofErr w:type="spellStart"/>
      <w:r>
        <w:t>pengekravssaker</w:t>
      </w:r>
      <w:proofErr w:type="spellEnd"/>
      <w:r>
        <w:t xml:space="preserve"> som fremmes for forliksrådet, om mulig er enda enklere enn utleggsbegjæringer, og at det «omtrent aldri» gis noen redegjørelse for hvilke innsigelser som eventuelt har bli</w:t>
      </w:r>
      <w:r>
        <w:t>tt fremmet:</w:t>
      </w:r>
    </w:p>
    <w:p w:rsidR="00000000" w:rsidRDefault="00B8461F" w:rsidP="00E876DA">
      <w:pPr>
        <w:pStyle w:val="blokksit"/>
      </w:pPr>
      <w:r>
        <w:t xml:space="preserve">«Det vises til høringsnotatet </w:t>
      </w:r>
      <w:proofErr w:type="spellStart"/>
      <w:r>
        <w:t>pkt</w:t>
      </w:r>
      <w:proofErr w:type="spellEnd"/>
      <w:r>
        <w:t xml:space="preserve"> 3 og den grundige redegjørelsen for hvorfor skrivesalær for forliksklager fremsatt i/som ledd i inkassoprosess, bør reduseres. Namsfogden tiltrer begrunnelsen i høringsnotatet. Det er viktig å motvirke at saker</w:t>
      </w:r>
      <w:r>
        <w:t xml:space="preserve"> fremmes for forliksrådet, for å </w:t>
      </w:r>
      <w:proofErr w:type="gramStart"/>
      <w:r>
        <w:t>generere</w:t>
      </w:r>
      <w:proofErr w:type="gramEnd"/>
      <w:r>
        <w:t xml:space="preserve"> økte salærer. De aller fleste pengekravsaker som fremmes for forliksrådet er om mulig </w:t>
      </w:r>
      <w:proofErr w:type="spellStart"/>
      <w:r>
        <w:t>ennå</w:t>
      </w:r>
      <w:proofErr w:type="spellEnd"/>
      <w:r>
        <w:t xml:space="preserve"> enklere enn utleggsbegjæringer. For saker som fremmes etter den særskilte prosessformen for uimotsagte krav, </w:t>
      </w:r>
      <w:proofErr w:type="spellStart"/>
      <w:r>
        <w:t>jf</w:t>
      </w:r>
      <w:proofErr w:type="spellEnd"/>
      <w:r>
        <w:t xml:space="preserve"> </w:t>
      </w:r>
      <w:proofErr w:type="spellStart"/>
      <w:r>
        <w:t>tvfbl</w:t>
      </w:r>
      <w:proofErr w:type="spellEnd"/>
      <w:r>
        <w:t xml:space="preserve"> § 7</w:t>
      </w:r>
      <w:r>
        <w:noBreakHyphen/>
        <w:t>2</w:t>
      </w:r>
      <w:r>
        <w:t>f, er det dessuten snakk om en og samme begjæring.</w:t>
      </w:r>
    </w:p>
    <w:p w:rsidR="00000000" w:rsidRDefault="00B8461F" w:rsidP="00E876DA">
      <w:pPr>
        <w:pStyle w:val="blokksit"/>
      </w:pPr>
      <w:r>
        <w:t xml:space="preserve">Som begrunnelse for ikke å sette ned salærkrav, henviste arbeidsgruppen bla til at det var tvist om kravet. Imidlertid synes det klart at de fleste forliksklager som fremmes av en inkassator også omfatter </w:t>
      </w:r>
      <w:r>
        <w:t xml:space="preserve">erstatning for utenrettslige inndrivelsesomkostninger. Det gis omtrent aldri noen redegjørelse for hvilke innsigelser som ev har blitt fremmet. Når forliksklagene ikke inneholder noen nærmere drøfting eller redegjørelser, er det vanskelig å se at arbeidet </w:t>
      </w:r>
      <w:r>
        <w:t xml:space="preserve">fortjener dobbelt så mye salær som en utleggsforretning. For alle praktiske henseender fremstår forliksklager som fremsettes av en inkassator på vegne av fordringshaver, som minst like enkle og standardiserte som en standard utleggsbegjæring. Ettersom det </w:t>
      </w:r>
      <w:r>
        <w:t xml:space="preserve">hører til sjeldenhetene at en inkassator redegjør for innsigelseshåndtering i saken, så må en anta at det er andre årsaker til at saken fremmes for forliksrådet. Det kan være at skyldner </w:t>
      </w:r>
      <w:proofErr w:type="spellStart"/>
      <w:r>
        <w:t>pt</w:t>
      </w:r>
      <w:proofErr w:type="spellEnd"/>
      <w:r>
        <w:t xml:space="preserve"> </w:t>
      </w:r>
      <w:r>
        <w:lastRenderedPageBreak/>
        <w:t>ikke har økonomisk mulighet til å gjøre opp kravet, at utleggsdata</w:t>
      </w:r>
      <w:r>
        <w:t xml:space="preserve">basen viser at det er besluttet langvarig lønnstrekk </w:t>
      </w:r>
      <w:proofErr w:type="gramStart"/>
      <w:r>
        <w:t>el l.</w:t>
      </w:r>
      <w:proofErr w:type="gramEnd"/>
      <w:r>
        <w:t xml:space="preserve"> Å ta skritt for å skaffe seg alminnelig tvangsgrunnlag i slike enkle saker, forsvarer et salær på ½ R, ikke mer.»</w:t>
      </w:r>
    </w:p>
    <w:p w:rsidR="00000000" w:rsidRDefault="00B8461F" w:rsidP="00E876DA">
      <w:pPr>
        <w:rPr>
          <w:rStyle w:val="kursiv"/>
          <w:sz w:val="21"/>
          <w:szCs w:val="21"/>
        </w:rPr>
      </w:pPr>
      <w:r>
        <w:rPr>
          <w:rStyle w:val="kursiv"/>
          <w:sz w:val="21"/>
          <w:szCs w:val="21"/>
        </w:rPr>
        <w:t>Fylkesmannen i Oslo og Viken</w:t>
      </w:r>
      <w:r>
        <w:t xml:space="preserve">, </w:t>
      </w:r>
      <w:r>
        <w:rPr>
          <w:rStyle w:val="kursiv"/>
          <w:sz w:val="21"/>
          <w:szCs w:val="21"/>
        </w:rPr>
        <w:t>Oslo byfogdembete</w:t>
      </w:r>
      <w:r>
        <w:t xml:space="preserve">, </w:t>
      </w:r>
      <w:r>
        <w:rPr>
          <w:rStyle w:val="kursiv"/>
          <w:sz w:val="21"/>
          <w:szCs w:val="21"/>
        </w:rPr>
        <w:t>Vest politidistrikt</w:t>
      </w:r>
      <w:r>
        <w:t xml:space="preserve"> og </w:t>
      </w:r>
      <w:r>
        <w:rPr>
          <w:rStyle w:val="kursiv"/>
          <w:sz w:val="21"/>
          <w:szCs w:val="21"/>
        </w:rPr>
        <w:t>Norges poli</w:t>
      </w:r>
      <w:r>
        <w:rPr>
          <w:rStyle w:val="kursiv"/>
          <w:sz w:val="21"/>
          <w:szCs w:val="21"/>
        </w:rPr>
        <w:t>tilederlag i Parat</w:t>
      </w:r>
      <w:r>
        <w:t xml:space="preserve"> slutter seg til Namsfogden i Oslo, Asker og Bærums høringsuttalelse. </w:t>
      </w:r>
      <w:r>
        <w:rPr>
          <w:rStyle w:val="kursiv"/>
          <w:sz w:val="21"/>
          <w:szCs w:val="21"/>
        </w:rPr>
        <w:t xml:space="preserve">Vest politidistrikt </w:t>
      </w:r>
      <w:r>
        <w:t>opplyser dessuten at 90 % av inkassosakene fremmes som standard forliksklager som er «maskinelt» utarbeidet.</w:t>
      </w:r>
    </w:p>
    <w:p w:rsidR="00000000" w:rsidRDefault="00B8461F" w:rsidP="00E876DA">
      <w:pPr>
        <w:rPr>
          <w:rStyle w:val="kursiv"/>
          <w:sz w:val="21"/>
          <w:szCs w:val="21"/>
        </w:rPr>
      </w:pPr>
      <w:r>
        <w:rPr>
          <w:rStyle w:val="kursiv"/>
          <w:sz w:val="21"/>
          <w:szCs w:val="21"/>
        </w:rPr>
        <w:t>Ringebu kommune</w:t>
      </w:r>
      <w:r>
        <w:t xml:space="preserve">, </w:t>
      </w:r>
      <w:r>
        <w:rPr>
          <w:rStyle w:val="kursiv"/>
          <w:sz w:val="21"/>
          <w:szCs w:val="21"/>
        </w:rPr>
        <w:t>Sør-Fron kommune</w:t>
      </w:r>
      <w:r>
        <w:t xml:space="preserve">, </w:t>
      </w:r>
      <w:r>
        <w:rPr>
          <w:rStyle w:val="kursiv"/>
          <w:sz w:val="21"/>
          <w:szCs w:val="21"/>
        </w:rPr>
        <w:t>Fair</w:t>
      </w:r>
      <w:r>
        <w:rPr>
          <w:rStyle w:val="kursiv"/>
          <w:sz w:val="21"/>
          <w:szCs w:val="21"/>
        </w:rPr>
        <w:t xml:space="preserve"> Group AS</w:t>
      </w:r>
      <w:r>
        <w:t xml:space="preserve"> og</w:t>
      </w:r>
      <w:r>
        <w:rPr>
          <w:rStyle w:val="kursiv"/>
          <w:sz w:val="21"/>
          <w:szCs w:val="21"/>
        </w:rPr>
        <w:t xml:space="preserve"> Gode betalere</w:t>
      </w:r>
      <w:r>
        <w:t xml:space="preserve"> støtter også forslaget under henvisning til at skrivesalæret nå overstiger kostnadene.</w:t>
      </w:r>
    </w:p>
    <w:p w:rsidR="00000000" w:rsidRDefault="00B8461F" w:rsidP="00E876DA">
      <w:pPr>
        <w:rPr>
          <w:rStyle w:val="kursiv"/>
          <w:sz w:val="21"/>
          <w:szCs w:val="21"/>
        </w:rPr>
      </w:pPr>
      <w:r>
        <w:rPr>
          <w:rStyle w:val="kursiv"/>
          <w:sz w:val="21"/>
          <w:szCs w:val="21"/>
        </w:rPr>
        <w:t>Fair Group AS</w:t>
      </w:r>
      <w:r>
        <w:t xml:space="preserve"> uttaler:</w:t>
      </w:r>
    </w:p>
    <w:p w:rsidR="00000000" w:rsidRDefault="00B8461F" w:rsidP="00E876DA">
      <w:pPr>
        <w:pStyle w:val="blokksit"/>
      </w:pPr>
      <w:r>
        <w:t>«Fair støtter forslaget i høringsnotatet. I likhet med utleggsbegjæringer er forliksklager ofte enkle og standardiserte</w:t>
      </w:r>
      <w:r>
        <w:t>, og dagens salærnivå ligger langt over inkassators kostnader. En halvering av skrivesalæret for forliksklager vil også kunne føre til at færre saker fremmes for forliksrådene, både omfanget av urettmessige krav og småkrav hvor skyldner ikke har mulighet f</w:t>
      </w:r>
      <w:r>
        <w:t>or å gjøre opp for seg.»</w:t>
      </w:r>
    </w:p>
    <w:p w:rsidR="00000000" w:rsidRDefault="00B8461F" w:rsidP="00E876DA">
      <w:pPr>
        <w:rPr>
          <w:rStyle w:val="kursiv"/>
          <w:sz w:val="21"/>
          <w:szCs w:val="21"/>
        </w:rPr>
      </w:pPr>
      <w:r>
        <w:rPr>
          <w:rStyle w:val="kursiv"/>
          <w:sz w:val="21"/>
          <w:szCs w:val="21"/>
        </w:rPr>
        <w:t>Gode betalere</w:t>
      </w:r>
      <w:r>
        <w:t xml:space="preserve"> uttaler, med støtte fra </w:t>
      </w:r>
      <w:proofErr w:type="spellStart"/>
      <w:proofErr w:type="gramStart"/>
      <w:r>
        <w:rPr>
          <w:rStyle w:val="kursiv"/>
          <w:sz w:val="21"/>
          <w:szCs w:val="21"/>
        </w:rPr>
        <w:t>Action:reaction</w:t>
      </w:r>
      <w:proofErr w:type="spellEnd"/>
      <w:proofErr w:type="gramEnd"/>
      <w:r>
        <w:t>:</w:t>
      </w:r>
    </w:p>
    <w:p w:rsidR="00000000" w:rsidRDefault="00B8461F" w:rsidP="00E876DA">
      <w:pPr>
        <w:pStyle w:val="blokksit"/>
      </w:pPr>
      <w:r>
        <w:t>«Når det gjelder endringer i tvistelovens 6-13 bokstav d så støtter vi lovavdelingens forslag om å redusere saksøktes kostnadsansvar ved forliksklager til ett halvt rettsgebyr.</w:t>
      </w:r>
      <w:r>
        <w:t xml:space="preserve"> Vi begrunner dette med stadig mer automatiserte prosesser og lite arbeid med forliksklager. Vi peker også på det relativt lave antallet forliksklager i 2019 i forhold til antallet utleggsbegjæringer og det totale antallet inkassosaker.»</w:t>
      </w:r>
    </w:p>
    <w:p w:rsidR="00000000" w:rsidRDefault="00B8461F" w:rsidP="00E876DA">
      <w:pPr>
        <w:rPr>
          <w:rStyle w:val="kursiv"/>
          <w:sz w:val="21"/>
          <w:szCs w:val="21"/>
        </w:rPr>
      </w:pPr>
      <w:proofErr w:type="gramStart"/>
      <w:r>
        <w:rPr>
          <w:rStyle w:val="kursiv"/>
          <w:sz w:val="21"/>
          <w:szCs w:val="21"/>
        </w:rPr>
        <w:t>Øst politidistrikt</w:t>
      </w:r>
      <w:proofErr w:type="gramEnd"/>
      <w:r>
        <w:t xml:space="preserve"> fremhever at det ville være uhensiktsmessig om sakskostnadsreglene ga incentiver til at uomtvistede krav ble sendt via forliksrådene, og uttaler samtidig at de fleste forliksklagene er standardiserte og lite arbeidskrevende:</w:t>
      </w:r>
    </w:p>
    <w:p w:rsidR="00000000" w:rsidRDefault="00B8461F" w:rsidP="00E876DA">
      <w:pPr>
        <w:pStyle w:val="blokksit"/>
      </w:pPr>
      <w:r>
        <w:t>«</w:t>
      </w:r>
      <w:proofErr w:type="gramStart"/>
      <w:r>
        <w:t>Øst politidistrikt</w:t>
      </w:r>
      <w:proofErr w:type="gramEnd"/>
      <w:r>
        <w:t xml:space="preserve"> støtter de</w:t>
      </w:r>
      <w:r>
        <w:t xml:space="preserve">partementets forslag om halvering av skrivesalær for forliksklager i inkassosaker. Vi vil særlig trekke frem departementets argument tilknyttet til enkel og billig prosess som viktig. Det vil fremstå som uhensiktsmessig for både forliksrådene og skyldnere </w:t>
      </w:r>
      <w:r>
        <w:t>dersom sakskostnadsreglene ga insentiver til at uomtvistede krav ble sendt via forliksrådene, når de kan sendes direkte til namsmannen etter tvangsfullbyrdelsesloven § 7-2f.</w:t>
      </w:r>
    </w:p>
    <w:p w:rsidR="00000000" w:rsidRDefault="00B8461F" w:rsidP="00E876DA">
      <w:pPr>
        <w:pStyle w:val="blokksit"/>
      </w:pPr>
      <w:r>
        <w:t>Selve arbeidsmengden knyttet til utarbeidelse av forliksklager har flere parallell</w:t>
      </w:r>
      <w:r>
        <w:t>er til utarbeidelse av utleggsbegjæringer. De fleste er standardiserte og lite arbeidskrevende. En halvering til et ½ rettsgebyr fremstår derfor som et akseptabelt nivå.»</w:t>
      </w:r>
    </w:p>
    <w:p w:rsidR="00000000" w:rsidRDefault="00B8461F" w:rsidP="00E876DA">
      <w:r>
        <w:t xml:space="preserve">Også </w:t>
      </w:r>
      <w:r>
        <w:rPr>
          <w:rStyle w:val="kursiv"/>
          <w:sz w:val="21"/>
          <w:szCs w:val="21"/>
        </w:rPr>
        <w:t>Forbrukerrådet</w:t>
      </w:r>
      <w:r>
        <w:t xml:space="preserve">, </w:t>
      </w:r>
      <w:r>
        <w:rPr>
          <w:rStyle w:val="kursiv"/>
          <w:sz w:val="21"/>
          <w:szCs w:val="21"/>
        </w:rPr>
        <w:t>Oslo byfogdembete</w:t>
      </w:r>
      <w:r>
        <w:t xml:space="preserve"> og </w:t>
      </w:r>
      <w:r>
        <w:rPr>
          <w:rStyle w:val="kursiv"/>
          <w:sz w:val="21"/>
          <w:szCs w:val="21"/>
        </w:rPr>
        <w:t>Næringslivets Hovedorganisasjon</w:t>
      </w:r>
      <w:r>
        <w:t xml:space="preserve"> fremhever a</w:t>
      </w:r>
      <w:r>
        <w:t xml:space="preserve">t salærene ikke bør gi incentiver til å ta ut forliksklage i stedet for å </w:t>
      </w:r>
      <w:proofErr w:type="gramStart"/>
      <w:r>
        <w:t>begjære</w:t>
      </w:r>
      <w:proofErr w:type="gramEnd"/>
      <w:r>
        <w:t xml:space="preserve"> utlegg for uomtvistede krav.</w:t>
      </w:r>
    </w:p>
    <w:p w:rsidR="00000000" w:rsidRDefault="00B8461F" w:rsidP="00E876DA">
      <w:pPr>
        <w:rPr>
          <w:rStyle w:val="kursiv"/>
          <w:sz w:val="21"/>
          <w:szCs w:val="21"/>
        </w:rPr>
      </w:pPr>
      <w:r>
        <w:rPr>
          <w:rStyle w:val="kursiv"/>
          <w:sz w:val="21"/>
          <w:szCs w:val="21"/>
        </w:rPr>
        <w:t>Forbrukerrådet</w:t>
      </w:r>
      <w:r>
        <w:t xml:space="preserve"> uttaler, med støtte fra </w:t>
      </w:r>
      <w:proofErr w:type="spellStart"/>
      <w:proofErr w:type="gramStart"/>
      <w:r>
        <w:rPr>
          <w:rStyle w:val="kursiv"/>
          <w:sz w:val="21"/>
          <w:szCs w:val="21"/>
        </w:rPr>
        <w:t>Action:reaction</w:t>
      </w:r>
      <w:proofErr w:type="spellEnd"/>
      <w:proofErr w:type="gramEnd"/>
      <w:r>
        <w:t>:</w:t>
      </w:r>
    </w:p>
    <w:p w:rsidR="00000000" w:rsidRDefault="00B8461F" w:rsidP="00E876DA">
      <w:pPr>
        <w:pStyle w:val="blokksit"/>
      </w:pPr>
      <w:r>
        <w:t>«Forbrukerrådet støtter departementets forslag om å halvere skrivesalæret for forliksklag</w:t>
      </w:r>
      <w:r>
        <w:t>er i inkassosaker slik at det blir den samme kostnaden som for utleggsbegjæringer. Vi er enige i at konsekvensen av et høyere salær for forliksklager vil kunne føre til uheldige insentiver ved at uomtvistede krav blir sendt til forliksrådene for å få tvang</w:t>
      </w:r>
      <w:r>
        <w:t>sgrunnlag. Denne formen for salærarbitrasje er en ikke usannsynlig konsekvens av vesentlige kostnadsforskjeller.</w:t>
      </w:r>
    </w:p>
    <w:p w:rsidR="00000000" w:rsidRDefault="00B8461F" w:rsidP="00E876DA">
      <w:pPr>
        <w:pStyle w:val="blokksit"/>
      </w:pPr>
      <w:r>
        <w:t>Justisdepartementets forklaring på hvorfor det ikke er mer arbeid ved forliksklager på inkassokostnader enn utleggsbegjæringer fremstår også so</w:t>
      </w:r>
      <w:r>
        <w:t>m velbegrunnet.»</w:t>
      </w:r>
    </w:p>
    <w:p w:rsidR="00000000" w:rsidRDefault="00B8461F" w:rsidP="00E876DA">
      <w:pPr>
        <w:rPr>
          <w:rStyle w:val="kursiv"/>
          <w:sz w:val="21"/>
          <w:szCs w:val="21"/>
        </w:rPr>
      </w:pPr>
      <w:r>
        <w:rPr>
          <w:rStyle w:val="kursiv"/>
          <w:sz w:val="21"/>
          <w:szCs w:val="21"/>
        </w:rPr>
        <w:lastRenderedPageBreak/>
        <w:t>Oslo byfogdembete</w:t>
      </w:r>
      <w:r>
        <w:t xml:space="preserve"> uttaler:</w:t>
      </w:r>
    </w:p>
    <w:p w:rsidR="00000000" w:rsidRDefault="00B8461F" w:rsidP="00E876DA">
      <w:pPr>
        <w:pStyle w:val="blokksit"/>
      </w:pPr>
      <w:r>
        <w:t>«Oslo byfogdembete behandler ikke saker etter dette regelverket og viser her til høringssvaret fra Namsfogden i Oslo, Asker og Bærum. Vi støtter at salærene for utleggsbegjær</w:t>
      </w:r>
      <w:r>
        <w:t>ing og forliksklager ses i sammenheng. Forskjeller i salærets størrelse bør ikke gi insentiver til å velge forliksklage fremfor utleggsbegjæring.»</w:t>
      </w:r>
    </w:p>
    <w:p w:rsidR="00000000" w:rsidRDefault="00B8461F" w:rsidP="00E876DA">
      <w:pPr>
        <w:rPr>
          <w:rStyle w:val="kursiv"/>
          <w:sz w:val="21"/>
          <w:szCs w:val="21"/>
        </w:rPr>
      </w:pPr>
      <w:r>
        <w:rPr>
          <w:rStyle w:val="kursiv"/>
          <w:sz w:val="21"/>
          <w:szCs w:val="21"/>
        </w:rPr>
        <w:t>Næringslivets Hovedorganisasjon</w:t>
      </w:r>
      <w:r>
        <w:t xml:space="preserve"> uttaler:</w:t>
      </w:r>
    </w:p>
    <w:p w:rsidR="00000000" w:rsidRDefault="00B8461F" w:rsidP="00E876DA">
      <w:pPr>
        <w:pStyle w:val="blokksit"/>
      </w:pPr>
      <w:r>
        <w:t xml:space="preserve">«Vi er enig i at uomtvistede krav ikke hører hjemme i forliksrådet. </w:t>
      </w:r>
      <w:r>
        <w:t xml:space="preserve">Reglene om saksomkostninger bør derfor ikke utgjøre et incentiv til å velge behandling i forliksrådet i stedet for å </w:t>
      </w:r>
      <w:proofErr w:type="gramStart"/>
      <w:r>
        <w:t>begjære</w:t>
      </w:r>
      <w:proofErr w:type="gramEnd"/>
      <w:r>
        <w:t xml:space="preserve"> utlegg.»</w:t>
      </w:r>
    </w:p>
    <w:p w:rsidR="00000000" w:rsidRDefault="00B8461F" w:rsidP="00E876DA">
      <w:r>
        <w:t xml:space="preserve">To høringsinstanser foreslår større reduksjoner i skrivesalæret enn det som ble foreslått i høringsnotatet. </w:t>
      </w:r>
      <w:r>
        <w:rPr>
          <w:rStyle w:val="kursiv"/>
          <w:sz w:val="21"/>
          <w:szCs w:val="21"/>
        </w:rPr>
        <w:t>Fattignettverk</w:t>
      </w:r>
      <w:r>
        <w:rPr>
          <w:rStyle w:val="kursiv"/>
          <w:sz w:val="21"/>
          <w:szCs w:val="21"/>
        </w:rPr>
        <w:t>et Norge</w:t>
      </w:r>
      <w:r>
        <w:t xml:space="preserve"> foreslår at skrivesalæret for forliksklagene settes til 0,25 R (p.t. 293 kroner), mens </w:t>
      </w:r>
      <w:proofErr w:type="spellStart"/>
      <w:r>
        <w:rPr>
          <w:rStyle w:val="kursiv"/>
          <w:sz w:val="21"/>
          <w:szCs w:val="21"/>
        </w:rPr>
        <w:t>Jussbuss</w:t>
      </w:r>
      <w:proofErr w:type="spellEnd"/>
      <w:r>
        <w:t xml:space="preserve"> foreslår at skrivesalæret settes til 0,2 R (p.t. 234 kroner). </w:t>
      </w:r>
      <w:proofErr w:type="spellStart"/>
      <w:r>
        <w:t>Jussbuss</w:t>
      </w:r>
      <w:proofErr w:type="spellEnd"/>
      <w:r>
        <w:t xml:space="preserve"> begrunner sitt forslag med at forliksklager etter deres erfaring i stor grad er </w:t>
      </w:r>
      <w:r>
        <w:t>en automatisert prosess hvor hovedformålet ofte er å avbryte foreldelse:</w:t>
      </w:r>
    </w:p>
    <w:p w:rsidR="00000000" w:rsidRDefault="00B8461F" w:rsidP="00E876DA">
      <w:pPr>
        <w:pStyle w:val="blokksit"/>
      </w:pPr>
      <w:r>
        <w:t>«</w:t>
      </w:r>
      <w:proofErr w:type="spellStart"/>
      <w:r>
        <w:t>Jussbuss</w:t>
      </w:r>
      <w:proofErr w:type="spellEnd"/>
      <w:r>
        <w:t xml:space="preserve"> stiller seg bak departementets begrunnelse om å redusere skrivesalær for forliksklager. Vi foreslår derimot at skrivesalæret for forliksklager reduseres tilsvarende til 0,2 </w:t>
      </w:r>
      <w:r>
        <w:t>rettsgebyr. Dette på bakgrunn av vår erfaring om at forliksklager, i likhet med begjæringer om utlegg og tvangssalg, i stor grad er en automatisert prosess.</w:t>
      </w:r>
    </w:p>
    <w:p w:rsidR="00000000" w:rsidRDefault="00B8461F" w:rsidP="00E876DA">
      <w:pPr>
        <w:pStyle w:val="blokksit"/>
      </w:pPr>
      <w:r>
        <w:t>I likhet med det departementet peker på, taler konsekvenshensyn for at skrivesalæret i forliksklage</w:t>
      </w:r>
      <w:r>
        <w:t>r reduseres i tråd med reduksjonen av skrivesalæret for begjæringer om utlegg og tvangssalg. Gjennom vår saksbehandling har vi erfart at forliksklager, i likhet med begjæringer om utlegg og tvangssalg, som regel er lite tidskrevende, der hovedformålet ofte</w:t>
      </w:r>
      <w:r>
        <w:t xml:space="preserve"> er å avbryte foreldelse. For forliksklager i inkassosaker er det som regel tilstrekkelig å legge ved kopi av dokumentet kravet bygger på, samt betalingsoppfordring. Mange forliksklager blir utarbeidet uten at det er tvist rundt kravet og kreditor får tvan</w:t>
      </w:r>
      <w:r>
        <w:t xml:space="preserve">gsgrunnlag gjennom </w:t>
      </w:r>
      <w:proofErr w:type="spellStart"/>
      <w:r>
        <w:t>fraværsdom</w:t>
      </w:r>
      <w:proofErr w:type="spellEnd"/>
      <w:r>
        <w:t>. I slike tilfeller medfører arbeidet med en forliksklage lite arbeid.»</w:t>
      </w:r>
    </w:p>
    <w:p w:rsidR="00000000" w:rsidRDefault="00B8461F" w:rsidP="00E876DA">
      <w:r>
        <w:t>Følgende høringsinstanser mener høringsnotatets forslag om reduksjon i inndrivingskostnader samlet sett går for langt, men har ikke uttalt seg om forslaget</w:t>
      </w:r>
      <w:r>
        <w:t xml:space="preserve"> om halvering av skrivesalæret for forliksklager i inkassosaker:</w:t>
      </w:r>
    </w:p>
    <w:p w:rsidR="00000000" w:rsidRDefault="00B8461F" w:rsidP="00E876DA">
      <w:pPr>
        <w:rPr>
          <w:rStyle w:val="kursiv"/>
          <w:sz w:val="21"/>
          <w:szCs w:val="21"/>
        </w:rPr>
      </w:pPr>
      <w:proofErr w:type="spellStart"/>
      <w:r>
        <w:rPr>
          <w:rStyle w:val="kursiv"/>
          <w:sz w:val="21"/>
          <w:szCs w:val="21"/>
        </w:rPr>
        <w:t>Contando</w:t>
      </w:r>
      <w:proofErr w:type="spellEnd"/>
      <w:r>
        <w:rPr>
          <w:rStyle w:val="kursiv"/>
          <w:sz w:val="21"/>
          <w:szCs w:val="21"/>
        </w:rPr>
        <w:t xml:space="preserve"> AS, </w:t>
      </w:r>
      <w:proofErr w:type="spellStart"/>
      <w:r>
        <w:rPr>
          <w:rStyle w:val="kursiv"/>
          <w:sz w:val="21"/>
          <w:szCs w:val="21"/>
        </w:rPr>
        <w:t>Elvia</w:t>
      </w:r>
      <w:proofErr w:type="spellEnd"/>
      <w:r>
        <w:rPr>
          <w:rStyle w:val="kursiv"/>
          <w:sz w:val="21"/>
          <w:szCs w:val="21"/>
        </w:rPr>
        <w:t xml:space="preserve"> AS, Energi Norge, Finans Norge, Finansforbundet, Garmann, Mitchell &amp; Co Advokatfirma DA, Hovedorganisasjonen Virke, Namdalskysten Næringsforening, Norges Parkeringsforening</w:t>
      </w:r>
      <w:r>
        <w:rPr>
          <w:rStyle w:val="kursiv"/>
          <w:sz w:val="21"/>
          <w:szCs w:val="21"/>
        </w:rPr>
        <w:t xml:space="preserve"> (</w:t>
      </w:r>
      <w:proofErr w:type="spellStart"/>
      <w:r>
        <w:rPr>
          <w:rStyle w:val="kursiv"/>
          <w:sz w:val="21"/>
          <w:szCs w:val="21"/>
        </w:rPr>
        <w:t>Norpark</w:t>
      </w:r>
      <w:proofErr w:type="spellEnd"/>
      <w:r>
        <w:rPr>
          <w:rStyle w:val="kursiv"/>
          <w:sz w:val="21"/>
          <w:szCs w:val="21"/>
        </w:rPr>
        <w:t xml:space="preserve">), Næringsalliansen for Trøndelag, Nærøysund kommune, Per Aage Pleym Christensen, Posten Norge AS, Roland </w:t>
      </w:r>
      <w:proofErr w:type="spellStart"/>
      <w:r>
        <w:rPr>
          <w:rStyle w:val="kursiv"/>
          <w:sz w:val="21"/>
          <w:szCs w:val="21"/>
        </w:rPr>
        <w:t>Mortvedt</w:t>
      </w:r>
      <w:proofErr w:type="spellEnd"/>
      <w:r>
        <w:t xml:space="preserve"> og </w:t>
      </w:r>
      <w:r>
        <w:rPr>
          <w:rStyle w:val="kursiv"/>
          <w:sz w:val="21"/>
          <w:szCs w:val="21"/>
        </w:rPr>
        <w:t>to privatpersoner som ikke har oppgitt navn.</w:t>
      </w:r>
    </w:p>
    <w:p w:rsidR="00000000" w:rsidRDefault="00B8461F" w:rsidP="00E876DA">
      <w:pPr>
        <w:rPr>
          <w:rStyle w:val="kursiv"/>
          <w:sz w:val="21"/>
          <w:szCs w:val="21"/>
        </w:rPr>
      </w:pPr>
      <w:r>
        <w:rPr>
          <w:rStyle w:val="kursiv"/>
          <w:sz w:val="21"/>
          <w:szCs w:val="21"/>
        </w:rPr>
        <w:t>Fjellinjen</w:t>
      </w:r>
      <w:r>
        <w:t xml:space="preserve">, </w:t>
      </w:r>
      <w:proofErr w:type="spellStart"/>
      <w:r>
        <w:rPr>
          <w:rStyle w:val="kursiv"/>
          <w:sz w:val="21"/>
          <w:szCs w:val="21"/>
        </w:rPr>
        <w:t>Melin</w:t>
      </w:r>
      <w:proofErr w:type="spellEnd"/>
      <w:r>
        <w:rPr>
          <w:rStyle w:val="kursiv"/>
          <w:sz w:val="21"/>
          <w:szCs w:val="21"/>
        </w:rPr>
        <w:t xml:space="preserve"> Group AS</w:t>
      </w:r>
      <w:r>
        <w:t xml:space="preserve"> og </w:t>
      </w:r>
      <w:proofErr w:type="spellStart"/>
      <w:r>
        <w:rPr>
          <w:rStyle w:val="kursiv"/>
          <w:sz w:val="21"/>
          <w:szCs w:val="21"/>
        </w:rPr>
        <w:t>Solvencia</w:t>
      </w:r>
      <w:proofErr w:type="spellEnd"/>
      <w:r>
        <w:rPr>
          <w:rStyle w:val="kursiv"/>
          <w:sz w:val="21"/>
          <w:szCs w:val="21"/>
        </w:rPr>
        <w:t xml:space="preserve"> AS</w:t>
      </w:r>
      <w:r>
        <w:t xml:space="preserve"> går mot en reduksjon av skrivesalæret for</w:t>
      </w:r>
      <w:r>
        <w:t xml:space="preserve"> forliksklager i inkassosaker.</w:t>
      </w:r>
    </w:p>
    <w:p w:rsidR="00000000" w:rsidRDefault="00B8461F" w:rsidP="00E876DA">
      <w:pPr>
        <w:rPr>
          <w:rStyle w:val="kursiv"/>
          <w:sz w:val="21"/>
          <w:szCs w:val="21"/>
        </w:rPr>
      </w:pPr>
      <w:r>
        <w:rPr>
          <w:rStyle w:val="kursiv"/>
          <w:sz w:val="21"/>
          <w:szCs w:val="21"/>
        </w:rPr>
        <w:t>Fjellinjen</w:t>
      </w:r>
      <w:r>
        <w:t xml:space="preserve"> mener at en reduksjon av skrivesalæret </w:t>
      </w:r>
      <w:proofErr w:type="gramStart"/>
      <w:r>
        <w:t>potensielt</w:t>
      </w:r>
      <w:proofErr w:type="gramEnd"/>
      <w:r>
        <w:t xml:space="preserve"> kan føre til en økning i antallet forliksklager, men advarer samtidig mot mulige økte tap på krav dersom inkassoforetakenes incentiver til å inndrive små krav blir </w:t>
      </w:r>
      <w:r>
        <w:t>redusert:</w:t>
      </w:r>
    </w:p>
    <w:p w:rsidR="00000000" w:rsidRDefault="00B8461F" w:rsidP="00E876DA">
      <w:pPr>
        <w:pStyle w:val="blokksit"/>
      </w:pPr>
      <w:r>
        <w:t xml:space="preserve">«Fjellinjen ser to </w:t>
      </w:r>
      <w:proofErr w:type="gramStart"/>
      <w:r>
        <w:t>potensielle</w:t>
      </w:r>
      <w:proofErr w:type="gramEnd"/>
      <w:r>
        <w:t xml:space="preserve"> effekter av reduksjon av skrivesalær for utleggsbegjæringer og halvering av skrivesalær for forliksklager i inkassosaker.</w:t>
      </w:r>
    </w:p>
    <w:p w:rsidR="00000000" w:rsidRDefault="00B8461F" w:rsidP="00E876DA">
      <w:pPr>
        <w:pStyle w:val="blokksit"/>
      </w:pPr>
      <w:r>
        <w:t>Redusert skrivesalær vil være hensiktsmessig for skyldner da det reduserer totalkostnaden. Me</w:t>
      </w:r>
      <w:r>
        <w:t>n det kan også øke antall saker oversendt til namsmann og forliksråd, da terskelen er lavere med lavere kostnad. Dette vil medføre en unødvendig belastning av disse organene og virke mot sin hensikt.</w:t>
      </w:r>
    </w:p>
    <w:p w:rsidR="00000000" w:rsidRDefault="00B8461F" w:rsidP="00E876DA">
      <w:pPr>
        <w:pStyle w:val="blokksit"/>
      </w:pPr>
      <w:r>
        <w:lastRenderedPageBreak/>
        <w:t>På den andre siden vil en reduksjon i skrivesalæret redu</w:t>
      </w:r>
      <w:r>
        <w:t>serer incentivene til inkassator til å inndrive kravene, og da særlig små krav, da det medfører merkostnader og merarbeid å oversende kravene til namsmann og forliksråd. Dette vil redusere løsningsgraden til inkassator og øke tap på krav for fordringshaver</w:t>
      </w:r>
      <w:r>
        <w:t>.</w:t>
      </w:r>
    </w:p>
    <w:p w:rsidR="00000000" w:rsidRDefault="00B8461F" w:rsidP="00E876DA">
      <w:pPr>
        <w:pStyle w:val="blokksit"/>
      </w:pPr>
      <w:r>
        <w:t>For Fjellinjen sin del er dette uheldig da inkassopågang er et viktig virkemiddel for å kreve inn utestående krav, ettersom det ikke er fysiske hinder for å passere en bomstasjon. Økt tap på krav vil igjen føre til færre midler tilgjengelig for kollektiv</w:t>
      </w:r>
      <w:r>
        <w:t>- og vegprosjekter.»</w:t>
      </w:r>
    </w:p>
    <w:p w:rsidR="00000000" w:rsidRDefault="00B8461F" w:rsidP="00E876DA">
      <w:pPr>
        <w:rPr>
          <w:rStyle w:val="kursiv"/>
          <w:sz w:val="21"/>
          <w:szCs w:val="21"/>
        </w:rPr>
      </w:pPr>
      <w:proofErr w:type="spellStart"/>
      <w:r>
        <w:rPr>
          <w:rStyle w:val="kursiv"/>
          <w:sz w:val="21"/>
          <w:szCs w:val="21"/>
        </w:rPr>
        <w:t>Melin</w:t>
      </w:r>
      <w:proofErr w:type="spellEnd"/>
      <w:r>
        <w:rPr>
          <w:rStyle w:val="kursiv"/>
          <w:sz w:val="21"/>
          <w:szCs w:val="21"/>
        </w:rPr>
        <w:t xml:space="preserve"> Group AS</w:t>
      </w:r>
      <w:r>
        <w:t xml:space="preserve"> mener at den store majoriteten av krav sendes til forliksrådet fordi skyldneren har en innsigelse, og beskriver kostnader ved prosessen:</w:t>
      </w:r>
    </w:p>
    <w:p w:rsidR="00000000" w:rsidRDefault="00B8461F" w:rsidP="00E876DA">
      <w:pPr>
        <w:pStyle w:val="blokksit"/>
      </w:pPr>
      <w:r>
        <w:t xml:space="preserve">«Det er åpenbart urimelig å se for seg muligheten for å kunne foreta en kvalitativ </w:t>
      </w:r>
      <w:r>
        <w:t xml:space="preserve">behandling og vurdering av saker som </w:t>
      </w:r>
      <w:proofErr w:type="gramStart"/>
      <w:r>
        <w:t>potensielt</w:t>
      </w:r>
      <w:proofErr w:type="gramEnd"/>
      <w:r>
        <w:t xml:space="preserve"> skal behandles i forliksråd, dersom kostnader for dette arbeidet ikke tilstrekkelig dekkes inn. Det kreves god saksbehandling og fremleggelse av dokumentasjon for at det skal kunne tas stilling til sakene i r</w:t>
      </w:r>
      <w:r>
        <w:t>ettsapparatet.</w:t>
      </w:r>
    </w:p>
    <w:p w:rsidR="00000000" w:rsidRDefault="00B8461F" w:rsidP="00E876DA">
      <w:pPr>
        <w:pStyle w:val="blokksit"/>
      </w:pPr>
      <w:r>
        <w:t>Det er en misforståelse i antagelsen lagt frem i høringsforslaget om at saker til forliksrådene i all hovedsak ikke er omtvistet.</w:t>
      </w:r>
    </w:p>
    <w:p w:rsidR="00000000" w:rsidRDefault="00B8461F" w:rsidP="00E876DA">
      <w:pPr>
        <w:pStyle w:val="blokksit"/>
      </w:pPr>
      <w:r>
        <w:t>Før det fantes en mulighet til å sende utleggsbegjæring på uomtvistede krav med hjemmel i tvangsfullbyrdelseslo</w:t>
      </w:r>
      <w:r>
        <w:t xml:space="preserve">ven § 7 f, så stemmer det at en stor del av kravene som ble sendt til forliksrådet var uomtvistet. Man ønsket da å benytte forliksrådet som en mulighet til å hindre foreldelse f.eks. der man aldri hadde oppnådd kontakt med skyldner. I dag er realiteten en </w:t>
      </w:r>
      <w:r>
        <w:t>helt annen og den store majoriteten av krav som sendes til forliksrådet sendes nettopp dit fordi skyldner har en innsigelse. Denne skal behandles og besvares, ofte i flere omganger. Det skal fremlegges dokumentasjon, ofte også gjennom en dialog med kredito</w:t>
      </w:r>
      <w:r>
        <w:t xml:space="preserve">r. Det skal skrives </w:t>
      </w:r>
      <w:proofErr w:type="spellStart"/>
      <w:r>
        <w:t>prosesskriv</w:t>
      </w:r>
      <w:proofErr w:type="spellEnd"/>
      <w:r>
        <w:t xml:space="preserve"> til forliksrådet og i enkelte tilfeller også innhentes juridisk kompetanse. Dette er en prosess som tar tid og som koster penger.»</w:t>
      </w:r>
    </w:p>
    <w:p w:rsidR="00000000" w:rsidRDefault="00B8461F" w:rsidP="00E876DA">
      <w:pPr>
        <w:rPr>
          <w:rStyle w:val="kursiv"/>
          <w:sz w:val="21"/>
          <w:szCs w:val="21"/>
        </w:rPr>
      </w:pPr>
      <w:proofErr w:type="spellStart"/>
      <w:r>
        <w:rPr>
          <w:rStyle w:val="kursiv"/>
          <w:sz w:val="21"/>
          <w:szCs w:val="21"/>
        </w:rPr>
        <w:t>Solvencia</w:t>
      </w:r>
      <w:proofErr w:type="spellEnd"/>
      <w:r>
        <w:rPr>
          <w:rStyle w:val="kursiv"/>
          <w:sz w:val="21"/>
          <w:szCs w:val="21"/>
        </w:rPr>
        <w:t xml:space="preserve"> AS</w:t>
      </w:r>
      <w:r>
        <w:t xml:space="preserve"> støtter arbeidsgruppens forslag om å</w:t>
      </w:r>
      <w:r>
        <w:t xml:space="preserve"> opprettholde dagens skrivesalær og mener både at arbeidet med forliksklager er tidkrevende, og at det ikke er grunn til å se skrivesalæret for forliksklager og skrivesalæret for utleggsbegjæringer i sammenheng:</w:t>
      </w:r>
    </w:p>
    <w:p w:rsidR="00000000" w:rsidRDefault="00B8461F" w:rsidP="00E876DA">
      <w:pPr>
        <w:pStyle w:val="blokksit"/>
      </w:pPr>
      <w:r>
        <w:t>«Rapporten begrunner godt årsakene til at sk</w:t>
      </w:r>
      <w:r>
        <w:t>rivesalæret for forliksklager bør beholdes på ett rettsgebyr, men ettersom Departementet synes å overse disse argumentene synes det nødvendig å utbrodere disse nærmere.</w:t>
      </w:r>
    </w:p>
    <w:p w:rsidR="00000000" w:rsidRDefault="00B8461F" w:rsidP="00E876DA">
      <w:pPr>
        <w:pStyle w:val="blokksit"/>
      </w:pPr>
      <w:r>
        <w:t>For det første er arbeidet med en forliksklage langt mer tidkrevende enn å utferdige en</w:t>
      </w:r>
      <w:r>
        <w:t xml:space="preserve"> utleggsbegjæring. Dette er drevet av det etterfølgende arbeidet knyttet til å skaffe møtefullmektig, skrive prosess-skriv, </w:t>
      </w:r>
      <w:proofErr w:type="gramStart"/>
      <w:r>
        <w:t>besørge</w:t>
      </w:r>
      <w:proofErr w:type="gramEnd"/>
      <w:r>
        <w:t xml:space="preserve"> nødvendige møtefullmakter, oppdatere møtefullmektig om saken, forsøk på forlik med skyldneren, og oppfølging av saken i ette</w:t>
      </w:r>
      <w:r>
        <w:t>rkant av forliksrådsmøtet.</w:t>
      </w:r>
    </w:p>
    <w:p w:rsidR="00000000" w:rsidRDefault="00B8461F" w:rsidP="00E876DA">
      <w:pPr>
        <w:pStyle w:val="blokksit"/>
      </w:pPr>
      <w:r>
        <w:t>For det andre har ikke argumentet om at skrivesalæret for forliksklager må halveres for å unngå at forliksklager tas i bruk som et mer lukrativt substitutt til utleggsbegjæringer rot i virkeligheten. Forliksrådet er kun egnet til</w:t>
      </w:r>
      <w:r>
        <w:t xml:space="preserve"> å stadfeste et kravs rettmessighet, samt sikre kravet mot foreldelse. Det fremstår som lite sannsynlig at inkassatorene ville ønske å utsette en </w:t>
      </w:r>
      <w:proofErr w:type="gramStart"/>
      <w:r>
        <w:t>potensiell</w:t>
      </w:r>
      <w:proofErr w:type="gramEnd"/>
      <w:r>
        <w:t xml:space="preserve"> løsning av saken (gjennom tvangsinndrivelse) med den tiden det tar å få saken gjennom forliksrådet,</w:t>
      </w:r>
      <w:r>
        <w:t xml:space="preserve"> kun for å belaste et ekstra skrivesalær. Dette spesielt siden denne muligheten eksisterer i dag og ikke benyttes.»</w:t>
      </w:r>
    </w:p>
    <w:p w:rsidR="00000000" w:rsidRDefault="00B8461F" w:rsidP="00E876DA">
      <w:r>
        <w:t xml:space="preserve">Flere høringsinstanser har tatt til orde for at statlige gebyrer ved inndriving av pengekrav bør reduseres, og </w:t>
      </w:r>
      <w:r>
        <w:rPr>
          <w:rStyle w:val="kursiv"/>
          <w:sz w:val="21"/>
          <w:szCs w:val="21"/>
        </w:rPr>
        <w:t>Finans Norge</w:t>
      </w:r>
      <w:r>
        <w:t xml:space="preserve">, </w:t>
      </w:r>
      <w:r>
        <w:rPr>
          <w:rStyle w:val="kursiv"/>
          <w:sz w:val="21"/>
          <w:szCs w:val="21"/>
        </w:rPr>
        <w:t>Finansieringsse</w:t>
      </w:r>
      <w:r>
        <w:rPr>
          <w:rStyle w:val="kursiv"/>
          <w:sz w:val="21"/>
          <w:szCs w:val="21"/>
        </w:rPr>
        <w:t>lskapenes Forening</w:t>
      </w:r>
      <w:r>
        <w:t xml:space="preserve"> og </w:t>
      </w:r>
      <w:r>
        <w:rPr>
          <w:rStyle w:val="kursiv"/>
          <w:sz w:val="21"/>
          <w:szCs w:val="21"/>
        </w:rPr>
        <w:t>Per Aage Pleym Christensen</w:t>
      </w:r>
      <w:r>
        <w:t xml:space="preserve"> nevner i denne sammenhengen de statlige gebyrene for forliksklager.</w:t>
      </w:r>
    </w:p>
    <w:p w:rsidR="00000000" w:rsidRDefault="00B8461F" w:rsidP="00E876DA">
      <w:pPr>
        <w:pStyle w:val="Overskrift2"/>
      </w:pPr>
      <w:r>
        <w:lastRenderedPageBreak/>
        <w:t>Departementets vurderinger</w:t>
      </w:r>
    </w:p>
    <w:p w:rsidR="00000000" w:rsidRDefault="00B8461F" w:rsidP="00E876DA">
      <w:r>
        <w:t>Departementet opprettholder forslaget i hør</w:t>
      </w:r>
      <w:r>
        <w:t xml:space="preserve">ingsnotatet og begrunnelsene som ble gitt der. Forslaget har fått god oppslutningen i høringen, og høringsuttalelsene fra </w:t>
      </w:r>
      <w:r>
        <w:rPr>
          <w:rStyle w:val="kursiv"/>
          <w:sz w:val="21"/>
          <w:szCs w:val="21"/>
        </w:rPr>
        <w:t xml:space="preserve">Namsfogden i Oslo, Asker og Bærum, Vest politidistrikt, </w:t>
      </w:r>
      <w:proofErr w:type="gramStart"/>
      <w:r>
        <w:rPr>
          <w:rStyle w:val="kursiv"/>
          <w:sz w:val="21"/>
          <w:szCs w:val="21"/>
        </w:rPr>
        <w:t>Øst politidistrikt</w:t>
      </w:r>
      <w:proofErr w:type="gramEnd"/>
      <w:r>
        <w:rPr>
          <w:rStyle w:val="kursiv"/>
          <w:sz w:val="21"/>
          <w:szCs w:val="21"/>
        </w:rPr>
        <w:t>, Fair Group AS</w:t>
      </w:r>
      <w:r>
        <w:t xml:space="preserve"> og </w:t>
      </w:r>
      <w:proofErr w:type="spellStart"/>
      <w:r>
        <w:rPr>
          <w:rStyle w:val="kursiv"/>
          <w:sz w:val="21"/>
          <w:szCs w:val="21"/>
        </w:rPr>
        <w:t>Jussbuss</w:t>
      </w:r>
      <w:proofErr w:type="spellEnd"/>
      <w:r>
        <w:t xml:space="preserve"> underbygger at det er lite arbei</w:t>
      </w:r>
      <w:r>
        <w:t xml:space="preserve">d med forliksklagene i saker der det kreves erstatning for utenrettslige inndrivingskostnader. Departementet ser ikke grunn til å foreslå en større reduksjon enn en halvering nå, og viser til at en halvering støttes av </w:t>
      </w:r>
      <w:r>
        <w:rPr>
          <w:rStyle w:val="kursiv"/>
          <w:sz w:val="21"/>
          <w:szCs w:val="21"/>
        </w:rPr>
        <w:t>Namsfogden i Oslo, Asker og Bærum, Ve</w:t>
      </w:r>
      <w:r>
        <w:rPr>
          <w:rStyle w:val="kursiv"/>
          <w:sz w:val="21"/>
          <w:szCs w:val="21"/>
        </w:rPr>
        <w:t>st politidistrikt</w:t>
      </w:r>
      <w:r>
        <w:t xml:space="preserve"> og </w:t>
      </w:r>
      <w:r>
        <w:rPr>
          <w:rStyle w:val="kursiv"/>
          <w:sz w:val="21"/>
          <w:szCs w:val="21"/>
        </w:rPr>
        <w:t>Øst politidistrikt</w:t>
      </w:r>
      <w:r>
        <w:t xml:space="preserve">. Departementet viser også til </w:t>
      </w:r>
      <w:r>
        <w:rPr>
          <w:rStyle w:val="kursiv"/>
          <w:sz w:val="21"/>
          <w:szCs w:val="21"/>
        </w:rPr>
        <w:t>Finanstilsynets</w:t>
      </w:r>
      <w:r>
        <w:t xml:space="preserve"> høringsuttalelse, der tilsynet tar til orde for at høringsnotatets forslag til reduksjoner i gebyrene og salærene etter inkassoforskriften var for store, og understreker </w:t>
      </w:r>
      <w:r>
        <w:t>viktigheten av trygge og forsvarlige inndrivingsprosesser.</w:t>
      </w:r>
    </w:p>
    <w:p w:rsidR="00000000" w:rsidRDefault="00B8461F" w:rsidP="00E876DA">
      <w:r>
        <w:t xml:space="preserve">Når det gjelder </w:t>
      </w:r>
      <w:proofErr w:type="spellStart"/>
      <w:r>
        <w:rPr>
          <w:rStyle w:val="kursiv"/>
          <w:sz w:val="21"/>
          <w:szCs w:val="21"/>
        </w:rPr>
        <w:t>Melin</w:t>
      </w:r>
      <w:proofErr w:type="spellEnd"/>
      <w:r>
        <w:rPr>
          <w:rStyle w:val="kursiv"/>
          <w:sz w:val="21"/>
          <w:szCs w:val="21"/>
        </w:rPr>
        <w:t xml:space="preserve"> Group AS’</w:t>
      </w:r>
      <w:r>
        <w:t xml:space="preserve"> og </w:t>
      </w:r>
      <w:proofErr w:type="spellStart"/>
      <w:r>
        <w:rPr>
          <w:rStyle w:val="kursiv"/>
          <w:sz w:val="21"/>
          <w:szCs w:val="21"/>
        </w:rPr>
        <w:t>Solvencia</w:t>
      </w:r>
      <w:proofErr w:type="spellEnd"/>
      <w:r>
        <w:rPr>
          <w:rStyle w:val="kursiv"/>
          <w:sz w:val="21"/>
          <w:szCs w:val="21"/>
        </w:rPr>
        <w:t xml:space="preserve"> AS</w:t>
      </w:r>
      <w:r>
        <w:t>’ uttalelser om kostnader ved forliksrådsbehandling, som bygger på at kravene er omtvistet, vil departementet understreke at forslaget gjelder skrives</w:t>
      </w:r>
      <w:r>
        <w:t>alær der det også kreves erstatning for utenrettslige inndrivingskostnader, og at det som hovedregel ikke kan kreves erstatning for utenrettslige inndrivingskostnader ved inndriving av bestridte krav, jf. inkassoloven § 17 andre ledd. Departementet antar d</w:t>
      </w:r>
      <w:r>
        <w:t xml:space="preserve">erfor at det normalt ikke vil være tvist i de sakene hvor utenrettslige inndrivingskostnader kreves dekket, og viser til den nærmere begrunnelsen for dette i høringsnotatet. Departementet finner det på bakgrunn av regelen i inkassoloven § 17 andre ledd og </w:t>
      </w:r>
      <w:r>
        <w:t xml:space="preserve">høringsuttalelsene fra Namsfogden i Oslo, Asker og Bærum, Vest politidistrikt, </w:t>
      </w:r>
      <w:proofErr w:type="gramStart"/>
      <w:r>
        <w:t>Øst politidistrikt</w:t>
      </w:r>
      <w:proofErr w:type="gramEnd"/>
      <w:r>
        <w:t xml:space="preserve">, Fair Group AS og </w:t>
      </w:r>
      <w:proofErr w:type="spellStart"/>
      <w:r>
        <w:t>Jussbuss</w:t>
      </w:r>
      <w:proofErr w:type="spellEnd"/>
      <w:r>
        <w:t xml:space="preserve"> lite sannsynlig at det vil være så mye arbeid med forliksklagene der det kreves erstatning for utenrettslige inndrivingskostnader, </w:t>
      </w:r>
      <w:r>
        <w:t xml:space="preserve">som det </w:t>
      </w:r>
      <w:proofErr w:type="spellStart"/>
      <w:r>
        <w:t>Melin</w:t>
      </w:r>
      <w:proofErr w:type="spellEnd"/>
      <w:r>
        <w:t xml:space="preserve"> Group AS og </w:t>
      </w:r>
      <w:proofErr w:type="spellStart"/>
      <w:r>
        <w:t>Solvencia</w:t>
      </w:r>
      <w:proofErr w:type="spellEnd"/>
      <w:r>
        <w:t xml:space="preserve"> AS legger til grunn i sine høringsuttalelser. Departementet antar derfor at et skrivesalær på et halvt rettsgebyr vil dekke vanlige kostnader til rettshjelp ved forliksklage og saksforberedelse ellers der det også kreves</w:t>
      </w:r>
      <w:r>
        <w:t xml:space="preserve"> erstatning for utenrettslige inndrivingskostnader. Departementet vil likevel understreke at det ikke følger av tvisteloven § 6-13 at alle </w:t>
      </w:r>
      <w:proofErr w:type="gramStart"/>
      <w:r>
        <w:t>potensielle</w:t>
      </w:r>
      <w:proofErr w:type="gramEnd"/>
      <w:r>
        <w:t xml:space="preserve"> kostnader skal dekkes. Etter departementets syn er det også relevant å legge vekt på forliksrådenes og sk</w:t>
      </w:r>
      <w:r>
        <w:t>yldnernes behov for at skrivesalærene ikke gir incentiver til ellers formålsløse uttak av forliksklager i uomtvistede saker.</w:t>
      </w:r>
    </w:p>
    <w:p w:rsidR="00000000" w:rsidRDefault="00B8461F" w:rsidP="00E876DA">
      <w:r>
        <w:t xml:space="preserve">Departementet anser </w:t>
      </w:r>
      <w:r>
        <w:rPr>
          <w:rStyle w:val="kursiv"/>
          <w:sz w:val="21"/>
          <w:szCs w:val="21"/>
        </w:rPr>
        <w:t>Fjellinjen</w:t>
      </w:r>
      <w:r>
        <w:t>s hypotese om at et lavere skrivesalær kan føre til en økning i antallet forliksklager, for lite sann</w:t>
      </w:r>
      <w:r>
        <w:t>synlig. Hypotesen er begrunnet i at inkassoforetakenes terskel for å ta ut forliksklager vil være lavere dersom kostnaden for skyldneren blir lavere. Departementet antar at inkassoforetakene som kommersielle aktører som bistår fordringshavere med inndrivin</w:t>
      </w:r>
      <w:r>
        <w:t>g av pengekrav, gjennomgående er mer opptatt av effektiv inndriving av pengekravene og egen inntjening enn av omsorgen for skyldnernes inndrivingskostnader. Lovgivningen må i alle tilfeller bygge på denne forutsetningen. Inkassoforetakene står dessuten fri</w:t>
      </w:r>
      <w:r>
        <w:t>tt til å ta et lavere skrivesalær enn det de har adgang til å kreve etter regelverket, eller til ikke å ta skrivesalær. Dersom skrivesalæret skulle anses som et hinder mot å ta ut forliksklage i saker der en forliksklage ellers ville vært et hensiktsmessig</w:t>
      </w:r>
      <w:r>
        <w:t xml:space="preserve"> inndrivingstiltak, ville dette vært en mer nærliggende løsning. I den grad inkassoforetakene likevel unngår å ta ut forliksklager av hensyn til skyldnernes kostnadssituasjon, antar departementet at en halvering av skrivesalæret for forliksklager i inkasso</w:t>
      </w:r>
      <w:r>
        <w:t>saker neppe vil gi inkassoforetakene incentiver til å ta ut flere forliksklager. Departementet viser til at skyldnerne etter forslaget uansett må betale nærmere to tusen kroner for forliksklagene, med et skrivesalær for forliksklagen på et halvt rettsgebyr</w:t>
      </w:r>
      <w:r>
        <w:t xml:space="preserve"> (p.t. 586 kroner), jf. forslaget til endring i tvisteloven § 6-13 første ledd bokstav d i lovforslaget, og et gebyr til staten på 1,15 ganger rettsgebyret (p.t. 1347 kroner), jf. rettsgebyrloven § 7 første ledd og tvisteloven § 6-13 første ledd bokstav a.</w:t>
      </w:r>
    </w:p>
    <w:p w:rsidR="00000000" w:rsidRDefault="00B8461F" w:rsidP="00E876DA">
      <w:r>
        <w:t>Departementet antar heller at en reduksjon av skrivesalæret er egnet til å redusere antallet forliksklager i inkassosaker, særlig der salæret i seg selv og ikke inndrivingen av kravet er hovedmotivasjonen for å ta ut forliksklagen. Departementet vil likev</w:t>
      </w:r>
      <w:r>
        <w:t>el understreke at det ikke er kjent med at uttak av forliksklager i inkassosaker uten god begrunnelse er noe utbredt problem i dag. Som beskrevet i høringsnotatet er det likevel viktig å forebygge at uttak av forliksklager uten god begrunnelse blir et prob</w:t>
      </w:r>
      <w:r>
        <w:t>lem ved at skrivesalæret for forliksklager blir høyere enn skrivesalæret for utleggsbegjæringer. Dersom reduksjonen av skrivesalæret for forliksklager og utleggsbegjæringer fører til at inkassoforetakene og fordringshaverne gjør flere forsøk på å få inndre</w:t>
      </w:r>
      <w:r>
        <w:t>vet kravet utenrettslig før en eventuell rettslig inndriving, innebærer det en betydelig fordel for skyldnerne og forliksrådene/namsmyndighetene.</w:t>
      </w:r>
    </w:p>
    <w:p w:rsidR="00000000" w:rsidRDefault="00B8461F" w:rsidP="00E876DA">
      <w:r>
        <w:lastRenderedPageBreak/>
        <w:t>Departementet er ikke bekymret for at forslaget vil føre til lavere løsningsgrad. Det er gode holdepunkter for</w:t>
      </w:r>
      <w:r>
        <w:t xml:space="preserve"> at skrivesalæret nå er klart høyere enn de faktiske kostnadene, og departementet antar at det foreslåtte skrivesalæret vil dekke kostnadene i de aller fleste sakene. Med et lett tilgjengelig apparat for rettslig inndriving, som i det store flertallet av s</w:t>
      </w:r>
      <w:r>
        <w:t>aker ikke vil medføre kostnader for inkassoforetakene og fordringshaverne, antar departementet at mange krav fortsatt vil bli inndrevet rettslig, samt at muligheten for at kravet blir inndrevet rettslig, bidrar til høy løsningsgrad på et utenrettslig stadi</w:t>
      </w:r>
      <w:r>
        <w:t>um.</w:t>
      </w:r>
    </w:p>
    <w:p w:rsidR="00000000" w:rsidRDefault="00B8461F" w:rsidP="00E876DA">
      <w:r>
        <w:t>Når det gjelder det statlige gebyret for behandling av en sak ved forliksrådet, jf. rettsgebyrloven § 7 første ledd, ble dette gebyret økt fra ett rettsgebyr til 1,15 rettsgebyr ved lov 20. desember 2018 nr. 118 om endringer i rettsgebyrloven (justerin</w:t>
      </w:r>
      <w:r>
        <w:t xml:space="preserve">g av gebyrer). Dette ble gjort som en del av arbeidet med å justere gebyrer i justissektoren til selvkost. Begrunnelsen for </w:t>
      </w:r>
      <w:proofErr w:type="spellStart"/>
      <w:r>
        <w:t>gebyrøkningen</w:t>
      </w:r>
      <w:proofErr w:type="spellEnd"/>
      <w:r>
        <w:t xml:space="preserve"> </w:t>
      </w:r>
      <w:proofErr w:type="gramStart"/>
      <w:r>
        <w:t>fremgår</w:t>
      </w:r>
      <w:proofErr w:type="gramEnd"/>
      <w:r>
        <w:t xml:space="preserve"> av </w:t>
      </w:r>
      <w:proofErr w:type="spellStart"/>
      <w:r>
        <w:t>Prop</w:t>
      </w:r>
      <w:proofErr w:type="spellEnd"/>
      <w:r>
        <w:t>. 9 L (2018–2019) punkt 3. Departementet ser ikke grunn til å foreslå noen gebyrreduksjon nå.</w:t>
      </w:r>
    </w:p>
    <w:p w:rsidR="00000000" w:rsidRDefault="00B8461F" w:rsidP="00E876DA">
      <w:pPr>
        <w:pStyle w:val="Overskrift1"/>
      </w:pPr>
      <w:r>
        <w:t>Økono</w:t>
      </w:r>
      <w:r>
        <w:t>miske og administrative konsekvenser</w:t>
      </w:r>
    </w:p>
    <w:p w:rsidR="00000000" w:rsidRDefault="00B8461F" w:rsidP="00E876DA">
      <w:r>
        <w:t>Forslaget om halvering av skrivesalæret for forliksklager der det også kreves erstatning for utenrettslige inndrivingskostnader, vil etter gjeldende rettsgebyr innebære en reduksjon av inkassoforetakenes/fordringshavern</w:t>
      </w:r>
      <w:r>
        <w:t>es inntekter på 586 kroner for hver forliksklage og en tilsvarende reduksjon i skyldnerens betalingsplikt. I 2019 var det anslagsvis 70 000 forliksklager i inkassosaker der det ble krevet ett rettsgebyr i skrivesalær, og samlet vil forslaget anslagsvis med</w:t>
      </w:r>
      <w:r>
        <w:t>føre rundt 41 millioner kroner i sparte utgifter for skyldnerne og tapte inntekter for inkassoforetakene og fordringshaverne per år.</w:t>
      </w:r>
    </w:p>
    <w:p w:rsidR="00000000" w:rsidRDefault="00B8461F" w:rsidP="00E876DA">
      <w:r>
        <w:t>Etter det departementet er kjent med, velger de aller fleste å inndrive uomtvistede krav etter tvangsfullbyrdelsesloven § 7</w:t>
      </w:r>
      <w:r>
        <w:t>-2 første ledd bokstav f i stedet for å bringe saken inn for forliksrådet. Det er grunn til å tro at antallet forliksklager om uomtvistede krav ville kunne økt dersom skrivesalæret for utleggsbegjæringer ble halvert uten at skrivesalæret for forliksklage i</w:t>
      </w:r>
      <w:r>
        <w:t xml:space="preserve"> inkassosaker ble redusert tilsvarende. Slik departementet ser det, er derfor en vesentlig økonomisk og administrativ konsekvens av forslaget forebygging av en økning i antallet forliksklager som følge av halveringen av maksimalsatsen for utleggsbegjæringe</w:t>
      </w:r>
      <w:r>
        <w:t>r som ble vedtatt i den nye forskriften om saksøktes ansvar for sakskostnader ved tvangsfullbyrdelse.</w:t>
      </w:r>
    </w:p>
    <w:p w:rsidR="00000000" w:rsidRDefault="00B8461F" w:rsidP="00E876DA">
      <w:r>
        <w:t>Den foreslåtte regelendringen antas å være enkel for fordringshavere og inkassoforetak å gjennomføre systemteknisk.</w:t>
      </w:r>
    </w:p>
    <w:p w:rsidR="00000000" w:rsidRDefault="00B8461F" w:rsidP="00E876DA">
      <w:r>
        <w:t>Departementet antar at staten og kommu</w:t>
      </w:r>
      <w:r>
        <w:t>nene sjeldent tar ut forliksklager i inkassosaker, og de offentlige høringsinstansene har ikke spilt inn at de påvirkes økonomisk av halveringen av skrivesalæret. Departementet legger derfor til grunn at de bare i helt begrenset utstrekning påvirkes, og at</w:t>
      </w:r>
      <w:r>
        <w:t xml:space="preserve"> den foreslåtte endringen ikke gir grunnlag for å justere anslag for det offentliges inntekter og utgifter. De økonomiske konsekvensene for det offentlige dekkes innen gjeldende budsjettrammer.</w:t>
      </w:r>
    </w:p>
    <w:p w:rsidR="00000000" w:rsidRDefault="00B8461F" w:rsidP="00E876DA">
      <w:pPr>
        <w:pStyle w:val="Overskrift1"/>
      </w:pPr>
      <w:r>
        <w:t>Merknader til endringen i tvisteloven § 6-13</w:t>
      </w:r>
    </w:p>
    <w:p w:rsidR="00000000" w:rsidRDefault="00B8461F" w:rsidP="00E876DA">
      <w:r>
        <w:t>Departementet foreslår i forslaget til endring av tvisteloven § 6-13 første ledd bokstav d å halvere skrivesalæret for forliksklage der klageren i tillegg krever erstatning for utenrettslige inndrivingskostnader, fra ett til et halvt rettsgebyr. Skrivesalæ</w:t>
      </w:r>
      <w:r>
        <w:t>ret skal som etter gjeldende rett dekke kostnader til rettshjelp ved forliksklage og saksforberedelse ellers. Det er ikke et krav etter tvisteloven at skrivesalæret skal dekke alle kostnadene til dette arbeidet, men departementet antar at et skrivesalær so</w:t>
      </w:r>
      <w:r>
        <w:t>m foreslått dekker vanlige kostnader. Det er redegjort nærmere for forslaget i punkt 3. Skrivesalæret på fire rettsgebyr for forliksklager der det ikke kreves erstatning for utenrettslige inndrivingskostnader, foreslås ikke endret.</w:t>
      </w:r>
    </w:p>
    <w:p w:rsidR="00000000" w:rsidRDefault="00B8461F" w:rsidP="00E876DA">
      <w:pPr>
        <w:pStyle w:val="a-tilraar-dep"/>
      </w:pPr>
      <w:r>
        <w:lastRenderedPageBreak/>
        <w:t>Justis- og beredskapsdep</w:t>
      </w:r>
      <w:r>
        <w:t>artementet</w:t>
      </w:r>
    </w:p>
    <w:p w:rsidR="00000000" w:rsidRDefault="00B8461F" w:rsidP="00E876DA">
      <w:pPr>
        <w:pStyle w:val="a-tilraar-tit"/>
      </w:pPr>
      <w:r>
        <w:t>tilrår:</w:t>
      </w:r>
    </w:p>
    <w:p w:rsidR="00000000" w:rsidRDefault="00B8461F" w:rsidP="00E876DA">
      <w:r>
        <w:t xml:space="preserve">At Deres Majestet godkjenner og skriver under et fremlagt forslag til proposisjon til Stortinget </w:t>
      </w:r>
      <w:r>
        <w:t>om endringer i tvisteloven (halvering av skrivesalæret for forliksklager i inkassosaker).</w:t>
      </w:r>
    </w:p>
    <w:p w:rsidR="00000000" w:rsidRDefault="00B8461F" w:rsidP="00E876DA">
      <w:pPr>
        <w:pStyle w:val="a-konge-tekst"/>
        <w:rPr>
          <w:rStyle w:val="halvfet0"/>
          <w:sz w:val="21"/>
          <w:szCs w:val="21"/>
        </w:rPr>
      </w:pPr>
      <w:r>
        <w:rPr>
          <w:rStyle w:val="halvfet0"/>
          <w:sz w:val="21"/>
          <w:szCs w:val="21"/>
        </w:rPr>
        <w:t xml:space="preserve">Vi HARALD, </w:t>
      </w:r>
      <w:r>
        <w:t>Norges Konge,</w:t>
      </w:r>
    </w:p>
    <w:p w:rsidR="00000000" w:rsidRDefault="00B8461F" w:rsidP="00E876DA">
      <w:pPr>
        <w:pStyle w:val="a-konge-tit"/>
      </w:pPr>
      <w:r>
        <w:t>stadfester:</w:t>
      </w:r>
    </w:p>
    <w:p w:rsidR="00000000" w:rsidRDefault="00B8461F" w:rsidP="00E876DA">
      <w:r>
        <w:t>Stortinget bl</w:t>
      </w:r>
      <w:r>
        <w:t>ir bedt om å gjøre vedtak til lov om endringer i tvisteloven (halvering av skrivesalæret for forliksklager i inkassosaker) i samsvar med et vedlagt forslag.</w:t>
      </w:r>
    </w:p>
    <w:p w:rsidR="00000000" w:rsidRDefault="00B8461F" w:rsidP="00E876DA">
      <w:pPr>
        <w:pStyle w:val="a-vedtak-tit"/>
      </w:pPr>
      <w:r>
        <w:lastRenderedPageBreak/>
        <w:t xml:space="preserve">Forslag </w:t>
      </w:r>
    </w:p>
    <w:p w:rsidR="00000000" w:rsidRDefault="00B8461F" w:rsidP="00E876DA">
      <w:pPr>
        <w:pStyle w:val="a-vedtak-tit"/>
      </w:pPr>
      <w:r>
        <w:t>til lov om endringer i tvisteloven (halvering av skrivesalæret for forliksklager i inkasso</w:t>
      </w:r>
      <w:r>
        <w:t>saker)</w:t>
      </w:r>
    </w:p>
    <w:p w:rsidR="00000000" w:rsidRDefault="00B8461F" w:rsidP="00E876DA">
      <w:pPr>
        <w:pStyle w:val="a-vedtak-del"/>
      </w:pPr>
      <w:r>
        <w:t>I</w:t>
      </w:r>
    </w:p>
    <w:p w:rsidR="00000000" w:rsidRDefault="00B8461F" w:rsidP="00E876DA">
      <w:pPr>
        <w:pStyle w:val="l-tit-endr-lov"/>
      </w:pPr>
      <w:r>
        <w:t>I lov 17. juni 2005 nr. 90 om mekling og rettergang i sivile tvister skal § 6-13 første ledd bokstav d lyde:</w:t>
      </w:r>
    </w:p>
    <w:p w:rsidR="00000000" w:rsidRDefault="00B8461F" w:rsidP="00E876DA">
      <w:pPr>
        <w:pStyle w:val="friliste"/>
      </w:pPr>
      <w:r>
        <w:t xml:space="preserve">d) </w:t>
      </w:r>
      <w:r>
        <w:tab/>
        <w:t xml:space="preserve">et beløp inntil fire ganger rettsgebyret for rettshjelp ved forliksklage eller tilsvar og saksforberedelse ellers, men inntil </w:t>
      </w:r>
      <w:r>
        <w:rPr>
          <w:rStyle w:val="l-endring"/>
          <w:sz w:val="21"/>
          <w:szCs w:val="21"/>
        </w:rPr>
        <w:t>et halvt</w:t>
      </w:r>
      <w:r>
        <w:rPr>
          <w:rStyle w:val="l-endring"/>
          <w:sz w:val="21"/>
          <w:szCs w:val="21"/>
        </w:rPr>
        <w:t xml:space="preserve"> rettsgebyr </w:t>
      </w:r>
      <w:r>
        <w:t>dersom klageren i tillegg krever erstatning for kostnader ved utenrettslig inndriving etter annet ledd, og</w:t>
      </w:r>
    </w:p>
    <w:p w:rsidR="00000000" w:rsidRDefault="00B8461F" w:rsidP="00E876DA">
      <w:pPr>
        <w:pStyle w:val="a-vedtak-del"/>
      </w:pPr>
      <w:r>
        <w:t>II</w:t>
      </w:r>
    </w:p>
    <w:p w:rsidR="00000000" w:rsidRDefault="00B8461F" w:rsidP="00E876DA">
      <w:pPr>
        <w:pStyle w:val="Nummerertliste"/>
      </w:pPr>
      <w:r>
        <w:t>Loven gjelder fra den tid Kongen bestemmer.</w:t>
      </w:r>
    </w:p>
    <w:p w:rsidR="00000000" w:rsidRDefault="00B8461F" w:rsidP="00E876DA">
      <w:pPr>
        <w:pStyle w:val="Nummerertliste"/>
      </w:pPr>
      <w:r>
        <w:t xml:space="preserve">Loven gjelder for forliksklager som inngis etter at loven er </w:t>
      </w:r>
      <w:proofErr w:type="gramStart"/>
      <w:r>
        <w:t>trådt</w:t>
      </w:r>
      <w:proofErr w:type="gramEnd"/>
      <w:r>
        <w:t xml:space="preserve"> i kraft.</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8461F">
      <w:pPr>
        <w:spacing w:after="0" w:line="240" w:lineRule="auto"/>
      </w:pPr>
      <w:r>
        <w:separator/>
      </w:r>
    </w:p>
  </w:endnote>
  <w:endnote w:type="continuationSeparator" w:id="0">
    <w:p w:rsidR="00000000" w:rsidRDefault="00B84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A" w:rsidRDefault="00E876D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A" w:rsidRDefault="00E876D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A" w:rsidRDefault="00E876DA" w:rsidP="00E876DA">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8461F">
      <w:pPr>
        <w:spacing w:after="0" w:line="240" w:lineRule="auto"/>
      </w:pPr>
      <w:r>
        <w:separator/>
      </w:r>
    </w:p>
  </w:footnote>
  <w:footnote w:type="continuationSeparator" w:id="0">
    <w:p w:rsidR="00000000" w:rsidRDefault="00B84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A" w:rsidRDefault="00E876D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A" w:rsidRDefault="00E876D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6DA" w:rsidRDefault="00E876D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E876C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756B9B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DD685C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F420F8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A6E885F2"/>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08A2A7D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876DA"/>
    <w:rsid w:val="00B8461F"/>
    <w:rsid w:val="00D01E3F"/>
    <w:rsid w:val="00E876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06A412"/>
  <w14:defaultImageDpi w14:val="0"/>
  <w15:docId w15:val="{AD321A9A-9BB6-41FA-8595-7B7C73B9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D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876DA"/>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876DA"/>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E876DA"/>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E876DA"/>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E876DA"/>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E876DA"/>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E876DA"/>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E876DA"/>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E876DA"/>
    <w:pPr>
      <w:numPr>
        <w:ilvl w:val="8"/>
        <w:numId w:val="18"/>
      </w:numPr>
      <w:spacing w:before="240" w:after="60"/>
      <w:outlineLvl w:val="8"/>
    </w:pPr>
    <w:rPr>
      <w:rFonts w:ascii="Arial" w:hAnsi="Arial"/>
      <w:i/>
      <w:sz w:val="18"/>
    </w:rPr>
  </w:style>
  <w:style w:type="character" w:default="1" w:styleId="Standardskriftforavsnitt">
    <w:name w:val="Default Paragraph Font"/>
    <w:uiPriority w:val="1"/>
    <w:unhideWhenUsed/>
    <w:rsid w:val="00E876D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876D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876DA"/>
    <w:pPr>
      <w:keepNext/>
      <w:keepLines/>
      <w:spacing w:before="240" w:after="240"/>
    </w:pPr>
  </w:style>
  <w:style w:type="paragraph" w:customStyle="1" w:styleId="a-konge-tit">
    <w:name w:val="a-konge-tit"/>
    <w:basedOn w:val="Normal"/>
    <w:next w:val="Normal"/>
    <w:rsid w:val="00E876DA"/>
    <w:pPr>
      <w:keepNext/>
      <w:keepLines/>
      <w:spacing w:before="240"/>
      <w:jc w:val="center"/>
    </w:pPr>
    <w:rPr>
      <w:spacing w:val="30"/>
    </w:rPr>
  </w:style>
  <w:style w:type="paragraph" w:customStyle="1" w:styleId="a-tilraar-dep">
    <w:name w:val="a-tilraar-dep"/>
    <w:basedOn w:val="Normal"/>
    <w:next w:val="Normal"/>
    <w:rsid w:val="00E876D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876D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876D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876D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876D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876D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876DA"/>
    <w:pPr>
      <w:keepNext/>
      <w:keepLines/>
      <w:numPr>
        <w:ilvl w:val="6"/>
        <w:numId w:val="3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876DA"/>
    <w:pPr>
      <w:numPr>
        <w:ilvl w:val="5"/>
        <w:numId w:val="3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876D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876D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876D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876D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876DA"/>
  </w:style>
  <w:style w:type="paragraph" w:customStyle="1" w:styleId="Def">
    <w:name w:val="Def"/>
    <w:basedOn w:val="hengende-innrykk"/>
    <w:rsid w:val="00E876DA"/>
    <w:pPr>
      <w:spacing w:line="240" w:lineRule="auto"/>
      <w:ind w:left="0" w:firstLine="0"/>
    </w:pPr>
    <w:rPr>
      <w:rFonts w:ascii="Times" w:eastAsia="Batang" w:hAnsi="Times"/>
      <w:spacing w:val="0"/>
      <w:szCs w:val="20"/>
    </w:rPr>
  </w:style>
  <w:style w:type="paragraph" w:customStyle="1" w:styleId="del-nr">
    <w:name w:val="del-nr"/>
    <w:basedOn w:val="Normal"/>
    <w:qFormat/>
    <w:rsid w:val="00E876D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876D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876DA"/>
  </w:style>
  <w:style w:type="paragraph" w:customStyle="1" w:styleId="figur-noter">
    <w:name w:val="figur-noter"/>
    <w:basedOn w:val="Normal"/>
    <w:next w:val="Normal"/>
    <w:rsid w:val="00E876D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876D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876DA"/>
    <w:rPr>
      <w:sz w:val="20"/>
    </w:rPr>
  </w:style>
  <w:style w:type="character" w:customStyle="1" w:styleId="FotnotetekstTegn">
    <w:name w:val="Fotnotetekst Tegn"/>
    <w:link w:val="Fotnotetekst"/>
    <w:rsid w:val="00E876D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876DA"/>
    <w:pPr>
      <w:ind w:left="1418" w:hanging="1418"/>
    </w:pPr>
  </w:style>
  <w:style w:type="paragraph" w:customStyle="1" w:styleId="i-budkap-over">
    <w:name w:val="i-budkap-over"/>
    <w:basedOn w:val="Normal"/>
    <w:next w:val="Normal"/>
    <w:rsid w:val="00E876DA"/>
    <w:pPr>
      <w:jc w:val="right"/>
    </w:pPr>
    <w:rPr>
      <w:rFonts w:ascii="Times" w:hAnsi="Times"/>
      <w:b/>
      <w:noProof/>
    </w:rPr>
  </w:style>
  <w:style w:type="paragraph" w:customStyle="1" w:styleId="i-dep">
    <w:name w:val="i-dep"/>
    <w:basedOn w:val="Normal"/>
    <w:next w:val="Normal"/>
    <w:rsid w:val="00E876D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876D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876DA"/>
    <w:pPr>
      <w:ind w:left="1985" w:hanging="1985"/>
    </w:pPr>
    <w:rPr>
      <w:spacing w:val="0"/>
    </w:rPr>
  </w:style>
  <w:style w:type="paragraph" w:customStyle="1" w:styleId="i-statsrdato">
    <w:name w:val="i-statsr.dato"/>
    <w:basedOn w:val="Normal"/>
    <w:next w:val="Normal"/>
    <w:rsid w:val="00E876DA"/>
    <w:pPr>
      <w:spacing w:after="0"/>
      <w:jc w:val="center"/>
    </w:pPr>
    <w:rPr>
      <w:rFonts w:ascii="Times" w:hAnsi="Times"/>
      <w:i/>
      <w:noProof/>
    </w:rPr>
  </w:style>
  <w:style w:type="paragraph" w:customStyle="1" w:styleId="i-termin">
    <w:name w:val="i-termin"/>
    <w:basedOn w:val="Normal"/>
    <w:next w:val="Normal"/>
    <w:rsid w:val="00E876DA"/>
    <w:pPr>
      <w:spacing w:before="360"/>
      <w:jc w:val="center"/>
    </w:pPr>
    <w:rPr>
      <w:b/>
      <w:noProof/>
      <w:sz w:val="28"/>
    </w:rPr>
  </w:style>
  <w:style w:type="paragraph" w:customStyle="1" w:styleId="i-tit">
    <w:name w:val="i-tit"/>
    <w:basedOn w:val="Normal"/>
    <w:next w:val="i-statsrdato"/>
    <w:rsid w:val="00E876D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876DA"/>
  </w:style>
  <w:style w:type="paragraph" w:customStyle="1" w:styleId="Kilde">
    <w:name w:val="Kilde"/>
    <w:basedOn w:val="Normal"/>
    <w:next w:val="Normal"/>
    <w:rsid w:val="00E876D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876D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876D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876D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876D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876DA"/>
    <w:pPr>
      <w:spacing w:after="0"/>
    </w:pPr>
  </w:style>
  <w:style w:type="paragraph" w:customStyle="1" w:styleId="l-tit-endr-avsnitt">
    <w:name w:val="l-tit-endr-avsnitt"/>
    <w:basedOn w:val="l-tit-endr-lovkap"/>
    <w:qFormat/>
    <w:rsid w:val="00E876DA"/>
  </w:style>
  <w:style w:type="paragraph" w:customStyle="1" w:styleId="l-tit-endr-ledd">
    <w:name w:val="l-tit-endr-ledd"/>
    <w:basedOn w:val="Normal"/>
    <w:qFormat/>
    <w:rsid w:val="00E876DA"/>
    <w:pPr>
      <w:keepNext/>
      <w:spacing w:before="240" w:after="0" w:line="240" w:lineRule="auto"/>
    </w:pPr>
    <w:rPr>
      <w:rFonts w:ascii="Times" w:hAnsi="Times"/>
      <w:noProof/>
      <w:lang w:val="nn-NO"/>
    </w:rPr>
  </w:style>
  <w:style w:type="paragraph" w:customStyle="1" w:styleId="l-tit-endr-lov">
    <w:name w:val="l-tit-endr-lov"/>
    <w:basedOn w:val="Normal"/>
    <w:qFormat/>
    <w:rsid w:val="00E876D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876DA"/>
    <w:pPr>
      <w:keepNext/>
      <w:spacing w:before="240" w:after="0" w:line="240" w:lineRule="auto"/>
    </w:pPr>
    <w:rPr>
      <w:rFonts w:ascii="Times" w:hAnsi="Times"/>
      <w:noProof/>
      <w:lang w:val="nn-NO"/>
    </w:rPr>
  </w:style>
  <w:style w:type="paragraph" w:customStyle="1" w:styleId="l-tit-endr-lovkap">
    <w:name w:val="l-tit-endr-lovkap"/>
    <w:basedOn w:val="Normal"/>
    <w:qFormat/>
    <w:rsid w:val="00E876DA"/>
    <w:pPr>
      <w:keepNext/>
      <w:spacing w:before="240" w:after="0" w:line="240" w:lineRule="auto"/>
    </w:pPr>
    <w:rPr>
      <w:rFonts w:ascii="Times" w:hAnsi="Times"/>
      <w:noProof/>
      <w:lang w:val="nn-NO"/>
    </w:rPr>
  </w:style>
  <w:style w:type="paragraph" w:customStyle="1" w:styleId="l-tit-endr-punktum">
    <w:name w:val="l-tit-endr-punktum"/>
    <w:basedOn w:val="l-tit-endr-ledd"/>
    <w:qFormat/>
    <w:rsid w:val="00E876D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876DA"/>
    <w:pPr>
      <w:spacing w:before="60" w:after="0"/>
      <w:ind w:left="397"/>
    </w:pPr>
    <w:rPr>
      <w:spacing w:val="0"/>
    </w:rPr>
  </w:style>
  <w:style w:type="paragraph" w:customStyle="1" w:styleId="Listeavsnitt2">
    <w:name w:val="Listeavsnitt 2"/>
    <w:basedOn w:val="Normal"/>
    <w:qFormat/>
    <w:rsid w:val="00E876DA"/>
    <w:pPr>
      <w:spacing w:before="60" w:after="0"/>
      <w:ind w:left="794"/>
    </w:pPr>
    <w:rPr>
      <w:spacing w:val="0"/>
    </w:rPr>
  </w:style>
  <w:style w:type="paragraph" w:customStyle="1" w:styleId="Listeavsnitt3">
    <w:name w:val="Listeavsnitt 3"/>
    <w:basedOn w:val="Normal"/>
    <w:qFormat/>
    <w:rsid w:val="00E876DA"/>
    <w:pPr>
      <w:spacing w:before="60" w:after="0"/>
      <w:ind w:left="1191"/>
    </w:pPr>
    <w:rPr>
      <w:spacing w:val="0"/>
    </w:rPr>
  </w:style>
  <w:style w:type="paragraph" w:customStyle="1" w:styleId="Listeavsnitt4">
    <w:name w:val="Listeavsnitt 4"/>
    <w:basedOn w:val="Normal"/>
    <w:qFormat/>
    <w:rsid w:val="00E876DA"/>
    <w:pPr>
      <w:spacing w:before="60" w:after="0"/>
      <w:ind w:left="1588"/>
    </w:pPr>
    <w:rPr>
      <w:spacing w:val="0"/>
    </w:rPr>
  </w:style>
  <w:style w:type="paragraph" w:customStyle="1" w:styleId="Listeavsnitt5">
    <w:name w:val="Listeavsnitt 5"/>
    <w:basedOn w:val="Normal"/>
    <w:qFormat/>
    <w:rsid w:val="00E876D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876D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876D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876D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876DA"/>
    <w:pPr>
      <w:keepNext/>
      <w:keepLines/>
      <w:spacing w:before="360"/>
    </w:pPr>
    <w:rPr>
      <w:rFonts w:ascii="Arial" w:hAnsi="Arial"/>
      <w:b/>
      <w:sz w:val="28"/>
    </w:rPr>
  </w:style>
  <w:style w:type="character" w:customStyle="1" w:styleId="UndertittelTegn">
    <w:name w:val="Undertittel Tegn"/>
    <w:link w:val="Undertittel"/>
    <w:rsid w:val="00E876D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876D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876D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876D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876D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876D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876D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876D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876D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876D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876DA"/>
    <w:pPr>
      <w:numPr>
        <w:numId w:val="0"/>
      </w:numPr>
    </w:pPr>
    <w:rPr>
      <w:b w:val="0"/>
      <w:i/>
    </w:rPr>
  </w:style>
  <w:style w:type="paragraph" w:customStyle="1" w:styleId="Undervedl-tittel">
    <w:name w:val="Undervedl-tittel"/>
    <w:basedOn w:val="Normal"/>
    <w:next w:val="Normal"/>
    <w:rsid w:val="00E876D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876DA"/>
    <w:pPr>
      <w:numPr>
        <w:numId w:val="0"/>
      </w:numPr>
      <w:outlineLvl w:val="9"/>
    </w:pPr>
  </w:style>
  <w:style w:type="paragraph" w:customStyle="1" w:styleId="v-Overskrift2">
    <w:name w:val="v-Overskrift 2"/>
    <w:basedOn w:val="Overskrift2"/>
    <w:next w:val="Normal"/>
    <w:rsid w:val="00E876D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876D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876DA"/>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876D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876D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876DA"/>
    <w:pPr>
      <w:keepNext/>
      <w:keepLines/>
      <w:spacing w:before="720"/>
      <w:jc w:val="center"/>
    </w:pPr>
    <w:rPr>
      <w:rFonts w:ascii="Times" w:hAnsi="Times"/>
      <w:b/>
      <w:noProof/>
      <w:sz w:val="56"/>
    </w:rPr>
  </w:style>
  <w:style w:type="paragraph" w:customStyle="1" w:styleId="i-sesjon">
    <w:name w:val="i-sesjon"/>
    <w:basedOn w:val="Normal"/>
    <w:next w:val="Normal"/>
    <w:rsid w:val="00E876DA"/>
    <w:pPr>
      <w:jc w:val="center"/>
    </w:pPr>
    <w:rPr>
      <w:rFonts w:ascii="Times" w:hAnsi="Times"/>
      <w:b/>
      <w:noProof/>
      <w:sz w:val="28"/>
    </w:rPr>
  </w:style>
  <w:style w:type="paragraph" w:customStyle="1" w:styleId="i-mtit">
    <w:name w:val="i-mtit"/>
    <w:basedOn w:val="Normal"/>
    <w:next w:val="Normal"/>
    <w:rsid w:val="00E876D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876DA"/>
    <w:rPr>
      <w:rFonts w:ascii="Arial" w:eastAsia="Times New Roman" w:hAnsi="Arial"/>
      <w:b/>
      <w:spacing w:val="4"/>
      <w:sz w:val="28"/>
    </w:rPr>
  </w:style>
  <w:style w:type="character" w:customStyle="1" w:styleId="Overskrift3Tegn">
    <w:name w:val="Overskrift 3 Tegn"/>
    <w:link w:val="Overskrift3"/>
    <w:rsid w:val="00E876DA"/>
    <w:rPr>
      <w:rFonts w:ascii="Arial" w:eastAsia="Times New Roman" w:hAnsi="Arial"/>
      <w:b/>
      <w:sz w:val="24"/>
    </w:rPr>
  </w:style>
  <w:style w:type="character" w:customStyle="1" w:styleId="Overskrift4Tegn">
    <w:name w:val="Overskrift 4 Tegn"/>
    <w:link w:val="Overskrift4"/>
    <w:rsid w:val="00E876DA"/>
    <w:rPr>
      <w:rFonts w:ascii="Arial" w:eastAsia="Times New Roman" w:hAnsi="Arial"/>
      <w:i/>
      <w:spacing w:val="4"/>
      <w:sz w:val="24"/>
    </w:rPr>
  </w:style>
  <w:style w:type="character" w:customStyle="1" w:styleId="Overskrift5Tegn">
    <w:name w:val="Overskrift 5 Tegn"/>
    <w:link w:val="Overskrift5"/>
    <w:rsid w:val="00E876DA"/>
    <w:rPr>
      <w:rFonts w:ascii="Arial" w:eastAsia="Times New Roman" w:hAnsi="Arial"/>
      <w:i/>
      <w:sz w:val="24"/>
    </w:rPr>
  </w:style>
  <w:style w:type="paragraph" w:styleId="Liste">
    <w:name w:val="List"/>
    <w:basedOn w:val="Normal"/>
    <w:rsid w:val="00E876DA"/>
    <w:pPr>
      <w:numPr>
        <w:numId w:val="23"/>
      </w:numPr>
      <w:spacing w:line="240" w:lineRule="auto"/>
      <w:contextualSpacing/>
    </w:pPr>
  </w:style>
  <w:style w:type="paragraph" w:styleId="Liste2">
    <w:name w:val="List 2"/>
    <w:basedOn w:val="Normal"/>
    <w:rsid w:val="00E876DA"/>
    <w:pPr>
      <w:numPr>
        <w:ilvl w:val="1"/>
        <w:numId w:val="23"/>
      </w:numPr>
      <w:spacing w:after="0"/>
    </w:pPr>
  </w:style>
  <w:style w:type="paragraph" w:styleId="Liste3">
    <w:name w:val="List 3"/>
    <w:basedOn w:val="Normal"/>
    <w:rsid w:val="00E876DA"/>
    <w:pPr>
      <w:numPr>
        <w:ilvl w:val="2"/>
        <w:numId w:val="23"/>
      </w:numPr>
      <w:spacing w:after="0"/>
    </w:pPr>
    <w:rPr>
      <w:spacing w:val="0"/>
    </w:rPr>
  </w:style>
  <w:style w:type="paragraph" w:styleId="Liste4">
    <w:name w:val="List 4"/>
    <w:basedOn w:val="Normal"/>
    <w:rsid w:val="00E876DA"/>
    <w:pPr>
      <w:numPr>
        <w:ilvl w:val="3"/>
        <w:numId w:val="23"/>
      </w:numPr>
      <w:spacing w:after="0"/>
    </w:pPr>
    <w:rPr>
      <w:spacing w:val="0"/>
    </w:rPr>
  </w:style>
  <w:style w:type="paragraph" w:styleId="Liste5">
    <w:name w:val="List 5"/>
    <w:basedOn w:val="Normal"/>
    <w:rsid w:val="00E876DA"/>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876DA"/>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876DA"/>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876DA"/>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876DA"/>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876DA"/>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E876DA"/>
    <w:pPr>
      <w:numPr>
        <w:numId w:val="31"/>
      </w:numPr>
      <w:tabs>
        <w:tab w:val="left" w:pos="397"/>
      </w:tabs>
      <w:ind w:left="397" w:hanging="397"/>
    </w:pPr>
  </w:style>
  <w:style w:type="paragraph" w:customStyle="1" w:styleId="Listebombe2">
    <w:name w:val="Liste bombe 2"/>
    <w:basedOn w:val="Liste2"/>
    <w:qFormat/>
    <w:rsid w:val="00E876DA"/>
    <w:pPr>
      <w:numPr>
        <w:ilvl w:val="0"/>
        <w:numId w:val="32"/>
      </w:numPr>
      <w:ind w:left="794" w:hanging="397"/>
    </w:pPr>
  </w:style>
  <w:style w:type="paragraph" w:customStyle="1" w:styleId="Listebombe3">
    <w:name w:val="Liste bombe 3"/>
    <w:basedOn w:val="Liste3"/>
    <w:qFormat/>
    <w:rsid w:val="00E876DA"/>
    <w:pPr>
      <w:numPr>
        <w:ilvl w:val="0"/>
        <w:numId w:val="33"/>
      </w:numPr>
      <w:ind w:left="1191" w:hanging="397"/>
    </w:pPr>
  </w:style>
  <w:style w:type="paragraph" w:customStyle="1" w:styleId="Listebombe4">
    <w:name w:val="Liste bombe 4"/>
    <w:basedOn w:val="Liste4"/>
    <w:qFormat/>
    <w:rsid w:val="00E876DA"/>
    <w:pPr>
      <w:numPr>
        <w:ilvl w:val="0"/>
        <w:numId w:val="34"/>
      </w:numPr>
      <w:ind w:left="1588" w:hanging="397"/>
    </w:pPr>
  </w:style>
  <w:style w:type="paragraph" w:customStyle="1" w:styleId="Listebombe5">
    <w:name w:val="Liste bombe 5"/>
    <w:basedOn w:val="Liste5"/>
    <w:qFormat/>
    <w:rsid w:val="00E876DA"/>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876DA"/>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876DA"/>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876DA"/>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876DA"/>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876DA"/>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876DA"/>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876DA"/>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876DA"/>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876DA"/>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876DA"/>
    <w:pPr>
      <w:numPr>
        <w:ilvl w:val="4"/>
        <w:numId w:val="30"/>
      </w:numPr>
      <w:spacing w:after="0"/>
    </w:pPr>
  </w:style>
  <w:style w:type="paragraph" w:customStyle="1" w:styleId="opplisting2">
    <w:name w:val="opplisting 2"/>
    <w:basedOn w:val="Normal"/>
    <w:qFormat/>
    <w:rsid w:val="00E876DA"/>
    <w:pPr>
      <w:spacing w:after="0"/>
      <w:ind w:left="397"/>
    </w:pPr>
    <w:rPr>
      <w:spacing w:val="0"/>
      <w:lang w:val="en-US"/>
    </w:rPr>
  </w:style>
  <w:style w:type="paragraph" w:customStyle="1" w:styleId="opplisting3">
    <w:name w:val="opplisting 3"/>
    <w:basedOn w:val="Normal"/>
    <w:qFormat/>
    <w:rsid w:val="00E876DA"/>
    <w:pPr>
      <w:spacing w:after="0"/>
      <w:ind w:left="794"/>
    </w:pPr>
    <w:rPr>
      <w:spacing w:val="0"/>
    </w:rPr>
  </w:style>
  <w:style w:type="paragraph" w:customStyle="1" w:styleId="opplisting4">
    <w:name w:val="opplisting 4"/>
    <w:basedOn w:val="Normal"/>
    <w:qFormat/>
    <w:rsid w:val="00E876DA"/>
    <w:pPr>
      <w:spacing w:after="0"/>
      <w:ind w:left="1191"/>
    </w:pPr>
    <w:rPr>
      <w:spacing w:val="0"/>
    </w:rPr>
  </w:style>
  <w:style w:type="paragraph" w:customStyle="1" w:styleId="opplisting5">
    <w:name w:val="opplisting 5"/>
    <w:basedOn w:val="Normal"/>
    <w:qFormat/>
    <w:rsid w:val="00E876DA"/>
    <w:pPr>
      <w:spacing w:after="0"/>
      <w:ind w:left="1588"/>
    </w:pPr>
    <w:rPr>
      <w:spacing w:val="0"/>
    </w:rPr>
  </w:style>
  <w:style w:type="paragraph" w:customStyle="1" w:styleId="friliste">
    <w:name w:val="friliste"/>
    <w:basedOn w:val="Normal"/>
    <w:qFormat/>
    <w:rsid w:val="00E876DA"/>
    <w:pPr>
      <w:tabs>
        <w:tab w:val="left" w:pos="397"/>
      </w:tabs>
      <w:spacing w:after="0"/>
      <w:ind w:left="397" w:hanging="397"/>
    </w:pPr>
    <w:rPr>
      <w:spacing w:val="0"/>
    </w:rPr>
  </w:style>
  <w:style w:type="paragraph" w:customStyle="1" w:styleId="friliste2">
    <w:name w:val="friliste 2"/>
    <w:basedOn w:val="Normal"/>
    <w:qFormat/>
    <w:rsid w:val="00E876DA"/>
    <w:pPr>
      <w:tabs>
        <w:tab w:val="left" w:pos="794"/>
      </w:tabs>
      <w:spacing w:after="0"/>
      <w:ind w:left="794" w:hanging="397"/>
    </w:pPr>
    <w:rPr>
      <w:spacing w:val="0"/>
    </w:rPr>
  </w:style>
  <w:style w:type="paragraph" w:customStyle="1" w:styleId="friliste3">
    <w:name w:val="friliste 3"/>
    <w:basedOn w:val="Normal"/>
    <w:qFormat/>
    <w:rsid w:val="00E876DA"/>
    <w:pPr>
      <w:tabs>
        <w:tab w:val="left" w:pos="1191"/>
      </w:tabs>
      <w:spacing w:after="0"/>
      <w:ind w:left="1191" w:hanging="397"/>
    </w:pPr>
    <w:rPr>
      <w:spacing w:val="0"/>
    </w:rPr>
  </w:style>
  <w:style w:type="paragraph" w:customStyle="1" w:styleId="friliste4">
    <w:name w:val="friliste 4"/>
    <w:basedOn w:val="Normal"/>
    <w:qFormat/>
    <w:rsid w:val="00E876DA"/>
    <w:pPr>
      <w:tabs>
        <w:tab w:val="left" w:pos="1588"/>
      </w:tabs>
      <w:spacing w:after="0"/>
      <w:ind w:left="1588" w:hanging="397"/>
    </w:pPr>
    <w:rPr>
      <w:spacing w:val="0"/>
    </w:rPr>
  </w:style>
  <w:style w:type="paragraph" w:customStyle="1" w:styleId="friliste5">
    <w:name w:val="friliste 5"/>
    <w:basedOn w:val="Normal"/>
    <w:qFormat/>
    <w:rsid w:val="00E876D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876DA"/>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876DA"/>
    <w:pPr>
      <w:numPr>
        <w:numId w:val="29"/>
      </w:numPr>
    </w:pPr>
  </w:style>
  <w:style w:type="paragraph" w:customStyle="1" w:styleId="avsnitt-undertittel">
    <w:name w:val="avsnitt-undertittel"/>
    <w:basedOn w:val="Normal"/>
    <w:next w:val="Normal"/>
    <w:rsid w:val="00E876D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876DA"/>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876DA"/>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876DA"/>
    <w:pPr>
      <w:numPr>
        <w:numId w:val="29"/>
      </w:numPr>
    </w:pPr>
  </w:style>
  <w:style w:type="paragraph" w:customStyle="1" w:styleId="avsnitt-under-undertittel">
    <w:name w:val="avsnitt-under-undertittel"/>
    <w:basedOn w:val="Normal"/>
    <w:next w:val="Normal"/>
    <w:rsid w:val="00E876DA"/>
    <w:pPr>
      <w:keepNext/>
      <w:keepLines/>
      <w:spacing w:before="360" w:line="240" w:lineRule="auto"/>
    </w:pPr>
    <w:rPr>
      <w:rFonts w:eastAsia="Batang"/>
      <w:i/>
      <w:spacing w:val="0"/>
      <w:szCs w:val="20"/>
    </w:rPr>
  </w:style>
  <w:style w:type="paragraph" w:customStyle="1" w:styleId="blokksit">
    <w:name w:val="blokksit"/>
    <w:basedOn w:val="Normal"/>
    <w:qFormat/>
    <w:rsid w:val="00E876D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876DA"/>
    <w:pPr>
      <w:spacing w:before="180" w:after="0"/>
    </w:pPr>
    <w:rPr>
      <w:rFonts w:ascii="Times" w:hAnsi="Times"/>
      <w:i/>
    </w:rPr>
  </w:style>
  <w:style w:type="paragraph" w:customStyle="1" w:styleId="l-ledd">
    <w:name w:val="l-ledd"/>
    <w:basedOn w:val="Normal"/>
    <w:qFormat/>
    <w:rsid w:val="00E876DA"/>
    <w:pPr>
      <w:spacing w:after="0"/>
      <w:ind w:firstLine="397"/>
    </w:pPr>
    <w:rPr>
      <w:rFonts w:ascii="Times" w:hAnsi="Times"/>
    </w:rPr>
  </w:style>
  <w:style w:type="paragraph" w:customStyle="1" w:styleId="l-tit-endr-paragraf">
    <w:name w:val="l-tit-endr-paragraf"/>
    <w:basedOn w:val="Normal"/>
    <w:qFormat/>
    <w:rsid w:val="00E876D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E876DA"/>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876DA"/>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876DA"/>
    <w:rPr>
      <w:rFonts w:ascii="Times New Roman" w:eastAsia="Times New Roman" w:hAnsi="Times New Roman"/>
      <w:spacing w:val="4"/>
      <w:sz w:val="20"/>
    </w:rPr>
  </w:style>
  <w:style w:type="character" w:customStyle="1" w:styleId="DatoTegn">
    <w:name w:val="Dato Tegn"/>
    <w:link w:val="Dato0"/>
    <w:rsid w:val="00E876DA"/>
    <w:rPr>
      <w:rFonts w:ascii="Times New Roman" w:eastAsia="Times New Roman" w:hAnsi="Times New Roman"/>
      <w:spacing w:val="4"/>
      <w:sz w:val="24"/>
    </w:rPr>
  </w:style>
  <w:style w:type="character" w:styleId="Fotnotereferanse">
    <w:name w:val="footnote reference"/>
    <w:rsid w:val="00E876DA"/>
    <w:rPr>
      <w:vertAlign w:val="superscript"/>
    </w:rPr>
  </w:style>
  <w:style w:type="character" w:customStyle="1" w:styleId="gjennomstreket">
    <w:name w:val="gjennomstreket"/>
    <w:uiPriority w:val="1"/>
    <w:rsid w:val="00E876DA"/>
    <w:rPr>
      <w:strike/>
      <w:dstrike w:val="0"/>
    </w:rPr>
  </w:style>
  <w:style w:type="character" w:customStyle="1" w:styleId="halvfet0">
    <w:name w:val="halvfet"/>
    <w:rsid w:val="00E876DA"/>
    <w:rPr>
      <w:b/>
    </w:rPr>
  </w:style>
  <w:style w:type="character" w:styleId="Hyperkobling">
    <w:name w:val="Hyperlink"/>
    <w:uiPriority w:val="99"/>
    <w:unhideWhenUsed/>
    <w:rsid w:val="00E876DA"/>
    <w:rPr>
      <w:color w:val="0000FF"/>
      <w:u w:val="single"/>
    </w:rPr>
  </w:style>
  <w:style w:type="character" w:customStyle="1" w:styleId="kursiv">
    <w:name w:val="kursiv"/>
    <w:rsid w:val="00E876DA"/>
    <w:rPr>
      <w:i/>
    </w:rPr>
  </w:style>
  <w:style w:type="character" w:customStyle="1" w:styleId="l-endring">
    <w:name w:val="l-endring"/>
    <w:rsid w:val="00E876D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876DA"/>
  </w:style>
  <w:style w:type="character" w:styleId="Plassholdertekst">
    <w:name w:val="Placeholder Text"/>
    <w:uiPriority w:val="99"/>
    <w:rsid w:val="00E876DA"/>
    <w:rPr>
      <w:color w:val="808080"/>
    </w:rPr>
  </w:style>
  <w:style w:type="character" w:customStyle="1" w:styleId="regular">
    <w:name w:val="regular"/>
    <w:uiPriority w:val="1"/>
    <w:qFormat/>
    <w:rsid w:val="00E876D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876DA"/>
    <w:rPr>
      <w:vertAlign w:val="superscript"/>
    </w:rPr>
  </w:style>
  <w:style w:type="character" w:customStyle="1" w:styleId="skrift-senket">
    <w:name w:val="skrift-senket"/>
    <w:rsid w:val="00E876DA"/>
    <w:rPr>
      <w:vertAlign w:val="subscript"/>
    </w:rPr>
  </w:style>
  <w:style w:type="character" w:customStyle="1" w:styleId="SluttnotetekstTegn">
    <w:name w:val="Sluttnotetekst Tegn"/>
    <w:link w:val="Sluttnotetekst"/>
    <w:uiPriority w:val="99"/>
    <w:semiHidden/>
    <w:rsid w:val="00E876DA"/>
    <w:rPr>
      <w:rFonts w:ascii="Times New Roman" w:eastAsia="Times New Roman" w:hAnsi="Times New Roman"/>
      <w:spacing w:val="4"/>
      <w:sz w:val="20"/>
      <w:szCs w:val="20"/>
    </w:rPr>
  </w:style>
  <w:style w:type="character" w:customStyle="1" w:styleId="sperret0">
    <w:name w:val="sperret"/>
    <w:rsid w:val="00E876DA"/>
    <w:rPr>
      <w:spacing w:val="30"/>
    </w:rPr>
  </w:style>
  <w:style w:type="character" w:customStyle="1" w:styleId="SterktsitatTegn">
    <w:name w:val="Sterkt sitat Tegn"/>
    <w:link w:val="Sterktsitat"/>
    <w:uiPriority w:val="30"/>
    <w:rsid w:val="00E876DA"/>
    <w:rPr>
      <w:rFonts w:ascii="Times New Roman" w:eastAsia="Times New Roman" w:hAnsi="Times New Roman"/>
      <w:b/>
      <w:bCs/>
      <w:i/>
      <w:iCs/>
      <w:color w:val="4F81BD"/>
      <w:spacing w:val="4"/>
      <w:sz w:val="24"/>
    </w:rPr>
  </w:style>
  <w:style w:type="character" w:customStyle="1" w:styleId="Stikkord">
    <w:name w:val="Stikkord"/>
    <w:rsid w:val="00E876DA"/>
    <w:rPr>
      <w:color w:val="0000FF"/>
    </w:rPr>
  </w:style>
  <w:style w:type="character" w:customStyle="1" w:styleId="stikkord0">
    <w:name w:val="stikkord"/>
    <w:uiPriority w:val="99"/>
  </w:style>
  <w:style w:type="character" w:styleId="Sterk">
    <w:name w:val="Strong"/>
    <w:uiPriority w:val="22"/>
    <w:qFormat/>
    <w:rsid w:val="00E876DA"/>
    <w:rPr>
      <w:b/>
      <w:bCs/>
    </w:rPr>
  </w:style>
  <w:style w:type="character" w:customStyle="1" w:styleId="TopptekstTegn">
    <w:name w:val="Topptekst Tegn"/>
    <w:link w:val="Topptekst"/>
    <w:rsid w:val="00E876DA"/>
    <w:rPr>
      <w:rFonts w:ascii="Times New Roman" w:eastAsia="Times New Roman" w:hAnsi="Times New Roman"/>
      <w:sz w:val="20"/>
    </w:rPr>
  </w:style>
  <w:style w:type="character" w:customStyle="1" w:styleId="UnderskriftTegn">
    <w:name w:val="Underskrift Tegn"/>
    <w:link w:val="Underskrift"/>
    <w:uiPriority w:val="99"/>
    <w:rsid w:val="00E876DA"/>
    <w:rPr>
      <w:rFonts w:ascii="Times New Roman" w:eastAsia="Times New Roman" w:hAnsi="Times New Roman"/>
      <w:spacing w:val="4"/>
      <w:sz w:val="24"/>
    </w:rPr>
  </w:style>
  <w:style w:type="paragraph" w:styleId="Topptekst">
    <w:name w:val="header"/>
    <w:basedOn w:val="Normal"/>
    <w:link w:val="TopptekstTegn"/>
    <w:rsid w:val="00E876D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876DA"/>
    <w:rPr>
      <w:rFonts w:ascii="UniCentury Old Style" w:hAnsi="UniCentury Old Style" w:cs="UniCentury Old Style"/>
      <w:color w:val="000000"/>
      <w:w w:val="0"/>
      <w:sz w:val="20"/>
      <w:szCs w:val="20"/>
    </w:rPr>
  </w:style>
  <w:style w:type="paragraph" w:styleId="Bunntekst">
    <w:name w:val="footer"/>
    <w:basedOn w:val="Normal"/>
    <w:link w:val="BunntekstTegn"/>
    <w:rsid w:val="00E876DA"/>
    <w:pPr>
      <w:tabs>
        <w:tab w:val="center" w:pos="4153"/>
        <w:tab w:val="right" w:pos="8306"/>
      </w:tabs>
    </w:pPr>
    <w:rPr>
      <w:sz w:val="20"/>
    </w:rPr>
  </w:style>
  <w:style w:type="character" w:customStyle="1" w:styleId="BunntekstTegn1">
    <w:name w:val="Bunntekst Tegn1"/>
    <w:basedOn w:val="Standardskriftforavsnitt"/>
    <w:uiPriority w:val="99"/>
    <w:semiHidden/>
    <w:rsid w:val="00E876DA"/>
    <w:rPr>
      <w:rFonts w:ascii="UniCentury Old Style" w:hAnsi="UniCentury Old Style" w:cs="UniCentury Old Style"/>
      <w:color w:val="000000"/>
      <w:w w:val="0"/>
      <w:sz w:val="20"/>
      <w:szCs w:val="20"/>
    </w:rPr>
  </w:style>
  <w:style w:type="character" w:customStyle="1" w:styleId="Overskrift6Tegn">
    <w:name w:val="Overskrift 6 Tegn"/>
    <w:link w:val="Overskrift6"/>
    <w:rsid w:val="00E876DA"/>
    <w:rPr>
      <w:rFonts w:ascii="Arial" w:eastAsia="Times New Roman" w:hAnsi="Arial"/>
      <w:i/>
      <w:spacing w:val="4"/>
    </w:rPr>
  </w:style>
  <w:style w:type="character" w:customStyle="1" w:styleId="Overskrift7Tegn">
    <w:name w:val="Overskrift 7 Tegn"/>
    <w:link w:val="Overskrift7"/>
    <w:rsid w:val="00E876DA"/>
    <w:rPr>
      <w:rFonts w:ascii="Arial" w:eastAsia="Times New Roman" w:hAnsi="Arial"/>
      <w:spacing w:val="4"/>
      <w:sz w:val="24"/>
    </w:rPr>
  </w:style>
  <w:style w:type="character" w:customStyle="1" w:styleId="Overskrift8Tegn">
    <w:name w:val="Overskrift 8 Tegn"/>
    <w:link w:val="Overskrift8"/>
    <w:rsid w:val="00E876DA"/>
    <w:rPr>
      <w:rFonts w:ascii="Arial" w:eastAsia="Times New Roman" w:hAnsi="Arial"/>
      <w:i/>
      <w:spacing w:val="4"/>
      <w:sz w:val="24"/>
    </w:rPr>
  </w:style>
  <w:style w:type="character" w:customStyle="1" w:styleId="Overskrift9Tegn">
    <w:name w:val="Overskrift 9 Tegn"/>
    <w:link w:val="Overskrift9"/>
    <w:rsid w:val="00E876DA"/>
    <w:rPr>
      <w:rFonts w:ascii="Arial" w:eastAsia="Times New Roman" w:hAnsi="Arial"/>
      <w:i/>
      <w:spacing w:val="4"/>
      <w:sz w:val="18"/>
    </w:rPr>
  </w:style>
  <w:style w:type="table" w:customStyle="1" w:styleId="Tabell-VM">
    <w:name w:val="Tabell-VM"/>
    <w:basedOn w:val="Tabelltemaer"/>
    <w:uiPriority w:val="99"/>
    <w:qFormat/>
    <w:rsid w:val="00E876D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876D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876D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876D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876D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876DA"/>
    <w:pPr>
      <w:tabs>
        <w:tab w:val="right" w:leader="dot" w:pos="8306"/>
      </w:tabs>
    </w:pPr>
    <w:rPr>
      <w:spacing w:val="0"/>
    </w:rPr>
  </w:style>
  <w:style w:type="paragraph" w:styleId="INNH2">
    <w:name w:val="toc 2"/>
    <w:basedOn w:val="Normal"/>
    <w:next w:val="Normal"/>
    <w:rsid w:val="00E876DA"/>
    <w:pPr>
      <w:tabs>
        <w:tab w:val="right" w:leader="dot" w:pos="8306"/>
      </w:tabs>
      <w:ind w:left="200"/>
    </w:pPr>
    <w:rPr>
      <w:spacing w:val="0"/>
    </w:rPr>
  </w:style>
  <w:style w:type="paragraph" w:styleId="INNH3">
    <w:name w:val="toc 3"/>
    <w:basedOn w:val="Normal"/>
    <w:next w:val="Normal"/>
    <w:rsid w:val="00E876DA"/>
    <w:pPr>
      <w:tabs>
        <w:tab w:val="right" w:leader="dot" w:pos="8306"/>
      </w:tabs>
      <w:ind w:left="400"/>
    </w:pPr>
    <w:rPr>
      <w:spacing w:val="0"/>
    </w:rPr>
  </w:style>
  <w:style w:type="paragraph" w:styleId="INNH4">
    <w:name w:val="toc 4"/>
    <w:basedOn w:val="Normal"/>
    <w:next w:val="Normal"/>
    <w:rsid w:val="00E876DA"/>
    <w:pPr>
      <w:tabs>
        <w:tab w:val="right" w:leader="dot" w:pos="8306"/>
      </w:tabs>
      <w:ind w:left="600"/>
    </w:pPr>
    <w:rPr>
      <w:spacing w:val="0"/>
    </w:rPr>
  </w:style>
  <w:style w:type="paragraph" w:styleId="INNH5">
    <w:name w:val="toc 5"/>
    <w:basedOn w:val="Normal"/>
    <w:next w:val="Normal"/>
    <w:rsid w:val="00E876DA"/>
    <w:pPr>
      <w:tabs>
        <w:tab w:val="right" w:leader="dot" w:pos="8306"/>
      </w:tabs>
      <w:ind w:left="800"/>
    </w:pPr>
    <w:rPr>
      <w:spacing w:val="0"/>
    </w:rPr>
  </w:style>
  <w:style w:type="character" w:styleId="Merknadsreferanse">
    <w:name w:val="annotation reference"/>
    <w:rsid w:val="00E876DA"/>
    <w:rPr>
      <w:sz w:val="16"/>
    </w:rPr>
  </w:style>
  <w:style w:type="paragraph" w:styleId="Merknadstekst">
    <w:name w:val="annotation text"/>
    <w:basedOn w:val="Normal"/>
    <w:link w:val="MerknadstekstTegn"/>
    <w:rsid w:val="00E876DA"/>
    <w:rPr>
      <w:spacing w:val="0"/>
      <w:sz w:val="20"/>
    </w:rPr>
  </w:style>
  <w:style w:type="character" w:customStyle="1" w:styleId="MerknadstekstTegn">
    <w:name w:val="Merknadstekst Tegn"/>
    <w:link w:val="Merknadstekst"/>
    <w:rsid w:val="00E876DA"/>
    <w:rPr>
      <w:rFonts w:ascii="Times New Roman" w:eastAsia="Times New Roman" w:hAnsi="Times New Roman"/>
      <w:sz w:val="20"/>
    </w:rPr>
  </w:style>
  <w:style w:type="paragraph" w:styleId="Punktliste">
    <w:name w:val="List Bullet"/>
    <w:basedOn w:val="Normal"/>
    <w:rsid w:val="00E876DA"/>
    <w:pPr>
      <w:spacing w:after="0"/>
      <w:ind w:left="284" w:hanging="284"/>
    </w:pPr>
  </w:style>
  <w:style w:type="paragraph" w:styleId="Punktliste2">
    <w:name w:val="List Bullet 2"/>
    <w:basedOn w:val="Normal"/>
    <w:rsid w:val="00E876DA"/>
    <w:pPr>
      <w:spacing w:after="0"/>
      <w:ind w:left="568" w:hanging="284"/>
    </w:pPr>
  </w:style>
  <w:style w:type="paragraph" w:styleId="Punktliste3">
    <w:name w:val="List Bullet 3"/>
    <w:basedOn w:val="Normal"/>
    <w:rsid w:val="00E876DA"/>
    <w:pPr>
      <w:spacing w:after="0"/>
      <w:ind w:left="851" w:hanging="284"/>
    </w:pPr>
  </w:style>
  <w:style w:type="paragraph" w:styleId="Punktliste4">
    <w:name w:val="List Bullet 4"/>
    <w:basedOn w:val="Normal"/>
    <w:rsid w:val="00E876DA"/>
    <w:pPr>
      <w:spacing w:after="0"/>
      <w:ind w:left="1135" w:hanging="284"/>
    </w:pPr>
    <w:rPr>
      <w:spacing w:val="0"/>
    </w:rPr>
  </w:style>
  <w:style w:type="paragraph" w:styleId="Punktliste5">
    <w:name w:val="List Bullet 5"/>
    <w:basedOn w:val="Normal"/>
    <w:rsid w:val="00E876DA"/>
    <w:pPr>
      <w:spacing w:after="0"/>
      <w:ind w:left="1418" w:hanging="284"/>
    </w:pPr>
    <w:rPr>
      <w:spacing w:val="0"/>
    </w:rPr>
  </w:style>
  <w:style w:type="table" w:customStyle="1" w:styleId="StandardTabell">
    <w:name w:val="StandardTabell"/>
    <w:basedOn w:val="Vanligtabell"/>
    <w:uiPriority w:val="99"/>
    <w:qFormat/>
    <w:rsid w:val="00E876D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876D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876D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876DA"/>
    <w:pPr>
      <w:spacing w:after="0" w:line="240" w:lineRule="auto"/>
      <w:ind w:left="240" w:hanging="240"/>
    </w:pPr>
  </w:style>
  <w:style w:type="paragraph" w:styleId="Indeks2">
    <w:name w:val="index 2"/>
    <w:basedOn w:val="Normal"/>
    <w:next w:val="Normal"/>
    <w:autoRedefine/>
    <w:uiPriority w:val="99"/>
    <w:semiHidden/>
    <w:unhideWhenUsed/>
    <w:rsid w:val="00E876DA"/>
    <w:pPr>
      <w:spacing w:after="0" w:line="240" w:lineRule="auto"/>
      <w:ind w:left="480" w:hanging="240"/>
    </w:pPr>
  </w:style>
  <w:style w:type="paragraph" w:styleId="Indeks3">
    <w:name w:val="index 3"/>
    <w:basedOn w:val="Normal"/>
    <w:next w:val="Normal"/>
    <w:autoRedefine/>
    <w:uiPriority w:val="99"/>
    <w:semiHidden/>
    <w:unhideWhenUsed/>
    <w:rsid w:val="00E876DA"/>
    <w:pPr>
      <w:spacing w:after="0" w:line="240" w:lineRule="auto"/>
      <w:ind w:left="720" w:hanging="240"/>
    </w:pPr>
  </w:style>
  <w:style w:type="paragraph" w:styleId="Indeks4">
    <w:name w:val="index 4"/>
    <w:basedOn w:val="Normal"/>
    <w:next w:val="Normal"/>
    <w:autoRedefine/>
    <w:uiPriority w:val="99"/>
    <w:semiHidden/>
    <w:unhideWhenUsed/>
    <w:rsid w:val="00E876DA"/>
    <w:pPr>
      <w:spacing w:after="0" w:line="240" w:lineRule="auto"/>
      <w:ind w:left="960" w:hanging="240"/>
    </w:pPr>
  </w:style>
  <w:style w:type="paragraph" w:styleId="Indeks5">
    <w:name w:val="index 5"/>
    <w:basedOn w:val="Normal"/>
    <w:next w:val="Normal"/>
    <w:autoRedefine/>
    <w:uiPriority w:val="99"/>
    <w:semiHidden/>
    <w:unhideWhenUsed/>
    <w:rsid w:val="00E876DA"/>
    <w:pPr>
      <w:spacing w:after="0" w:line="240" w:lineRule="auto"/>
      <w:ind w:left="1200" w:hanging="240"/>
    </w:pPr>
  </w:style>
  <w:style w:type="paragraph" w:styleId="Indeks6">
    <w:name w:val="index 6"/>
    <w:basedOn w:val="Normal"/>
    <w:next w:val="Normal"/>
    <w:autoRedefine/>
    <w:uiPriority w:val="99"/>
    <w:semiHidden/>
    <w:unhideWhenUsed/>
    <w:rsid w:val="00E876DA"/>
    <w:pPr>
      <w:spacing w:after="0" w:line="240" w:lineRule="auto"/>
      <w:ind w:left="1440" w:hanging="240"/>
    </w:pPr>
  </w:style>
  <w:style w:type="paragraph" w:styleId="Indeks7">
    <w:name w:val="index 7"/>
    <w:basedOn w:val="Normal"/>
    <w:next w:val="Normal"/>
    <w:autoRedefine/>
    <w:uiPriority w:val="99"/>
    <w:semiHidden/>
    <w:unhideWhenUsed/>
    <w:rsid w:val="00E876DA"/>
    <w:pPr>
      <w:spacing w:after="0" w:line="240" w:lineRule="auto"/>
      <w:ind w:left="1680" w:hanging="240"/>
    </w:pPr>
  </w:style>
  <w:style w:type="paragraph" w:styleId="Indeks8">
    <w:name w:val="index 8"/>
    <w:basedOn w:val="Normal"/>
    <w:next w:val="Normal"/>
    <w:autoRedefine/>
    <w:uiPriority w:val="99"/>
    <w:semiHidden/>
    <w:unhideWhenUsed/>
    <w:rsid w:val="00E876DA"/>
    <w:pPr>
      <w:spacing w:after="0" w:line="240" w:lineRule="auto"/>
      <w:ind w:left="1920" w:hanging="240"/>
    </w:pPr>
  </w:style>
  <w:style w:type="paragraph" w:styleId="Indeks9">
    <w:name w:val="index 9"/>
    <w:basedOn w:val="Normal"/>
    <w:next w:val="Normal"/>
    <w:autoRedefine/>
    <w:uiPriority w:val="99"/>
    <w:semiHidden/>
    <w:unhideWhenUsed/>
    <w:rsid w:val="00E876DA"/>
    <w:pPr>
      <w:spacing w:after="0" w:line="240" w:lineRule="auto"/>
      <w:ind w:left="2160" w:hanging="240"/>
    </w:pPr>
  </w:style>
  <w:style w:type="paragraph" w:styleId="INNH6">
    <w:name w:val="toc 6"/>
    <w:basedOn w:val="Normal"/>
    <w:next w:val="Normal"/>
    <w:autoRedefine/>
    <w:uiPriority w:val="39"/>
    <w:semiHidden/>
    <w:unhideWhenUsed/>
    <w:rsid w:val="00E876DA"/>
    <w:pPr>
      <w:spacing w:after="100"/>
      <w:ind w:left="1200"/>
    </w:pPr>
  </w:style>
  <w:style w:type="paragraph" w:styleId="INNH7">
    <w:name w:val="toc 7"/>
    <w:basedOn w:val="Normal"/>
    <w:next w:val="Normal"/>
    <w:autoRedefine/>
    <w:uiPriority w:val="39"/>
    <w:semiHidden/>
    <w:unhideWhenUsed/>
    <w:rsid w:val="00E876DA"/>
    <w:pPr>
      <w:spacing w:after="100"/>
      <w:ind w:left="1440"/>
    </w:pPr>
  </w:style>
  <w:style w:type="paragraph" w:styleId="INNH8">
    <w:name w:val="toc 8"/>
    <w:basedOn w:val="Normal"/>
    <w:next w:val="Normal"/>
    <w:autoRedefine/>
    <w:uiPriority w:val="39"/>
    <w:semiHidden/>
    <w:unhideWhenUsed/>
    <w:rsid w:val="00E876DA"/>
    <w:pPr>
      <w:spacing w:after="100"/>
      <w:ind w:left="1680"/>
    </w:pPr>
  </w:style>
  <w:style w:type="paragraph" w:styleId="INNH9">
    <w:name w:val="toc 9"/>
    <w:basedOn w:val="Normal"/>
    <w:next w:val="Normal"/>
    <w:autoRedefine/>
    <w:uiPriority w:val="39"/>
    <w:semiHidden/>
    <w:unhideWhenUsed/>
    <w:rsid w:val="00E876DA"/>
    <w:pPr>
      <w:spacing w:after="100"/>
      <w:ind w:left="1920"/>
    </w:pPr>
  </w:style>
  <w:style w:type="paragraph" w:styleId="Vanliginnrykk">
    <w:name w:val="Normal Indent"/>
    <w:basedOn w:val="Normal"/>
    <w:uiPriority w:val="99"/>
    <w:semiHidden/>
    <w:unhideWhenUsed/>
    <w:rsid w:val="00E876DA"/>
    <w:pPr>
      <w:ind w:left="708"/>
    </w:pPr>
  </w:style>
  <w:style w:type="paragraph" w:styleId="Stikkordregisteroverskrift">
    <w:name w:val="index heading"/>
    <w:basedOn w:val="Normal"/>
    <w:next w:val="Indeks1"/>
    <w:uiPriority w:val="99"/>
    <w:semiHidden/>
    <w:unhideWhenUsed/>
    <w:rsid w:val="00E876DA"/>
    <w:rPr>
      <w:rFonts w:ascii="Cambria" w:hAnsi="Cambria" w:cs="Times New Roman"/>
      <w:b/>
      <w:bCs/>
    </w:rPr>
  </w:style>
  <w:style w:type="paragraph" w:styleId="Bildetekst">
    <w:name w:val="caption"/>
    <w:basedOn w:val="Normal"/>
    <w:next w:val="Normal"/>
    <w:uiPriority w:val="35"/>
    <w:semiHidden/>
    <w:unhideWhenUsed/>
    <w:qFormat/>
    <w:rsid w:val="00E876D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876DA"/>
    <w:pPr>
      <w:spacing w:after="0"/>
    </w:pPr>
  </w:style>
  <w:style w:type="paragraph" w:styleId="Konvoluttadresse">
    <w:name w:val="envelope address"/>
    <w:basedOn w:val="Normal"/>
    <w:uiPriority w:val="99"/>
    <w:semiHidden/>
    <w:unhideWhenUsed/>
    <w:rsid w:val="00E876D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876DA"/>
  </w:style>
  <w:style w:type="character" w:styleId="Sluttnotereferanse">
    <w:name w:val="endnote reference"/>
    <w:uiPriority w:val="99"/>
    <w:semiHidden/>
    <w:unhideWhenUsed/>
    <w:rsid w:val="00E876DA"/>
    <w:rPr>
      <w:vertAlign w:val="superscript"/>
    </w:rPr>
  </w:style>
  <w:style w:type="paragraph" w:styleId="Sluttnotetekst">
    <w:name w:val="endnote text"/>
    <w:basedOn w:val="Normal"/>
    <w:link w:val="SluttnotetekstTegn"/>
    <w:uiPriority w:val="99"/>
    <w:semiHidden/>
    <w:unhideWhenUsed/>
    <w:rsid w:val="00E876DA"/>
    <w:pPr>
      <w:spacing w:after="0" w:line="240" w:lineRule="auto"/>
    </w:pPr>
    <w:rPr>
      <w:sz w:val="20"/>
      <w:szCs w:val="20"/>
    </w:rPr>
  </w:style>
  <w:style w:type="character" w:customStyle="1" w:styleId="SluttnotetekstTegn1">
    <w:name w:val="Sluttnotetekst Tegn1"/>
    <w:basedOn w:val="Standardskriftforavsnitt"/>
    <w:uiPriority w:val="99"/>
    <w:semiHidden/>
    <w:rsid w:val="00E876D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876DA"/>
    <w:pPr>
      <w:spacing w:after="0"/>
      <w:ind w:left="240" w:hanging="240"/>
    </w:pPr>
  </w:style>
  <w:style w:type="paragraph" w:styleId="Makrotekst">
    <w:name w:val="macro"/>
    <w:link w:val="MakrotekstTegn"/>
    <w:uiPriority w:val="99"/>
    <w:semiHidden/>
    <w:unhideWhenUsed/>
    <w:rsid w:val="00E876D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876DA"/>
    <w:rPr>
      <w:rFonts w:ascii="Consolas" w:eastAsia="Times New Roman" w:hAnsi="Consolas"/>
      <w:spacing w:val="4"/>
    </w:rPr>
  </w:style>
  <w:style w:type="paragraph" w:styleId="Kildelisteoverskrift">
    <w:name w:val="toa heading"/>
    <w:basedOn w:val="Normal"/>
    <w:next w:val="Normal"/>
    <w:uiPriority w:val="99"/>
    <w:semiHidden/>
    <w:unhideWhenUsed/>
    <w:rsid w:val="00E876DA"/>
    <w:pPr>
      <w:spacing w:before="120"/>
    </w:pPr>
    <w:rPr>
      <w:rFonts w:ascii="Cambria" w:hAnsi="Cambria" w:cs="Times New Roman"/>
      <w:b/>
      <w:bCs/>
      <w:szCs w:val="24"/>
    </w:rPr>
  </w:style>
  <w:style w:type="paragraph" w:styleId="Tittel">
    <w:name w:val="Title"/>
    <w:basedOn w:val="Normal"/>
    <w:next w:val="Normal"/>
    <w:link w:val="TittelTegn"/>
    <w:uiPriority w:val="10"/>
    <w:qFormat/>
    <w:rsid w:val="00E876D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876D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876DA"/>
    <w:pPr>
      <w:spacing w:after="0" w:line="240" w:lineRule="auto"/>
      <w:ind w:left="4252"/>
    </w:pPr>
  </w:style>
  <w:style w:type="character" w:customStyle="1" w:styleId="HilsenTegn">
    <w:name w:val="Hilsen Tegn"/>
    <w:link w:val="Hilsen"/>
    <w:uiPriority w:val="99"/>
    <w:semiHidden/>
    <w:rsid w:val="00E876DA"/>
    <w:rPr>
      <w:rFonts w:ascii="Times New Roman" w:eastAsia="Times New Roman" w:hAnsi="Times New Roman"/>
      <w:spacing w:val="4"/>
      <w:sz w:val="24"/>
    </w:rPr>
  </w:style>
  <w:style w:type="paragraph" w:styleId="Underskrift">
    <w:name w:val="Signature"/>
    <w:basedOn w:val="Normal"/>
    <w:link w:val="UnderskriftTegn"/>
    <w:uiPriority w:val="99"/>
    <w:unhideWhenUsed/>
    <w:rsid w:val="00E876DA"/>
    <w:pPr>
      <w:spacing w:after="0" w:line="240" w:lineRule="auto"/>
      <w:ind w:left="4252"/>
    </w:pPr>
  </w:style>
  <w:style w:type="character" w:customStyle="1" w:styleId="UnderskriftTegn1">
    <w:name w:val="Underskrift Tegn1"/>
    <w:basedOn w:val="Standardskriftforavsnitt"/>
    <w:uiPriority w:val="99"/>
    <w:semiHidden/>
    <w:rsid w:val="00E876DA"/>
    <w:rPr>
      <w:rFonts w:ascii="Times New Roman" w:eastAsia="Times New Roman" w:hAnsi="Times New Roman"/>
      <w:spacing w:val="4"/>
      <w:sz w:val="24"/>
    </w:rPr>
  </w:style>
  <w:style w:type="paragraph" w:styleId="Liste-forts">
    <w:name w:val="List Continue"/>
    <w:basedOn w:val="Normal"/>
    <w:uiPriority w:val="99"/>
    <w:semiHidden/>
    <w:unhideWhenUsed/>
    <w:rsid w:val="00E876DA"/>
    <w:pPr>
      <w:ind w:left="283"/>
      <w:contextualSpacing/>
    </w:pPr>
  </w:style>
  <w:style w:type="paragraph" w:styleId="Liste-forts2">
    <w:name w:val="List Continue 2"/>
    <w:basedOn w:val="Normal"/>
    <w:uiPriority w:val="99"/>
    <w:semiHidden/>
    <w:unhideWhenUsed/>
    <w:rsid w:val="00E876DA"/>
    <w:pPr>
      <w:ind w:left="566"/>
      <w:contextualSpacing/>
    </w:pPr>
  </w:style>
  <w:style w:type="paragraph" w:styleId="Liste-forts3">
    <w:name w:val="List Continue 3"/>
    <w:basedOn w:val="Normal"/>
    <w:uiPriority w:val="99"/>
    <w:semiHidden/>
    <w:unhideWhenUsed/>
    <w:rsid w:val="00E876DA"/>
    <w:pPr>
      <w:ind w:left="849"/>
      <w:contextualSpacing/>
    </w:pPr>
  </w:style>
  <w:style w:type="paragraph" w:styleId="Liste-forts4">
    <w:name w:val="List Continue 4"/>
    <w:basedOn w:val="Normal"/>
    <w:uiPriority w:val="99"/>
    <w:semiHidden/>
    <w:unhideWhenUsed/>
    <w:rsid w:val="00E876DA"/>
    <w:pPr>
      <w:ind w:left="1132"/>
      <w:contextualSpacing/>
    </w:pPr>
  </w:style>
  <w:style w:type="paragraph" w:styleId="Liste-forts5">
    <w:name w:val="List Continue 5"/>
    <w:basedOn w:val="Normal"/>
    <w:uiPriority w:val="99"/>
    <w:semiHidden/>
    <w:unhideWhenUsed/>
    <w:rsid w:val="00E876DA"/>
    <w:pPr>
      <w:ind w:left="1415"/>
      <w:contextualSpacing/>
    </w:pPr>
  </w:style>
  <w:style w:type="paragraph" w:styleId="Meldingshode">
    <w:name w:val="Message Header"/>
    <w:basedOn w:val="Normal"/>
    <w:link w:val="MeldingshodeTegn"/>
    <w:uiPriority w:val="99"/>
    <w:semiHidden/>
    <w:unhideWhenUsed/>
    <w:rsid w:val="00E876D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876D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876DA"/>
  </w:style>
  <w:style w:type="character" w:customStyle="1" w:styleId="InnledendehilsenTegn">
    <w:name w:val="Innledende hilsen Tegn"/>
    <w:link w:val="Innledendehilsen"/>
    <w:uiPriority w:val="99"/>
    <w:semiHidden/>
    <w:rsid w:val="00E876DA"/>
    <w:rPr>
      <w:rFonts w:ascii="Times New Roman" w:eastAsia="Times New Roman" w:hAnsi="Times New Roman"/>
      <w:spacing w:val="4"/>
      <w:sz w:val="24"/>
    </w:rPr>
  </w:style>
  <w:style w:type="paragraph" w:styleId="Dato0">
    <w:name w:val="Date"/>
    <w:basedOn w:val="Normal"/>
    <w:next w:val="Normal"/>
    <w:link w:val="DatoTegn"/>
    <w:rsid w:val="00E876DA"/>
  </w:style>
  <w:style w:type="character" w:customStyle="1" w:styleId="DatoTegn1">
    <w:name w:val="Dato Tegn1"/>
    <w:basedOn w:val="Standardskriftforavsnitt"/>
    <w:uiPriority w:val="99"/>
    <w:semiHidden/>
    <w:rsid w:val="00E876D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876DA"/>
    <w:pPr>
      <w:spacing w:after="0" w:line="240" w:lineRule="auto"/>
    </w:pPr>
  </w:style>
  <w:style w:type="character" w:customStyle="1" w:styleId="NotatoverskriftTegn">
    <w:name w:val="Notatoverskrift Tegn"/>
    <w:link w:val="Notatoverskrift"/>
    <w:uiPriority w:val="99"/>
    <w:semiHidden/>
    <w:rsid w:val="00E876DA"/>
    <w:rPr>
      <w:rFonts w:ascii="Times New Roman" w:eastAsia="Times New Roman" w:hAnsi="Times New Roman"/>
      <w:spacing w:val="4"/>
      <w:sz w:val="24"/>
    </w:rPr>
  </w:style>
  <w:style w:type="paragraph" w:styleId="Blokktekst">
    <w:name w:val="Block Text"/>
    <w:basedOn w:val="Normal"/>
    <w:uiPriority w:val="99"/>
    <w:semiHidden/>
    <w:unhideWhenUsed/>
    <w:rsid w:val="00E876D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876DA"/>
    <w:rPr>
      <w:color w:val="800080"/>
      <w:u w:val="single"/>
    </w:rPr>
  </w:style>
  <w:style w:type="character" w:styleId="Utheving">
    <w:name w:val="Emphasis"/>
    <w:uiPriority w:val="20"/>
    <w:qFormat/>
    <w:rsid w:val="00E876DA"/>
    <w:rPr>
      <w:i/>
      <w:iCs/>
    </w:rPr>
  </w:style>
  <w:style w:type="paragraph" w:styleId="Dokumentkart">
    <w:name w:val="Document Map"/>
    <w:basedOn w:val="Normal"/>
    <w:link w:val="DokumentkartTegn"/>
    <w:uiPriority w:val="99"/>
    <w:semiHidden/>
    <w:rsid w:val="00E876DA"/>
    <w:pPr>
      <w:shd w:val="clear" w:color="auto" w:fill="000080"/>
    </w:pPr>
    <w:rPr>
      <w:rFonts w:ascii="Tahoma" w:hAnsi="Tahoma" w:cs="Tahoma"/>
    </w:rPr>
  </w:style>
  <w:style w:type="character" w:customStyle="1" w:styleId="DokumentkartTegn">
    <w:name w:val="Dokumentkart Tegn"/>
    <w:link w:val="Dokumentkart"/>
    <w:uiPriority w:val="99"/>
    <w:semiHidden/>
    <w:rsid w:val="00E876D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876DA"/>
    <w:rPr>
      <w:rFonts w:ascii="Courier New" w:hAnsi="Courier New" w:cs="Courier New"/>
      <w:sz w:val="20"/>
    </w:rPr>
  </w:style>
  <w:style w:type="character" w:customStyle="1" w:styleId="RentekstTegn">
    <w:name w:val="Ren tekst Tegn"/>
    <w:link w:val="Rentekst"/>
    <w:uiPriority w:val="99"/>
    <w:semiHidden/>
    <w:rsid w:val="00E876D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876DA"/>
    <w:pPr>
      <w:spacing w:after="0" w:line="240" w:lineRule="auto"/>
    </w:pPr>
  </w:style>
  <w:style w:type="character" w:customStyle="1" w:styleId="E-postsignaturTegn">
    <w:name w:val="E-postsignatur Tegn"/>
    <w:link w:val="E-postsignatur"/>
    <w:uiPriority w:val="99"/>
    <w:semiHidden/>
    <w:rsid w:val="00E876DA"/>
    <w:rPr>
      <w:rFonts w:ascii="Times New Roman" w:eastAsia="Times New Roman" w:hAnsi="Times New Roman"/>
      <w:spacing w:val="4"/>
      <w:sz w:val="24"/>
    </w:rPr>
  </w:style>
  <w:style w:type="paragraph" w:styleId="NormalWeb">
    <w:name w:val="Normal (Web)"/>
    <w:basedOn w:val="Normal"/>
    <w:uiPriority w:val="99"/>
    <w:semiHidden/>
    <w:unhideWhenUsed/>
    <w:rsid w:val="00E876DA"/>
    <w:rPr>
      <w:szCs w:val="24"/>
    </w:rPr>
  </w:style>
  <w:style w:type="character" w:styleId="HTML-akronym">
    <w:name w:val="HTML Acronym"/>
    <w:uiPriority w:val="99"/>
    <w:semiHidden/>
    <w:unhideWhenUsed/>
    <w:rsid w:val="00E876DA"/>
  </w:style>
  <w:style w:type="paragraph" w:styleId="HTML-adresse">
    <w:name w:val="HTML Address"/>
    <w:basedOn w:val="Normal"/>
    <w:link w:val="HTML-adresseTegn"/>
    <w:uiPriority w:val="99"/>
    <w:semiHidden/>
    <w:unhideWhenUsed/>
    <w:rsid w:val="00E876DA"/>
    <w:pPr>
      <w:spacing w:after="0" w:line="240" w:lineRule="auto"/>
    </w:pPr>
    <w:rPr>
      <w:i/>
      <w:iCs/>
    </w:rPr>
  </w:style>
  <w:style w:type="character" w:customStyle="1" w:styleId="HTML-adresseTegn">
    <w:name w:val="HTML-adresse Tegn"/>
    <w:link w:val="HTML-adresse"/>
    <w:uiPriority w:val="99"/>
    <w:semiHidden/>
    <w:rsid w:val="00E876DA"/>
    <w:rPr>
      <w:rFonts w:ascii="Times New Roman" w:eastAsia="Times New Roman" w:hAnsi="Times New Roman"/>
      <w:i/>
      <w:iCs/>
      <w:spacing w:val="4"/>
      <w:sz w:val="24"/>
    </w:rPr>
  </w:style>
  <w:style w:type="character" w:styleId="HTML-sitat">
    <w:name w:val="HTML Cite"/>
    <w:uiPriority w:val="99"/>
    <w:semiHidden/>
    <w:unhideWhenUsed/>
    <w:rsid w:val="00E876DA"/>
    <w:rPr>
      <w:i/>
      <w:iCs/>
    </w:rPr>
  </w:style>
  <w:style w:type="character" w:styleId="HTML-kode">
    <w:name w:val="HTML Code"/>
    <w:uiPriority w:val="99"/>
    <w:semiHidden/>
    <w:unhideWhenUsed/>
    <w:rsid w:val="00E876DA"/>
    <w:rPr>
      <w:rFonts w:ascii="Consolas" w:hAnsi="Consolas"/>
      <w:sz w:val="20"/>
      <w:szCs w:val="20"/>
    </w:rPr>
  </w:style>
  <w:style w:type="character" w:styleId="HTML-definisjon">
    <w:name w:val="HTML Definition"/>
    <w:uiPriority w:val="99"/>
    <w:semiHidden/>
    <w:unhideWhenUsed/>
    <w:rsid w:val="00E876DA"/>
    <w:rPr>
      <w:i/>
      <w:iCs/>
    </w:rPr>
  </w:style>
  <w:style w:type="character" w:styleId="HTML-tastatur">
    <w:name w:val="HTML Keyboard"/>
    <w:uiPriority w:val="99"/>
    <w:semiHidden/>
    <w:unhideWhenUsed/>
    <w:rsid w:val="00E876DA"/>
    <w:rPr>
      <w:rFonts w:ascii="Consolas" w:hAnsi="Consolas"/>
      <w:sz w:val="20"/>
      <w:szCs w:val="20"/>
    </w:rPr>
  </w:style>
  <w:style w:type="paragraph" w:styleId="HTML-forhndsformatert">
    <w:name w:val="HTML Preformatted"/>
    <w:basedOn w:val="Normal"/>
    <w:link w:val="HTML-forhndsformatertTegn"/>
    <w:uiPriority w:val="99"/>
    <w:semiHidden/>
    <w:unhideWhenUsed/>
    <w:rsid w:val="00E876D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876DA"/>
    <w:rPr>
      <w:rFonts w:ascii="Consolas" w:eastAsia="Times New Roman" w:hAnsi="Consolas"/>
      <w:spacing w:val="4"/>
      <w:sz w:val="20"/>
      <w:szCs w:val="20"/>
    </w:rPr>
  </w:style>
  <w:style w:type="character" w:styleId="HTML-eksempel">
    <w:name w:val="HTML Sample"/>
    <w:uiPriority w:val="99"/>
    <w:semiHidden/>
    <w:unhideWhenUsed/>
    <w:rsid w:val="00E876DA"/>
    <w:rPr>
      <w:rFonts w:ascii="Consolas" w:hAnsi="Consolas"/>
      <w:sz w:val="24"/>
      <w:szCs w:val="24"/>
    </w:rPr>
  </w:style>
  <w:style w:type="character" w:styleId="HTML-skrivemaskin">
    <w:name w:val="HTML Typewriter"/>
    <w:uiPriority w:val="99"/>
    <w:semiHidden/>
    <w:unhideWhenUsed/>
    <w:rsid w:val="00E876DA"/>
    <w:rPr>
      <w:rFonts w:ascii="Consolas" w:hAnsi="Consolas"/>
      <w:sz w:val="20"/>
      <w:szCs w:val="20"/>
    </w:rPr>
  </w:style>
  <w:style w:type="character" w:styleId="HTML-variabel">
    <w:name w:val="HTML Variable"/>
    <w:uiPriority w:val="99"/>
    <w:semiHidden/>
    <w:unhideWhenUsed/>
    <w:rsid w:val="00E876DA"/>
    <w:rPr>
      <w:i/>
      <w:iCs/>
    </w:rPr>
  </w:style>
  <w:style w:type="paragraph" w:styleId="Kommentaremne">
    <w:name w:val="annotation subject"/>
    <w:basedOn w:val="Merknadstekst"/>
    <w:next w:val="Merknadstekst"/>
    <w:link w:val="KommentaremneTegn"/>
    <w:uiPriority w:val="99"/>
    <w:semiHidden/>
    <w:unhideWhenUsed/>
    <w:rsid w:val="00E876DA"/>
    <w:pPr>
      <w:spacing w:line="240" w:lineRule="auto"/>
    </w:pPr>
    <w:rPr>
      <w:b/>
      <w:bCs/>
      <w:spacing w:val="4"/>
      <w:szCs w:val="20"/>
    </w:rPr>
  </w:style>
  <w:style w:type="character" w:customStyle="1" w:styleId="KommentaremneTegn">
    <w:name w:val="Kommentaremne Tegn"/>
    <w:link w:val="Kommentaremne"/>
    <w:uiPriority w:val="99"/>
    <w:semiHidden/>
    <w:rsid w:val="00E876D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876D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876DA"/>
    <w:rPr>
      <w:rFonts w:ascii="Tahoma" w:eastAsia="Times New Roman" w:hAnsi="Tahoma" w:cs="Tahoma"/>
      <w:spacing w:val="4"/>
      <w:sz w:val="16"/>
      <w:szCs w:val="16"/>
    </w:rPr>
  </w:style>
  <w:style w:type="table" w:styleId="Tabellrutenett">
    <w:name w:val="Table Grid"/>
    <w:basedOn w:val="Vanligtabell"/>
    <w:uiPriority w:val="59"/>
    <w:rsid w:val="00E876D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876D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876D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876DA"/>
    <w:rPr>
      <w:rFonts w:ascii="Times New Roman" w:eastAsia="Times New Roman" w:hAnsi="Times New Roman"/>
      <w:i/>
      <w:iCs/>
      <w:color w:val="4472C4" w:themeColor="accent1"/>
      <w:spacing w:val="4"/>
      <w:sz w:val="24"/>
    </w:rPr>
  </w:style>
  <w:style w:type="character" w:styleId="Svakutheving">
    <w:name w:val="Subtle Emphasis"/>
    <w:uiPriority w:val="19"/>
    <w:qFormat/>
    <w:rsid w:val="00E876DA"/>
    <w:rPr>
      <w:i/>
      <w:iCs/>
      <w:color w:val="808080"/>
    </w:rPr>
  </w:style>
  <w:style w:type="character" w:styleId="Sterkutheving">
    <w:name w:val="Intense Emphasis"/>
    <w:uiPriority w:val="21"/>
    <w:qFormat/>
    <w:rsid w:val="00E876DA"/>
    <w:rPr>
      <w:b/>
      <w:bCs/>
      <w:i/>
      <w:iCs/>
      <w:color w:val="4F81BD"/>
    </w:rPr>
  </w:style>
  <w:style w:type="character" w:styleId="Svakreferanse">
    <w:name w:val="Subtle Reference"/>
    <w:uiPriority w:val="31"/>
    <w:qFormat/>
    <w:rsid w:val="00E876DA"/>
    <w:rPr>
      <w:smallCaps/>
      <w:color w:val="C0504D"/>
      <w:u w:val="single"/>
    </w:rPr>
  </w:style>
  <w:style w:type="character" w:styleId="Sterkreferanse">
    <w:name w:val="Intense Reference"/>
    <w:uiPriority w:val="32"/>
    <w:qFormat/>
    <w:rsid w:val="00E876DA"/>
    <w:rPr>
      <w:b/>
      <w:bCs/>
      <w:smallCaps/>
      <w:color w:val="C0504D"/>
      <w:spacing w:val="5"/>
      <w:u w:val="single"/>
    </w:rPr>
  </w:style>
  <w:style w:type="character" w:styleId="Boktittel">
    <w:name w:val="Book Title"/>
    <w:uiPriority w:val="33"/>
    <w:qFormat/>
    <w:rsid w:val="00E876DA"/>
    <w:rPr>
      <w:b/>
      <w:bCs/>
      <w:smallCaps/>
      <w:spacing w:val="5"/>
    </w:rPr>
  </w:style>
  <w:style w:type="paragraph" w:styleId="Bibliografi">
    <w:name w:val="Bibliography"/>
    <w:basedOn w:val="Normal"/>
    <w:next w:val="Normal"/>
    <w:uiPriority w:val="37"/>
    <w:semiHidden/>
    <w:unhideWhenUsed/>
    <w:rsid w:val="00E876DA"/>
  </w:style>
  <w:style w:type="paragraph" w:styleId="Overskriftforinnholdsfortegnelse">
    <w:name w:val="TOC Heading"/>
    <w:basedOn w:val="Overskrift1"/>
    <w:next w:val="Normal"/>
    <w:uiPriority w:val="39"/>
    <w:semiHidden/>
    <w:unhideWhenUsed/>
    <w:qFormat/>
    <w:rsid w:val="00E876D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876DA"/>
    <w:pPr>
      <w:numPr>
        <w:numId w:val="20"/>
      </w:numPr>
    </w:pPr>
  </w:style>
  <w:style w:type="numbering" w:customStyle="1" w:styleId="NrListeStil">
    <w:name w:val="NrListeStil"/>
    <w:uiPriority w:val="99"/>
    <w:rsid w:val="00E876DA"/>
    <w:pPr>
      <w:numPr>
        <w:numId w:val="21"/>
      </w:numPr>
    </w:pPr>
  </w:style>
  <w:style w:type="numbering" w:customStyle="1" w:styleId="RomListeStil">
    <w:name w:val="RomListeStil"/>
    <w:uiPriority w:val="99"/>
    <w:rsid w:val="00E876DA"/>
    <w:pPr>
      <w:numPr>
        <w:numId w:val="22"/>
      </w:numPr>
    </w:pPr>
  </w:style>
  <w:style w:type="numbering" w:customStyle="1" w:styleId="StrekListeStil">
    <w:name w:val="StrekListeStil"/>
    <w:uiPriority w:val="99"/>
    <w:rsid w:val="00E876DA"/>
    <w:pPr>
      <w:numPr>
        <w:numId w:val="23"/>
      </w:numPr>
    </w:pPr>
  </w:style>
  <w:style w:type="numbering" w:customStyle="1" w:styleId="OpplistingListeStil">
    <w:name w:val="OpplistingListeStil"/>
    <w:uiPriority w:val="99"/>
    <w:rsid w:val="00E876DA"/>
    <w:pPr>
      <w:numPr>
        <w:numId w:val="24"/>
      </w:numPr>
    </w:pPr>
  </w:style>
  <w:style w:type="numbering" w:customStyle="1" w:styleId="l-NummerertListeStil">
    <w:name w:val="l-NummerertListeStil"/>
    <w:uiPriority w:val="99"/>
    <w:rsid w:val="00E876DA"/>
    <w:pPr>
      <w:numPr>
        <w:numId w:val="25"/>
      </w:numPr>
    </w:pPr>
  </w:style>
  <w:style w:type="numbering" w:customStyle="1" w:styleId="l-AlfaListeStil">
    <w:name w:val="l-AlfaListeStil"/>
    <w:uiPriority w:val="99"/>
    <w:rsid w:val="00E876DA"/>
    <w:pPr>
      <w:numPr>
        <w:numId w:val="26"/>
      </w:numPr>
    </w:pPr>
  </w:style>
  <w:style w:type="numbering" w:customStyle="1" w:styleId="OverskrifterListeStil">
    <w:name w:val="OverskrifterListeStil"/>
    <w:uiPriority w:val="99"/>
    <w:rsid w:val="00E876DA"/>
    <w:pPr>
      <w:numPr>
        <w:numId w:val="27"/>
      </w:numPr>
    </w:pPr>
  </w:style>
  <w:style w:type="numbering" w:customStyle="1" w:styleId="l-ListeStilMal">
    <w:name w:val="l-ListeStilMal"/>
    <w:uiPriority w:val="99"/>
    <w:rsid w:val="00E876DA"/>
    <w:pPr>
      <w:numPr>
        <w:numId w:val="28"/>
      </w:numPr>
    </w:pPr>
  </w:style>
  <w:style w:type="paragraph" w:styleId="Avsenderadresse">
    <w:name w:val="envelope return"/>
    <w:basedOn w:val="Normal"/>
    <w:uiPriority w:val="99"/>
    <w:semiHidden/>
    <w:unhideWhenUsed/>
    <w:rsid w:val="00E876D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876DA"/>
  </w:style>
  <w:style w:type="character" w:customStyle="1" w:styleId="BrdtekstTegn">
    <w:name w:val="Brødtekst Tegn"/>
    <w:link w:val="Brdtekst"/>
    <w:semiHidden/>
    <w:rsid w:val="00E876D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876DA"/>
    <w:pPr>
      <w:ind w:firstLine="360"/>
    </w:pPr>
  </w:style>
  <w:style w:type="character" w:customStyle="1" w:styleId="Brdtekst-frsteinnrykkTegn">
    <w:name w:val="Brødtekst - første innrykk Tegn"/>
    <w:link w:val="Brdtekst-frsteinnrykk"/>
    <w:uiPriority w:val="99"/>
    <w:semiHidden/>
    <w:rsid w:val="00E876D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876DA"/>
    <w:pPr>
      <w:ind w:left="283"/>
    </w:pPr>
  </w:style>
  <w:style w:type="character" w:customStyle="1" w:styleId="BrdtekstinnrykkTegn">
    <w:name w:val="Brødtekstinnrykk Tegn"/>
    <w:link w:val="Brdtekstinnrykk"/>
    <w:uiPriority w:val="99"/>
    <w:semiHidden/>
    <w:rsid w:val="00E876D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876DA"/>
    <w:pPr>
      <w:ind w:left="360" w:firstLine="360"/>
    </w:pPr>
  </w:style>
  <w:style w:type="character" w:customStyle="1" w:styleId="Brdtekst-frsteinnrykk2Tegn">
    <w:name w:val="Brødtekst - første innrykk 2 Tegn"/>
    <w:link w:val="Brdtekst-frsteinnrykk2"/>
    <w:uiPriority w:val="99"/>
    <w:semiHidden/>
    <w:rsid w:val="00E876D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876DA"/>
    <w:pPr>
      <w:spacing w:line="480" w:lineRule="auto"/>
    </w:pPr>
  </w:style>
  <w:style w:type="character" w:customStyle="1" w:styleId="Brdtekst2Tegn">
    <w:name w:val="Brødtekst 2 Tegn"/>
    <w:link w:val="Brdtekst2"/>
    <w:uiPriority w:val="99"/>
    <w:semiHidden/>
    <w:rsid w:val="00E876D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876DA"/>
    <w:rPr>
      <w:sz w:val="16"/>
      <w:szCs w:val="16"/>
    </w:rPr>
  </w:style>
  <w:style w:type="character" w:customStyle="1" w:styleId="Brdtekst3Tegn">
    <w:name w:val="Brødtekst 3 Tegn"/>
    <w:link w:val="Brdtekst3"/>
    <w:uiPriority w:val="99"/>
    <w:semiHidden/>
    <w:rsid w:val="00E876D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876DA"/>
    <w:pPr>
      <w:spacing w:line="480" w:lineRule="auto"/>
      <w:ind w:left="283"/>
    </w:pPr>
  </w:style>
  <w:style w:type="character" w:customStyle="1" w:styleId="Brdtekstinnrykk2Tegn">
    <w:name w:val="Brødtekstinnrykk 2 Tegn"/>
    <w:link w:val="Brdtekstinnrykk2"/>
    <w:uiPriority w:val="99"/>
    <w:semiHidden/>
    <w:rsid w:val="00E876D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876DA"/>
    <w:pPr>
      <w:ind w:left="283"/>
    </w:pPr>
    <w:rPr>
      <w:sz w:val="16"/>
      <w:szCs w:val="16"/>
    </w:rPr>
  </w:style>
  <w:style w:type="character" w:customStyle="1" w:styleId="Brdtekstinnrykk3Tegn">
    <w:name w:val="Brødtekstinnrykk 3 Tegn"/>
    <w:link w:val="Brdtekstinnrykk3"/>
    <w:uiPriority w:val="99"/>
    <w:semiHidden/>
    <w:rsid w:val="00E876DA"/>
    <w:rPr>
      <w:rFonts w:ascii="Times New Roman" w:eastAsia="Times New Roman" w:hAnsi="Times New Roman"/>
      <w:spacing w:val="4"/>
      <w:sz w:val="16"/>
      <w:szCs w:val="16"/>
    </w:rPr>
  </w:style>
  <w:style w:type="paragraph" w:customStyle="1" w:styleId="Sammendrag">
    <w:name w:val="Sammendrag"/>
    <w:basedOn w:val="Overskrift1"/>
    <w:qFormat/>
    <w:rsid w:val="00E876DA"/>
    <w:pPr>
      <w:numPr>
        <w:numId w:val="0"/>
      </w:numPr>
    </w:pPr>
  </w:style>
  <w:style w:type="paragraph" w:customStyle="1" w:styleId="TrykkeriMerknad">
    <w:name w:val="TrykkeriMerknad"/>
    <w:basedOn w:val="Normal"/>
    <w:qFormat/>
    <w:rsid w:val="00E876DA"/>
    <w:pPr>
      <w:spacing w:before="60"/>
    </w:pPr>
    <w:rPr>
      <w:rFonts w:ascii="Arial" w:hAnsi="Arial"/>
      <w:color w:val="943634"/>
      <w:sz w:val="26"/>
    </w:rPr>
  </w:style>
  <w:style w:type="paragraph" w:customStyle="1" w:styleId="ForfatterMerknad">
    <w:name w:val="ForfatterMerknad"/>
    <w:basedOn w:val="TrykkeriMerknad"/>
    <w:qFormat/>
    <w:rsid w:val="00E876DA"/>
    <w:pPr>
      <w:shd w:val="clear" w:color="auto" w:fill="FFFF99"/>
      <w:spacing w:line="240" w:lineRule="auto"/>
    </w:pPr>
    <w:rPr>
      <w:color w:val="632423"/>
    </w:rPr>
  </w:style>
  <w:style w:type="paragraph" w:customStyle="1" w:styleId="tblRad">
    <w:name w:val="tblRad"/>
    <w:rsid w:val="00E876D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876DA"/>
  </w:style>
  <w:style w:type="paragraph" w:customStyle="1" w:styleId="tbl2LinjeSumBold">
    <w:name w:val="tbl2LinjeSumBold"/>
    <w:basedOn w:val="tblRad"/>
    <w:rsid w:val="00E876DA"/>
    <w:rPr>
      <w:b/>
    </w:rPr>
  </w:style>
  <w:style w:type="paragraph" w:customStyle="1" w:styleId="tblDelsum1">
    <w:name w:val="tblDelsum1"/>
    <w:basedOn w:val="tblRad"/>
    <w:rsid w:val="00E876DA"/>
    <w:rPr>
      <w:i/>
    </w:rPr>
  </w:style>
  <w:style w:type="paragraph" w:customStyle="1" w:styleId="tblDelsum1-Kapittel">
    <w:name w:val="tblDelsum1 - Kapittel"/>
    <w:basedOn w:val="tblDelsum1"/>
    <w:rsid w:val="00E876DA"/>
    <w:pPr>
      <w:keepNext w:val="0"/>
    </w:pPr>
  </w:style>
  <w:style w:type="paragraph" w:customStyle="1" w:styleId="tblDelsum2">
    <w:name w:val="tblDelsum2"/>
    <w:basedOn w:val="tblRad"/>
    <w:rsid w:val="00E876DA"/>
    <w:rPr>
      <w:b/>
      <w:i/>
    </w:rPr>
  </w:style>
  <w:style w:type="paragraph" w:customStyle="1" w:styleId="tblDelsum2-Kapittel">
    <w:name w:val="tblDelsum2 - Kapittel"/>
    <w:basedOn w:val="tblDelsum2"/>
    <w:rsid w:val="00E876DA"/>
    <w:pPr>
      <w:keepNext w:val="0"/>
    </w:pPr>
  </w:style>
  <w:style w:type="paragraph" w:customStyle="1" w:styleId="tblTabelloverskrift">
    <w:name w:val="tblTabelloverskrift"/>
    <w:rsid w:val="00E876D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876DA"/>
    <w:pPr>
      <w:spacing w:after="0"/>
      <w:jc w:val="right"/>
    </w:pPr>
    <w:rPr>
      <w:b w:val="0"/>
      <w:caps w:val="0"/>
      <w:sz w:val="16"/>
    </w:rPr>
  </w:style>
  <w:style w:type="paragraph" w:customStyle="1" w:styleId="tblKategoriOverskrift">
    <w:name w:val="tblKategoriOverskrift"/>
    <w:basedOn w:val="tblRad"/>
    <w:rsid w:val="00E876DA"/>
    <w:pPr>
      <w:spacing w:before="120"/>
    </w:pPr>
    <w:rPr>
      <w:b/>
    </w:rPr>
  </w:style>
  <w:style w:type="paragraph" w:customStyle="1" w:styleId="tblKolonneoverskrift">
    <w:name w:val="tblKolonneoverskrift"/>
    <w:basedOn w:val="Normal"/>
    <w:rsid w:val="00E876D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876DA"/>
    <w:pPr>
      <w:spacing w:after="360"/>
      <w:jc w:val="center"/>
    </w:pPr>
    <w:rPr>
      <w:b w:val="0"/>
      <w:caps w:val="0"/>
    </w:rPr>
  </w:style>
  <w:style w:type="paragraph" w:customStyle="1" w:styleId="tblKolonneoverskrift-Vedtak">
    <w:name w:val="tblKolonneoverskrift - Vedtak"/>
    <w:basedOn w:val="tblTabelloverskrift-Vedtak"/>
    <w:rsid w:val="00E876DA"/>
    <w:pPr>
      <w:spacing w:after="0"/>
    </w:pPr>
  </w:style>
  <w:style w:type="paragraph" w:customStyle="1" w:styleId="tblOverskrift-Vedtak">
    <w:name w:val="tblOverskrift - Vedtak"/>
    <w:basedOn w:val="tblRad"/>
    <w:rsid w:val="00E876DA"/>
    <w:pPr>
      <w:spacing w:before="360"/>
      <w:jc w:val="center"/>
    </w:pPr>
  </w:style>
  <w:style w:type="paragraph" w:customStyle="1" w:styleId="tblRadBold">
    <w:name w:val="tblRadBold"/>
    <w:basedOn w:val="tblRad"/>
    <w:rsid w:val="00E876DA"/>
    <w:rPr>
      <w:b/>
    </w:rPr>
  </w:style>
  <w:style w:type="paragraph" w:customStyle="1" w:styleId="tblRadItalic">
    <w:name w:val="tblRadItalic"/>
    <w:basedOn w:val="tblRad"/>
    <w:rsid w:val="00E876DA"/>
    <w:rPr>
      <w:i/>
    </w:rPr>
  </w:style>
  <w:style w:type="paragraph" w:customStyle="1" w:styleId="tblRadItalicSiste">
    <w:name w:val="tblRadItalicSiste"/>
    <w:basedOn w:val="tblRadItalic"/>
    <w:rsid w:val="00E876DA"/>
  </w:style>
  <w:style w:type="paragraph" w:customStyle="1" w:styleId="tblRadMedLuft">
    <w:name w:val="tblRadMedLuft"/>
    <w:basedOn w:val="tblRad"/>
    <w:rsid w:val="00E876DA"/>
    <w:pPr>
      <w:spacing w:before="120"/>
    </w:pPr>
  </w:style>
  <w:style w:type="paragraph" w:customStyle="1" w:styleId="tblRadMedLuftSiste">
    <w:name w:val="tblRadMedLuftSiste"/>
    <w:basedOn w:val="tblRadMedLuft"/>
    <w:rsid w:val="00E876DA"/>
    <w:pPr>
      <w:spacing w:after="120"/>
    </w:pPr>
  </w:style>
  <w:style w:type="paragraph" w:customStyle="1" w:styleId="tblRadMedLuftSiste-Vedtak">
    <w:name w:val="tblRadMedLuftSiste - Vedtak"/>
    <w:basedOn w:val="tblRadMedLuftSiste"/>
    <w:rsid w:val="00E876DA"/>
    <w:pPr>
      <w:keepNext w:val="0"/>
    </w:pPr>
  </w:style>
  <w:style w:type="paragraph" w:customStyle="1" w:styleId="tblRadSiste">
    <w:name w:val="tblRadSiste"/>
    <w:basedOn w:val="tblRad"/>
    <w:rsid w:val="00E876DA"/>
  </w:style>
  <w:style w:type="paragraph" w:customStyle="1" w:styleId="tblSluttsum">
    <w:name w:val="tblSluttsum"/>
    <w:basedOn w:val="tblRad"/>
    <w:rsid w:val="00E876DA"/>
    <w:pPr>
      <w:spacing w:before="120"/>
    </w:pPr>
    <w:rPr>
      <w:b/>
      <w:i/>
    </w:rPr>
  </w:style>
  <w:style w:type="character" w:styleId="Emneknagg">
    <w:name w:val="Hashtag"/>
    <w:basedOn w:val="Standardskriftforavsnitt"/>
    <w:uiPriority w:val="99"/>
    <w:semiHidden/>
    <w:unhideWhenUsed/>
    <w:rsid w:val="00D01E3F"/>
    <w:rPr>
      <w:color w:val="2B579A"/>
      <w:shd w:val="clear" w:color="auto" w:fill="E1DFDD"/>
    </w:rPr>
  </w:style>
  <w:style w:type="character" w:styleId="Omtale">
    <w:name w:val="Mention"/>
    <w:basedOn w:val="Standardskriftforavsnitt"/>
    <w:uiPriority w:val="99"/>
    <w:semiHidden/>
    <w:unhideWhenUsed/>
    <w:rsid w:val="00D01E3F"/>
    <w:rPr>
      <w:color w:val="2B579A"/>
      <w:shd w:val="clear" w:color="auto" w:fill="E1DFDD"/>
    </w:rPr>
  </w:style>
  <w:style w:type="paragraph" w:styleId="Sitat0">
    <w:name w:val="Quote"/>
    <w:basedOn w:val="Normal"/>
    <w:next w:val="Normal"/>
    <w:link w:val="SitatTegn1"/>
    <w:uiPriority w:val="29"/>
    <w:qFormat/>
    <w:rsid w:val="00D01E3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01E3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01E3F"/>
    <w:rPr>
      <w:u w:val="dotted"/>
    </w:rPr>
  </w:style>
  <w:style w:type="character" w:styleId="SmartLink">
    <w:name w:val="Smart Link"/>
    <w:basedOn w:val="Standardskriftforavsnitt"/>
    <w:uiPriority w:val="99"/>
    <w:semiHidden/>
    <w:unhideWhenUsed/>
    <w:rsid w:val="00D01E3F"/>
    <w:rPr>
      <w:color w:val="0000FF"/>
      <w:u w:val="single"/>
      <w:shd w:val="clear" w:color="auto" w:fill="F3F2F1"/>
    </w:rPr>
  </w:style>
  <w:style w:type="character" w:styleId="Ulstomtale">
    <w:name w:val="Unresolved Mention"/>
    <w:basedOn w:val="Standardskriftforavsnitt"/>
    <w:uiPriority w:val="99"/>
    <w:semiHidden/>
    <w:unhideWhenUsed/>
    <w:rsid w:val="00D01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3F99-F02B-47E9-BC5E-735279FA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19</Pages>
  <Words>7311</Words>
  <Characters>38752</Characters>
  <Application>Microsoft Office Word</Application>
  <DocSecurity>0</DocSecurity>
  <Lines>322</Lines>
  <Paragraphs>91</Paragraphs>
  <ScaleCrop>false</ScaleCrop>
  <Company/>
  <LinksUpToDate>false</LinksUpToDate>
  <CharactersWithSpaces>45972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2020-10-16T12:11:00Z</dcterms:created>
  <dcterms:modified xsi:type="dcterms:W3CDTF">2020-10-16T12:11:00Z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2020-10-16T12:11:01.1847858Z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285d2865-5b7e-42cd-b1b6-cf1ac3a2513b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