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center"/>
        <w:rPr>
          <w:color w:val="000000"/>
          <w:sz w:val="24"/>
        </w:rPr>
      </w:pPr>
    </w:p>
    <w:p w:rsidR="00C954D0" w:rsidRPr="005F7D39" w:rsidRDefault="00313EBD" w:rsidP="006C6C63">
      <w:pPr>
        <w:pStyle w:val="Overskrift2"/>
        <w:jc w:val="right"/>
        <w:rPr>
          <w:rFonts w:ascii="DepCentury Old Style" w:hAnsi="DepCentury Old Style"/>
        </w:rPr>
      </w:pPr>
      <w:r>
        <w:t xml:space="preserve">    </w:t>
      </w:r>
      <w:r w:rsidR="004236EA" w:rsidRPr="00901F68">
        <w:rPr>
          <w:rFonts w:ascii="DepCentury Old Style" w:hAnsi="DepCentury Old Style"/>
          <w:b/>
          <w:color w:val="FF0000"/>
        </w:rPr>
        <w:t>XX</w:t>
      </w:r>
      <w:r w:rsidR="00D74E11" w:rsidRPr="00901F68">
        <w:rPr>
          <w:rFonts w:ascii="DepCentury Old Style" w:hAnsi="DepCentury Old Style"/>
          <w:b/>
          <w:color w:val="FF0000"/>
        </w:rPr>
        <w:t xml:space="preserve">. </w:t>
      </w:r>
      <w:r w:rsidR="00D74E11">
        <w:rPr>
          <w:rFonts w:ascii="DepCentury Old Style" w:hAnsi="DepCentury Old Style"/>
          <w:b/>
        </w:rPr>
        <w:t>KONSESJONSRUNDE</w:t>
      </w: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pStyle w:val="Overskrift5"/>
        <w:rPr>
          <w:rFonts w:ascii="DepCentury Old Style" w:hAnsi="DepCentury Old Style"/>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color w:val="000000"/>
          <w:sz w:val="24"/>
        </w:rPr>
      </w:pPr>
      <w:r>
        <w:rPr>
          <w:rFonts w:ascii="DepCentury Old Style" w:hAnsi="DepCentury Old Style"/>
          <w:color w:val="000000"/>
          <w:sz w:val="24"/>
        </w:rPr>
        <w:tab/>
      </w:r>
      <w:r>
        <w:rPr>
          <w:rFonts w:ascii="DepCentury Old Style" w:hAnsi="DepCentury Old Style"/>
          <w:color w:val="000000"/>
          <w:sz w:val="24"/>
        </w:rPr>
        <w:tab/>
      </w:r>
      <w:r>
        <w:rPr>
          <w:rFonts w:ascii="DepCentury Old Style" w:hAnsi="DepCentury Old Style"/>
          <w:color w:val="000000"/>
          <w:sz w:val="24"/>
        </w:rPr>
        <w:tab/>
        <w:t xml:space="preserve">      </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b/>
          <w:color w:val="000000"/>
          <w:sz w:val="24"/>
        </w:rPr>
        <w:t>UTVINNINGSTILLATELSE</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b/>
          <w:color w:val="000000"/>
          <w:sz w:val="24"/>
        </w:rPr>
        <w:t xml:space="preserve">NR. </w:t>
      </w:r>
      <w:r w:rsidR="00544822">
        <w:rPr>
          <w:rFonts w:ascii="DepCentury Old Style" w:hAnsi="DepCentury Old Style"/>
          <w:b/>
          <w:color w:val="FF0000"/>
          <w:sz w:val="24"/>
        </w:rPr>
        <w:t>XXX</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b/>
          <w:color w:val="000000"/>
          <w:sz w:val="24"/>
        </w:rPr>
        <w:t>FOR</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b/>
          <w:color w:val="000000"/>
          <w:sz w:val="24"/>
        </w:rPr>
        <w:t>PETROLEUMSVIRKSOMHET</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color w:val="000000"/>
          <w:sz w:val="24"/>
        </w:rPr>
        <w:t>tildelt</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Pr="00544822" w:rsidRDefault="00544822"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FF0000"/>
          <w:sz w:val="24"/>
          <w:lang w:val="en-US"/>
        </w:rPr>
      </w:pPr>
      <w:r w:rsidRPr="00544822">
        <w:rPr>
          <w:rFonts w:ascii="DepCentury Old Style" w:hAnsi="DepCentury Old Style"/>
          <w:color w:val="FF0000"/>
          <w:sz w:val="24"/>
        </w:rPr>
        <w:t>X</w:t>
      </w:r>
    </w:p>
    <w:p w:rsidR="00C954D0" w:rsidRPr="001A3847" w:rsidRDefault="00544822"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FF0000"/>
          <w:sz w:val="24"/>
          <w:lang w:val="en-US"/>
        </w:rPr>
      </w:pPr>
      <w:r>
        <w:rPr>
          <w:rFonts w:ascii="DepCentury Old Style" w:hAnsi="DepCentury Old Style"/>
          <w:color w:val="FF0000"/>
          <w:sz w:val="24"/>
          <w:lang w:val="en-US"/>
        </w:rPr>
        <w:t>X</w:t>
      </w:r>
    </w:p>
    <w:p w:rsidR="00C954D0" w:rsidRDefault="00544822"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FF0000"/>
          <w:sz w:val="24"/>
        </w:rPr>
      </w:pPr>
      <w:r>
        <w:rPr>
          <w:rFonts w:ascii="DepCentury Old Style" w:hAnsi="DepCentury Old Style"/>
          <w:color w:val="FF0000"/>
          <w:sz w:val="24"/>
        </w:rPr>
        <w:t>X</w:t>
      </w:r>
    </w:p>
    <w:p w:rsidR="001A3847" w:rsidRPr="00883889" w:rsidRDefault="00544822"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FF0000"/>
          <w:sz w:val="24"/>
        </w:rPr>
      </w:pPr>
      <w:r>
        <w:rPr>
          <w:rFonts w:ascii="DepCentury Old Style" w:hAnsi="DepCentury Old Style"/>
          <w:color w:val="FF0000"/>
          <w:sz w:val="24"/>
        </w:rPr>
        <w:t>X</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4B63B6"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Pr>
          <w:rFonts w:ascii="DepCentury Old Style" w:hAnsi="DepCentury Old Style"/>
          <w:color w:val="000000"/>
          <w:sz w:val="24"/>
        </w:rPr>
        <w:t xml:space="preserve">ved kongelig resolusjon </w:t>
      </w:r>
      <w:r w:rsidR="00544822" w:rsidRPr="00544822">
        <w:rPr>
          <w:rFonts w:ascii="DepCentury Old Style" w:hAnsi="DepCentury Old Style"/>
          <w:color w:val="FF0000"/>
          <w:sz w:val="24"/>
        </w:rPr>
        <w:t>XX.XX.XXXX</w:t>
      </w:r>
    </w:p>
    <w:p w:rsidR="00C954D0" w:rsidRDefault="00C954D0" w:rsidP="00544822">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000000"/>
          <w:sz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000000"/>
          <w:sz w:val="24"/>
        </w:rPr>
        <w:sectPr w:rsidR="00C954D0">
          <w:headerReference w:type="even" r:id="rId7"/>
          <w:headerReference w:type="default" r:id="rId8"/>
          <w:pgSz w:w="12000" w:h="16838"/>
          <w:pgMar w:top="960" w:right="2160" w:bottom="480" w:left="1440" w:header="480" w:footer="0" w:gutter="0"/>
          <w:pgNumType w:start="1"/>
          <w:cols w:space="708"/>
          <w:noEndnote/>
          <w:titlePg/>
        </w:sect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lastRenderedPageBreak/>
        <w:t xml:space="preserve">Ved kongelig resolusjon </w:t>
      </w:r>
      <w:r w:rsidR="00544822">
        <w:rPr>
          <w:rFonts w:ascii="DepCentury Old Style" w:hAnsi="DepCentury Old Style"/>
          <w:color w:val="FF0000"/>
          <w:sz w:val="24"/>
        </w:rPr>
        <w:t>xx.xx.xxxx</w:t>
      </w:r>
      <w:r w:rsidR="008B1733">
        <w:rPr>
          <w:rFonts w:ascii="DepCentury Old Style" w:hAnsi="DepCentury Old Style"/>
          <w:color w:val="000000"/>
          <w:sz w:val="24"/>
        </w:rPr>
        <w:t xml:space="preserve"> </w:t>
      </w:r>
      <w:r>
        <w:rPr>
          <w:rFonts w:ascii="DepCentury Old Style" w:hAnsi="DepCentury Old Style"/>
          <w:color w:val="000000"/>
          <w:sz w:val="24"/>
        </w:rPr>
        <w:t>er bestemt: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I medhold av lov 29. november 1996 nr. 72 om petroleumsvirksomhet (petroleums</w:t>
      </w:r>
      <w:r>
        <w:rPr>
          <w:rFonts w:ascii="DepCentury Old Style" w:hAnsi="DepCentury Old Style"/>
          <w:color w:val="000000"/>
          <w:sz w:val="24"/>
        </w:rPr>
        <w:softHyphen/>
        <w:t>loven) tildeles utvinningstillatelse nr</w:t>
      </w:r>
      <w:r w:rsidR="00571B23">
        <w:rPr>
          <w:rFonts w:ascii="DepCentury Old Style" w:hAnsi="DepCentury Old Style"/>
          <w:color w:val="000000"/>
          <w:sz w:val="24"/>
        </w:rPr>
        <w:t>.</w:t>
      </w:r>
      <w:r w:rsidR="002326D4">
        <w:rPr>
          <w:rFonts w:ascii="DepCentury Old Style" w:hAnsi="DepCentury Old Style"/>
          <w:color w:val="000000"/>
          <w:sz w:val="24"/>
        </w:rPr>
        <w:t xml:space="preserve"> </w:t>
      </w:r>
      <w:r w:rsidR="00544822">
        <w:rPr>
          <w:rFonts w:ascii="DepCentury Old Style" w:hAnsi="DepCentury Old Style"/>
          <w:color w:val="FF0000"/>
          <w:sz w:val="24"/>
        </w:rPr>
        <w:t>xx</w:t>
      </w:r>
      <w:r w:rsidRPr="002326D4">
        <w:rPr>
          <w:rFonts w:ascii="DepCentury Old Style" w:hAnsi="DepCentury Old Style"/>
          <w:color w:val="FF0000"/>
          <w:sz w:val="24"/>
        </w:rPr>
        <w:t xml:space="preserve"> </w:t>
      </w:r>
      <w:r>
        <w:rPr>
          <w:rFonts w:ascii="DepCentury Old Style" w:hAnsi="DepCentury Old Style"/>
          <w:color w:val="000000"/>
          <w:sz w:val="24"/>
        </w:rPr>
        <w:t xml:space="preserve">for petroleumsvirksomhet. </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Rettighetshavere er:</w:t>
      </w:r>
    </w:p>
    <w:p w:rsidR="001A3847" w:rsidRPr="004B63B6" w:rsidRDefault="001A3847" w:rsidP="001A3847">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000000"/>
          <w:sz w:val="24"/>
        </w:rPr>
      </w:pPr>
      <w:r w:rsidRPr="004B63B6">
        <w:rPr>
          <w:rFonts w:ascii="DepCentury Old Style" w:hAnsi="DepCentury Old Style"/>
          <w:color w:val="000000"/>
          <w:sz w:val="24"/>
        </w:rPr>
        <w:t xml:space="preserve">    </w:t>
      </w:r>
    </w:p>
    <w:p w:rsidR="001A3847" w:rsidRPr="004B63B6" w:rsidRDefault="00544822" w:rsidP="001A384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000000"/>
          <w:sz w:val="24"/>
          <w:lang w:val="en-US"/>
        </w:rPr>
      </w:pPr>
      <w:r>
        <w:rPr>
          <w:rFonts w:ascii="DepCentury Old Style" w:hAnsi="DepCentury Old Style"/>
          <w:color w:val="FF0000"/>
          <w:sz w:val="24"/>
          <w:lang w:val="en-US"/>
        </w:rPr>
        <w:t>x</w:t>
      </w:r>
      <w:r w:rsidR="001A3847" w:rsidRPr="004B63B6">
        <w:rPr>
          <w:rFonts w:ascii="DepCentury Old Style" w:hAnsi="DepCentury Old Style"/>
          <w:color w:val="FF0000"/>
          <w:sz w:val="24"/>
          <w:lang w:val="en-US"/>
        </w:rPr>
        <w:tab/>
      </w:r>
      <w:r w:rsidR="001A3847" w:rsidRPr="004B63B6">
        <w:rPr>
          <w:rFonts w:ascii="DepCentury Old Style" w:hAnsi="DepCentury Old Style"/>
          <w:color w:val="FF0000"/>
          <w:sz w:val="24"/>
          <w:lang w:val="en-US"/>
        </w:rPr>
        <w:tab/>
      </w:r>
      <w:r w:rsidR="001A3847" w:rsidRPr="004B63B6">
        <w:rPr>
          <w:rFonts w:ascii="DepCentury Old Style" w:hAnsi="DepCentury Old Style"/>
          <w:color w:val="FF0000"/>
          <w:sz w:val="24"/>
          <w:lang w:val="en-US"/>
        </w:rPr>
        <w:tab/>
      </w:r>
      <w:r>
        <w:rPr>
          <w:rFonts w:ascii="DepCentury Old Style" w:hAnsi="DepCentury Old Style"/>
          <w:color w:val="FF0000"/>
          <w:sz w:val="24"/>
          <w:lang w:val="en-US"/>
        </w:rPr>
        <w:t>x</w:t>
      </w:r>
      <w:r w:rsidR="004B63B6" w:rsidRPr="004B63B6">
        <w:rPr>
          <w:rFonts w:ascii="DepCentury Old Style" w:hAnsi="DepCentury Old Style"/>
          <w:color w:val="FF0000"/>
          <w:sz w:val="24"/>
          <w:lang w:val="en-US"/>
        </w:rPr>
        <w:t xml:space="preserve"> </w:t>
      </w:r>
      <w:r w:rsidR="001A3847" w:rsidRPr="004B63B6">
        <w:rPr>
          <w:rFonts w:ascii="DepCentury Old Style" w:hAnsi="DepCentury Old Style"/>
          <w:color w:val="FF0000"/>
          <w:sz w:val="24"/>
          <w:lang w:val="en-US"/>
        </w:rPr>
        <w:t>%</w:t>
      </w:r>
    </w:p>
    <w:p w:rsidR="001A3847" w:rsidRDefault="00544822" w:rsidP="00901F68">
      <w:pPr>
        <w:widowControl w:val="0"/>
        <w:tabs>
          <w:tab w:val="left" w:pos="960"/>
          <w:tab w:val="left" w:pos="2040"/>
          <w:tab w:val="left" w:pos="3120"/>
          <w:tab w:val="left" w:pos="3545"/>
        </w:tabs>
        <w:rPr>
          <w:rFonts w:ascii="DepCentury Old Style" w:hAnsi="DepCentury Old Style"/>
          <w:color w:val="FF0000"/>
          <w:sz w:val="24"/>
          <w:lang w:val="en-US"/>
        </w:rPr>
      </w:pPr>
      <w:r>
        <w:rPr>
          <w:rFonts w:ascii="DepCentury Old Style" w:hAnsi="DepCentury Old Style"/>
          <w:color w:val="FF0000"/>
          <w:sz w:val="24"/>
          <w:lang w:val="en-US"/>
        </w:rPr>
        <w:t>x</w:t>
      </w:r>
      <w:r w:rsidR="001A3847">
        <w:rPr>
          <w:rFonts w:ascii="DepCentury Old Style" w:hAnsi="DepCentury Old Style"/>
          <w:color w:val="FF0000"/>
          <w:sz w:val="24"/>
          <w:lang w:val="en-US"/>
        </w:rPr>
        <w:tab/>
      </w:r>
      <w:r>
        <w:rPr>
          <w:rFonts w:ascii="DepCentury Old Style" w:hAnsi="DepCentury Old Style"/>
          <w:color w:val="FF0000"/>
          <w:sz w:val="24"/>
          <w:lang w:val="en-US"/>
        </w:rPr>
        <w:tab/>
      </w:r>
      <w:r w:rsidR="001A3847">
        <w:rPr>
          <w:rFonts w:ascii="DepCentury Old Style" w:hAnsi="DepCentury Old Style"/>
          <w:color w:val="FF0000"/>
          <w:sz w:val="24"/>
          <w:lang w:val="en-US"/>
        </w:rPr>
        <w:tab/>
      </w:r>
      <w:r>
        <w:rPr>
          <w:rFonts w:ascii="DepCentury Old Style" w:hAnsi="DepCentury Old Style"/>
          <w:color w:val="FF0000"/>
          <w:sz w:val="24"/>
          <w:lang w:val="en-US"/>
        </w:rPr>
        <w:t>x</w:t>
      </w:r>
      <w:r w:rsidR="004B63B6">
        <w:rPr>
          <w:rFonts w:ascii="DepCentury Old Style" w:hAnsi="DepCentury Old Style"/>
          <w:color w:val="FF0000"/>
          <w:sz w:val="24"/>
          <w:lang w:val="en-US"/>
        </w:rPr>
        <w:t xml:space="preserve"> </w:t>
      </w:r>
      <w:r w:rsidR="001A3847">
        <w:rPr>
          <w:rFonts w:ascii="DepCentury Old Style" w:hAnsi="DepCentury Old Style"/>
          <w:color w:val="FF0000"/>
          <w:sz w:val="24"/>
          <w:lang w:val="en-US"/>
        </w:rPr>
        <w:t>%</w:t>
      </w:r>
      <w:r w:rsidR="00901F68">
        <w:rPr>
          <w:rFonts w:ascii="DepCentury Old Style" w:hAnsi="DepCentury Old Style"/>
          <w:color w:val="FF0000"/>
          <w:sz w:val="24"/>
          <w:lang w:val="en-US"/>
        </w:rPr>
        <w:tab/>
      </w:r>
      <w:r w:rsidR="00901F68">
        <w:rPr>
          <w:rFonts w:ascii="DepCentury Old Style" w:hAnsi="DepCentury Old Style"/>
          <w:color w:val="FF0000"/>
          <w:sz w:val="24"/>
          <w:lang w:val="en-US"/>
        </w:rPr>
        <w:tab/>
      </w:r>
    </w:p>
    <w:p w:rsidR="00901F68" w:rsidRPr="001A3847" w:rsidRDefault="00901F68" w:rsidP="00901F68">
      <w:pPr>
        <w:widowControl w:val="0"/>
        <w:tabs>
          <w:tab w:val="left" w:pos="960"/>
          <w:tab w:val="left" w:pos="2040"/>
          <w:tab w:val="left" w:pos="3120"/>
          <w:tab w:val="left" w:pos="3545"/>
        </w:tabs>
        <w:rPr>
          <w:rFonts w:ascii="DepCentury Old Style" w:hAnsi="DepCentury Old Style"/>
          <w:color w:val="FF0000"/>
          <w:sz w:val="24"/>
          <w:lang w:val="en-US"/>
        </w:rPr>
      </w:pPr>
      <w:r>
        <w:rPr>
          <w:rFonts w:ascii="DepCentury Old Style" w:hAnsi="DepCentury Old Style"/>
          <w:color w:val="FF0000"/>
          <w:sz w:val="24"/>
          <w:lang w:val="en-US"/>
        </w:rPr>
        <w:t>[Petoro AS*</w:t>
      </w:r>
      <w:r>
        <w:rPr>
          <w:rFonts w:ascii="DepCentury Old Style" w:hAnsi="DepCentury Old Style"/>
          <w:color w:val="FF0000"/>
          <w:sz w:val="24"/>
          <w:lang w:val="en-US"/>
        </w:rPr>
        <w:tab/>
      </w:r>
      <w:r>
        <w:rPr>
          <w:rFonts w:ascii="DepCentury Old Style" w:hAnsi="DepCentury Old Style"/>
          <w:color w:val="FF0000"/>
          <w:sz w:val="24"/>
          <w:lang w:val="en-US"/>
        </w:rPr>
        <w:tab/>
        <w:t>x %]</w:t>
      </w:r>
    </w:p>
    <w:p w:rsidR="00544822" w:rsidRDefault="00544822">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lang w:val="en-US"/>
        </w:rPr>
      </w:pPr>
    </w:p>
    <w:p w:rsidR="00A42371" w:rsidRPr="00901F68" w:rsidRDefault="00A42371" w:rsidP="00A42371">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FF0000"/>
          <w:sz w:val="24"/>
        </w:rPr>
      </w:pPr>
      <w:r w:rsidRPr="00901F68">
        <w:rPr>
          <w:rFonts w:ascii="DepCentury Old Style" w:hAnsi="DepCentury Old Style"/>
          <w:color w:val="FF0000"/>
          <w:sz w:val="24"/>
        </w:rPr>
        <w:t xml:space="preserve">*Petoro AS er rettighetshaver for statens deltakerandel (statens direkte økonomiske engasjement - SDØE). </w:t>
      </w:r>
    </w:p>
    <w:p w:rsidR="00A42371" w:rsidRDefault="00A4237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lang w:val="en-US"/>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For utvinningstillatelsen gjelder vilkårene nedenfor og de til enhver tid gjel</w:t>
      </w:r>
      <w:bookmarkStart w:id="0" w:name="_GoBack"/>
      <w:bookmarkEnd w:id="0"/>
      <w:r>
        <w:rPr>
          <w:rFonts w:ascii="DepCentury Old Style" w:hAnsi="DepCentury Old Style"/>
          <w:color w:val="000000"/>
          <w:sz w:val="24"/>
        </w:rPr>
        <w:t>dende lover og forskrifter.</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607AAE" w:rsidRDefault="00607AAE">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1.  RETTIGHETER, OMRÅDE OG VARIGHET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a) Utvinningstillatelsen gir enerett til undersøkelse etter petroleum, leteboring og utvinning av petroleum innenfor det området som omfattes av tillatelsen:</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Felt</w:t>
      </w:r>
      <w:r>
        <w:rPr>
          <w:rFonts w:ascii="DepCentury Old Style" w:hAnsi="DepCentury Old Style"/>
          <w:color w:val="000000"/>
          <w:sz w:val="24"/>
        </w:rPr>
        <w:tab/>
        <w:t>Blokk</w:t>
      </w:r>
      <w:r>
        <w:rPr>
          <w:rFonts w:ascii="DepCentury Old Style" w:hAnsi="DepCentury Old Style"/>
          <w:color w:val="000000"/>
          <w:sz w:val="24"/>
        </w:rPr>
        <w:tab/>
      </w:r>
      <w:r>
        <w:rPr>
          <w:rFonts w:ascii="DepCentury Old Style" w:hAnsi="DepCentury Old Style"/>
          <w:color w:val="000000"/>
          <w:sz w:val="24"/>
        </w:rPr>
        <w:tab/>
        <w:t>Km²:</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nr.:</w:t>
      </w:r>
      <w:r>
        <w:rPr>
          <w:rFonts w:ascii="DepCentury Old Style" w:hAnsi="DepCentury Old Style"/>
          <w:color w:val="000000"/>
          <w:sz w:val="24"/>
        </w:rPr>
        <w:tab/>
        <w:t>nr.:</w:t>
      </w:r>
      <w:r>
        <w:rPr>
          <w:rFonts w:ascii="DepCentury Old Style" w:hAnsi="DepCentury Old Style"/>
          <w:color w:val="000000"/>
          <w:sz w:val="24"/>
        </w:rPr>
        <w:tab/>
      </w:r>
      <w:r>
        <w:rPr>
          <w:rFonts w:ascii="DepCentury Old Style" w:hAnsi="DepCentury Old Style"/>
          <w:color w:val="000000"/>
          <w:sz w:val="24"/>
        </w:rPr>
        <w:tab/>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Pr="004B63B6" w:rsidRDefault="00544822" w:rsidP="00E42B4B">
      <w:pPr>
        <w:widowControl w:val="0"/>
        <w:tabs>
          <w:tab w:val="left" w:pos="1080"/>
          <w:tab w:val="left" w:pos="2160"/>
          <w:tab w:val="left" w:pos="3240"/>
          <w:tab w:val="left" w:pos="4320"/>
          <w:tab w:val="left" w:pos="5400"/>
          <w:tab w:val="left" w:pos="6480"/>
          <w:tab w:val="left" w:pos="7560"/>
          <w:tab w:val="left" w:pos="8640"/>
        </w:tabs>
        <w:spacing w:line="360" w:lineRule="auto"/>
        <w:rPr>
          <w:rFonts w:ascii="DepCentury Old Style" w:hAnsi="DepCentury Old Style"/>
          <w:color w:val="000000"/>
          <w:sz w:val="24"/>
          <w:lang w:val="en-US"/>
        </w:rPr>
      </w:pPr>
      <w:r>
        <w:rPr>
          <w:rFonts w:ascii="DepCentury Old Style" w:hAnsi="DepCentury Old Style"/>
          <w:color w:val="FF0000"/>
          <w:sz w:val="24"/>
          <w:lang w:val="en-US"/>
        </w:rPr>
        <w:t>X</w:t>
      </w:r>
      <w:r w:rsidR="001A3847" w:rsidRPr="004B63B6">
        <w:rPr>
          <w:rFonts w:ascii="DepCentury Old Style" w:hAnsi="DepCentury Old Style"/>
          <w:color w:val="FF0000"/>
          <w:sz w:val="24"/>
          <w:lang w:val="en-US"/>
        </w:rPr>
        <w:tab/>
      </w:r>
      <w:r>
        <w:rPr>
          <w:rFonts w:ascii="DepCentury Old Style" w:hAnsi="DepCentury Old Style"/>
          <w:color w:val="FF0000"/>
          <w:sz w:val="24"/>
          <w:lang w:val="en-US"/>
        </w:rPr>
        <w:t>X</w:t>
      </w:r>
      <w:r w:rsidR="00E42B4B" w:rsidRPr="004B63B6">
        <w:rPr>
          <w:rFonts w:ascii="DepCentury Old Style" w:hAnsi="DepCentury Old Style"/>
          <w:color w:val="FF0000"/>
          <w:sz w:val="24"/>
          <w:lang w:val="en-US"/>
        </w:rPr>
        <w:tab/>
      </w:r>
      <w:r w:rsidR="00E42B4B" w:rsidRPr="004B63B6">
        <w:rPr>
          <w:rFonts w:ascii="DepCentury Old Style" w:hAnsi="DepCentury Old Style"/>
          <w:color w:val="FF0000"/>
          <w:sz w:val="24"/>
          <w:lang w:val="en-US"/>
        </w:rPr>
        <w:tab/>
      </w:r>
      <w:r>
        <w:rPr>
          <w:rFonts w:ascii="DepCentury Old Style" w:hAnsi="DepCentury Old Style"/>
          <w:color w:val="FF0000"/>
          <w:sz w:val="24"/>
          <w:lang w:val="en-US"/>
        </w:rPr>
        <w:t>X</w:t>
      </w:r>
      <w:r w:rsidR="00E42B4B" w:rsidRPr="004B63B6">
        <w:rPr>
          <w:rFonts w:ascii="DepCentury Old Style" w:hAnsi="DepCentury Old Style"/>
          <w:color w:val="000000"/>
          <w:sz w:val="24"/>
          <w:lang w:val="en-US"/>
        </w:rPr>
        <w:t xml:space="preserve"> Km</w:t>
      </w:r>
      <w:r w:rsidR="00E42B4B" w:rsidRPr="004B63B6">
        <w:rPr>
          <w:rFonts w:ascii="DepCentury Old Style" w:hAnsi="DepCentury Old Style"/>
          <w:color w:val="000000"/>
          <w:sz w:val="24"/>
          <w:vertAlign w:val="superscript"/>
          <w:lang w:val="en-US"/>
        </w:rPr>
        <w:t>2</w:t>
      </w:r>
    </w:p>
    <w:p w:rsidR="00E42B4B" w:rsidRPr="004B63B6" w:rsidRDefault="00544822" w:rsidP="00E42B4B">
      <w:pPr>
        <w:widowControl w:val="0"/>
        <w:tabs>
          <w:tab w:val="left" w:pos="1080"/>
          <w:tab w:val="left" w:pos="2160"/>
          <w:tab w:val="left" w:pos="3240"/>
          <w:tab w:val="left" w:pos="4320"/>
          <w:tab w:val="left" w:pos="5400"/>
          <w:tab w:val="left" w:pos="6480"/>
          <w:tab w:val="left" w:pos="7560"/>
          <w:tab w:val="left" w:pos="8640"/>
        </w:tabs>
        <w:spacing w:line="360" w:lineRule="auto"/>
        <w:rPr>
          <w:rFonts w:ascii="DepCentury Old Style" w:hAnsi="DepCentury Old Style"/>
          <w:color w:val="000000"/>
          <w:sz w:val="24"/>
          <w:lang w:val="en-US"/>
        </w:rPr>
      </w:pPr>
      <w:r>
        <w:rPr>
          <w:rFonts w:ascii="DepCentury Old Style" w:hAnsi="DepCentury Old Style"/>
          <w:color w:val="FF0000"/>
          <w:sz w:val="24"/>
          <w:lang w:val="en-US"/>
        </w:rPr>
        <w:t>X</w:t>
      </w:r>
      <w:r w:rsidR="001A3847" w:rsidRPr="004B63B6">
        <w:rPr>
          <w:rFonts w:ascii="DepCentury Old Style" w:hAnsi="DepCentury Old Style"/>
          <w:color w:val="FF0000"/>
          <w:sz w:val="24"/>
          <w:lang w:val="en-US"/>
        </w:rPr>
        <w:tab/>
      </w:r>
      <w:r>
        <w:rPr>
          <w:rFonts w:ascii="DepCentury Old Style" w:hAnsi="DepCentury Old Style"/>
          <w:color w:val="FF0000"/>
          <w:sz w:val="24"/>
          <w:lang w:val="en-US"/>
        </w:rPr>
        <w:t>X</w:t>
      </w:r>
      <w:r w:rsidR="00E42B4B" w:rsidRPr="004B63B6">
        <w:rPr>
          <w:rFonts w:ascii="DepCentury Old Style" w:hAnsi="DepCentury Old Style"/>
          <w:color w:val="FF0000"/>
          <w:sz w:val="24"/>
          <w:lang w:val="en-US"/>
        </w:rPr>
        <w:tab/>
      </w:r>
      <w:r w:rsidR="00E42B4B" w:rsidRPr="004B63B6">
        <w:rPr>
          <w:rFonts w:ascii="DepCentury Old Style" w:hAnsi="DepCentury Old Style"/>
          <w:color w:val="FF0000"/>
          <w:sz w:val="24"/>
          <w:lang w:val="en-US"/>
        </w:rPr>
        <w:tab/>
      </w:r>
      <w:r>
        <w:rPr>
          <w:rFonts w:ascii="DepCentury Old Style" w:hAnsi="DepCentury Old Style"/>
          <w:color w:val="FF0000"/>
          <w:sz w:val="24"/>
          <w:lang w:val="en-US"/>
        </w:rPr>
        <w:t>X</w:t>
      </w:r>
      <w:r w:rsidR="00E42B4B" w:rsidRPr="004B63B6">
        <w:rPr>
          <w:rFonts w:ascii="DepCentury Old Style" w:hAnsi="DepCentury Old Style"/>
          <w:color w:val="000000"/>
          <w:sz w:val="24"/>
          <w:lang w:val="en-US"/>
        </w:rPr>
        <w:t xml:space="preserve"> Km</w:t>
      </w:r>
      <w:r w:rsidR="00E42B4B" w:rsidRPr="004B63B6">
        <w:rPr>
          <w:rFonts w:ascii="DepCentury Old Style" w:hAnsi="DepCentury Old Style"/>
          <w:color w:val="000000"/>
          <w:sz w:val="24"/>
          <w:vertAlign w:val="superscript"/>
          <w:lang w:val="en-US"/>
        </w:rPr>
        <w:t>2</w:t>
      </w:r>
    </w:p>
    <w:p w:rsidR="001A3847" w:rsidRPr="004B63B6" w:rsidRDefault="001A3847" w:rsidP="00544822">
      <w:pPr>
        <w:widowControl w:val="0"/>
        <w:tabs>
          <w:tab w:val="left" w:pos="1080"/>
          <w:tab w:val="left" w:pos="2160"/>
          <w:tab w:val="left" w:pos="3240"/>
          <w:tab w:val="left" w:pos="4320"/>
          <w:tab w:val="left" w:pos="5400"/>
          <w:tab w:val="left" w:pos="6480"/>
          <w:tab w:val="left" w:pos="7560"/>
          <w:tab w:val="left" w:pos="8640"/>
        </w:tabs>
        <w:spacing w:line="360" w:lineRule="auto"/>
        <w:rPr>
          <w:rFonts w:ascii="DepCentury Old Style" w:hAnsi="DepCentury Old Style"/>
          <w:color w:val="000000"/>
          <w:sz w:val="24"/>
          <w:lang w:val="en-US"/>
        </w:rPr>
      </w:pPr>
    </w:p>
    <w:p w:rsidR="002326D4" w:rsidRPr="004B63B6" w:rsidRDefault="002326D4" w:rsidP="00E42B4B">
      <w:pPr>
        <w:widowControl w:val="0"/>
        <w:tabs>
          <w:tab w:val="left" w:pos="1080"/>
          <w:tab w:val="left" w:pos="2160"/>
          <w:tab w:val="left" w:pos="3240"/>
          <w:tab w:val="left" w:pos="4320"/>
          <w:tab w:val="left" w:pos="5400"/>
          <w:tab w:val="left" w:pos="6480"/>
          <w:tab w:val="left" w:pos="7560"/>
          <w:tab w:val="left" w:pos="8640"/>
        </w:tabs>
        <w:spacing w:line="360" w:lineRule="auto"/>
        <w:rPr>
          <w:rFonts w:ascii="DepCentury Old Style" w:hAnsi="DepCentury Old Style"/>
          <w:color w:val="000000"/>
          <w:sz w:val="24"/>
          <w:lang w:val="en-US"/>
        </w:rPr>
      </w:pPr>
    </w:p>
    <w:p w:rsidR="00C954D0" w:rsidRPr="004B63B6"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lang w:val="en-US"/>
        </w:rPr>
      </w:pPr>
    </w:p>
    <w:p w:rsidR="00C954D0" w:rsidRPr="004B63B6" w:rsidRDefault="00D60EB6" w:rsidP="00E42B4B">
      <w:pPr>
        <w:widowControl w:val="0"/>
        <w:tabs>
          <w:tab w:val="left" w:pos="1080"/>
          <w:tab w:val="left" w:pos="2160"/>
          <w:tab w:val="left" w:pos="3240"/>
          <w:tab w:val="left" w:pos="4320"/>
          <w:tab w:val="left" w:pos="5400"/>
          <w:tab w:val="left" w:pos="6480"/>
          <w:tab w:val="left" w:pos="7560"/>
          <w:tab w:val="left" w:pos="8640"/>
        </w:tabs>
        <w:spacing w:line="360" w:lineRule="auto"/>
        <w:rPr>
          <w:rFonts w:ascii="DepCentury Old Style" w:hAnsi="DepCentury Old Style"/>
          <w:color w:val="000000"/>
          <w:sz w:val="24"/>
          <w:lang w:val="en-US"/>
        </w:rPr>
      </w:pPr>
      <w:r w:rsidRPr="004B63B6">
        <w:rPr>
          <w:rFonts w:ascii="DepCentury Old Style" w:hAnsi="DepCentury Old Style"/>
          <w:color w:val="000000"/>
          <w:sz w:val="24"/>
          <w:lang w:val="en-US"/>
        </w:rPr>
        <w:t>Sum areal</w:t>
      </w:r>
      <w:r w:rsidR="00C954D0" w:rsidRPr="004B63B6">
        <w:rPr>
          <w:rFonts w:ascii="DepCentury Old Style" w:hAnsi="DepCentury Old Style"/>
          <w:color w:val="000000"/>
          <w:sz w:val="24"/>
          <w:lang w:val="en-US"/>
        </w:rPr>
        <w:t>:</w:t>
      </w:r>
      <w:r w:rsidR="00E42B4B" w:rsidRPr="004B63B6">
        <w:rPr>
          <w:rFonts w:ascii="DepCentury Old Style" w:hAnsi="DepCentury Old Style"/>
          <w:color w:val="000000"/>
          <w:sz w:val="24"/>
          <w:lang w:val="en-US"/>
        </w:rPr>
        <w:tab/>
      </w:r>
      <w:r w:rsidR="00E42B4B" w:rsidRPr="004B63B6">
        <w:rPr>
          <w:rFonts w:ascii="DepCentury Old Style" w:hAnsi="DepCentury Old Style"/>
          <w:color w:val="000000"/>
          <w:sz w:val="24"/>
          <w:lang w:val="en-US"/>
        </w:rPr>
        <w:tab/>
      </w:r>
      <w:r w:rsidR="00544822">
        <w:rPr>
          <w:rFonts w:ascii="DepCentury Old Style" w:hAnsi="DepCentury Old Style"/>
          <w:color w:val="FF0000"/>
          <w:sz w:val="24"/>
          <w:lang w:val="en-US"/>
        </w:rPr>
        <w:t>X</w:t>
      </w:r>
      <w:r w:rsidR="00E42B4B" w:rsidRPr="004B63B6">
        <w:rPr>
          <w:rFonts w:ascii="DepCentury Old Style" w:hAnsi="DepCentury Old Style"/>
          <w:color w:val="000000"/>
          <w:sz w:val="24"/>
          <w:lang w:val="en-US"/>
        </w:rPr>
        <w:t xml:space="preserve"> Km</w:t>
      </w:r>
      <w:r w:rsidR="00E42B4B" w:rsidRPr="004B63B6">
        <w:rPr>
          <w:rFonts w:ascii="DepCentury Old Style" w:hAnsi="DepCentury Old Style"/>
          <w:color w:val="000000"/>
          <w:sz w:val="24"/>
          <w:vertAlign w:val="superscript"/>
          <w:lang w:val="en-US"/>
        </w:rPr>
        <w:t>2</w:t>
      </w:r>
    </w:p>
    <w:p w:rsidR="00C954D0" w:rsidRPr="004B63B6"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lang w:val="en-US"/>
        </w:rPr>
      </w:pPr>
    </w:p>
    <w:p w:rsidR="00C954D0" w:rsidRPr="001A3847"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sidRPr="001A3847">
        <w:rPr>
          <w:rFonts w:ascii="DepCentury Old Style" w:hAnsi="DepCentury Old Style"/>
          <w:color w:val="000000"/>
          <w:sz w:val="24"/>
        </w:rPr>
        <w:t>Hjørnekoordinater:</w:t>
      </w:r>
      <w:r w:rsidR="00E42B4B" w:rsidRPr="001A3847">
        <w:t xml:space="preserve"> </w:t>
      </w:r>
      <w:r w:rsidR="00E42B4B" w:rsidRPr="001A3847">
        <w:rPr>
          <w:rFonts w:ascii="DepCentury Old Style" w:hAnsi="DepCentury Old Style"/>
          <w:color w:val="000000"/>
          <w:sz w:val="24"/>
        </w:rPr>
        <w:t xml:space="preserve">(Datum = </w:t>
      </w:r>
      <w:r w:rsidR="00E42B4B" w:rsidRPr="001A3847">
        <w:rPr>
          <w:rFonts w:ascii="DepCentury Old Style" w:hAnsi="DepCentury Old Style"/>
          <w:color w:val="FF0000"/>
          <w:sz w:val="24"/>
        </w:rPr>
        <w:t>ED50</w:t>
      </w:r>
      <w:r w:rsidR="00E42B4B" w:rsidRPr="001A3847">
        <w:rPr>
          <w:rFonts w:ascii="DepCentury Old Style" w:hAnsi="DepCentury Old Style"/>
          <w:color w:val="000000"/>
          <w:sz w:val="24"/>
        </w:rPr>
        <w:t>):</w:t>
      </w:r>
    </w:p>
    <w:p w:rsidR="00C954D0" w:rsidRPr="001A3847"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1A3847" w:rsidRPr="001A3847" w:rsidRDefault="001A3847" w:rsidP="001A3847">
      <w:pPr>
        <w:contextualSpacing/>
        <w:rPr>
          <w:rFonts w:ascii="DepCentury Old Style" w:hAnsi="DepCentury Old Style"/>
          <w:b/>
          <w:sz w:val="24"/>
          <w:szCs w:val="24"/>
        </w:rPr>
      </w:pPr>
      <w:r w:rsidRPr="001A3847">
        <w:rPr>
          <w:rFonts w:ascii="DepCentury Old Style" w:hAnsi="DepCentury Old Style"/>
          <w:b/>
          <w:sz w:val="24"/>
          <w:szCs w:val="24"/>
        </w:rPr>
        <w:t xml:space="preserve">Blokk </w:t>
      </w:r>
      <w:r w:rsidR="000E3292" w:rsidRPr="000E3292">
        <w:rPr>
          <w:rFonts w:ascii="DepCentury Old Style" w:hAnsi="DepCentury Old Style"/>
          <w:b/>
          <w:color w:val="FF0000"/>
          <w:sz w:val="24"/>
          <w:szCs w:val="24"/>
        </w:rPr>
        <w:t>XX</w:t>
      </w:r>
    </w:p>
    <w:p w:rsidR="00544822" w:rsidRDefault="00544822" w:rsidP="001A3847">
      <w:pPr>
        <w:contextualSpacing/>
        <w:rPr>
          <w:rFonts w:ascii="DepCentury Old Style" w:hAnsi="DepCentury Old Style"/>
          <w:b/>
          <w:sz w:val="24"/>
          <w:szCs w:val="24"/>
        </w:rPr>
      </w:pPr>
    </w:p>
    <w:p w:rsidR="001A3847" w:rsidRPr="001A3847" w:rsidRDefault="001A3847" w:rsidP="001A3847">
      <w:pPr>
        <w:contextualSpacing/>
        <w:rPr>
          <w:rFonts w:ascii="DepCentury Old Style" w:hAnsi="DepCentury Old Style"/>
          <w:b/>
          <w:sz w:val="24"/>
          <w:szCs w:val="24"/>
        </w:rPr>
      </w:pPr>
      <w:r w:rsidRPr="001A3847">
        <w:rPr>
          <w:rFonts w:ascii="DepCentury Old Style" w:hAnsi="DepCentury Old Style"/>
          <w:b/>
          <w:sz w:val="24"/>
          <w:szCs w:val="24"/>
        </w:rPr>
        <w:t xml:space="preserve">Blokk </w:t>
      </w:r>
      <w:r w:rsidR="000E3292" w:rsidRPr="000E3292">
        <w:rPr>
          <w:rFonts w:ascii="DepCentury Old Style" w:hAnsi="DepCentury Old Style"/>
          <w:b/>
          <w:color w:val="FF0000"/>
          <w:sz w:val="24"/>
          <w:szCs w:val="24"/>
        </w:rPr>
        <w:t>XX</w:t>
      </w:r>
    </w:p>
    <w:p w:rsidR="00A42371" w:rsidRDefault="00A4237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szCs w:val="24"/>
        </w:rPr>
      </w:pPr>
    </w:p>
    <w:p w:rsidR="00A42371" w:rsidRPr="00E42B4B" w:rsidRDefault="00A4237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 xml:space="preserve">b) Utvinningstillatelsen gjelder til og med </w:t>
      </w:r>
      <w:r w:rsidR="00544822">
        <w:rPr>
          <w:rFonts w:ascii="DepCentury Old Style" w:hAnsi="DepCentury Old Style"/>
          <w:color w:val="FF0000"/>
          <w:sz w:val="24"/>
        </w:rPr>
        <w:t>xx.xx.xxxx</w:t>
      </w:r>
      <w:r>
        <w:rPr>
          <w:rFonts w:ascii="DepCentury Old Style" w:hAnsi="DepCentury Old Style"/>
          <w:color w:val="000000"/>
          <w:sz w:val="24"/>
        </w:rPr>
        <w:t xml:space="preserve"> (initiell periode). </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pStyle w:val="Brdtekstinnrykk"/>
      </w:pPr>
      <w:r>
        <w:t xml:space="preserve">c) </w:t>
      </w:r>
      <w:r w:rsidR="00E42B4B">
        <w:t>Når arbeidsforpliktelsen som nevnt i pkt. 4 er oppfylt</w:t>
      </w:r>
      <w:r w:rsidR="00D106E9">
        <w:t>,</w:t>
      </w:r>
      <w:r w:rsidR="00E42B4B">
        <w:t xml:space="preserve"> kan r</w:t>
      </w:r>
      <w:r>
        <w:t xml:space="preserve">ettighetshaver kreve at utvinningstillatelsen forlenges </w:t>
      </w:r>
      <w:r w:rsidR="00BE372D">
        <w:t>i medhold av petroleumsloven § 3-9 første ledd</w:t>
      </w:r>
      <w:r>
        <w:t xml:space="preserve">. Varigheten av en slik forlengelse settes til </w:t>
      </w:r>
      <w:r w:rsidR="00544822">
        <w:rPr>
          <w:color w:val="FF0000"/>
        </w:rPr>
        <w:t>x</w:t>
      </w:r>
      <w:r>
        <w:t xml:space="preserve"> år.</w:t>
      </w:r>
    </w:p>
    <w:p w:rsidR="00FC671D" w:rsidRPr="00E21F36" w:rsidRDefault="00FC671D" w:rsidP="004B63B6">
      <w:pPr>
        <w:pStyle w:val="Brdtekstinnrykk"/>
        <w:rPr>
          <w:color w:val="auto"/>
        </w:rPr>
      </w:pPr>
    </w:p>
    <w:p w:rsidR="004B63B6" w:rsidRDefault="004B63B6" w:rsidP="004B63B6">
      <w:pPr>
        <w:pStyle w:val="Brdtekstinnrykk"/>
        <w:rPr>
          <w:color w:val="auto"/>
        </w:rPr>
      </w:pPr>
      <w:r>
        <w:rPr>
          <w:color w:val="auto"/>
        </w:rPr>
        <w:t xml:space="preserve">d) Krav om forlengelse i henhold til bokstav c) kan fremsettes for: </w:t>
      </w:r>
    </w:p>
    <w:p w:rsidR="004B63B6" w:rsidRDefault="004B63B6" w:rsidP="004B63B6">
      <w:pPr>
        <w:pStyle w:val="Brdtekstinnrykk"/>
        <w:rPr>
          <w:color w:val="auto"/>
        </w:rPr>
      </w:pPr>
      <w:r>
        <w:rPr>
          <w:color w:val="auto"/>
        </w:rPr>
        <w:tab/>
      </w:r>
      <w:r w:rsidR="000E3292">
        <w:rPr>
          <w:color w:val="auto"/>
        </w:rPr>
        <w:t>D</w:t>
      </w:r>
      <w:r>
        <w:rPr>
          <w:color w:val="auto"/>
        </w:rPr>
        <w:t>e(n) del(er) av utvinningstillatelsen som avgrenser en eller flere petroleumsforekomster påvist ved boring.</w:t>
      </w:r>
    </w:p>
    <w:p w:rsidR="004B63B6" w:rsidRDefault="004B63B6" w:rsidP="004B63B6">
      <w:pPr>
        <w:pStyle w:val="Brdtekstinnrykk"/>
        <w:rPr>
          <w:color w:val="auto"/>
        </w:rPr>
      </w:pPr>
      <w:r>
        <w:rPr>
          <w:color w:val="auto"/>
        </w:rPr>
        <w:tab/>
      </w:r>
    </w:p>
    <w:p w:rsidR="004B63B6" w:rsidRDefault="004B63B6" w:rsidP="004B63B6">
      <w:pPr>
        <w:pStyle w:val="Brdtekstinnrykk"/>
        <w:rPr>
          <w:color w:val="auto"/>
        </w:rPr>
      </w:pPr>
      <w:r>
        <w:rPr>
          <w:color w:val="auto"/>
        </w:rPr>
        <w:tab/>
        <w:t>Krav om forlengelse sendes til Oljedirektoratet, som skal godkjenne selskapenes forslag til utstrekning av områder som avgrenser en eller flere petroleumsforekomster påvist ved boring.</w:t>
      </w:r>
    </w:p>
    <w:p w:rsidR="00FC671D" w:rsidRPr="005529E2" w:rsidRDefault="00FC671D" w:rsidP="00FC671D">
      <w:pPr>
        <w:pStyle w:val="Brdtekstinnrykk"/>
        <w:ind w:left="0" w:firstLine="0"/>
        <w:rPr>
          <w:color w:val="auto"/>
        </w:rPr>
      </w:pPr>
    </w:p>
    <w:p w:rsidR="00D106E9" w:rsidRPr="001449A9" w:rsidRDefault="00D106E9" w:rsidP="00D106E9">
      <w:pPr>
        <w:pStyle w:val="Brdtekstinnrykk"/>
        <w:rPr>
          <w:color w:val="auto"/>
        </w:rPr>
      </w:pPr>
      <w:r>
        <w:rPr>
          <w:color w:val="auto"/>
        </w:rPr>
        <w:t>e</w:t>
      </w:r>
      <w:r w:rsidRPr="001449A9">
        <w:rPr>
          <w:color w:val="auto"/>
        </w:rPr>
        <w:t>) De(n) del(er) av området for utvinningstillatelsen som det ikke kan kreves forlengelse for etter bokstav d), bortfaller på tidspunktet for utløpet av den initielle periode.</w:t>
      </w:r>
    </w:p>
    <w:p w:rsidR="00D64CE6" w:rsidRDefault="00D64CE6" w:rsidP="00FC671D">
      <w:pPr>
        <w:pStyle w:val="Brdtekstinnrykk"/>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2.  AREALAVGIFT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ab/>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 xml:space="preserve">Ved forlengelse av den initielle periode og ved forlengelse utover den initielle periode i henhold til pkt. 1 c) skal rettighetshaver betale en arealavgift i samsvar med den til enhver tid gjeldende lovgivning. Beløpet skal innbetales til Oljedirektoratet. </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826BE7" w:rsidRDefault="00826BE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3.  OPERATØR</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FF0000"/>
          <w:sz w:val="24"/>
        </w:rPr>
        <w:t>X</w:t>
      </w:r>
      <w:r w:rsidR="00C954D0">
        <w:rPr>
          <w:rFonts w:ascii="DepCentury Old Style" w:hAnsi="DepCentury Old Style"/>
          <w:color w:val="000000"/>
          <w:sz w:val="24"/>
        </w:rPr>
        <w:t xml:space="preserve"> er utpekt og har påtatt seg vervet som operatør. </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42503C" w:rsidRDefault="0042503C">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4</w:t>
      </w:r>
      <w:r>
        <w:rPr>
          <w:rFonts w:ascii="DepCentury Old Style" w:hAnsi="DepCentury Old Style"/>
          <w:color w:val="000000"/>
          <w:sz w:val="24"/>
        </w:rPr>
        <w:t xml:space="preserve">.  </w:t>
      </w:r>
      <w:r>
        <w:rPr>
          <w:rFonts w:ascii="DepCentury Old Style" w:hAnsi="DepCentury Old Style"/>
          <w:b/>
          <w:color w:val="000000"/>
          <w:sz w:val="24"/>
        </w:rPr>
        <w:t>ARBEIDSFORPLIKTELSE</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Rettighetshaver er pålagt en arbeidsforpliktelse som i sin helhet skal være gjennomført innen</w:t>
      </w:r>
      <w:r w:rsidR="00E63EC1">
        <w:rPr>
          <w:rFonts w:ascii="DepCentury Old Style" w:hAnsi="DepCentury Old Style"/>
          <w:color w:val="000000"/>
          <w:sz w:val="24"/>
        </w:rPr>
        <w:t xml:space="preserve"> </w:t>
      </w:r>
      <w:r w:rsidR="00E63EC1">
        <w:rPr>
          <w:rFonts w:ascii="DepCentury Old Style" w:hAnsi="DepCentury Old Style"/>
          <w:color w:val="FF0000"/>
          <w:sz w:val="24"/>
        </w:rPr>
        <w:t>xx.xx.xxxx</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Om arbeidsforpliktelsen og gjennomføringen av denne gjelder følgende:</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E63EC1" w:rsidRPr="00D11448" w:rsidRDefault="00E63EC1" w:rsidP="00E63EC1">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r w:rsidRPr="00D11448">
        <w:rPr>
          <w:rFonts w:ascii="DepCentury Old Style" w:hAnsi="DepCentury Old Style"/>
          <w:color w:val="FF0000"/>
          <w:sz w:val="24"/>
        </w:rPr>
        <w:t>Rettighetshaver skal</w:t>
      </w:r>
      <w:r w:rsidR="00457F2F">
        <w:rPr>
          <w:rFonts w:ascii="DepCentury Old Style" w:hAnsi="DepCentury Old Style"/>
          <w:color w:val="FF0000"/>
          <w:sz w:val="24"/>
        </w:rPr>
        <w:t xml:space="preserve"> innen XX år fra tildelingstidspunktet</w:t>
      </w:r>
      <w:r w:rsidRPr="00D11448">
        <w:rPr>
          <w:rFonts w:ascii="DepCentury Old Style" w:hAnsi="DepCentury Old Style"/>
          <w:color w:val="FF0000"/>
          <w:sz w:val="24"/>
        </w:rPr>
        <w:t>:</w:t>
      </w:r>
    </w:p>
    <w:p w:rsidR="00E63EC1" w:rsidRPr="00394BBC" w:rsidRDefault="00E63EC1" w:rsidP="00E63EC1">
      <w:pPr>
        <w:pStyle w:val="Listeavsnitt"/>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CD7C8A" w:rsidRDefault="00E63EC1" w:rsidP="00CD7C8A">
      <w:pPr>
        <w:pStyle w:val="Listeavsnitt"/>
        <w:widowControl w:val="0"/>
        <w:numPr>
          <w:ilvl w:val="0"/>
          <w:numId w:val="7"/>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r>
        <w:rPr>
          <w:rFonts w:ascii="DepCentury Old Style" w:hAnsi="DepCentury Old Style"/>
          <w:color w:val="FF0000"/>
          <w:sz w:val="24"/>
        </w:rPr>
        <w:t>Anskaffe 3D-seismikk.</w:t>
      </w:r>
    </w:p>
    <w:p w:rsidR="00CD7C8A" w:rsidRDefault="00CD7C8A" w:rsidP="00CD7C8A">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CD7C8A" w:rsidRPr="00CD7C8A" w:rsidRDefault="00CD7C8A" w:rsidP="00CD7C8A">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r w:rsidRPr="00CD7C8A">
        <w:rPr>
          <w:rFonts w:ascii="DepCentury Old Style" w:hAnsi="DepCentury Old Style"/>
          <w:color w:val="FF0000"/>
          <w:sz w:val="24"/>
        </w:rPr>
        <w:t>Rettighetshaver forplikter seg ti</w:t>
      </w:r>
      <w:r>
        <w:rPr>
          <w:rFonts w:ascii="DepCentury Old Style" w:hAnsi="DepCentury Old Style"/>
          <w:color w:val="FF0000"/>
          <w:sz w:val="24"/>
        </w:rPr>
        <w:t xml:space="preserve">l å bore 1 undersøkelsesbrønn. </w:t>
      </w:r>
    </w:p>
    <w:p w:rsidR="00CD7C8A" w:rsidRPr="00CD7C8A" w:rsidRDefault="00CD7C8A" w:rsidP="00CD7C8A">
      <w:pPr>
        <w:pStyle w:val="Listeavsnitt"/>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r w:rsidRPr="00CD7C8A">
        <w:rPr>
          <w:rFonts w:ascii="DepCentury Old Style" w:hAnsi="DepCentury Old Style"/>
          <w:color w:val="FF0000"/>
          <w:sz w:val="24"/>
        </w:rPr>
        <w:lastRenderedPageBreak/>
        <w:t xml:space="preserve">Boreforpliktelsen skal i sin helhet være fullført innen XX år fra tildelingstidspunktet.  </w:t>
      </w:r>
    </w:p>
    <w:p w:rsidR="00CD7C8A" w:rsidRPr="00CD7C8A" w:rsidRDefault="00CD7C8A" w:rsidP="00CD7C8A">
      <w:pPr>
        <w:pStyle w:val="Listeavsnitt"/>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E63EC1" w:rsidRPr="00D11448"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D106E9" w:rsidRPr="00CD7C8A" w:rsidRDefault="00D106E9" w:rsidP="00CD7C8A">
      <w:pPr>
        <w:pStyle w:val="Brdtekst2"/>
        <w:numPr>
          <w:ilvl w:val="0"/>
          <w:numId w:val="3"/>
        </w:numPr>
        <w:snapToGrid w:val="0"/>
        <w:rPr>
          <w:i/>
          <w:color w:val="FF0000"/>
        </w:rPr>
      </w:pPr>
      <w:r w:rsidRPr="00CD7C8A">
        <w:rPr>
          <w:color w:val="FF0000"/>
          <w:szCs w:val="24"/>
        </w:rPr>
        <w:t>Rettighetshaver</w:t>
      </w:r>
      <w:r w:rsidRPr="00CD7C8A">
        <w:rPr>
          <w:color w:val="FF0000"/>
        </w:rPr>
        <w:t xml:space="preserve"> </w:t>
      </w:r>
      <w:r w:rsidRPr="00CD7C8A">
        <w:rPr>
          <w:color w:val="FF0000"/>
          <w:szCs w:val="24"/>
        </w:rPr>
        <w:t>skal innen X år fra tildelingstidspunktet vedta om det skal bores en undersøkelsesbrønn. Vedtak om boring fattes i medhold av Avtale for petroleumsvirksomhet artikkel 3.2. Dersom det fattes vedtak om boring av undersøkelsesbrønnen, videreføres utvinningstillatelsen</w:t>
      </w:r>
      <w:r w:rsidRPr="00CD7C8A">
        <w:rPr>
          <w:color w:val="FF0000"/>
        </w:rPr>
        <w:t xml:space="preserve">. </w:t>
      </w:r>
    </w:p>
    <w:p w:rsidR="00D106E9" w:rsidRPr="00CD7C8A" w:rsidRDefault="00D106E9" w:rsidP="00D106E9">
      <w:pPr>
        <w:pStyle w:val="Brdtekst2"/>
        <w:snapToGrid w:val="0"/>
        <w:ind w:left="708"/>
        <w:rPr>
          <w:color w:val="FF0000"/>
        </w:rPr>
      </w:pPr>
    </w:p>
    <w:p w:rsidR="00D106E9" w:rsidRPr="00CD7C8A" w:rsidRDefault="00D106E9" w:rsidP="00D106E9">
      <w:pPr>
        <w:pStyle w:val="Brdtekst2"/>
        <w:snapToGrid w:val="0"/>
        <w:ind w:left="708"/>
        <w:rPr>
          <w:color w:val="FF0000"/>
        </w:rPr>
      </w:pPr>
      <w:r w:rsidRPr="00CD7C8A">
        <w:rPr>
          <w:color w:val="FF0000"/>
        </w:rPr>
        <w:t xml:space="preserve">Dersom det ikke fattes vedtak om boring av en undersøkelsesbrønn, men én eller flere rettighetshavere likevel ønsker å bore denne, </w:t>
      </w:r>
      <w:r w:rsidRPr="00CD7C8A">
        <w:rPr>
          <w:iCs/>
          <w:color w:val="FF0000"/>
        </w:rPr>
        <w:t>må den/de berørte andeler enten overtas av en utenforstående tredjemann eller av den/de øvrige rettighetshavere for å sikre 100 % deltakelse i utvinningstillatelsen.</w:t>
      </w:r>
      <w:r w:rsidRPr="00CD7C8A">
        <w:rPr>
          <w:color w:val="FF0000"/>
        </w:rPr>
        <w:t xml:space="preserve"> Artikkel 24 om uttreden i Avtale for petroleumsvirksomhet, Vedlegg A gjelder tilsvarende så langt den passer. </w:t>
      </w:r>
      <w:r w:rsidRPr="00CD7C8A">
        <w:rPr>
          <w:iCs/>
          <w:color w:val="FF0000"/>
        </w:rPr>
        <w:t xml:space="preserve">Såfremt andelen ikke overtas av en utenforstående tredjemann eller av den/de øvrige rettighetshavere, anses vedtak om boring ikke fattet. </w:t>
      </w:r>
      <w:r w:rsidRPr="00CD7C8A">
        <w:rPr>
          <w:color w:val="FF0000"/>
        </w:rPr>
        <w:t>Den/de øvrige rettighetshavere må innen 30 dager fra vedtaksdato gi styringskomiteen melding om de ønsker å overta deltakerandelen.</w:t>
      </w:r>
    </w:p>
    <w:p w:rsidR="00D106E9" w:rsidRPr="00CD7C8A" w:rsidRDefault="00D106E9" w:rsidP="00D106E9">
      <w:pPr>
        <w:pStyle w:val="Brdtekst2"/>
        <w:snapToGrid w:val="0"/>
        <w:ind w:left="708"/>
        <w:jc w:val="right"/>
        <w:rPr>
          <w:color w:val="FF0000"/>
        </w:rPr>
      </w:pPr>
    </w:p>
    <w:p w:rsidR="00D106E9" w:rsidRPr="00CD7C8A" w:rsidRDefault="00D106E9" w:rsidP="00D106E9">
      <w:pPr>
        <w:pStyle w:val="Brdtekst2"/>
        <w:snapToGrid w:val="0"/>
        <w:ind w:left="708"/>
        <w:rPr>
          <w:color w:val="FF0000"/>
        </w:rPr>
      </w:pPr>
      <w:r w:rsidRPr="00CD7C8A">
        <w:rPr>
          <w:color w:val="FF0000"/>
        </w:rPr>
        <w:t xml:space="preserve">For å videreføre utvinningstillatelsen, må den/de øvrige rettighetshaver(e) uten ugrunnet opphold søke departementet, med kopi til Oljedirektoratet om å få bore undersøkelsesbrønnen. Dersom departementet ikke godkjenner søknaden, bortfaller utvinningstillatelsen. Et eventuelt operatørskifte er betinget av departementets godkjennelse i medhold av petroleumsloven § 3-7. </w:t>
      </w:r>
    </w:p>
    <w:p w:rsidR="00D106E9" w:rsidRPr="00CD7C8A" w:rsidRDefault="00D106E9" w:rsidP="00D106E9">
      <w:pPr>
        <w:pStyle w:val="Brdtekst2"/>
        <w:snapToGrid w:val="0"/>
        <w:ind w:left="708"/>
        <w:rPr>
          <w:color w:val="FF0000"/>
        </w:rPr>
      </w:pPr>
    </w:p>
    <w:p w:rsidR="00D106E9" w:rsidRPr="00CD7C8A" w:rsidRDefault="00D106E9" w:rsidP="00D106E9">
      <w:pPr>
        <w:pStyle w:val="Brdtekst2"/>
        <w:snapToGrid w:val="0"/>
        <w:ind w:left="708"/>
        <w:rPr>
          <w:color w:val="FF0000"/>
          <w:szCs w:val="24"/>
        </w:rPr>
      </w:pPr>
      <w:r w:rsidRPr="00CD7C8A">
        <w:rPr>
          <w:color w:val="FF0000"/>
          <w:szCs w:val="24"/>
        </w:rPr>
        <w:t xml:space="preserve">En endringsavtale til Avtale for petroleumsvirksomhet, Spesielle bestemmelser som reflekterer en rettighetshavers uttreden og et eventuelt operatørskifte skal oversendes departementet for godkjennelse så snart som mulig, jfr. artikkel 8 i Avtale for petroleumsvirksomhet, Spesielle bestemmelser. </w:t>
      </w:r>
    </w:p>
    <w:p w:rsidR="00D106E9" w:rsidRPr="00CD7C8A" w:rsidRDefault="00D106E9" w:rsidP="00D106E9">
      <w:pPr>
        <w:pStyle w:val="Brdtekst2"/>
        <w:snapToGrid w:val="0"/>
        <w:rPr>
          <w:color w:val="FF0000"/>
        </w:rPr>
      </w:pPr>
    </w:p>
    <w:p w:rsidR="00D106E9" w:rsidRPr="00CD7C8A" w:rsidRDefault="00D106E9" w:rsidP="00D106E9">
      <w:pPr>
        <w:pStyle w:val="Brdtekst2"/>
        <w:snapToGrid w:val="0"/>
        <w:ind w:left="708"/>
        <w:rPr>
          <w:color w:val="FF0000"/>
        </w:rPr>
      </w:pPr>
      <w:r w:rsidRPr="00CD7C8A">
        <w:rPr>
          <w:color w:val="FF0000"/>
        </w:rPr>
        <w:t>Dersom ingen rettighetshavere ønsker å bore undersøkelsesbrønnen, vil utvinningstillatelsen bortfalle i sin helhet X år etter tildelingstidspunktet.</w:t>
      </w:r>
    </w:p>
    <w:p w:rsidR="00D106E9" w:rsidRPr="00CD7C8A" w:rsidRDefault="00D106E9" w:rsidP="00D106E9">
      <w:pPr>
        <w:pStyle w:val="Brdtekst2"/>
        <w:snapToGrid w:val="0"/>
        <w:ind w:left="708"/>
        <w:rPr>
          <w:color w:val="FF0000"/>
        </w:rPr>
      </w:pPr>
    </w:p>
    <w:p w:rsidR="00D106E9" w:rsidRPr="00CD7C8A" w:rsidRDefault="00D106E9" w:rsidP="00CD7C8A">
      <w:pPr>
        <w:pStyle w:val="Brdtekst2"/>
        <w:snapToGrid w:val="0"/>
        <w:ind w:left="708"/>
        <w:rPr>
          <w:color w:val="FF0000"/>
        </w:rPr>
      </w:pPr>
      <w:r w:rsidRPr="00CD7C8A">
        <w:rPr>
          <w:color w:val="FF0000"/>
        </w:rPr>
        <w:t>Rettighetshaver skal senest innen X år fra tildelingstidspunktet skriftlig underrette departementet, med kopi til Olje</w:t>
      </w:r>
      <w:r w:rsidR="00CD7C8A">
        <w:rPr>
          <w:color w:val="FF0000"/>
        </w:rPr>
        <w:t>direktoratet om sin beslutning.</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E63EC1" w:rsidRDefault="00E63EC1" w:rsidP="00E63EC1">
      <w:pPr>
        <w:pStyle w:val="Brdtekst"/>
        <w:numPr>
          <w:ilvl w:val="0"/>
          <w:numId w:val="3"/>
        </w:numPr>
        <w:rPr>
          <w:color w:val="auto"/>
        </w:rPr>
      </w:pPr>
      <w:r>
        <w:rPr>
          <w:color w:val="auto"/>
        </w:rPr>
        <w:t>Ved eventuell søknad om avvik fra arbeidsforpliktelsen skal rettighetshaver oversende Oljedirektoratet all dokumentasjon som er nødvendig for å vurdere søknaden.</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E63EC1" w:rsidRPr="00A64C47" w:rsidRDefault="00E63EC1" w:rsidP="00E63EC1">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sidRPr="00A64C47">
        <w:rPr>
          <w:rFonts w:ascii="DepCentury Old Style" w:hAnsi="DepCentury Old Style"/>
          <w:color w:val="000000"/>
          <w:sz w:val="24"/>
        </w:rPr>
        <w:t>Rettighetshaver skal foreta kjerneboringer og andre prøver eller registreringer som Oljedirektoratet anser nødvendig for evaluering av eventuelle forekomster. Det skal legges spesiell vekt på kjerneboring i alle prospektive intervaller. Prøvetakingen skal følges opp av grundige analyser og tolkninger.</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E63EC1" w:rsidRPr="00A64C47" w:rsidRDefault="00E63EC1" w:rsidP="00E63EC1">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sidRPr="00A64C47">
        <w:rPr>
          <w:rFonts w:ascii="DepCentury Old Style" w:hAnsi="DepCentury Old Style"/>
          <w:color w:val="000000"/>
          <w:sz w:val="24"/>
        </w:rPr>
        <w:lastRenderedPageBreak/>
        <w:t xml:space="preserve">Rettighetshaver skal med 12 måneders varsel kunne pålegges å starte boring som angitt i </w:t>
      </w:r>
      <w:r w:rsidRPr="00394BBC">
        <w:rPr>
          <w:rFonts w:ascii="DepCentury Old Style" w:hAnsi="DepCentury Old Style"/>
          <w:color w:val="000000"/>
          <w:sz w:val="24"/>
        </w:rPr>
        <w:t>punktene a)-d) over nå</w:t>
      </w:r>
      <w:r w:rsidRPr="00A64C47">
        <w:rPr>
          <w:rFonts w:ascii="DepCentury Old Style" w:hAnsi="DepCentury Old Style"/>
          <w:color w:val="000000"/>
          <w:sz w:val="24"/>
        </w:rPr>
        <w:t xml:space="preserve">r Olje- og energidepartementet anser dette nødvendig. </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rPr>
      </w:pPr>
    </w:p>
    <w:p w:rsidR="00E63EC1" w:rsidRPr="00A64C47" w:rsidRDefault="00E63EC1" w:rsidP="00E63EC1">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sidRPr="00A64C47">
        <w:rPr>
          <w:rFonts w:ascii="DepCentury Old Style" w:hAnsi="DepCentury Old Style"/>
          <w:color w:val="000000"/>
          <w:sz w:val="24"/>
        </w:rPr>
        <w:t>Undersøkelsesbrønn er definert som en brønn som undersøker en klart definert geologisk enhet (avgrenset etter ett eller flere av følgende kriterier: struktur, litologi, facies eller trykk) og som i den vedtatte boreposisjon gjennomborer alle prospektive intervaller som ligger innenfor arbeidsforpliktelsen som definert ovenfor. Dersom rettighetshaver ønsker å få en brønn godkjent som undersøkelsesbrønn, kan godkjennelse innhentes fra Oljedirektoratet på forhånd. Det forutsettes at relevante data og tolkninger følger søknaden, og at boringen blir gjennomført som planlagt.</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E63EC1" w:rsidRPr="00A64C47" w:rsidRDefault="00E63EC1" w:rsidP="00E63EC1">
      <w:pPr>
        <w:pStyle w:val="Listeavsnitt"/>
        <w:widowControl w:val="0"/>
        <w:numPr>
          <w:ilvl w:val="0"/>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A64C47">
        <w:rPr>
          <w:rFonts w:ascii="DepCentury Old Style" w:hAnsi="DepCentury Old Style"/>
          <w:color w:val="000000"/>
          <w:sz w:val="24"/>
        </w:rPr>
        <w:t xml:space="preserve">Senest 2 år før utløpet </w:t>
      </w:r>
      <w:r w:rsidRPr="00A64C47">
        <w:rPr>
          <w:rFonts w:ascii="DepCentury Old Style" w:hAnsi="DepCentury Old Style"/>
          <w:sz w:val="24"/>
        </w:rPr>
        <w:t>av den initielle periode, skal rettighetshaver sende departementet og Oljedirektoratet opplysninger om:</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E63EC1" w:rsidRPr="00A64C47" w:rsidRDefault="00E63EC1" w:rsidP="00E63EC1">
      <w:pPr>
        <w:pStyle w:val="Listeavsnitt"/>
        <w:widowControl w:val="0"/>
        <w:numPr>
          <w:ilvl w:val="1"/>
          <w:numId w:val="3"/>
        </w:numPr>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A64C47">
        <w:rPr>
          <w:rFonts w:ascii="DepCentury Old Style" w:hAnsi="DepCentury Old Style"/>
          <w:sz w:val="24"/>
        </w:rPr>
        <w:t>hvilke deler av arbeidsforpliktelsen som gjenstår</w:t>
      </w:r>
    </w:p>
    <w:p w:rsidR="00E63EC1" w:rsidRDefault="00E63EC1" w:rsidP="00E63EC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C954D0" w:rsidRDefault="00E63EC1" w:rsidP="00E63EC1">
      <w:pPr>
        <w:pStyle w:val="Brdtekstinnrykk2"/>
        <w:numPr>
          <w:ilvl w:val="1"/>
          <w:numId w:val="3"/>
        </w:numPr>
        <w:rPr>
          <w:color w:val="auto"/>
        </w:rPr>
      </w:pPr>
      <w:r>
        <w:rPr>
          <w:color w:val="auto"/>
        </w:rPr>
        <w:t>rettighetshavernes planer for å oppfylle den resterende del av arbeidsforpliktelsen etter denne utvinningstillatelsen.</w:t>
      </w:r>
    </w:p>
    <w:p w:rsidR="00457F2F" w:rsidRDefault="00457F2F" w:rsidP="00457F2F">
      <w:pPr>
        <w:pStyle w:val="Listeavsnitt"/>
      </w:pPr>
    </w:p>
    <w:p w:rsidR="00457F2F" w:rsidRDefault="00457F2F" w:rsidP="00457F2F">
      <w:pPr>
        <w:pStyle w:val="Brdtekstinnrykk2"/>
        <w:numPr>
          <w:ilvl w:val="0"/>
          <w:numId w:val="3"/>
        </w:numPr>
        <w:rPr>
          <w:color w:val="auto"/>
        </w:rPr>
      </w:pPr>
      <w:r w:rsidRPr="00D16234">
        <w:t xml:space="preserve">Når områder som er omfattet av utvinningstillatelsen oppgis eller tilbakeleveres etter punkt </w:t>
      </w:r>
      <w:r w:rsidRPr="00CD7C8A">
        <w:rPr>
          <w:color w:val="FF0000"/>
        </w:rPr>
        <w:t xml:space="preserve">b) - e) </w:t>
      </w:r>
      <w:r w:rsidRPr="00D16234">
        <w:t>skal rettighetshaver sende Oljedirektoratet en statusrapport for de områder som tilbakeleveres senest tre måneder etter tilbakelevering. Statusrapporten skal oppsummere eventuelle innsamlede data, utførte studier samt resultatene av disse og gi en oversikt over prospektiviteten i området som tilbakeleveres.</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F67EFB" w:rsidRDefault="00F67EFB">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F67EFB" w:rsidRDefault="00F67EFB">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5E4A3D" w:rsidRDefault="00C954D0" w:rsidP="00B524FB">
      <w:pPr>
        <w:widowControl w:val="0"/>
        <w:tabs>
          <w:tab w:val="left" w:pos="960"/>
          <w:tab w:val="left" w:pos="2040"/>
          <w:tab w:val="left" w:pos="3120"/>
          <w:tab w:val="left" w:pos="4200"/>
          <w:tab w:val="left" w:pos="5280"/>
          <w:tab w:val="left" w:pos="6360"/>
          <w:tab w:val="left" w:pos="7425"/>
          <w:tab w:val="left" w:pos="8520"/>
          <w:tab w:val="left" w:pos="9600"/>
        </w:tabs>
        <w:rPr>
          <w:rFonts w:ascii="DepCentury Old Style" w:hAnsi="DepCentury Old Style"/>
          <w:sz w:val="24"/>
        </w:rPr>
      </w:pPr>
      <w:r>
        <w:rPr>
          <w:rFonts w:ascii="DepCentury Old Style" w:hAnsi="DepCentury Old Style"/>
          <w:b/>
          <w:sz w:val="24"/>
        </w:rPr>
        <w:t>5.  DIVERSE VILKÅR</w:t>
      </w:r>
    </w:p>
    <w:p w:rsidR="00B524FB" w:rsidRDefault="00B524FB" w:rsidP="00B524FB">
      <w:pPr>
        <w:widowControl w:val="0"/>
        <w:tabs>
          <w:tab w:val="left" w:pos="960"/>
          <w:tab w:val="left" w:pos="2040"/>
          <w:tab w:val="left" w:pos="3120"/>
          <w:tab w:val="left" w:pos="4200"/>
          <w:tab w:val="left" w:pos="5280"/>
          <w:tab w:val="left" w:pos="6360"/>
          <w:tab w:val="left" w:pos="7425"/>
          <w:tab w:val="left" w:pos="8520"/>
          <w:tab w:val="left" w:pos="9600"/>
        </w:tabs>
        <w:rPr>
          <w:rFonts w:ascii="DepCentury Old Style" w:hAnsi="DepCentury Old Style"/>
          <w:sz w:val="24"/>
        </w:rPr>
      </w:pPr>
    </w:p>
    <w:p w:rsidR="007722F9" w:rsidRPr="00736BE8" w:rsidRDefault="007722F9" w:rsidP="007722F9">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sz w:val="24"/>
        </w:rPr>
      </w:pPr>
      <w:r w:rsidRPr="00736BE8">
        <w:rPr>
          <w:rFonts w:ascii="DepCentury Old Style" w:hAnsi="DepCentury Old Style"/>
          <w:sz w:val="24"/>
        </w:rPr>
        <w:t>Rettighetshaver kan pålegges å bruke baser utpekt av departementet.</w:t>
      </w:r>
    </w:p>
    <w:p w:rsidR="007722F9" w:rsidRPr="003A1673" w:rsidRDefault="007722F9" w:rsidP="007722F9">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Det må tas særlige hensyn til fiskeriaktiviteten og forekomst av marine organismer under planleggingen av boreaktiviteten. I forkant av leteboringer skal det iverksettes tiltak for å informere berørte interesser.</w:t>
      </w:r>
    </w:p>
    <w:p w:rsidR="007722F9" w:rsidRPr="003A1673" w:rsidRDefault="007722F9" w:rsidP="007722F9">
      <w:pPr>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 xml:space="preserve">Ved planleggingen av seismiske aktiviteter skal rettighetshaverne ta særlig hensyn til fiskeriaktivitetene og til forekomst av kritiske stadier av marine organismer når programmene utformes. </w:t>
      </w:r>
    </w:p>
    <w:p w:rsidR="007722F9" w:rsidRPr="003A1673" w:rsidRDefault="007722F9" w:rsidP="007722F9">
      <w:pPr>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 xml:space="preserve">Rettighetshaverne pålegges å foreta nødvendig kartlegging av eventuelle forekomster av korallrev og andre verdifulle bunnsamfunn </w:t>
      </w:r>
      <w:r>
        <w:rPr>
          <w:rFonts w:ascii="DepCentury Old Style" w:hAnsi="DepCentury Old Style"/>
          <w:sz w:val="24"/>
          <w:szCs w:val="24"/>
        </w:rPr>
        <w:t xml:space="preserve">herunder viktige tobishabitater </w:t>
      </w:r>
      <w:r w:rsidRPr="003A1673">
        <w:rPr>
          <w:rFonts w:ascii="DepCentury Old Style" w:hAnsi="DepCentury Old Style"/>
          <w:sz w:val="24"/>
          <w:szCs w:val="24"/>
        </w:rPr>
        <w:t xml:space="preserve">som kan bli berørt ved petroleumsaktivitet i de aktuelle blokkene, og å sikre at slike eventuelle forekomster ikke </w:t>
      </w:r>
      <w:r>
        <w:rPr>
          <w:rFonts w:ascii="DepCentury Old Style" w:hAnsi="DepCentury Old Style"/>
          <w:sz w:val="24"/>
          <w:szCs w:val="24"/>
        </w:rPr>
        <w:t xml:space="preserve">nedslammes eller </w:t>
      </w:r>
      <w:r w:rsidRPr="003A1673">
        <w:rPr>
          <w:rFonts w:ascii="DepCentury Old Style" w:hAnsi="DepCentury Old Style"/>
          <w:sz w:val="24"/>
          <w:szCs w:val="24"/>
        </w:rPr>
        <w:t>skades av petroleumsaktiviteten</w:t>
      </w:r>
      <w:r>
        <w:rPr>
          <w:rFonts w:ascii="DepCentury Old Style" w:hAnsi="DepCentury Old Style"/>
          <w:sz w:val="24"/>
          <w:szCs w:val="24"/>
        </w:rPr>
        <w:t>. K</w:t>
      </w:r>
      <w:r w:rsidRPr="003A1673">
        <w:rPr>
          <w:rFonts w:ascii="DepCentury Old Style" w:hAnsi="DepCentury Old Style"/>
          <w:sz w:val="24"/>
          <w:szCs w:val="24"/>
        </w:rPr>
        <w:t xml:space="preserve">artleggingen av </w:t>
      </w:r>
      <w:r w:rsidRPr="003A1673">
        <w:rPr>
          <w:rFonts w:ascii="DepCentury Old Style" w:hAnsi="DepCentury Old Style"/>
          <w:sz w:val="24"/>
          <w:szCs w:val="24"/>
        </w:rPr>
        <w:lastRenderedPageBreak/>
        <w:t>sjøbunnen</w:t>
      </w:r>
      <w:r>
        <w:rPr>
          <w:rFonts w:ascii="DepCentury Old Style" w:hAnsi="DepCentury Old Style"/>
          <w:sz w:val="24"/>
          <w:szCs w:val="24"/>
        </w:rPr>
        <w:t xml:space="preserve"> skal</w:t>
      </w:r>
      <w:r w:rsidRPr="003A1673">
        <w:rPr>
          <w:rFonts w:ascii="DepCentury Old Style" w:hAnsi="DepCentury Old Style"/>
          <w:sz w:val="24"/>
          <w:szCs w:val="24"/>
        </w:rPr>
        <w:t xml:space="preserve"> gjennomføres på et format som kan gå inn i MAREANO før igangsetting av virksomhet i aktuelle blokker. Det kan stilles særskilte krav for å unngå skade på slike forekomster. </w:t>
      </w:r>
      <w:r>
        <w:rPr>
          <w:rFonts w:ascii="DepCentury Old Style" w:hAnsi="DepCentury Old Style"/>
          <w:sz w:val="24"/>
          <w:szCs w:val="24"/>
        </w:rPr>
        <w:t>Det vises til Mareano (</w:t>
      </w:r>
      <w:hyperlink r:id="rId9" w:history="1">
        <w:r w:rsidRPr="00EA6C12">
          <w:rPr>
            <w:rStyle w:val="Hyperkobling"/>
            <w:rFonts w:ascii="DepCentury Old Style" w:hAnsi="DepCentury Old Style"/>
            <w:sz w:val="24"/>
            <w:szCs w:val="24"/>
          </w:rPr>
          <w:t>www.mareano.no</w:t>
        </w:r>
      </w:hyperlink>
      <w:r>
        <w:rPr>
          <w:rFonts w:ascii="DepCentury Old Style" w:hAnsi="DepCentury Old Style"/>
          <w:sz w:val="24"/>
          <w:szCs w:val="24"/>
        </w:rPr>
        <w:t>) for informasjon om påviste koraller på norsk kontinentalsokkel.</w:t>
      </w:r>
    </w:p>
    <w:p w:rsidR="007722F9" w:rsidRPr="003A1673" w:rsidRDefault="007722F9" w:rsidP="007722F9">
      <w:pPr>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Rettighetshaverne pålegges å kartlegge og rapportere funn av skipsvrak og andre kulturminner som kan bli berørt ved aktivitet i de aktuelle blokkene og, i samarbeid med kulturminneforvaltningen, sikre at eventuelle kulturminner ikke skades av petroleumsaktiviteten.</w:t>
      </w:r>
    </w:p>
    <w:p w:rsidR="007722F9" w:rsidRPr="003A1673" w:rsidRDefault="007722F9" w:rsidP="007722F9">
      <w:pPr>
        <w:rPr>
          <w:rFonts w:ascii="DepCentury Old Style" w:hAnsi="DepCentury Old Style"/>
          <w:sz w:val="24"/>
          <w:szCs w:val="24"/>
        </w:rPr>
      </w:pPr>
    </w:p>
    <w:p w:rsidR="007722F9" w:rsidRDefault="007722F9" w:rsidP="007722F9">
      <w:pPr>
        <w:rPr>
          <w:rFonts w:ascii="DepCentury Old Style" w:hAnsi="DepCentury Old Style"/>
          <w:sz w:val="24"/>
          <w:szCs w:val="24"/>
        </w:rPr>
      </w:pPr>
      <w:r w:rsidRPr="003A1673">
        <w:rPr>
          <w:rFonts w:ascii="DepCentury Old Style" w:hAnsi="DepCentury Old Style"/>
          <w:sz w:val="24"/>
          <w:szCs w:val="24"/>
        </w:rPr>
        <w:t>Operatøren skal på vegne av int</w:t>
      </w:r>
      <w:r>
        <w:rPr>
          <w:rFonts w:ascii="DepCentury Old Style" w:hAnsi="DepCentury Old Style"/>
          <w:sz w:val="24"/>
          <w:szCs w:val="24"/>
        </w:rPr>
        <w:t>eressentskapet søke</w:t>
      </w:r>
      <w:r w:rsidR="00220CF6">
        <w:rPr>
          <w:rFonts w:ascii="DepCentury Old Style" w:hAnsi="DepCentury Old Style"/>
          <w:sz w:val="24"/>
          <w:szCs w:val="24"/>
        </w:rPr>
        <w:t xml:space="preserve"> Miljødirektoratet (Mdir)</w:t>
      </w:r>
      <w:r>
        <w:rPr>
          <w:rFonts w:ascii="DepCentury Old Style" w:hAnsi="DepCentury Old Style"/>
          <w:sz w:val="24"/>
          <w:szCs w:val="24"/>
        </w:rPr>
        <w:t xml:space="preserve"> om tillatelse til virksomhet i god tid før planlagt aktivitet.</w:t>
      </w:r>
    </w:p>
    <w:p w:rsidR="007722F9" w:rsidRPr="003A1673" w:rsidRDefault="007722F9" w:rsidP="007722F9">
      <w:pPr>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 xml:space="preserve">I samsvar med nullutslippsmålet slik det er definert i </w:t>
      </w:r>
      <w:r w:rsidR="00CD7C8A">
        <w:rPr>
          <w:rFonts w:ascii="DepCentury Old Style" w:hAnsi="DepCentury Old Style"/>
          <w:sz w:val="24"/>
          <w:szCs w:val="24"/>
        </w:rPr>
        <w:t>Me</w:t>
      </w:r>
      <w:r w:rsidR="00051392">
        <w:rPr>
          <w:rFonts w:ascii="DepCentury Old Style" w:hAnsi="DepCentury Old Style"/>
          <w:sz w:val="24"/>
          <w:szCs w:val="24"/>
        </w:rPr>
        <w:t>l</w:t>
      </w:r>
      <w:r w:rsidR="00CD7C8A">
        <w:rPr>
          <w:rFonts w:ascii="DepCentury Old Style" w:hAnsi="DepCentury Old Style"/>
          <w:sz w:val="24"/>
          <w:szCs w:val="24"/>
        </w:rPr>
        <w:t>d</w:t>
      </w:r>
      <w:r w:rsidR="00051392">
        <w:rPr>
          <w:rFonts w:ascii="DepCentury Old Style" w:hAnsi="DepCentury Old Style"/>
          <w:sz w:val="24"/>
          <w:szCs w:val="24"/>
        </w:rPr>
        <w:t>. St. nr. 28 (2010-2011)</w:t>
      </w:r>
      <w:r w:rsidRPr="003A1673">
        <w:rPr>
          <w:rFonts w:ascii="DepCentury Old Style" w:hAnsi="DepCentury Old Style"/>
          <w:sz w:val="24"/>
          <w:szCs w:val="24"/>
        </w:rPr>
        <w:t xml:space="preserve"> skal det som hovedregel ikke slippes ut miljøfarlige stoffer til sjø. Det er videre et mål å minimere risiko for miljøskade forårsaket av utslipp av andre kjemiske stoffer. Nullutslippsmålet gjelder for alle operasjoner offshore, både bore- og brønnoperasjoner, produksjon og utslipp fra rørledninger. For hvert enkelt felt skal det ved valg av tiltak for å oppnå nullutslippsmålet foretas en helhetsvurdering av flere forhold, herunder miljømessige konsekvenser, sikkerhetsmessige forhold, reservoarmessige forhold og kostnadsmessige forhold. For en slik vurdering av tiltak vises det til konsekvensutredningen som i henhold til petroleumsloven skal gjennomføres som en del av plan for utbygging og drift. </w:t>
      </w:r>
    </w:p>
    <w:p w:rsidR="007722F9" w:rsidRPr="003A1673" w:rsidRDefault="007722F9" w:rsidP="007722F9">
      <w:pPr>
        <w:rPr>
          <w:rFonts w:ascii="DepCentury Old Style" w:hAnsi="DepCentury Old Style"/>
          <w:sz w:val="24"/>
          <w:szCs w:val="24"/>
        </w:rPr>
      </w:pPr>
    </w:p>
    <w:p w:rsidR="007722F9" w:rsidRDefault="007722F9" w:rsidP="007722F9">
      <w:pPr>
        <w:rPr>
          <w:rFonts w:ascii="DepCentury Old Style" w:hAnsi="DepCentury Old Style"/>
          <w:sz w:val="24"/>
          <w:szCs w:val="24"/>
        </w:rPr>
      </w:pPr>
      <w:r w:rsidRPr="003A1673">
        <w:rPr>
          <w:rFonts w:ascii="DepCentury Old Style" w:hAnsi="DepCentury Old Style"/>
          <w:sz w:val="24"/>
          <w:szCs w:val="24"/>
        </w:rPr>
        <w:t xml:space="preserve">Krav til beredskap mot akutt forurensning er fastsatt i medhold av forurensningsloven og underliggende forskrifter </w:t>
      </w:r>
      <w:r>
        <w:rPr>
          <w:rFonts w:ascii="DepCentury Old Style" w:hAnsi="DepCentury Old Style"/>
          <w:sz w:val="24"/>
          <w:szCs w:val="24"/>
        </w:rPr>
        <w:t xml:space="preserve">og HMS-regelverket </w:t>
      </w:r>
      <w:r w:rsidRPr="003A1673">
        <w:rPr>
          <w:rFonts w:ascii="DepCentury Old Style" w:hAnsi="DepCentury Old Style"/>
          <w:sz w:val="24"/>
          <w:szCs w:val="24"/>
        </w:rPr>
        <w:t xml:space="preserve">når det foreligger konkrete planer for gjennomføring av bore- og brønnaktiviteter. Samtykke til gjennomføringen er blant annet knyttet til beredskapskrav. Omfanget av beredskapskravene avgjøres blant annet av nærhet til land, spesielt miljøfølsomme områder og andre næringsinteresser. I medhold av gjeldende regelverk vil det i de mest kystnære områdene måtte gjennomføres mer omfattende beredskapstiltak ved eventuell leting eller produksjon. </w:t>
      </w:r>
    </w:p>
    <w:p w:rsidR="00051392" w:rsidRDefault="00051392" w:rsidP="007722F9">
      <w:pPr>
        <w:rPr>
          <w:rFonts w:ascii="DepCentury Old Style" w:hAnsi="DepCentury Old Style"/>
          <w:sz w:val="24"/>
          <w:szCs w:val="24"/>
        </w:rPr>
      </w:pPr>
    </w:p>
    <w:p w:rsidR="00051392" w:rsidRDefault="00051392" w:rsidP="007722F9">
      <w:pPr>
        <w:rPr>
          <w:rFonts w:ascii="DepCentury Old Style" w:hAnsi="DepCentury Old Style"/>
          <w:sz w:val="24"/>
          <w:szCs w:val="24"/>
          <w:lang w:eastAsia="en-US"/>
        </w:rPr>
      </w:pPr>
      <w:r w:rsidRPr="001449A9">
        <w:rPr>
          <w:rFonts w:ascii="DepCentury Old Style" w:hAnsi="DepCentury Old Style"/>
          <w:sz w:val="24"/>
          <w:szCs w:val="24"/>
          <w:lang w:eastAsia="en-US"/>
        </w:rPr>
        <w:t>For å møte alle typer utfordringer uavhengig av naturgitte og operasjonelle forhold, har myndighetene i samarbeid med partene i arbeidslivet og næringen utviklet et omfattende HMS-regelverk som stiller krav til sikkerhet og styring. For å sikre forsvarlig petroleumsvirksomhet er det viktig at relevante operasjonelle usikkerhets- og risikofaktorer er godt forstått og ivaretatt før leteboring og utbygging skjer.</w:t>
      </w:r>
    </w:p>
    <w:p w:rsidR="007722F9" w:rsidRDefault="007722F9" w:rsidP="007722F9">
      <w:pPr>
        <w:rPr>
          <w:rFonts w:ascii="DepCentury Old Style" w:hAnsi="DepCentury Old Style"/>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t xml:space="preserve">Operatøren skal gjennom risikoanalysen, jf. Forskrift om styring i petroleumsvirksomheten av 3. september 2001, synliggjøre de miljøvurderinger som ligger til grunn for dimensjonering av beredskap mot akutt forurensning, jf. Forskrift om utføring av aktiviteten i petroleumsvirksomheten av 3. september 2001, og for iverksettelse av sannsynlighetsreduserende tiltak. Miljøvurderingen skal også omfatte en vurdering av konsekvensene av de operasjonelle utslippene under leteboring. </w:t>
      </w:r>
    </w:p>
    <w:p w:rsidR="007722F9" w:rsidRPr="006E1F2E" w:rsidRDefault="007722F9" w:rsidP="007722F9">
      <w:pPr>
        <w:rPr>
          <w:rFonts w:ascii="DepCentury Old Style" w:hAnsi="DepCentury Old Style"/>
          <w:color w:val="FF0000"/>
          <w:sz w:val="24"/>
          <w:szCs w:val="24"/>
        </w:rPr>
      </w:pPr>
    </w:p>
    <w:p w:rsidR="007722F9" w:rsidRPr="003A1673" w:rsidRDefault="007722F9" w:rsidP="007722F9">
      <w:pPr>
        <w:rPr>
          <w:rFonts w:ascii="DepCentury Old Style" w:hAnsi="DepCentury Old Style"/>
          <w:sz w:val="24"/>
          <w:szCs w:val="24"/>
        </w:rPr>
      </w:pPr>
      <w:r w:rsidRPr="003A1673">
        <w:rPr>
          <w:rFonts w:ascii="DepCentury Old Style" w:hAnsi="DepCentury Old Style"/>
          <w:sz w:val="24"/>
          <w:szCs w:val="24"/>
        </w:rPr>
        <w:lastRenderedPageBreak/>
        <w:t>I tråd med St. meld. nr. 38 (2001-2002) forventes det at industrien fortsatt vil bidra til den biologiske overvåkingen av levende marine organismer for å kartlegge mulige effekter av petroleumsvirksomheten.</w:t>
      </w:r>
    </w:p>
    <w:p w:rsidR="007722F9" w:rsidRPr="003A1673" w:rsidRDefault="007722F9" w:rsidP="007722F9">
      <w:pPr>
        <w:rPr>
          <w:rFonts w:ascii="DepCentury Old Style" w:hAnsi="DepCentury Old Style"/>
          <w:sz w:val="24"/>
          <w:szCs w:val="24"/>
        </w:rPr>
      </w:pPr>
    </w:p>
    <w:p w:rsidR="007722F9" w:rsidRDefault="007722F9" w:rsidP="007722F9">
      <w:pPr>
        <w:rPr>
          <w:rFonts w:ascii="DepCentury Old Style" w:hAnsi="DepCentury Old Style"/>
          <w:sz w:val="24"/>
          <w:szCs w:val="24"/>
        </w:rPr>
      </w:pPr>
      <w:r w:rsidRPr="003A1673">
        <w:rPr>
          <w:rFonts w:ascii="DepCentury Old Style" w:hAnsi="DepCentury Old Style"/>
          <w:sz w:val="24"/>
          <w:szCs w:val="24"/>
        </w:rPr>
        <w:t xml:space="preserve">Regjeringen ser et fortsatt behov for å bedre kunnskapen om forekomst av sjøfugl i områder som kan påvirkes av utslipp fra petroleumsvirksomheten. Det forventes at industrien vil bidra til kartleggingen av sjøfugl i Nordsjøen og Norskehavet i forbindelse med konsekvensutredninger som følger med eventuelle planer for utbygging og drift for nye selvstendige utbygginger i dette området. </w:t>
      </w:r>
    </w:p>
    <w:p w:rsidR="00FF5472" w:rsidRPr="00FF5472" w:rsidRDefault="00FF5472" w:rsidP="00FF5472">
      <w:pPr>
        <w:rPr>
          <w:rFonts w:ascii="DepCentury Old Style" w:hAnsi="DepCentury Old Style"/>
          <w:sz w:val="24"/>
          <w:szCs w:val="24"/>
        </w:rPr>
      </w:pPr>
    </w:p>
    <w:p w:rsidR="00FF5472" w:rsidRPr="00FF5472" w:rsidRDefault="00FF5472" w:rsidP="00FF5472">
      <w:pPr>
        <w:rPr>
          <w:rFonts w:ascii="DepCentury Old Style" w:hAnsi="DepCentury Old Style"/>
          <w:sz w:val="24"/>
          <w:szCs w:val="24"/>
        </w:rPr>
      </w:pPr>
      <w:r w:rsidRPr="00FF5472">
        <w:rPr>
          <w:rFonts w:ascii="DepCentury Old Style" w:hAnsi="DepCentury Old Style"/>
          <w:sz w:val="24"/>
          <w:szCs w:val="24"/>
        </w:rPr>
        <w:t>På norsk kontinentalsokkel er det etablert et trafikkseparasjonssystem som er godkjent av FNs skipsfartsorganisasjon IMO. Ved petroleumsaktivitet i eller i nærheten av slike geografisk bestemte trafikkseparasjonssystemer må rettighetshaverne i god tid før aktiviteten finner sted avklare den planlagte aktiviteten med Kystverket for å sikre ivaretakelsen av sjøsikkerheten.</w:t>
      </w:r>
    </w:p>
    <w:p w:rsidR="00FF5472" w:rsidRPr="0024558F" w:rsidRDefault="00FF5472" w:rsidP="00FF5472"/>
    <w:p w:rsidR="00FF5472" w:rsidRDefault="00FF5472" w:rsidP="00FF5472"/>
    <w:p w:rsidR="00051392" w:rsidRPr="0022497E" w:rsidRDefault="00051392" w:rsidP="00051392">
      <w:pPr>
        <w:keepNext/>
        <w:keepLines/>
        <w:spacing w:before="200"/>
        <w:outlineLvl w:val="4"/>
        <w:rPr>
          <w:rFonts w:ascii="DepCentury Old Style" w:eastAsiaTheme="majorEastAsia" w:hAnsi="DepCentury Old Style" w:cstheme="majorBidi"/>
          <w:b/>
          <w:color w:val="FF0000"/>
          <w:sz w:val="24"/>
          <w:szCs w:val="24"/>
          <w:lang w:eastAsia="en-US"/>
        </w:rPr>
      </w:pPr>
      <w:r w:rsidRPr="0022497E">
        <w:rPr>
          <w:rFonts w:ascii="DepCentury Old Style" w:eastAsiaTheme="majorEastAsia" w:hAnsi="DepCentury Old Style" w:cstheme="majorBidi"/>
          <w:b/>
          <w:color w:val="FF0000"/>
          <w:sz w:val="24"/>
          <w:szCs w:val="24"/>
          <w:lang w:eastAsia="en-US"/>
        </w:rPr>
        <w:t>Spesielle krav for Nordsjøen</w:t>
      </w:r>
    </w:p>
    <w:p w:rsidR="00051392" w:rsidRPr="0022497E" w:rsidRDefault="00051392" w:rsidP="00051392">
      <w:pPr>
        <w:autoSpaceDE w:val="0"/>
        <w:autoSpaceDN w:val="0"/>
        <w:adjustRightInd w:val="0"/>
        <w:rPr>
          <w:rFonts w:ascii="DepCentury Old Style" w:hAnsi="DepCentury Old Style"/>
          <w:iCs/>
          <w:color w:val="FF0000"/>
          <w:sz w:val="24"/>
          <w:szCs w:val="24"/>
          <w:lang w:eastAsia="en-US"/>
        </w:rPr>
      </w:pPr>
    </w:p>
    <w:p w:rsidR="00051392" w:rsidRPr="00370F04" w:rsidRDefault="00051392" w:rsidP="00051392">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I kystsonen fra Stad til Lista skal rettighetshaver i et belte på 25 km fra grunnlinjen sikre reell kapasitet innen kystnær beredskap og strandrensing, uten at den er basert på kommunale og statlige beredskapsressurser. HMS-regelverkets risikotilnærming innebærer at det vil kunne stilles mer omfattende beredskapstiltak i kystnære områder.</w:t>
      </w:r>
    </w:p>
    <w:p w:rsidR="00051392" w:rsidRPr="00370F04" w:rsidRDefault="00051392" w:rsidP="00051392">
      <w:pPr>
        <w:rPr>
          <w:rFonts w:ascii="DepCentury Old Style" w:hAnsi="DepCentury Old Style"/>
          <w:iCs/>
          <w:color w:val="FF0000"/>
          <w:sz w:val="24"/>
          <w:szCs w:val="24"/>
          <w:lang w:eastAsia="en-US"/>
        </w:rPr>
      </w:pPr>
    </w:p>
    <w:p w:rsidR="00051392" w:rsidRPr="00370F04" w:rsidRDefault="00051392" w:rsidP="00051392">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 xml:space="preserve">I deler av det forhåndsdefinerte området foregår det tidvis et aktivt fiske etter tobis, se kart http://www.npd.no/tfo2015 . Dette gjelder blokkene 2/2, 3 og 6, 3/1, 2, 3, 4 og 5, 4/1, 2 og 3, 5/1, 7/2, 3, 6 og 9, 8/1, 2, 3, 4, 5, 6, 7, og 9, 9/1, 2, 4, 5, 7, 8, 9, 11 og 12, 10/7, 8, 10, 11 og 12, 11/11 og 12, 16/11 og 12 samt 30/5, 6, 8, 9, 11 og 12. Fisket etter tobis er regulert, og hvor det er tillatt med fiske etter tobis innenfor dette området kan variere. Ved eventuelle tildelinger av disse blokkene vil det være borebegrensninger i de områder der det faktisk fiskes etter tobis i perioden fra 1. april til 30. juni. Informasjon om hvilke blokker dette gjelder for bestemte år kan fås ved henvendelse til Fiskeridirektoratet. Leteboring på og i en sone rundt tobisfeltene skal gjennomføres slik at gyting i minst mulig grad blir forstyrret og uten utslipp av borekaks slik at kvaliteten på tobisfeltene ikke forringes gjennom nedslamming fra boreaktivitet. I forbindelse med mulige feltutbygginger i området skal det brukes løsninger som i minst mulig grad endrer bunnforholdene i tobisfeltene. </w:t>
      </w:r>
    </w:p>
    <w:p w:rsidR="00051392" w:rsidRPr="00370F04" w:rsidRDefault="00051392" w:rsidP="00051392">
      <w:pPr>
        <w:rPr>
          <w:rFonts w:ascii="DepCentury Old Style" w:hAnsi="DepCentury Old Style"/>
          <w:iCs/>
          <w:color w:val="FF0000"/>
          <w:sz w:val="24"/>
          <w:szCs w:val="24"/>
          <w:lang w:eastAsia="en-US"/>
        </w:rPr>
      </w:pPr>
    </w:p>
    <w:p w:rsidR="00051392" w:rsidRPr="00370F04" w:rsidRDefault="00051392" w:rsidP="00051392">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 xml:space="preserve">I Nordsjøen utlyses blokker som er rike fiskeriområder. Dette gjelder blokkene 26/10 og 11, 17/1, 2, 5, 6, 8, 10 og 11 og 8/1, 2, 4 og 5. I forbindelse med eventuelle tildelinger i disse blokkene kan det av hensyn til fiskeriene bli satt særskilte vilkår. </w:t>
      </w:r>
    </w:p>
    <w:p w:rsidR="00051392" w:rsidRPr="00370F04" w:rsidRDefault="00051392" w:rsidP="00051392">
      <w:pPr>
        <w:rPr>
          <w:rFonts w:ascii="DepCentury Old Style" w:hAnsi="DepCentury Old Style"/>
          <w:iCs/>
          <w:color w:val="FF0000"/>
          <w:sz w:val="24"/>
          <w:szCs w:val="24"/>
          <w:lang w:eastAsia="en-US"/>
        </w:rPr>
      </w:pPr>
    </w:p>
    <w:p w:rsidR="00051392" w:rsidRPr="00370F04" w:rsidRDefault="00051392" w:rsidP="00051392">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 xml:space="preserve">I blokkene 31/10 og 11 og 26/1, 2, 4, 5, 7 og 8 foregår det et intensivt fiskeri og i dette området skal det ikke foregå mer enn en leteboring om gangen. Etter en konkret vurdering i forhold til fiskeriaktiviteten kan det gis tillatelse til ytterligere en leteboring. </w:t>
      </w:r>
    </w:p>
    <w:p w:rsidR="00051392" w:rsidRPr="00370F04" w:rsidRDefault="00051392" w:rsidP="00051392">
      <w:pPr>
        <w:rPr>
          <w:rFonts w:ascii="DepCentury Old Style" w:hAnsi="DepCentury Old Style"/>
          <w:iCs/>
          <w:color w:val="FF0000"/>
          <w:sz w:val="24"/>
          <w:szCs w:val="24"/>
          <w:lang w:eastAsia="en-US"/>
        </w:rPr>
      </w:pPr>
    </w:p>
    <w:p w:rsidR="00051392" w:rsidRPr="0022497E" w:rsidRDefault="00051392" w:rsidP="00051392">
      <w:pPr>
        <w:rPr>
          <w:rFonts w:ascii="DepCentury Old Style" w:hAnsi="DepCentury Old Style"/>
          <w:b/>
          <w:color w:val="FF0000"/>
          <w:sz w:val="24"/>
          <w:szCs w:val="24"/>
          <w:lang w:eastAsia="en-US"/>
        </w:rPr>
      </w:pPr>
      <w:r w:rsidRPr="00370F04">
        <w:rPr>
          <w:rFonts w:ascii="DepCentury Old Style" w:hAnsi="DepCentury Old Style"/>
          <w:iCs/>
          <w:color w:val="FF0000"/>
          <w:sz w:val="24"/>
          <w:szCs w:val="24"/>
          <w:lang w:eastAsia="en-US"/>
        </w:rPr>
        <w:t>For blokkene 33/2 og 3 og 34/1 og 2 foregår det tidvis et aktivt industritrålfiske. I dette området vil ingen leteboringer være tillatt i perioden 1. oktober til 31. mars.</w:t>
      </w:r>
    </w:p>
    <w:p w:rsidR="00051392" w:rsidRDefault="00051392" w:rsidP="00051392">
      <w:pPr>
        <w:rPr>
          <w:rFonts w:ascii="DepCentury Old Style" w:hAnsi="DepCentury Old Style"/>
          <w:b/>
          <w:color w:val="FF0000"/>
          <w:sz w:val="24"/>
          <w:szCs w:val="24"/>
          <w:lang w:eastAsia="en-US"/>
        </w:rPr>
      </w:pPr>
    </w:p>
    <w:p w:rsidR="00051392" w:rsidRPr="0022497E" w:rsidRDefault="00051392" w:rsidP="00051392">
      <w:pPr>
        <w:rPr>
          <w:rFonts w:ascii="DepCentury Old Style" w:hAnsi="DepCentury Old Style"/>
          <w:b/>
          <w:color w:val="FF0000"/>
          <w:sz w:val="24"/>
          <w:szCs w:val="24"/>
          <w:lang w:eastAsia="en-US"/>
        </w:rPr>
      </w:pPr>
      <w:r w:rsidRPr="0022497E">
        <w:rPr>
          <w:rFonts w:ascii="DepCentury Old Style" w:hAnsi="DepCentury Old Style"/>
          <w:b/>
          <w:color w:val="FF0000"/>
          <w:sz w:val="24"/>
          <w:szCs w:val="24"/>
          <w:lang w:eastAsia="en-US"/>
        </w:rPr>
        <w:t>Spesielle krav for Norskehavet</w:t>
      </w:r>
    </w:p>
    <w:p w:rsidR="00051392" w:rsidRPr="0022497E" w:rsidRDefault="00051392" w:rsidP="00051392">
      <w:pPr>
        <w:rPr>
          <w:rFonts w:ascii="DepCentury Old Style" w:hAnsi="DepCentury Old Style"/>
          <w:b/>
          <w:color w:val="FF0000"/>
          <w:sz w:val="24"/>
          <w:szCs w:val="24"/>
          <w:lang w:eastAsia="en-US"/>
        </w:rPr>
      </w:pPr>
    </w:p>
    <w:p w:rsidR="00051392"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For Sklinnabanken, åpnet del: (6509/9,12 og 6510/7,10)</w:t>
      </w:r>
    </w:p>
    <w:p w:rsidR="00051392" w:rsidRPr="00370F04" w:rsidRDefault="00051392" w:rsidP="00051392">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Ingen leteboring i oljeførende lag i gyteperioder (1.februar - 1.juni) </w:t>
      </w:r>
    </w:p>
    <w:p w:rsidR="00051392" w:rsidRPr="00370F04" w:rsidRDefault="00051392" w:rsidP="00051392">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Ingen seismikk i gytevandrings-/gyteperioder (1.januar - 1.mai)</w:t>
      </w:r>
    </w:p>
    <w:p w:rsidR="00051392" w:rsidRPr="00370F04" w:rsidRDefault="00051392" w:rsidP="00051392">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Benytte teknologi for å håndtere kaks og borevæske på sildegytefelt.</w:t>
      </w:r>
    </w:p>
    <w:p w:rsidR="00051392" w:rsidRPr="00370F04" w:rsidRDefault="00051392" w:rsidP="00051392">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Særlig styrket oljevernsberedskap, herunder kort responstid.</w:t>
      </w:r>
    </w:p>
    <w:p w:rsidR="00051392" w:rsidRPr="00370F04" w:rsidRDefault="00051392" w:rsidP="00051392">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HMS-regelverkets risikotilnærmin innebærer at det i sårbare områder vil stilles strengere krav til virksomheten for å unngå skade.</w:t>
      </w:r>
    </w:p>
    <w:p w:rsidR="00051392" w:rsidRPr="00370F04" w:rsidRDefault="00051392" w:rsidP="00051392">
      <w:pPr>
        <w:rPr>
          <w:rFonts w:ascii="DepCentury Old Style" w:hAnsi="DepCentury Old Style"/>
          <w:color w:val="FF0000"/>
          <w:sz w:val="24"/>
          <w:szCs w:val="24"/>
          <w:u w:val="single"/>
          <w:lang w:eastAsia="en-US"/>
        </w:rPr>
      </w:pP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For innløpet til Vestfjorden, åpnet del: (6609/1,2,3 og 6610/1,2,3, 6611/1,2)</w:t>
      </w:r>
    </w:p>
    <w:p w:rsidR="00051392" w:rsidRPr="00742CA5" w:rsidRDefault="00051392" w:rsidP="00051392">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Ingen leteboring i oljeførende lag i gyteperioder (1.februar - 1.juni) </w:t>
      </w:r>
    </w:p>
    <w:p w:rsidR="00051392" w:rsidRPr="00742CA5" w:rsidRDefault="00051392" w:rsidP="00051392">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Ingen leteboring i oljeførende lag i hekke- og myteperioder (1.mars - 31.august)</w:t>
      </w:r>
    </w:p>
    <w:p w:rsidR="00051392" w:rsidRPr="00742CA5" w:rsidRDefault="00051392" w:rsidP="00051392">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Ingen seismikk i gytevandrings-/gyteperioder (1.januar - 1.mai)</w:t>
      </w:r>
    </w:p>
    <w:p w:rsidR="00051392" w:rsidRPr="00742CA5" w:rsidRDefault="00051392" w:rsidP="00051392">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Særlig styrket oljevernberedskap, herunder kort responstid.</w:t>
      </w:r>
    </w:p>
    <w:p w:rsidR="00051392" w:rsidRPr="00742CA5" w:rsidRDefault="00051392" w:rsidP="00051392">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HMS-regelverkets risikotilnærming innebærer at det i sårbare områder vil stilles strengere krav til virksomheten for å unngå skade.</w:t>
      </w:r>
    </w:p>
    <w:p w:rsidR="00051392" w:rsidRPr="00370F04" w:rsidRDefault="00051392" w:rsidP="00051392">
      <w:pPr>
        <w:rPr>
          <w:rFonts w:ascii="DepCentury Old Style" w:hAnsi="DepCentury Old Style"/>
          <w:color w:val="FF0000"/>
          <w:sz w:val="24"/>
          <w:szCs w:val="24"/>
          <w:u w:val="single"/>
          <w:lang w:eastAsia="en-US"/>
        </w:rPr>
      </w:pP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Remman og kystsonen, sørlig del: (6204/11) </w:t>
      </w:r>
    </w:p>
    <w:p w:rsidR="00051392" w:rsidRPr="00742CA5" w:rsidRDefault="00051392" w:rsidP="00051392">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Ingen leteboring i oljeførende lag i gyteprioder og i hekke- og myteperioder (1. mars – 31. august). </w:t>
      </w:r>
    </w:p>
    <w:p w:rsidR="00051392" w:rsidRPr="00742CA5" w:rsidRDefault="00051392" w:rsidP="00051392">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Særlig styrket oljevernberedskap, herunder kort responstid. </w:t>
      </w:r>
    </w:p>
    <w:p w:rsidR="00051392" w:rsidRPr="00742CA5" w:rsidRDefault="00051392" w:rsidP="00051392">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HMS-regelverkets risikotilnærming innebærer at det i sårbare områder vil stilles strengere krav til virksomheten for å unngå skade. </w:t>
      </w:r>
    </w:p>
    <w:p w:rsidR="00051392" w:rsidRPr="00370F04" w:rsidRDefault="00051392" w:rsidP="00051392">
      <w:pPr>
        <w:rPr>
          <w:rFonts w:ascii="DepCentury Old Style" w:hAnsi="DepCentury Old Style"/>
          <w:color w:val="FF0000"/>
          <w:sz w:val="24"/>
          <w:szCs w:val="24"/>
          <w:u w:val="single"/>
          <w:lang w:eastAsia="en-US"/>
        </w:rPr>
      </w:pP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Eggakanten</w:t>
      </w: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Særlig oppfølging av generelt krav om at:</w:t>
      </w:r>
    </w:p>
    <w:p w:rsidR="00051392" w:rsidRPr="00CB2DCC" w:rsidRDefault="00051392" w:rsidP="00051392">
      <w:pPr>
        <w:pStyle w:val="Listeavsnitt"/>
        <w:numPr>
          <w:ilvl w:val="0"/>
          <w:numId w:val="14"/>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Nye utvinningstillatelser skal kartlegge mulige korallrev og andre verdifulle bunnsamfunn som kan bli berørt ved petroleumsaktivitet i de aktuelle blokkene, og sikre at disse ikke skades av aktiviteten. Det kan stilles særskilte krav for å unngå skade. </w:t>
      </w:r>
    </w:p>
    <w:p w:rsidR="00051392" w:rsidRPr="00CB2DCC" w:rsidRDefault="00051392" w:rsidP="00051392">
      <w:pPr>
        <w:pStyle w:val="Listeavsnitt"/>
        <w:numPr>
          <w:ilvl w:val="0"/>
          <w:numId w:val="14"/>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HMS-regelverkets risikotilnærming innebærer at det i sårbare områder vil stilles strengere krav til virksomheten for å unngå skade. </w:t>
      </w:r>
    </w:p>
    <w:p w:rsidR="00051392" w:rsidRPr="00370F04" w:rsidRDefault="00051392" w:rsidP="00051392">
      <w:pPr>
        <w:rPr>
          <w:rFonts w:ascii="DepCentury Old Style" w:hAnsi="DepCentury Old Style"/>
          <w:color w:val="FF0000"/>
          <w:sz w:val="24"/>
          <w:szCs w:val="24"/>
          <w:u w:val="single"/>
          <w:lang w:eastAsia="en-US"/>
        </w:rPr>
      </w:pP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For øvrige områder i Norskehavet som lyses ut i TFO 2015 gjelder følgende vilkår: </w:t>
      </w:r>
    </w:p>
    <w:p w:rsidR="00051392" w:rsidRPr="00CB2DCC" w:rsidRDefault="00051392" w:rsidP="00051392">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Innenfor 500 meters koten skal det ikke foregå seismiske undersøkelser i letefasen i perioden 1. januar – 1. april. Denne tidsbegrensningen gjelder ikke for borestedsundersøkelser. </w:t>
      </w:r>
    </w:p>
    <w:p w:rsidR="00051392" w:rsidRPr="00CB2DCC" w:rsidRDefault="00051392" w:rsidP="00051392">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Ingen leteboring i oljeførende lag i perioden 1. april – 15. juni i blokkene 6204/ 7 og 8 innenfor 500 meter dybdekote; kvadraten 6305 innenfor 500 meter </w:t>
      </w:r>
      <w:r w:rsidRPr="00CB2DCC">
        <w:rPr>
          <w:rFonts w:ascii="DepCentury Old Style" w:hAnsi="DepCentury Old Style"/>
          <w:color w:val="FF0000"/>
          <w:sz w:val="24"/>
          <w:szCs w:val="24"/>
          <w:u w:val="single"/>
          <w:lang w:eastAsia="en-US"/>
        </w:rPr>
        <w:lastRenderedPageBreak/>
        <w:t>dybdekote, kvadrantene 6306, 6407/2, 3, 5, 6, 8, 9, 11 og 12, 6508, 6509, 6510, 6608/3, 5, 6, 7, 8, 9, 10, 11 og 12, 6609, 6610 og 6611.</w:t>
      </w:r>
    </w:p>
    <w:p w:rsidR="00051392" w:rsidRPr="00CB2DCC" w:rsidRDefault="00051392" w:rsidP="00051392">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Ingen leteboring i oljeførende lag i hekke- og myteperioder (1. april – 31. august) i blokkene 6204/7, 8, 10, 11, 6306/6, 8 og 9</w:t>
      </w:r>
      <w:r>
        <w:rPr>
          <w:rFonts w:ascii="DepCentury Old Style" w:hAnsi="DepCentury Old Style"/>
          <w:color w:val="FF0000"/>
          <w:sz w:val="24"/>
          <w:szCs w:val="24"/>
          <w:u w:val="single"/>
          <w:lang w:eastAsia="en-US"/>
        </w:rPr>
        <w:t>,</w:t>
      </w:r>
      <w:r w:rsidRPr="004F371D">
        <w:rPr>
          <w:rFonts w:ascii="DepCentury Old Style" w:hAnsi="DepCentury Old Style"/>
          <w:color w:val="FF0000"/>
          <w:sz w:val="24"/>
          <w:szCs w:val="24"/>
          <w:u w:val="single"/>
        </w:rPr>
        <w:t xml:space="preserve"> </w:t>
      </w:r>
      <w:r>
        <w:rPr>
          <w:rFonts w:ascii="DepCentury Old Style" w:hAnsi="DepCentury Old Style"/>
          <w:color w:val="FF0000"/>
          <w:sz w:val="24"/>
          <w:szCs w:val="24"/>
          <w:u w:val="single"/>
        </w:rPr>
        <w:t>6307/1 og 4</w:t>
      </w:r>
      <w:r w:rsidRPr="00CB2DCC">
        <w:rPr>
          <w:rFonts w:ascii="DepCentury Old Style" w:hAnsi="DepCentury Old Style"/>
          <w:color w:val="FF0000"/>
          <w:sz w:val="24"/>
          <w:szCs w:val="24"/>
          <w:u w:val="single"/>
          <w:lang w:eastAsia="en-US"/>
        </w:rPr>
        <w:t xml:space="preserve">. </w:t>
      </w:r>
    </w:p>
    <w:p w:rsidR="00051392" w:rsidRPr="00370F04" w:rsidRDefault="00051392" w:rsidP="00051392">
      <w:pPr>
        <w:rPr>
          <w:rFonts w:ascii="DepCentury Old Style" w:hAnsi="DepCentury Old Style"/>
          <w:color w:val="FF0000"/>
          <w:sz w:val="24"/>
          <w:szCs w:val="24"/>
          <w:u w:val="single"/>
          <w:lang w:eastAsia="en-US"/>
        </w:rPr>
      </w:pPr>
    </w:p>
    <w:p w:rsidR="00051392" w:rsidRPr="00370F04" w:rsidRDefault="00051392" w:rsidP="00051392">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I spesielle områder med forekomster av sårbar bunnfauna eller som er sentrale gyteområder for fisk som gyter på bunnen, vil det kunne stilles krav om å benytte teknologi for å håndtere kaks og borevæske for å hindre nedslamming. </w:t>
      </w:r>
    </w:p>
    <w:p w:rsidR="00051392" w:rsidRPr="00370F04" w:rsidRDefault="00051392" w:rsidP="00051392">
      <w:pPr>
        <w:rPr>
          <w:rFonts w:ascii="DepCentury Old Style" w:hAnsi="DepCentury Old Style"/>
          <w:color w:val="FF0000"/>
          <w:sz w:val="24"/>
          <w:szCs w:val="24"/>
          <w:u w:val="single"/>
          <w:lang w:eastAsia="en-US"/>
        </w:rPr>
      </w:pPr>
    </w:p>
    <w:p w:rsidR="00051392" w:rsidRDefault="00051392" w:rsidP="00051392">
      <w:pPr>
        <w:rPr>
          <w:rFonts w:ascii="DepCentury Old Style" w:hAnsi="DepCentury Old Style"/>
          <w:b/>
          <w:color w:val="FF0000"/>
          <w:sz w:val="24"/>
          <w:szCs w:val="24"/>
          <w:lang w:eastAsia="en-US"/>
        </w:rPr>
      </w:pPr>
      <w:r w:rsidRPr="00370F04">
        <w:rPr>
          <w:rFonts w:ascii="DepCentury Old Style" w:hAnsi="DepCentury Old Style"/>
          <w:color w:val="FF0000"/>
          <w:sz w:val="24"/>
          <w:szCs w:val="24"/>
          <w:u w:val="single"/>
          <w:lang w:eastAsia="en-US"/>
        </w:rPr>
        <w:t>Myndighetene vil utvise fleksibilitet i utøvelsen av miljø- og fiskerivilkårene.</w:t>
      </w:r>
    </w:p>
    <w:p w:rsidR="00051392" w:rsidRDefault="00051392" w:rsidP="00051392">
      <w:pPr>
        <w:rPr>
          <w:rFonts w:ascii="DepCentury Old Style" w:hAnsi="DepCentury Old Style"/>
          <w:b/>
          <w:color w:val="FF0000"/>
          <w:sz w:val="24"/>
          <w:szCs w:val="24"/>
          <w:lang w:eastAsia="en-US"/>
        </w:rPr>
      </w:pPr>
    </w:p>
    <w:p w:rsidR="00051392" w:rsidRPr="00A47AC0" w:rsidRDefault="00051392" w:rsidP="00051392">
      <w:pPr>
        <w:rPr>
          <w:rFonts w:ascii="DepCentury Old Style" w:hAnsi="DepCentury Old Style"/>
          <w:b/>
          <w:color w:val="FF0000"/>
          <w:sz w:val="24"/>
          <w:szCs w:val="24"/>
          <w:lang w:eastAsia="en-US"/>
        </w:rPr>
      </w:pPr>
      <w:r w:rsidRPr="00A47AC0">
        <w:rPr>
          <w:rFonts w:ascii="DepCentury Old Style" w:hAnsi="DepCentury Old Style"/>
          <w:b/>
          <w:color w:val="FF0000"/>
          <w:sz w:val="24"/>
          <w:szCs w:val="24"/>
          <w:lang w:eastAsia="en-US"/>
        </w:rPr>
        <w:t>Spesielle krav for Barentshavet</w:t>
      </w:r>
    </w:p>
    <w:p w:rsidR="00051392" w:rsidRPr="00A47AC0" w:rsidRDefault="00051392" w:rsidP="00051392">
      <w:pPr>
        <w:rPr>
          <w:rFonts w:ascii="DepCentury Old Style" w:hAnsi="DepCentury Old Style"/>
          <w:b/>
          <w:color w:val="FF0000"/>
          <w:sz w:val="24"/>
          <w:szCs w:val="24"/>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For de utlyste blokkene i Barentshavet skal følgende vilkår gjelde. </w:t>
      </w: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I områder nærmere enn 50 km fra den faktiske/observerte iskanten vil det ikke være tillatt med boring i oljeførende lag i perioden 15. desember – 15. juni. </w:t>
      </w: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Kystsonen langs Troms og Finnmark til grensen mot Russland</w:t>
      </w:r>
    </w:p>
    <w:p w:rsidR="00051392" w:rsidRPr="009D3A1E" w:rsidRDefault="00051392" w:rsidP="00051392">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I området mellom 35 km og 65 km fra grunnlinjen, vil det ikke være tillatt med leteboring i oljeførende lag i perioden 1.mars - 31.august.</w:t>
      </w: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Tromsøflaket</w:t>
      </w:r>
    </w:p>
    <w:p w:rsidR="00051392" w:rsidRPr="009D3A1E" w:rsidRDefault="00051392" w:rsidP="00051392">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utenfor 65 km vil det ikke være tillatt med leteboring i oljeførende lag i perioden 1.mars - 31.august. </w:t>
      </w: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051392" w:rsidRPr="009D3A1E" w:rsidRDefault="00051392" w:rsidP="0005139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Eggakanten</w:t>
      </w:r>
    </w:p>
    <w:p w:rsidR="00051392" w:rsidRPr="009D3A1E" w:rsidRDefault="00051392" w:rsidP="00051392">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Særlig følge opp det generelle kravet om at nye utvinningstillatelser skal kartlegge mulige korallrev og andre verdifulle bunnsamfunn som kan bli berørt ved petroleumsaktivitet i de aktuelle blokkene, og sikre at disse ikke skades av aktiviteten. I sårbare områder kan det stilles særskilte krav for å unngå skade.</w:t>
      </w:r>
    </w:p>
    <w:p w:rsidR="00051392" w:rsidRDefault="00051392" w:rsidP="00FF5472">
      <w:pPr>
        <w:rPr>
          <w:rFonts w:ascii="DepCentury Old Style" w:hAnsi="DepCentury Old Style"/>
          <w:b/>
          <w:sz w:val="24"/>
          <w:szCs w:val="24"/>
        </w:rPr>
      </w:pPr>
    </w:p>
    <w:p w:rsidR="004A2708" w:rsidRDefault="004A2708" w:rsidP="00FF5472">
      <w:pPr>
        <w:rPr>
          <w:rFonts w:ascii="DepCentury Old Style" w:hAnsi="DepCentury Old Style"/>
          <w:b/>
          <w:sz w:val="24"/>
          <w:szCs w:val="24"/>
        </w:rPr>
      </w:pP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000000"/>
          <w:sz w:val="24"/>
        </w:rPr>
      </w:pPr>
      <w:r>
        <w:rPr>
          <w:rFonts w:ascii="DepCentury Old Style" w:hAnsi="DepCentury Old Style"/>
          <w:b/>
          <w:color w:val="000000"/>
          <w:sz w:val="24"/>
        </w:rPr>
        <w:t>6.  AVTALER</w:t>
      </w:r>
    </w:p>
    <w:p w:rsidR="00C954D0" w:rsidRDefault="00C954D0">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000000"/>
          <w:sz w:val="24"/>
        </w:rPr>
      </w:pPr>
    </w:p>
    <w:p w:rsidR="005E4A3D" w:rsidRDefault="005E4A3D" w:rsidP="005E4A3D">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sidRPr="00822230">
        <w:rPr>
          <w:rFonts w:ascii="DepCentury Old Style" w:hAnsi="DepCentury Old Style"/>
          <w:sz w:val="24"/>
        </w:rPr>
        <w:t>Rettighetshaver skal innen 30 dager etter tildeling</w:t>
      </w:r>
      <w:r>
        <w:rPr>
          <w:rFonts w:ascii="DepCentury Old Style" w:hAnsi="DepCentury Old Style"/>
          <w:sz w:val="24"/>
        </w:rPr>
        <w:t xml:space="preserve"> av utvinningstillatelsen inngå vedlagte:</w:t>
      </w:r>
    </w:p>
    <w:p w:rsidR="005E4A3D" w:rsidRDefault="005E4A3D" w:rsidP="005E4A3D">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5E4A3D" w:rsidRDefault="005E4A3D" w:rsidP="005E4A3D">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Pr>
          <w:rFonts w:ascii="DepCentury Old Style" w:hAnsi="DepCentury Old Style"/>
          <w:sz w:val="24"/>
        </w:rPr>
        <w:t xml:space="preserve">-   </w:t>
      </w:r>
      <w:r w:rsidRPr="003225BD">
        <w:rPr>
          <w:rFonts w:ascii="DepCentury Old Style" w:hAnsi="DepCentury Old Style"/>
          <w:sz w:val="24"/>
        </w:rPr>
        <w:t xml:space="preserve">Avtale for petroleumsvirksomhet </w:t>
      </w:r>
    </w:p>
    <w:p w:rsidR="005E4A3D" w:rsidRPr="003225BD" w:rsidRDefault="005E4A3D" w:rsidP="005E4A3D">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5E4A3D" w:rsidRPr="00822230" w:rsidRDefault="005E4A3D" w:rsidP="005E4A3D">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822230">
        <w:rPr>
          <w:rFonts w:ascii="DepCentury Old Style" w:hAnsi="DepCentury Old Style"/>
          <w:sz w:val="24"/>
        </w:rPr>
        <w:t>-</w:t>
      </w:r>
      <w:r w:rsidRPr="00822230">
        <w:rPr>
          <w:rFonts w:ascii="DepCentury Old Style" w:hAnsi="DepCentury Old Style"/>
          <w:sz w:val="24"/>
        </w:rPr>
        <w:tab/>
      </w:r>
      <w:r>
        <w:rPr>
          <w:rFonts w:ascii="DepCentury Old Style" w:hAnsi="DepCentury Old Style"/>
          <w:sz w:val="24"/>
        </w:rPr>
        <w:t>Vedlegg A: Samarbeidsavtale</w:t>
      </w:r>
    </w:p>
    <w:p w:rsidR="005E4A3D" w:rsidRPr="00822230" w:rsidRDefault="005E4A3D" w:rsidP="005E4A3D">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5E4A3D" w:rsidRDefault="005E4A3D" w:rsidP="005E4A3D">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3225BD">
        <w:rPr>
          <w:rFonts w:ascii="DepCentury Old Style" w:hAnsi="DepCentury Old Style"/>
          <w:sz w:val="24"/>
        </w:rPr>
        <w:t>-</w:t>
      </w:r>
      <w:r>
        <w:rPr>
          <w:rFonts w:ascii="DepCentury Old Style" w:hAnsi="DepCentury Old Style"/>
          <w:sz w:val="24"/>
        </w:rPr>
        <w:tab/>
        <w:t>Vedlegg B: R</w:t>
      </w:r>
      <w:r w:rsidRPr="00822230">
        <w:rPr>
          <w:rFonts w:ascii="DepCentury Old Style" w:hAnsi="DepCentury Old Style"/>
          <w:sz w:val="24"/>
        </w:rPr>
        <w:t xml:space="preserve">egnskapsavtale </w:t>
      </w:r>
    </w:p>
    <w:p w:rsidR="005E4A3D" w:rsidRPr="00822230" w:rsidRDefault="005E4A3D" w:rsidP="005E4A3D">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5E4A3D" w:rsidRPr="00736BE8" w:rsidRDefault="005E4A3D" w:rsidP="005E4A3D">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822230">
        <w:rPr>
          <w:rFonts w:ascii="DepCentury Old Style" w:hAnsi="DepCentury Old Style"/>
          <w:sz w:val="24"/>
        </w:rPr>
        <w:t xml:space="preserve">Tillegg til, endring i eller unntak fra </w:t>
      </w:r>
      <w:r>
        <w:rPr>
          <w:rFonts w:ascii="DepCentury Old Style" w:hAnsi="DepCentury Old Style"/>
          <w:sz w:val="24"/>
        </w:rPr>
        <w:t>avtalen med vedlegg</w:t>
      </w:r>
      <w:r w:rsidRPr="00822230">
        <w:rPr>
          <w:rFonts w:ascii="DepCentury Old Style" w:hAnsi="DepCentury Old Style"/>
          <w:sz w:val="24"/>
        </w:rPr>
        <w:t xml:space="preserve"> </w:t>
      </w:r>
      <w:r>
        <w:rPr>
          <w:rFonts w:ascii="DepCentury Old Style" w:hAnsi="DepCentury Old Style"/>
          <w:sz w:val="24"/>
        </w:rPr>
        <w:t xml:space="preserve">er betinget av departementets </w:t>
      </w:r>
      <w:r w:rsidRPr="00822230">
        <w:rPr>
          <w:rFonts w:ascii="DepCentury Old Style" w:hAnsi="DepCentury Old Style"/>
          <w:sz w:val="24"/>
        </w:rPr>
        <w:t>godkjenne</w:t>
      </w:r>
      <w:r>
        <w:rPr>
          <w:rFonts w:ascii="DepCentury Old Style" w:hAnsi="DepCentury Old Style"/>
          <w:sz w:val="24"/>
        </w:rPr>
        <w:t>lse</w:t>
      </w:r>
      <w:r w:rsidRPr="00822230">
        <w:rPr>
          <w:rFonts w:ascii="DepCentury Old Style" w:hAnsi="DepCentury Old Style"/>
          <w:sz w:val="24"/>
        </w:rPr>
        <w: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2105E3" w:rsidRDefault="002105E3">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7.  ANVENDELSE AV NORSK RETT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All virksomhet som drives på bakgrunn av denne utvinningstillatelse skal være regulert av den til enhver tid gjeldende norsk rett og bygge på norsk kontraktstradisjon.</w:t>
      </w:r>
    </w:p>
    <w:p w:rsidR="00E6158B" w:rsidRDefault="00E6158B">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color w:val="000000"/>
          <w:sz w:val="24"/>
        </w:rPr>
      </w:pPr>
    </w:p>
    <w:p w:rsidR="00E6158B" w:rsidRDefault="00E6158B">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color w:val="000000"/>
          <w:sz w:val="24"/>
        </w:rPr>
      </w:pPr>
    </w:p>
    <w:p w:rsidR="002105E3" w:rsidRDefault="002105E3">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color w:val="000000"/>
          <w:sz w:val="24"/>
        </w:rPr>
      </w:pPr>
    </w:p>
    <w:p w:rsidR="00C954D0" w:rsidRPr="005E4A3D" w:rsidRDefault="00C954D0" w:rsidP="00312D2C">
      <w:pPr>
        <w:widowControl w:val="0"/>
        <w:tabs>
          <w:tab w:val="left" w:pos="1080"/>
          <w:tab w:val="left" w:pos="2160"/>
          <w:tab w:val="left" w:pos="3240"/>
          <w:tab w:val="left" w:pos="4320"/>
          <w:tab w:val="left" w:pos="5400"/>
          <w:tab w:val="left" w:pos="6480"/>
          <w:tab w:val="left" w:pos="7560"/>
          <w:tab w:val="left" w:pos="8640"/>
        </w:tabs>
        <w:ind w:left="426" w:hanging="426"/>
        <w:rPr>
          <w:rFonts w:ascii="DepCentury Old Style" w:hAnsi="DepCentury Old Style"/>
          <w:color w:val="FF0000"/>
          <w:sz w:val="24"/>
          <w:szCs w:val="24"/>
        </w:rPr>
      </w:pPr>
      <w:r w:rsidRPr="005E4A3D">
        <w:rPr>
          <w:rFonts w:ascii="DepCentury Old Style" w:hAnsi="DepCentury Old Style"/>
          <w:b/>
          <w:color w:val="FF0000"/>
          <w:sz w:val="24"/>
        </w:rPr>
        <w:t>8.  UTVINNINGSPOLITIKK</w:t>
      </w:r>
      <w:r w:rsidR="00EA258F" w:rsidRPr="005E4A3D">
        <w:rPr>
          <w:rFonts w:ascii="DepCentury Old Style" w:hAnsi="DepCentury Old Style"/>
          <w:b/>
          <w:color w:val="FF0000"/>
          <w:sz w:val="24"/>
        </w:rPr>
        <w:t xml:space="preserve"> OG POLITIKK VEDRØRENDE STATENS</w:t>
      </w:r>
      <w:r w:rsidR="00F704F6">
        <w:rPr>
          <w:rFonts w:ascii="DepCentury Old Style" w:hAnsi="DepCentury Old Style"/>
          <w:b/>
          <w:color w:val="FF0000"/>
          <w:sz w:val="24"/>
        </w:rPr>
        <w:t xml:space="preserve">                     </w:t>
      </w:r>
      <w:r w:rsidRPr="005E4A3D">
        <w:rPr>
          <w:rFonts w:ascii="DepCentury Old Style" w:hAnsi="DepCentury Old Style"/>
          <w:b/>
          <w:color w:val="FF0000"/>
          <w:sz w:val="24"/>
        </w:rPr>
        <w:t>FINANSIELLE INTERESSER</w:t>
      </w:r>
      <w:r w:rsidR="00EA258F" w:rsidRPr="005E4A3D">
        <w:rPr>
          <w:rFonts w:ascii="DepCentury Old Style" w:hAnsi="DepCentury Old Style"/>
          <w:b/>
          <w:color w:val="FF0000"/>
          <w:sz w:val="24"/>
          <w:szCs w:val="24"/>
        </w:rPr>
        <w:t xml:space="preserve"> </w:t>
      </w:r>
    </w:p>
    <w:p w:rsidR="00C954D0" w:rsidRPr="005E4A3D"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C954D0" w:rsidRPr="005E4A3D" w:rsidRDefault="00C954D0">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FF0000"/>
          <w:sz w:val="24"/>
        </w:rPr>
      </w:pPr>
      <w:r w:rsidRPr="005E4A3D">
        <w:rPr>
          <w:rFonts w:ascii="DepCentury Old Style" w:hAnsi="DepCentury Old Style"/>
          <w:color w:val="FF0000"/>
          <w:sz w:val="24"/>
        </w:rPr>
        <w:t>Rettighetshaver er forpliktet til å innrette seg etter statens utvinningspolitikk og politikk vedrørende statens finansielle interesser, slik dette er angitt i utvinningstillatelsen og kommer til uttrykk gjennom relevante lover og forskrifter. Dersom dette vilkåret ikke overholdes, kan Staten eller statens forretningsfører motsette seg vedtak fattet av rettighetshaver.</w:t>
      </w:r>
    </w:p>
    <w:p w:rsidR="00C954D0" w:rsidRDefault="00C954D0">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000000"/>
          <w:sz w:val="24"/>
        </w:rPr>
      </w:pPr>
    </w:p>
    <w:p w:rsidR="002105E3" w:rsidRDefault="002105E3">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000000"/>
          <w:sz w:val="24"/>
        </w:rPr>
      </w:pPr>
    </w:p>
    <w:p w:rsidR="005E4A3D" w:rsidRDefault="005E4A3D">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b/>
          <w:color w:val="000000"/>
          <w:sz w:val="24"/>
        </w:rPr>
        <w:t>9.</w:t>
      </w:r>
      <w:r>
        <w:rPr>
          <w:rFonts w:ascii="DepCentury Old Style" w:hAnsi="DepCentury Old Style"/>
          <w:color w:val="000000"/>
          <w:sz w:val="24"/>
        </w:rPr>
        <w:t xml:space="preserve"> </w:t>
      </w:r>
      <w:r>
        <w:rPr>
          <w:rFonts w:ascii="DepCentury Old Style" w:hAnsi="DepCentury Old Style"/>
          <w:b/>
          <w:color w:val="000000"/>
          <w:sz w:val="24"/>
        </w:rPr>
        <w:t xml:space="preserve"> DISPENSASJON</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Departementet</w:t>
      </w:r>
      <w:r w:rsidR="005E4A3D">
        <w:rPr>
          <w:rFonts w:ascii="DepCentury Old Style" w:hAnsi="DepCentury Old Style"/>
          <w:color w:val="000000"/>
          <w:sz w:val="24"/>
        </w:rPr>
        <w:t>,</w:t>
      </w:r>
      <w:r>
        <w:rPr>
          <w:rFonts w:ascii="DepCentury Old Style" w:hAnsi="DepCentury Old Style"/>
          <w:color w:val="000000"/>
          <w:sz w:val="24"/>
        </w:rPr>
        <w:t xml:space="preserve"> eller den det bemyndiger</w:t>
      </w:r>
      <w:r w:rsidR="005E4A3D">
        <w:rPr>
          <w:rFonts w:ascii="DepCentury Old Style" w:hAnsi="DepCentury Old Style"/>
          <w:color w:val="000000"/>
          <w:sz w:val="24"/>
        </w:rPr>
        <w:t>,</w:t>
      </w:r>
      <w:r>
        <w:rPr>
          <w:rFonts w:ascii="DepCentury Old Style" w:hAnsi="DepCentury Old Style"/>
          <w:color w:val="000000"/>
          <w:sz w:val="24"/>
        </w:rPr>
        <w:t xml:space="preserve"> kan dispensere fra bestemmelsene i denne utvinningstillatelsen.</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071EA1">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br w:type="page"/>
      </w:r>
      <w:r w:rsidR="00C954D0">
        <w:rPr>
          <w:rFonts w:ascii="DepCentury Old Style" w:hAnsi="DepCentury Old Style"/>
          <w:color w:val="000000"/>
          <w:sz w:val="24"/>
        </w:rPr>
        <w:lastRenderedPageBreak/>
        <w:t>Denne utvinnin</w:t>
      </w:r>
      <w:r w:rsidR="00CB4F46">
        <w:rPr>
          <w:rFonts w:ascii="DepCentury Old Style" w:hAnsi="DepCentury Old Style"/>
          <w:color w:val="000000"/>
          <w:sz w:val="24"/>
        </w:rPr>
        <w:t xml:space="preserve">gstillatelse er utferdiget i </w:t>
      </w:r>
      <w:r w:rsidR="00320A2A" w:rsidRPr="00320A2A">
        <w:rPr>
          <w:rFonts w:ascii="DepCentury Old Style" w:hAnsi="DepCentury Old Style"/>
          <w:color w:val="FF0000"/>
          <w:sz w:val="24"/>
        </w:rPr>
        <w:t>X</w:t>
      </w:r>
      <w:r w:rsidR="00320A2A">
        <w:rPr>
          <w:rFonts w:ascii="DepCentury Old Style" w:hAnsi="DepCentury Old Style"/>
          <w:color w:val="000000"/>
          <w:sz w:val="24"/>
        </w:rPr>
        <w:t xml:space="preserve"> </w:t>
      </w:r>
      <w:r w:rsidR="00C954D0">
        <w:rPr>
          <w:rFonts w:ascii="DepCentury Old Style" w:hAnsi="DepCentury Old Style"/>
          <w:color w:val="000000"/>
          <w:sz w:val="24"/>
        </w:rPr>
        <w:t>originaler, hvorav departementet beholder en.</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 xml:space="preserve">Oslo, </w:t>
      </w:r>
      <w:r w:rsidR="00320A2A" w:rsidRPr="00320A2A">
        <w:rPr>
          <w:rFonts w:ascii="DepCentury Old Style" w:hAnsi="DepCentury Old Style"/>
          <w:color w:val="FF0000"/>
          <w:sz w:val="24"/>
        </w:rPr>
        <w:t>xx.xx.xxxx</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r>
        <w:rPr>
          <w:rFonts w:ascii="DepCentury Old Style" w:hAnsi="DepCentury Old Style"/>
          <w:color w:val="000000"/>
          <w:sz w:val="24"/>
        </w:rPr>
        <w:t>DET KONGELIGE OLJE- OG ENERGIDEPARTEMENT</w:t>
      </w: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954D0" w:rsidRDefault="00C954D0">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000000"/>
          <w:sz w:val="24"/>
        </w:rPr>
      </w:pPr>
    </w:p>
    <w:p w:rsidR="00C06C0C" w:rsidRDefault="00D64CE6">
      <w:pPr>
        <w:rPr>
          <w:rFonts w:ascii="DepCentury Old Style" w:hAnsi="DepCentury Old Style"/>
          <w:sz w:val="24"/>
          <w:szCs w:val="24"/>
        </w:rPr>
      </w:pPr>
      <w:r w:rsidRPr="00D64CE6">
        <w:rPr>
          <w:rFonts w:ascii="DepCentury Old Style" w:hAnsi="DepCentury Old Style"/>
          <w:sz w:val="24"/>
          <w:szCs w:val="24"/>
        </w:rPr>
        <w:tab/>
      </w:r>
    </w:p>
    <w:p w:rsidR="00C06C0C" w:rsidRDefault="00C06C0C">
      <w:pPr>
        <w:rPr>
          <w:rFonts w:ascii="DepCentury Old Style" w:hAnsi="DepCentury Old Style"/>
          <w:sz w:val="24"/>
          <w:szCs w:val="24"/>
        </w:rPr>
      </w:pPr>
    </w:p>
    <w:p w:rsidR="00C954D0" w:rsidRPr="007722F9" w:rsidRDefault="00C06C0C">
      <w:pPr>
        <w:rPr>
          <w:rFonts w:ascii="DepCentury Old Style" w:hAnsi="DepCentury Old Style"/>
          <w:sz w:val="24"/>
          <w:szCs w:val="24"/>
        </w:rPr>
      </w:pP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Pr>
          <w:rFonts w:ascii="DepCentury Old Style" w:hAnsi="DepCentury Old Style"/>
          <w:sz w:val="24"/>
          <w:szCs w:val="24"/>
        </w:rPr>
        <w:tab/>
      </w:r>
      <w:r w:rsidR="00D64CE6" w:rsidRPr="00D64CE6">
        <w:rPr>
          <w:rFonts w:ascii="DepCentury Old Style" w:hAnsi="DepCentury Old Style"/>
          <w:sz w:val="24"/>
          <w:szCs w:val="24"/>
        </w:rPr>
        <w:tab/>
      </w:r>
      <w:r w:rsidR="00D64CE6" w:rsidRPr="00D64CE6">
        <w:rPr>
          <w:rFonts w:ascii="DepCentury Old Style" w:hAnsi="DepCentury Old Style"/>
          <w:sz w:val="24"/>
          <w:szCs w:val="24"/>
        </w:rPr>
        <w:tab/>
      </w:r>
      <w:r w:rsidR="00D64CE6" w:rsidRPr="00D64CE6">
        <w:rPr>
          <w:rFonts w:ascii="DepCentury Old Style" w:hAnsi="DepCentury Old Style"/>
          <w:sz w:val="24"/>
          <w:szCs w:val="24"/>
        </w:rPr>
        <w:tab/>
      </w:r>
      <w:r w:rsidR="00D64CE6" w:rsidRPr="00D64CE6">
        <w:rPr>
          <w:rFonts w:ascii="DepCentury Old Style" w:hAnsi="DepCentury Old Style"/>
          <w:sz w:val="24"/>
          <w:szCs w:val="24"/>
        </w:rPr>
        <w:tab/>
      </w:r>
    </w:p>
    <w:p w:rsidR="007722F9" w:rsidRPr="007722F9" w:rsidRDefault="00D64CE6">
      <w:pPr>
        <w:rPr>
          <w:rFonts w:ascii="DepCentury Old Style" w:hAnsi="DepCentury Old Style"/>
          <w:sz w:val="24"/>
          <w:szCs w:val="24"/>
        </w:rPr>
      </w:pP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r w:rsidRPr="00D64CE6">
        <w:rPr>
          <w:rFonts w:ascii="DepCentury Old Style" w:hAnsi="DepCentury Old Style"/>
          <w:sz w:val="24"/>
          <w:szCs w:val="24"/>
        </w:rPr>
        <w:tab/>
      </w:r>
    </w:p>
    <w:sectPr w:rsidR="007722F9" w:rsidRPr="007722F9" w:rsidSect="00AE08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01" w:rsidRDefault="004A1701">
      <w:r>
        <w:separator/>
      </w:r>
    </w:p>
  </w:endnote>
  <w:endnote w:type="continuationSeparator" w:id="0">
    <w:p w:rsidR="004A1701" w:rsidRDefault="004A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01" w:rsidRDefault="004A1701">
      <w:r>
        <w:separator/>
      </w:r>
    </w:p>
  </w:footnote>
  <w:footnote w:type="continuationSeparator" w:id="0">
    <w:p w:rsidR="004A1701" w:rsidRDefault="004A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92" w:rsidRDefault="000E329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9</w:t>
    </w:r>
    <w:r>
      <w:rPr>
        <w:rStyle w:val="Sidetall"/>
      </w:rPr>
      <w:fldChar w:fldCharType="end"/>
    </w:r>
  </w:p>
  <w:p w:rsidR="000E3292" w:rsidRDefault="000E3292">
    <w:pPr>
      <w:pStyle w:val="Topptekst"/>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92" w:rsidRDefault="000E329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E6F9B">
      <w:rPr>
        <w:rStyle w:val="Sidetall"/>
        <w:noProof/>
      </w:rPr>
      <w:t>11</w:t>
    </w:r>
    <w:r>
      <w:rPr>
        <w:rStyle w:val="Sidetall"/>
      </w:rPr>
      <w:fldChar w:fldCharType="end"/>
    </w:r>
  </w:p>
  <w:p w:rsidR="000E3292" w:rsidRDefault="000E3292">
    <w:pPr>
      <w:widowControl w:val="0"/>
      <w:ind w:right="360" w:firstLine="360"/>
      <w:rPr>
        <w:rFonts w:ascii="Courier New" w:hAnsi="Courier New"/>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18969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3B96FF0"/>
    <w:multiLevelType w:val="singleLevel"/>
    <w:tmpl w:val="04140017"/>
    <w:lvl w:ilvl="0">
      <w:start w:val="1"/>
      <w:numFmt w:val="lowerLetter"/>
      <w:lvlText w:val="%1)"/>
      <w:lvlJc w:val="left"/>
      <w:pPr>
        <w:tabs>
          <w:tab w:val="num" w:pos="360"/>
        </w:tabs>
        <w:ind w:left="360" w:hanging="360"/>
      </w:pPr>
      <w:rPr>
        <w:rFonts w:hint="default"/>
      </w:rPr>
    </w:lvl>
  </w:abstractNum>
  <w:abstractNum w:abstractNumId="2" w15:restartNumberingAfterBreak="0">
    <w:nsid w:val="050409A7"/>
    <w:multiLevelType w:val="hybridMultilevel"/>
    <w:tmpl w:val="BE66DF64"/>
    <w:lvl w:ilvl="0" w:tplc="BED44FD4">
      <w:start w:val="1"/>
      <w:numFmt w:val="lowerLetter"/>
      <w:lvlText w:val="%1)"/>
      <w:lvlJc w:val="left"/>
      <w:pPr>
        <w:ind w:left="720" w:hanging="360"/>
      </w:pPr>
      <w:rPr>
        <w:i w:val="0"/>
      </w:rPr>
    </w:lvl>
    <w:lvl w:ilvl="1" w:tplc="36CA5EEA">
      <w:start w:val="8"/>
      <w:numFmt w:val="bullet"/>
      <w:lvlText w:val="-"/>
      <w:lvlJc w:val="left"/>
      <w:pPr>
        <w:ind w:left="1440" w:hanging="360"/>
      </w:pPr>
      <w:rPr>
        <w:rFonts w:ascii="DepCentury Old Style" w:eastAsia="Times New Roman" w:hAnsi="DepCentury Old Style"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FA14B5"/>
    <w:multiLevelType w:val="hybridMultilevel"/>
    <w:tmpl w:val="487E7E4C"/>
    <w:lvl w:ilvl="0" w:tplc="04140001">
      <w:start w:val="1"/>
      <w:numFmt w:val="bullet"/>
      <w:lvlText w:val=""/>
      <w:lvlJc w:val="left"/>
      <w:pPr>
        <w:tabs>
          <w:tab w:val="num" w:pos="720"/>
        </w:tabs>
        <w:ind w:left="720" w:hanging="360"/>
      </w:pPr>
      <w:rPr>
        <w:rFonts w:ascii="Symbol" w:hAnsi="Symbol" w:hint="default"/>
      </w:rPr>
    </w:lvl>
    <w:lvl w:ilvl="1" w:tplc="CD10842C">
      <w:start w:val="6"/>
      <w:numFmt w:val="bullet"/>
      <w:lvlText w:val="-"/>
      <w:lvlJc w:val="left"/>
      <w:pPr>
        <w:tabs>
          <w:tab w:val="num" w:pos="1440"/>
        </w:tabs>
        <w:ind w:left="1440" w:hanging="360"/>
      </w:pPr>
      <w:rPr>
        <w:rFonts w:ascii="DepCentury Old Style" w:eastAsia="Times New Roman" w:hAnsi="DepCentury Old Style"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CFD08E4"/>
    <w:multiLevelType w:val="hybridMultilevel"/>
    <w:tmpl w:val="259C21C8"/>
    <w:lvl w:ilvl="0" w:tplc="68E20E06">
      <w:start w:val="1"/>
      <w:numFmt w:val="lowerLetter"/>
      <w:lvlText w:val="%1)"/>
      <w:lvlJc w:val="left"/>
      <w:pPr>
        <w:tabs>
          <w:tab w:val="num" w:pos="720"/>
        </w:tabs>
        <w:ind w:left="720" w:hanging="360"/>
      </w:pPr>
      <w:rPr>
        <w:i w:val="0"/>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E6D69FC"/>
    <w:multiLevelType w:val="hybridMultilevel"/>
    <w:tmpl w:val="E1BEB85A"/>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FDE3E5E"/>
    <w:multiLevelType w:val="hybridMultilevel"/>
    <w:tmpl w:val="9E4EA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456E10"/>
    <w:multiLevelType w:val="hybridMultilevel"/>
    <w:tmpl w:val="3D9CD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2E28F3"/>
    <w:multiLevelType w:val="hybridMultilevel"/>
    <w:tmpl w:val="BF5E1D8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B33768F"/>
    <w:multiLevelType w:val="hybridMultilevel"/>
    <w:tmpl w:val="E7F8C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1B35DDD"/>
    <w:multiLevelType w:val="hybridMultilevel"/>
    <w:tmpl w:val="ED905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19A0155"/>
    <w:multiLevelType w:val="hybridMultilevel"/>
    <w:tmpl w:val="89BEC3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4F9519F"/>
    <w:multiLevelType w:val="hybridMultilevel"/>
    <w:tmpl w:val="3C9EE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002624"/>
    <w:multiLevelType w:val="hybridMultilevel"/>
    <w:tmpl w:val="DBE6A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BE14C6D"/>
    <w:multiLevelType w:val="hybridMultilevel"/>
    <w:tmpl w:val="67466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FAB2A00"/>
    <w:multiLevelType w:val="hybridMultilevel"/>
    <w:tmpl w:val="FB14B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3"/>
  </w:num>
  <w:num w:numId="6">
    <w:abstractNumId w:val="15"/>
  </w:num>
  <w:num w:numId="7">
    <w:abstractNumId w:val="5"/>
  </w:num>
  <w:num w:numId="8">
    <w:abstractNumId w:val="4"/>
  </w:num>
  <w:num w:numId="9">
    <w:abstractNumId w:val="9"/>
  </w:num>
  <w:num w:numId="10">
    <w:abstractNumId w:val="13"/>
  </w:num>
  <w:num w:numId="11">
    <w:abstractNumId w:val="11"/>
  </w:num>
  <w:num w:numId="12">
    <w:abstractNumId w:val="10"/>
  </w:num>
  <w:num w:numId="13">
    <w:abstractNumId w:val="14"/>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70"/>
    <w:rsid w:val="00003BE5"/>
    <w:rsid w:val="00023447"/>
    <w:rsid w:val="00051392"/>
    <w:rsid w:val="00056E4D"/>
    <w:rsid w:val="000674DA"/>
    <w:rsid w:val="00071EA1"/>
    <w:rsid w:val="00074865"/>
    <w:rsid w:val="000B4776"/>
    <w:rsid w:val="000D7BC5"/>
    <w:rsid w:val="000E3292"/>
    <w:rsid w:val="000F3689"/>
    <w:rsid w:val="00103B70"/>
    <w:rsid w:val="00104E0D"/>
    <w:rsid w:val="00167215"/>
    <w:rsid w:val="00183F21"/>
    <w:rsid w:val="001A3847"/>
    <w:rsid w:val="001B5A69"/>
    <w:rsid w:val="001C4FDF"/>
    <w:rsid w:val="002105E3"/>
    <w:rsid w:val="00220CF6"/>
    <w:rsid w:val="002326D4"/>
    <w:rsid w:val="00247121"/>
    <w:rsid w:val="002803E7"/>
    <w:rsid w:val="00285A1E"/>
    <w:rsid w:val="002A6E9F"/>
    <w:rsid w:val="002B25BE"/>
    <w:rsid w:val="002B7CFA"/>
    <w:rsid w:val="002F25F5"/>
    <w:rsid w:val="00312D2C"/>
    <w:rsid w:val="00313EBD"/>
    <w:rsid w:val="003172E1"/>
    <w:rsid w:val="00320A2A"/>
    <w:rsid w:val="00343871"/>
    <w:rsid w:val="00383ED7"/>
    <w:rsid w:val="003A5913"/>
    <w:rsid w:val="003E1F36"/>
    <w:rsid w:val="004236EA"/>
    <w:rsid w:val="00423FAA"/>
    <w:rsid w:val="0042503C"/>
    <w:rsid w:val="0045286B"/>
    <w:rsid w:val="00457F2F"/>
    <w:rsid w:val="00470477"/>
    <w:rsid w:val="0047624F"/>
    <w:rsid w:val="0049546E"/>
    <w:rsid w:val="004A1701"/>
    <w:rsid w:val="004A2708"/>
    <w:rsid w:val="004B63B6"/>
    <w:rsid w:val="0053273B"/>
    <w:rsid w:val="00544822"/>
    <w:rsid w:val="00560E37"/>
    <w:rsid w:val="0056305C"/>
    <w:rsid w:val="00571B23"/>
    <w:rsid w:val="005E4A3D"/>
    <w:rsid w:val="005F0D77"/>
    <w:rsid w:val="005F7D39"/>
    <w:rsid w:val="00607AAE"/>
    <w:rsid w:val="00642B70"/>
    <w:rsid w:val="0065220F"/>
    <w:rsid w:val="006620A6"/>
    <w:rsid w:val="006746E2"/>
    <w:rsid w:val="00685AA3"/>
    <w:rsid w:val="006A6908"/>
    <w:rsid w:val="006C6C63"/>
    <w:rsid w:val="006D3C1C"/>
    <w:rsid w:val="007403D3"/>
    <w:rsid w:val="007465F1"/>
    <w:rsid w:val="0077200C"/>
    <w:rsid w:val="007722F9"/>
    <w:rsid w:val="007C0557"/>
    <w:rsid w:val="007D0836"/>
    <w:rsid w:val="007E2851"/>
    <w:rsid w:val="007F78B2"/>
    <w:rsid w:val="008000CF"/>
    <w:rsid w:val="00826BE7"/>
    <w:rsid w:val="008275A6"/>
    <w:rsid w:val="00860E5C"/>
    <w:rsid w:val="00883889"/>
    <w:rsid w:val="00897C9F"/>
    <w:rsid w:val="008B1733"/>
    <w:rsid w:val="008B4017"/>
    <w:rsid w:val="008D036D"/>
    <w:rsid w:val="008E13FB"/>
    <w:rsid w:val="00901F68"/>
    <w:rsid w:val="00927E68"/>
    <w:rsid w:val="00937A05"/>
    <w:rsid w:val="009631DE"/>
    <w:rsid w:val="009724C9"/>
    <w:rsid w:val="00985FB4"/>
    <w:rsid w:val="009A7715"/>
    <w:rsid w:val="009B0F3D"/>
    <w:rsid w:val="00A42371"/>
    <w:rsid w:val="00A4502B"/>
    <w:rsid w:val="00A64C47"/>
    <w:rsid w:val="00A859B8"/>
    <w:rsid w:val="00AD36FB"/>
    <w:rsid w:val="00AE0811"/>
    <w:rsid w:val="00B17800"/>
    <w:rsid w:val="00B25C41"/>
    <w:rsid w:val="00B524FB"/>
    <w:rsid w:val="00B65698"/>
    <w:rsid w:val="00B85A0A"/>
    <w:rsid w:val="00BB3FB4"/>
    <w:rsid w:val="00BD6CFA"/>
    <w:rsid w:val="00BE372D"/>
    <w:rsid w:val="00BE593E"/>
    <w:rsid w:val="00C04C74"/>
    <w:rsid w:val="00C06C0C"/>
    <w:rsid w:val="00C12CD6"/>
    <w:rsid w:val="00C46E8F"/>
    <w:rsid w:val="00C70743"/>
    <w:rsid w:val="00C76230"/>
    <w:rsid w:val="00C94FDA"/>
    <w:rsid w:val="00C954D0"/>
    <w:rsid w:val="00CB4F46"/>
    <w:rsid w:val="00CC787E"/>
    <w:rsid w:val="00CD7C8A"/>
    <w:rsid w:val="00CE6F9B"/>
    <w:rsid w:val="00CF3DFB"/>
    <w:rsid w:val="00D106E9"/>
    <w:rsid w:val="00D11448"/>
    <w:rsid w:val="00D57F19"/>
    <w:rsid w:val="00D60EB6"/>
    <w:rsid w:val="00D64CE6"/>
    <w:rsid w:val="00D74E11"/>
    <w:rsid w:val="00DB27F3"/>
    <w:rsid w:val="00DD223A"/>
    <w:rsid w:val="00E13CCC"/>
    <w:rsid w:val="00E21F36"/>
    <w:rsid w:val="00E25B7E"/>
    <w:rsid w:val="00E421DC"/>
    <w:rsid w:val="00E42B4B"/>
    <w:rsid w:val="00E6158B"/>
    <w:rsid w:val="00E63EC1"/>
    <w:rsid w:val="00EA258F"/>
    <w:rsid w:val="00EB5E6E"/>
    <w:rsid w:val="00EE1D88"/>
    <w:rsid w:val="00EF1555"/>
    <w:rsid w:val="00EF7EA4"/>
    <w:rsid w:val="00F1455A"/>
    <w:rsid w:val="00F67EFB"/>
    <w:rsid w:val="00F704F6"/>
    <w:rsid w:val="00F70FB9"/>
    <w:rsid w:val="00FC671D"/>
    <w:rsid w:val="00FC77BD"/>
    <w:rsid w:val="00FE0C39"/>
    <w:rsid w:val="00FF54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095555-FC43-4248-963E-B07E11E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11"/>
  </w:style>
  <w:style w:type="paragraph" w:styleId="Overskrift1">
    <w:name w:val="heading 1"/>
    <w:basedOn w:val="Normal"/>
    <w:next w:val="Normal"/>
    <w:qFormat/>
    <w:rsid w:val="00AE0811"/>
    <w:pPr>
      <w:keepNext/>
      <w:widowControl w:val="0"/>
      <w:tabs>
        <w:tab w:val="left" w:pos="960"/>
        <w:tab w:val="left" w:pos="2040"/>
        <w:tab w:val="left" w:pos="3120"/>
        <w:tab w:val="left" w:pos="4200"/>
        <w:tab w:val="left" w:pos="5280"/>
        <w:tab w:val="left" w:pos="6360"/>
        <w:tab w:val="left" w:pos="7440"/>
        <w:tab w:val="left" w:pos="8520"/>
        <w:tab w:val="left" w:pos="9600"/>
      </w:tabs>
      <w:jc w:val="center"/>
      <w:outlineLvl w:val="0"/>
    </w:pPr>
    <w:rPr>
      <w:b/>
      <w:color w:val="000000"/>
      <w:sz w:val="32"/>
    </w:rPr>
  </w:style>
  <w:style w:type="paragraph" w:styleId="Overskrift2">
    <w:name w:val="heading 2"/>
    <w:basedOn w:val="Normal"/>
    <w:next w:val="Normal"/>
    <w:qFormat/>
    <w:rsid w:val="00AE0811"/>
    <w:pPr>
      <w:keepNext/>
      <w:widowControl w:val="0"/>
      <w:tabs>
        <w:tab w:val="left" w:pos="960"/>
        <w:tab w:val="left" w:pos="1920"/>
        <w:tab w:val="left" w:pos="2040"/>
        <w:tab w:val="left" w:pos="2520"/>
        <w:tab w:val="left" w:pos="3120"/>
        <w:tab w:val="left" w:pos="4200"/>
        <w:tab w:val="left" w:pos="5280"/>
        <w:tab w:val="left" w:pos="5692"/>
        <w:tab w:val="left" w:pos="6360"/>
        <w:tab w:val="left" w:pos="7440"/>
        <w:tab w:val="left" w:pos="8520"/>
        <w:tab w:val="left" w:pos="9600"/>
      </w:tabs>
      <w:jc w:val="both"/>
      <w:outlineLvl w:val="1"/>
    </w:pPr>
    <w:rPr>
      <w:color w:val="000000"/>
      <w:sz w:val="24"/>
    </w:rPr>
  </w:style>
  <w:style w:type="paragraph" w:styleId="Overskrift3">
    <w:name w:val="heading 3"/>
    <w:basedOn w:val="Normal"/>
    <w:next w:val="Normal"/>
    <w:qFormat/>
    <w:rsid w:val="00AE0811"/>
    <w:pPr>
      <w:keepNext/>
      <w:widowControl w:val="0"/>
      <w:tabs>
        <w:tab w:val="left" w:pos="1080"/>
        <w:tab w:val="left" w:pos="2160"/>
        <w:tab w:val="left" w:pos="3240"/>
        <w:tab w:val="left" w:pos="4320"/>
        <w:tab w:val="left" w:pos="5400"/>
        <w:tab w:val="left" w:pos="6480"/>
        <w:tab w:val="left" w:pos="7560"/>
        <w:tab w:val="left" w:pos="8640"/>
      </w:tabs>
      <w:jc w:val="right"/>
      <w:outlineLvl w:val="2"/>
    </w:pPr>
    <w:rPr>
      <w:color w:val="000000"/>
      <w:sz w:val="24"/>
    </w:rPr>
  </w:style>
  <w:style w:type="paragraph" w:styleId="Overskrift4">
    <w:name w:val="heading 4"/>
    <w:basedOn w:val="Normal"/>
    <w:next w:val="Normal"/>
    <w:qFormat/>
    <w:rsid w:val="00AE0811"/>
    <w:pPr>
      <w:keepNext/>
      <w:widowControl w:val="0"/>
      <w:tabs>
        <w:tab w:val="left" w:pos="1080"/>
        <w:tab w:val="left" w:pos="2160"/>
        <w:tab w:val="left" w:pos="3240"/>
        <w:tab w:val="left" w:pos="4320"/>
        <w:tab w:val="left" w:pos="5400"/>
        <w:tab w:val="left" w:pos="6480"/>
        <w:tab w:val="left" w:pos="7560"/>
        <w:tab w:val="left" w:pos="8640"/>
      </w:tabs>
      <w:jc w:val="center"/>
      <w:outlineLvl w:val="3"/>
    </w:pPr>
    <w:rPr>
      <w:color w:val="000000"/>
      <w:sz w:val="24"/>
    </w:rPr>
  </w:style>
  <w:style w:type="paragraph" w:styleId="Overskrift5">
    <w:name w:val="heading 5"/>
    <w:basedOn w:val="Normal"/>
    <w:next w:val="Normal"/>
    <w:qFormat/>
    <w:rsid w:val="00AE0811"/>
    <w:pPr>
      <w:keepNext/>
      <w:widowControl w:val="0"/>
      <w:tabs>
        <w:tab w:val="left" w:pos="960"/>
        <w:tab w:val="left" w:pos="2040"/>
        <w:tab w:val="left" w:pos="3120"/>
        <w:tab w:val="left" w:pos="4200"/>
        <w:tab w:val="left" w:pos="5280"/>
        <w:tab w:val="left" w:pos="6360"/>
        <w:tab w:val="left" w:pos="7440"/>
        <w:tab w:val="left" w:pos="8520"/>
        <w:tab w:val="left" w:pos="9600"/>
      </w:tabs>
      <w:jc w:val="center"/>
      <w:outlineLvl w:val="4"/>
    </w:pPr>
    <w:rPr>
      <w:b/>
      <w:i/>
      <w:color w:val="000000"/>
      <w:sz w:val="24"/>
    </w:rPr>
  </w:style>
  <w:style w:type="paragraph" w:styleId="Overskrift6">
    <w:name w:val="heading 6"/>
    <w:basedOn w:val="Normal"/>
    <w:next w:val="Normal"/>
    <w:qFormat/>
    <w:rsid w:val="00AE0811"/>
    <w:pPr>
      <w:keepNext/>
      <w:widowControl w:val="0"/>
      <w:tabs>
        <w:tab w:val="left" w:pos="960"/>
        <w:tab w:val="left" w:pos="2040"/>
        <w:tab w:val="left" w:pos="3120"/>
        <w:tab w:val="left" w:pos="4200"/>
        <w:tab w:val="left" w:pos="5280"/>
        <w:tab w:val="left" w:pos="6360"/>
        <w:tab w:val="left" w:pos="7440"/>
        <w:tab w:val="left" w:pos="8520"/>
        <w:tab w:val="left" w:pos="9600"/>
      </w:tabs>
      <w:jc w:val="center"/>
      <w:outlineLvl w:val="5"/>
    </w:pPr>
    <w:rPr>
      <w:rFonts w:ascii="DepCentury Old Style" w:hAnsi="DepCentury Old Style"/>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E0811"/>
    <w:pPr>
      <w:tabs>
        <w:tab w:val="center" w:pos="4536"/>
        <w:tab w:val="right" w:pos="9072"/>
      </w:tabs>
    </w:pPr>
  </w:style>
  <w:style w:type="character" w:styleId="Sidetall">
    <w:name w:val="page number"/>
    <w:basedOn w:val="Standardskriftforavsnitt"/>
    <w:rsid w:val="00AE0811"/>
  </w:style>
  <w:style w:type="paragraph" w:styleId="Bunntekst">
    <w:name w:val="footer"/>
    <w:basedOn w:val="Normal"/>
    <w:rsid w:val="00AE0811"/>
    <w:pPr>
      <w:tabs>
        <w:tab w:val="center" w:pos="4536"/>
        <w:tab w:val="right" w:pos="9072"/>
      </w:tabs>
    </w:pPr>
  </w:style>
  <w:style w:type="paragraph" w:styleId="Brdtekstinnrykk">
    <w:name w:val="Body Text Indent"/>
    <w:basedOn w:val="Normal"/>
    <w:link w:val="BrdtekstinnrykkTegn"/>
    <w:rsid w:val="00AE0811"/>
    <w:pPr>
      <w:widowControl w:val="0"/>
      <w:tabs>
        <w:tab w:val="left" w:pos="1080"/>
        <w:tab w:val="left" w:pos="2160"/>
        <w:tab w:val="left" w:pos="3240"/>
        <w:tab w:val="left" w:pos="4320"/>
        <w:tab w:val="left" w:pos="5400"/>
        <w:tab w:val="left" w:pos="6480"/>
        <w:tab w:val="left" w:pos="7560"/>
        <w:tab w:val="left" w:pos="8640"/>
      </w:tabs>
      <w:ind w:left="284" w:hanging="284"/>
    </w:pPr>
    <w:rPr>
      <w:rFonts w:ascii="DepCentury Old Style" w:hAnsi="DepCentury Old Style"/>
      <w:color w:val="000000"/>
      <w:sz w:val="24"/>
    </w:rPr>
  </w:style>
  <w:style w:type="paragraph" w:styleId="Brdtekstinnrykk2">
    <w:name w:val="Body Text Indent 2"/>
    <w:basedOn w:val="Normal"/>
    <w:rsid w:val="00AE0811"/>
    <w:pPr>
      <w:widowControl w:val="0"/>
      <w:tabs>
        <w:tab w:val="left" w:pos="1080"/>
        <w:tab w:val="left" w:pos="2160"/>
        <w:tab w:val="left" w:pos="3240"/>
        <w:tab w:val="left" w:pos="4320"/>
        <w:tab w:val="left" w:pos="5400"/>
        <w:tab w:val="left" w:pos="6480"/>
        <w:tab w:val="left" w:pos="7560"/>
        <w:tab w:val="left" w:pos="8640"/>
      </w:tabs>
      <w:ind w:left="142" w:hanging="142"/>
    </w:pPr>
    <w:rPr>
      <w:rFonts w:ascii="DepCentury Old Style" w:hAnsi="DepCentury Old Style"/>
      <w:color w:val="000000"/>
      <w:sz w:val="24"/>
    </w:rPr>
  </w:style>
  <w:style w:type="paragraph" w:styleId="Brdtekst">
    <w:name w:val="Body Text"/>
    <w:basedOn w:val="Normal"/>
    <w:rsid w:val="00AE0811"/>
    <w:rPr>
      <w:rFonts w:ascii="DepCentury Old Style" w:hAnsi="DepCentury Old Style"/>
      <w:snapToGrid w:val="0"/>
      <w:color w:val="000000"/>
      <w:sz w:val="24"/>
    </w:rPr>
  </w:style>
  <w:style w:type="paragraph" w:styleId="Brdtekst2">
    <w:name w:val="Body Text 2"/>
    <w:basedOn w:val="Normal"/>
    <w:link w:val="Brdtekst2Tegn"/>
    <w:rsid w:val="00AE0811"/>
    <w:rPr>
      <w:rFonts w:ascii="DepCentury Old Style" w:hAnsi="DepCentury Old Style"/>
      <w:snapToGrid w:val="0"/>
      <w:color w:val="0000FF"/>
      <w:sz w:val="24"/>
    </w:rPr>
  </w:style>
  <w:style w:type="paragraph" w:styleId="Brdtekst3">
    <w:name w:val="Body Text 3"/>
    <w:basedOn w:val="Normal"/>
    <w:rsid w:val="00AE0811"/>
    <w:rPr>
      <w:rFonts w:ascii="DepCentury Old Style" w:hAnsi="DepCentury Old Style"/>
      <w:snapToGrid w:val="0"/>
      <w:sz w:val="24"/>
    </w:rPr>
  </w:style>
  <w:style w:type="paragraph" w:styleId="Bobletekst">
    <w:name w:val="Balloon Text"/>
    <w:basedOn w:val="Normal"/>
    <w:semiHidden/>
    <w:rsid w:val="00D74E11"/>
    <w:rPr>
      <w:rFonts w:ascii="Tahoma" w:hAnsi="Tahoma" w:cs="Tahoma"/>
      <w:sz w:val="16"/>
      <w:szCs w:val="16"/>
    </w:rPr>
  </w:style>
  <w:style w:type="paragraph" w:styleId="Punktliste">
    <w:name w:val="List Bullet"/>
    <w:basedOn w:val="Normal"/>
    <w:autoRedefine/>
    <w:rsid w:val="007C0557"/>
    <w:pPr>
      <w:numPr>
        <w:numId w:val="2"/>
      </w:numPr>
    </w:pPr>
  </w:style>
  <w:style w:type="paragraph" w:styleId="Listeavsnitt">
    <w:name w:val="List Paragraph"/>
    <w:basedOn w:val="Normal"/>
    <w:uiPriority w:val="34"/>
    <w:qFormat/>
    <w:rsid w:val="00A64C47"/>
    <w:pPr>
      <w:ind w:left="720"/>
      <w:contextualSpacing/>
    </w:pPr>
  </w:style>
  <w:style w:type="paragraph" w:styleId="Dokumentkart">
    <w:name w:val="Document Map"/>
    <w:basedOn w:val="Normal"/>
    <w:link w:val="DokumentkartTegn"/>
    <w:uiPriority w:val="99"/>
    <w:semiHidden/>
    <w:unhideWhenUsed/>
    <w:rsid w:val="003E1F36"/>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E1F36"/>
    <w:rPr>
      <w:rFonts w:ascii="Tahoma" w:hAnsi="Tahoma" w:cs="Tahoma"/>
      <w:sz w:val="16"/>
      <w:szCs w:val="16"/>
    </w:rPr>
  </w:style>
  <w:style w:type="character" w:styleId="Hyperkobling">
    <w:name w:val="Hyperlink"/>
    <w:basedOn w:val="Standardskriftforavsnitt"/>
    <w:uiPriority w:val="99"/>
    <w:unhideWhenUsed/>
    <w:rsid w:val="007722F9"/>
    <w:rPr>
      <w:color w:val="0000FF"/>
      <w:u w:val="single"/>
    </w:rPr>
  </w:style>
  <w:style w:type="paragraph" w:customStyle="1" w:styleId="Default">
    <w:name w:val="Default"/>
    <w:rsid w:val="000B4776"/>
    <w:pPr>
      <w:autoSpaceDE w:val="0"/>
      <w:autoSpaceDN w:val="0"/>
      <w:adjustRightInd w:val="0"/>
    </w:pPr>
    <w:rPr>
      <w:rFonts w:ascii="UniCentury Old Style" w:eastAsiaTheme="minorHAnsi" w:hAnsi="UniCentury Old Style" w:cs="UniCentury Old Style"/>
      <w:color w:val="000000"/>
      <w:sz w:val="24"/>
      <w:szCs w:val="24"/>
      <w:lang w:eastAsia="en-US"/>
    </w:rPr>
  </w:style>
  <w:style w:type="paragraph" w:customStyle="1" w:styleId="k-a7">
    <w:name w:val="k-a7"/>
    <w:basedOn w:val="Normal"/>
    <w:rsid w:val="000B4776"/>
    <w:pPr>
      <w:spacing w:after="120" w:line="312" w:lineRule="atLeast"/>
    </w:pPr>
    <w:rPr>
      <w:sz w:val="24"/>
      <w:szCs w:val="24"/>
    </w:rPr>
  </w:style>
  <w:style w:type="character" w:customStyle="1" w:styleId="Brdtekst2Tegn">
    <w:name w:val="Brødtekst 2 Tegn"/>
    <w:basedOn w:val="Standardskriftforavsnitt"/>
    <w:link w:val="Brdtekst2"/>
    <w:rsid w:val="00D11448"/>
    <w:rPr>
      <w:rFonts w:ascii="DepCentury Old Style" w:hAnsi="DepCentury Old Style"/>
      <w:snapToGrid w:val="0"/>
      <w:color w:val="0000FF"/>
      <w:sz w:val="24"/>
    </w:rPr>
  </w:style>
  <w:style w:type="character" w:customStyle="1" w:styleId="BrdtekstinnrykkTegn">
    <w:name w:val="Brødtekstinnrykk Tegn"/>
    <w:basedOn w:val="Standardskriftforavsnitt"/>
    <w:link w:val="Brdtekstinnrykk"/>
    <w:rsid w:val="004B63B6"/>
    <w:rPr>
      <w:rFonts w:ascii="DepCentury Old Style" w:hAnsi="DepCentury Old Style"/>
      <w:color w:val="000000"/>
      <w:sz w:val="24"/>
    </w:rPr>
  </w:style>
  <w:style w:type="character" w:styleId="Merknadsreferanse">
    <w:name w:val="annotation reference"/>
    <w:basedOn w:val="Standardskriftforavsnitt"/>
    <w:uiPriority w:val="99"/>
    <w:semiHidden/>
    <w:unhideWhenUsed/>
    <w:rsid w:val="00D106E9"/>
    <w:rPr>
      <w:sz w:val="16"/>
      <w:szCs w:val="16"/>
    </w:rPr>
  </w:style>
  <w:style w:type="paragraph" w:styleId="Merknadstekst">
    <w:name w:val="annotation text"/>
    <w:basedOn w:val="Normal"/>
    <w:link w:val="MerknadstekstTegn"/>
    <w:uiPriority w:val="99"/>
    <w:semiHidden/>
    <w:unhideWhenUsed/>
    <w:rsid w:val="00D106E9"/>
  </w:style>
  <w:style w:type="character" w:customStyle="1" w:styleId="MerknadstekstTegn">
    <w:name w:val="Merknadstekst Tegn"/>
    <w:basedOn w:val="Standardskriftforavsnitt"/>
    <w:link w:val="Merknadstekst"/>
    <w:uiPriority w:val="99"/>
    <w:semiHidden/>
    <w:rsid w:val="00D106E9"/>
  </w:style>
  <w:style w:type="paragraph" w:styleId="Kommentaremne">
    <w:name w:val="annotation subject"/>
    <w:basedOn w:val="Merknadstekst"/>
    <w:next w:val="Merknadstekst"/>
    <w:link w:val="KommentaremneTegn"/>
    <w:uiPriority w:val="99"/>
    <w:semiHidden/>
    <w:unhideWhenUsed/>
    <w:rsid w:val="00D106E9"/>
    <w:rPr>
      <w:b/>
      <w:bCs/>
    </w:rPr>
  </w:style>
  <w:style w:type="character" w:customStyle="1" w:styleId="KommentaremneTegn">
    <w:name w:val="Kommentaremne Tegn"/>
    <w:basedOn w:val="MerknadstekstTegn"/>
    <w:link w:val="Kommentaremne"/>
    <w:uiPriority w:val="99"/>
    <w:semiHidden/>
    <w:rsid w:val="00D10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ean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2570</Words>
  <Characters>15880</Characters>
  <Application>Microsoft Office Word</Application>
  <DocSecurity>0</DocSecurity>
  <Lines>132</Lines>
  <Paragraphs>36</Paragraphs>
  <ScaleCrop>false</ScaleCrop>
  <HeadingPairs>
    <vt:vector size="2" baseType="variant">
      <vt:variant>
        <vt:lpstr>Tittel</vt:lpstr>
      </vt:variant>
      <vt:variant>
        <vt:i4>1</vt:i4>
      </vt:variant>
    </vt:vector>
  </HeadingPairs>
  <TitlesOfParts>
    <vt:vector size="1" baseType="lpstr">
      <vt:lpstr>18</vt:lpstr>
    </vt:vector>
  </TitlesOfParts>
  <Company>Olje- og energidepartementet</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Mette Karine Gravdahl Agerup</dc:creator>
  <cp:lastModifiedBy>Martine Linge Johnsen</cp:lastModifiedBy>
  <cp:revision>2</cp:revision>
  <cp:lastPrinted>2016-02-01T10:11:00Z</cp:lastPrinted>
  <dcterms:created xsi:type="dcterms:W3CDTF">2016-02-01T11:58:00Z</dcterms:created>
  <dcterms:modified xsi:type="dcterms:W3CDTF">2016-02-01T11:58:00Z</dcterms:modified>
</cp:coreProperties>
</file>